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28, 2022 (June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Nasdaq,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001-38855</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52-1165937</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151 W. 42nd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+1 212 401 8700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 change since last report</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0.900% Senior Notes due 2033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0.875%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Employment Agreement with Bradley J. Peterson</w:t>
      </w:r>
    </w:p>
    <w:p>
      <w:pPr>
        <w:spacing w:after="0" w:line="117"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On June 22, 2022, Nasdaq, Inc. (the “Company”) entered into an employment agreement with Bradley J. Peterson, the Company’s Chief Information and Chief Technology Officer (the “Employment Agreement”). The term of the Employment Agreement is June 22, 2022 through December 31, 2025 (the “Term”). The Employment Agreement replaces Mr. Peterson’s existing employment agreement with the Company, which was due to expire on December 31, 2023.</w:t>
      </w:r>
    </w:p>
    <w:p>
      <w:pPr>
        <w:spacing w:after="0" w:line="18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Mr. Peterson’s annual base salary during the Term shall be no less than $650,000, which shall be reviewed by the Management Compensation Committee (the “Compensation Committee”) of the Board of Directors at least annually and may be increased but not decreased. In addition, for each calendar year during the Term, Mr. Peterson will continue to be eligible to participate in the Company’s executive incentive program in accordance with the terms of such program, as established from time to time by the Compensation Committee. Mr. Peterson will be eligible to earn, for each full calendar year of the Term, an annual target bonus of not less than $975,000, based on the achievement of performance goals established for such year by the Company’s President and Chief Executive Officer and the Compensation Committee. The President and Chief Executive Officer and the Compensation Committee shall review the target bonus at least annually and may increase (but not decrease) the target bonus on the basis of such review. The target bonus amount for each year during the Term shall not be less than the target bonus amount for the immediately preceding year. Additionally,</w:t>
      </w:r>
    </w:p>
    <w:p>
      <w:pPr>
        <w:spacing w:after="0" w:line="1"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Mr. Peterson will be eligible to receive annual equity compensation incentive awards with a target value of not less than $2.5 million. During the Term, Mr. Peterson will be entitled to continue to participate in all employee benefit plans or programs of the Company on the same basis as benefits are generally made available to its senior executive employees.</w:t>
      </w:r>
    </w:p>
    <w:p>
      <w:pPr>
        <w:spacing w:after="0" w:line="190"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Upon a termination of Mr. Peterson’s employment by the Company without “Cause” (as defined in the Employment Agreement), by Mr. Peterson for “Good Reason” (as defined in the Employment Agreement) other than due to a “Change in Control” (as defined in the Employment Agreement) or upon Mr. Peterson’s retirement at the end of the Term, Mr. Peterson will be entitled to severance pay and benefits as follows: (i) a pro-rata target bonus with respect to the calendar year in which the date of termination occurs, payable in substantially equal monthly installments for the twelve (12) month period following the date of termination; (ii) the continued vesting of outstanding equity compensation issued prior to the date of termination as though Mr. Peterson was employed through all applicable performance periods; (iii) $40,000 to offset the cost of premiums associated with Mr. Peterson’s post-retirement health benefits, payable in a lump sum within sixty (60) days of the date of termination; and (iv) twenty-four (24) months of financial and tax services and executive physical exams.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Upon a termination of Mr. Peterson’s employment by the Company without “Cause” or by Mr. Peterson for “Good Reason” in the twenty-four</w:t>
      </w:r>
    </w:p>
    <w:p>
      <w:pPr>
        <w:spacing w:after="0" w:line="35" w:lineRule="exact"/>
        <w:rPr>
          <w:sz w:val="20"/>
          <w:szCs w:val="20"/>
          <w:color w:val="auto"/>
        </w:rPr>
      </w:pPr>
    </w:p>
    <w:p>
      <w:pPr>
        <w:ind w:left="4" w:right="20" w:hanging="4"/>
        <w:spacing w:after="0" w:line="268" w:lineRule="auto"/>
        <w:tabs>
          <w:tab w:leader="none" w:pos="349" w:val="left"/>
        </w:tabs>
        <w:numPr>
          <w:ilvl w:val="0"/>
          <w:numId w:val="2"/>
        </w:numPr>
        <w:rPr>
          <w:rFonts w:ascii="Arial" w:cs="Arial" w:eastAsia="Arial" w:hAnsi="Arial"/>
          <w:sz w:val="17"/>
          <w:szCs w:val="17"/>
          <w:color w:val="auto"/>
        </w:rPr>
      </w:pPr>
      <w:r>
        <w:rPr>
          <w:rFonts w:ascii="Arial" w:cs="Arial" w:eastAsia="Arial" w:hAnsi="Arial"/>
          <w:sz w:val="17"/>
          <w:szCs w:val="17"/>
          <w:color w:val="auto"/>
        </w:rPr>
        <w:t>month period following a “Change in Control,” he will be entitled to receive: (i) a lump sum payment equal to the sum of (a) two times his annual base salary for the calendar year immediately preceding the date of termination and (b) his target bonus amount for the calendar year immediately preceding the date of termination, payable on the first day of the seventh (7</w:t>
      </w:r>
      <w:r>
        <w:rPr>
          <w:rFonts w:ascii="Arial" w:cs="Arial" w:eastAsia="Arial" w:hAnsi="Arial"/>
          <w:sz w:val="14"/>
          <w:szCs w:val="14"/>
          <w:color w:val="auto"/>
        </w:rPr>
        <w:t>th</w:t>
      </w:r>
      <w:r>
        <w:rPr>
          <w:rFonts w:ascii="Arial" w:cs="Arial" w:eastAsia="Arial" w:hAnsi="Arial"/>
          <w:sz w:val="17"/>
          <w:szCs w:val="17"/>
          <w:color w:val="auto"/>
        </w:rPr>
        <w:t>) month following the date of termination; (ii) a pro-rata target bonus with respect to the calendar year in which the date of termination occurs, subject to the achievement of the performance goals and payable in a lump sum on the first day of the seventh (7</w:t>
      </w:r>
      <w:r>
        <w:rPr>
          <w:rFonts w:ascii="Arial" w:cs="Arial" w:eastAsia="Arial" w:hAnsi="Arial"/>
          <w:sz w:val="14"/>
          <w:szCs w:val="14"/>
          <w:color w:val="auto"/>
        </w:rPr>
        <w:t>th</w:t>
      </w:r>
      <w:r>
        <w:rPr>
          <w:rFonts w:ascii="Arial" w:cs="Arial" w:eastAsia="Arial" w:hAnsi="Arial"/>
          <w:sz w:val="17"/>
          <w:szCs w:val="17"/>
          <w:color w:val="auto"/>
        </w:rPr>
        <w:t>) month following the date of termination (or, if later, within thirty (30) days of the date the Compensation Committee determines that performance goals are satisfied); (iii) a taxable monthly cash payment equal to the COBRA premiums for the highest level of coverage available under the Company’s health care coverage at active employee rates for twenty-four (24) months (or, if earlier, until the date Mr. Peterson is eligible for coverage from another employer); and (iv) continued life insurance and accidental death and dismemberment insurance benefits for the same period as the continued health coverage payments.</w:t>
      </w:r>
    </w:p>
    <w:p>
      <w:pPr>
        <w:spacing w:after="0" w:line="181"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Upon a termination of Mr. Peterson’s employment due to death or “Permanent Disability” (as defined in the Employment Agreement), Mr. Peterson (or his estate, if applicable) will receive (i) a pro-rata target bonus with respect to the calendar year in which the death or Permanent Disability occurred, payable in a lump sum within thirty (30) days following the effective date of the release of claims and (ii) the accelerated vesting of all unvested equity awards awarded to Mr. Peterson as of June 22, 2022.</w:t>
      </w:r>
    </w:p>
    <w:p>
      <w:pPr>
        <w:sectPr>
          <w:pgSz w:w="11900" w:h="16838" w:orient="portrait"/>
          <w:cols w:equalWidth="0" w:num="1">
            <w:col w:w="11004"/>
          </w:cols>
          <w:pgMar w:left="436" w:top="297" w:right="459" w:bottom="1440" w:gutter="0" w:footer="0" w:header="0"/>
        </w:sectPr>
      </w:pPr>
    </w:p>
    <w:bookmarkStart w:id="2" w:name="page3"/>
    <w:bookmarkEnd w:id="2"/>
    <w:p>
      <w:pPr>
        <w:ind w:left="4" w:right="1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All severance payments and benefits under the Employment Agreement are subject to the execution of a release agreement by Mr. Peterson containing, among other provisions, a general release of claims in favor of the Company. The Employment Agreement does not provide for any tax gross-up payments. The Employment Agreement also includes a non-competition provision for a period of two years following the date of termination, regardless of the reason for the termination of employment, as well as customary provisions regarding non-solicitation and non-disparagement.</w:t>
      </w:r>
    </w:p>
    <w:p>
      <w:pPr>
        <w:spacing w:after="0" w:line="157"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The foregoing summary of the material terms of the Employment Agreement does not purport to be complete and is subject to, and qualified in its entirety by, the full text of the Employment Agreement, a copy of which will be subsequently filed with the Securities and Exchange Commission.</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On June 22, 2022, the Company held its 2022 Annual Meeting of Shareholders, and the Company’s shareholders took the following actions:</w:t>
      </w:r>
    </w:p>
    <w:p>
      <w:pPr>
        <w:spacing w:after="0" w:line="35" w:lineRule="exact"/>
        <w:rPr>
          <w:sz w:val="20"/>
          <w:szCs w:val="20"/>
          <w:color w:val="auto"/>
        </w:rPr>
      </w:pPr>
    </w:p>
    <w:p>
      <w:pPr>
        <w:ind w:left="4" w:hanging="4"/>
        <w:spacing w:after="0" w:line="252" w:lineRule="auto"/>
        <w:tabs>
          <w:tab w:leader="none" w:pos="219"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elected each of the Company’s ten nominees for director to serve until the 2023 Annual Meeting of Shareholders and their successors are duly elected and qualified, (ii) approved the Company’s executive compensation on an advisory basis, (iii) ratified the appointment of Ernst &amp; Young LLP as the Company’s independent registered public accounting firm for the fiscal year ending December 31, 2022, (iv) approved an amendment to the Company’s Amended and Restated Certificate of Incorporation (the “Charter”) to increase the number of authorized shares of common stock in order to effect a 3-for-1 forward stock split in the form of a stock dividend and (v) did not approve the shareholder proposal entitled “Special Shareholder Meeting Improvement.”</w:t>
      </w:r>
    </w:p>
    <w:p>
      <w:pPr>
        <w:spacing w:after="0" w:line="194"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The table below shows the voting results, which exclude excess shares that were ineligible to vote as a result of the 5% voting limitation in the Company’s Charter.</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FOR</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AGAINST</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ABSTAIN</w:t>
            </w: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13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196"/>
        </w:trPr>
        <w:tc>
          <w:tcPr>
            <w:tcW w:w="5780" w:type="dxa"/>
            <w:vAlign w:val="bottom"/>
            <w:vMerge w:val="continue"/>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780" w:type="dxa"/>
            <w:vAlign w:val="bottom"/>
          </w:tcPr>
          <w:p>
            <w:pPr>
              <w:ind w:left="360"/>
              <w:spacing w:after="0"/>
              <w:rPr>
                <w:sz w:val="20"/>
                <w:szCs w:val="20"/>
                <w:color w:val="auto"/>
              </w:rPr>
            </w:pPr>
            <w:r>
              <w:rPr>
                <w:rFonts w:ascii="Arial" w:cs="Arial" w:eastAsia="Arial" w:hAnsi="Arial"/>
                <w:sz w:val="18"/>
                <w:szCs w:val="18"/>
                <w:color w:val="auto"/>
              </w:rPr>
              <w:t>Melissa M. Arnoldi</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101,587,321</w:t>
            </w:r>
          </w:p>
        </w:tc>
        <w:tc>
          <w:tcPr>
            <w:tcW w:w="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287,609</w:t>
            </w: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31,169</w:t>
            </w:r>
          </w:p>
        </w:tc>
        <w:tc>
          <w:tcPr>
            <w:tcW w:w="3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Charlene T. Begley</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101,372,962</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500,431</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32,706</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Steven D. Black</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101,013,835</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847,887</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44,377</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Adena T. Friedman</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101,508,902</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374,170</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23,027</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Essa Kazim</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101,333,541</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511,887</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60,671</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Thomas A. Kloet</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101,217,918</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642,031</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46,150</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John D. Rainey</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101,593,628</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268,873</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43,598</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Michael R. Splinter</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99,713,448</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2,132,496</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60,155</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Toni Townes-Whitley</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99,741,575</w:t>
            </w: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2,132,355</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32,169</w:t>
            </w:r>
          </w:p>
        </w:tc>
        <w:tc>
          <w:tcPr>
            <w:tcW w:w="34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Alfred W. Zollar</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100,966,084</w:t>
            </w:r>
          </w:p>
        </w:tc>
        <w:tc>
          <w:tcPr>
            <w:tcW w:w="3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894,867</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45,148</w:t>
            </w:r>
          </w:p>
        </w:tc>
        <w:tc>
          <w:tcPr>
            <w:tcW w:w="34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r>
        <w:trPr>
          <w:trHeight w:val="306"/>
        </w:trPr>
        <w:tc>
          <w:tcPr>
            <w:tcW w:w="5780" w:type="dxa"/>
            <w:vAlign w:val="bottom"/>
          </w:tcPr>
          <w:p>
            <w:pPr>
              <w:spacing w:after="0"/>
              <w:rPr>
                <w:sz w:val="20"/>
                <w:szCs w:val="20"/>
                <w:color w:val="auto"/>
              </w:rPr>
            </w:pPr>
            <w:r>
              <w:rPr>
                <w:rFonts w:ascii="Arial" w:cs="Arial" w:eastAsia="Arial" w:hAnsi="Arial"/>
                <w:sz w:val="18"/>
                <w:szCs w:val="18"/>
                <w:b w:val="1"/>
                <w:bCs w:val="1"/>
                <w:color w:val="auto"/>
                <w:w w:val="94"/>
              </w:rPr>
              <w:t>Proposal 2: Approval of the Company’s Executive Compensation on an</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180"/>
              <w:spacing w:after="0"/>
              <w:rPr>
                <w:sz w:val="20"/>
                <w:szCs w:val="20"/>
                <w:color w:val="auto"/>
              </w:rPr>
            </w:pPr>
            <w:r>
              <w:rPr>
                <w:rFonts w:ascii="Arial" w:cs="Arial" w:eastAsia="Arial" w:hAnsi="Arial"/>
                <w:sz w:val="18"/>
                <w:szCs w:val="18"/>
                <w:b w:val="1"/>
                <w:bCs w:val="1"/>
                <w:color w:val="auto"/>
              </w:rPr>
              <w:t>Advisory Basis</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97,718,823</w:t>
            </w:r>
          </w:p>
        </w:tc>
        <w:tc>
          <w:tcPr>
            <w:tcW w:w="3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4,114,435</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72,841</w:t>
            </w:r>
          </w:p>
        </w:tc>
        <w:tc>
          <w:tcPr>
            <w:tcW w:w="34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w w:val="94"/>
              </w:rPr>
              <w:t>6,938,506</w:t>
            </w:r>
          </w:p>
        </w:tc>
        <w:tc>
          <w:tcPr>
            <w:tcW w:w="0" w:type="dxa"/>
            <w:vAlign w:val="bottom"/>
          </w:tcPr>
          <w:p>
            <w:pPr>
              <w:spacing w:after="0"/>
              <w:rPr>
                <w:sz w:val="1"/>
                <w:szCs w:val="1"/>
                <w:color w:val="auto"/>
              </w:rPr>
            </w:pPr>
          </w:p>
        </w:tc>
      </w:tr>
    </w:tbl>
    <w:p>
      <w:pPr>
        <w:sectPr>
          <w:pgSz w:w="11900" w:h="16838" w:orient="portrait"/>
          <w:cols w:equalWidth="0" w:num="1">
            <w:col w:w="11004"/>
          </w:cols>
          <w:pgMar w:left="436" w:top="301"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w w:val="93"/>
              </w:rPr>
              <w:t>Proposal 3: Ratification of the Appointment of Ernst &amp; Young LLP as the</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w w:val="97"/>
              </w:rPr>
              <w:t>Company’s Independent Registered Public Accounting Firm for the</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Fiscal Year Ending December 31, 2022</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100,635,603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8,176,389</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32,613</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306"/>
        </w:trPr>
        <w:tc>
          <w:tcPr>
            <w:tcW w:w="5820" w:type="dxa"/>
            <w:vAlign w:val="bottom"/>
          </w:tcPr>
          <w:p>
            <w:pPr>
              <w:spacing w:after="0"/>
              <w:rPr>
                <w:sz w:val="20"/>
                <w:szCs w:val="20"/>
                <w:color w:val="auto"/>
              </w:rPr>
            </w:pPr>
            <w:r>
              <w:rPr>
                <w:rFonts w:ascii="Arial" w:cs="Arial" w:eastAsia="Arial" w:hAnsi="Arial"/>
                <w:sz w:val="18"/>
                <w:szCs w:val="18"/>
                <w:b w:val="1"/>
                <w:bCs w:val="1"/>
                <w:color w:val="auto"/>
                <w:w w:val="93"/>
              </w:rPr>
              <w:t>Proposal 4: Approve an Amendment to Nasdaq’s Charter to Increase the</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Total Number of Authorized Shares of Common Stock to Effect a</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Proposed 3-for-1 Stock Split</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101,549,373</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335,906</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20,820</w:t>
            </w:r>
          </w:p>
        </w:tc>
        <w:tc>
          <w:tcPr>
            <w:tcW w:w="940" w:type="dxa"/>
            <w:vAlign w:val="bottom"/>
          </w:tcPr>
          <w:p>
            <w:pPr>
              <w:jc w:val="right"/>
              <w:spacing w:after="0"/>
              <w:rPr>
                <w:sz w:val="20"/>
                <w:szCs w:val="20"/>
                <w:color w:val="auto"/>
              </w:rPr>
            </w:pPr>
            <w:r>
              <w:rPr>
                <w:rFonts w:ascii="Arial" w:cs="Arial" w:eastAsia="Arial" w:hAnsi="Arial"/>
                <w:sz w:val="18"/>
                <w:szCs w:val="18"/>
                <w:color w:val="auto"/>
              </w:rPr>
              <w:t>6,938,506</w:t>
            </w:r>
          </w:p>
        </w:tc>
      </w:tr>
      <w:tr>
        <w:trPr>
          <w:trHeight w:val="306"/>
        </w:trPr>
        <w:tc>
          <w:tcPr>
            <w:tcW w:w="5820" w:type="dxa"/>
            <w:vAlign w:val="bottom"/>
          </w:tcPr>
          <w:p>
            <w:pPr>
              <w:spacing w:after="0"/>
              <w:rPr>
                <w:sz w:val="20"/>
                <w:szCs w:val="20"/>
                <w:color w:val="auto"/>
              </w:rPr>
            </w:pPr>
            <w:r>
              <w:rPr>
                <w:rFonts w:ascii="Arial" w:cs="Arial" w:eastAsia="Arial" w:hAnsi="Arial"/>
                <w:sz w:val="18"/>
                <w:szCs w:val="18"/>
                <w:b w:val="1"/>
                <w:bCs w:val="1"/>
                <w:color w:val="auto"/>
              </w:rPr>
              <w:t>Proposal 5: Shareholder Proposal – “Special Shareholder Meeting</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Improvement”</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31,695,545</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70,134,753</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75,801</w:t>
            </w:r>
          </w:p>
        </w:tc>
        <w:tc>
          <w:tcPr>
            <w:tcW w:w="940" w:type="dxa"/>
            <w:vAlign w:val="bottom"/>
          </w:tcPr>
          <w:p>
            <w:pPr>
              <w:jc w:val="right"/>
              <w:spacing w:after="0"/>
              <w:rPr>
                <w:sz w:val="20"/>
                <w:szCs w:val="20"/>
                <w:color w:val="auto"/>
              </w:rPr>
            </w:pPr>
            <w:r>
              <w:rPr>
                <w:rFonts w:ascii="Arial" w:cs="Arial" w:eastAsia="Arial" w:hAnsi="Arial"/>
                <w:sz w:val="18"/>
                <w:szCs w:val="18"/>
                <w:color w:val="auto"/>
              </w:rPr>
              <w:t>6,938,506</w:t>
            </w:r>
          </w:p>
        </w:tc>
      </w:tr>
    </w:tbl>
    <w:p>
      <w:pPr>
        <w:sectPr>
          <w:pgSz w:w="11900" w:h="16838" w:orient="portrait"/>
          <w:cols w:equalWidth="0" w:num="1">
            <w:col w:w="10040"/>
          </w:cols>
          <w:pgMar w:left="880" w:top="445" w:right="9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Dated: June 28, 2022</w:t>
            </w: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NASDAQ, INC.</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Zecca</w:t>
            </w:r>
          </w:p>
        </w:tc>
      </w:tr>
      <w:tr>
        <w:trPr>
          <w:trHeight w:val="209"/>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A. Zecca</w:t>
            </w:r>
          </w:p>
        </w:tc>
      </w:tr>
      <w:tr>
        <w:trPr>
          <w:trHeight w:val="230"/>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 Legal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4"/>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2022-06-28T15:23:34Z</dcterms:created>
  <dcterms:modified xsi:type="dcterms:W3CDTF">2022-06-28T15:23:34Z</dcterms:modified>
</cp:coreProperties>
</file>