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Smith Bryan Everard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 W. 42ND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NASDAQ, INC.</w:t>
              </w:r>
            </w:hyperlink>
            <w:r>
              <w:rPr/>
              <w:t xml:space="preserve"> [ </w:t>
            </w:r>
            <w:r>
              <w:rPr>
                <w:rFonts w:ascii="Times;serif" w:hAnsi="Times;serif"/>
                <w:color w:val="0000FF"/>
                <w:sz w:val="24"/>
                <w:shd w:fill="FFFFFF" w:val="clear"/>
              </w:rPr>
              <w:t>NDAQ</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CPO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1,556</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95.07</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67,647</w:t>
            </w:r>
            <w:r>
              <w:rPr>
                <w:rFonts w:ascii="Times;serif" w:hAnsi="Times;serif"/>
                <w:color w:val="008000"/>
                <w:position w:val="7"/>
                <w:sz w:val="16"/>
                <w:sz w:val="20"/>
                <w:shd w:fill="FFFFFF" w:val="clear"/>
              </w:rPr>
              <w:t>(2)</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sale was effected pursuant to a Rule 10b5-1(c) trading plan adopted on March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(i) 22,563 shares or units of restricted stock, of which 1,465 are vested, (ii) 40,202 shares of Common Stock underlying PSUs, 32,176 of which are vested, and (iii) 4,882 shares of Common Stock purchased under the Issuer's Employee Stock Purchase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 Kogan,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99366" TargetMode="External"/><Relationship Id="rId5" Type="http://schemas.openxmlformats.org/officeDocument/2006/relationships/hyperlink" Target="http://www.sec.gov/cgi-bin/browse-edgar?action=getcompany&amp;CIK=00011201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3383</Characters>
  <CharactersWithSpaces>3946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