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31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3113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40" w:type="dxa"/>
            <w:vAlign w:val="bottom"/>
            <w:gridSpan w:val="2"/>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Noll Eric</w:t>
              </w:r>
            </w:hyperlink>
          </w:p>
        </w:tc>
        <w:tc>
          <w:tcPr>
            <w:tcW w:w="10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NASDAQ OMX GROUP,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NDAQ</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20" w:type="dxa"/>
            <w:vAlign w:val="bottom"/>
            <w:tcBorders>
              <w:top w:val="single" w:sz="8" w:color="0000EE"/>
            </w:tcBorders>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00" w:type="dxa"/>
            <w:vAlign w:val="bottom"/>
            <w:tcBorders>
              <w:top w:val="single" w:sz="8" w:color="0000EE"/>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04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4"/>
                <w:szCs w:val="14"/>
                <w:color w:val="auto"/>
              </w:rPr>
              <w:t>(Last)</w:t>
            </w:r>
          </w:p>
        </w:tc>
        <w:tc>
          <w:tcPr>
            <w:tcW w:w="1060" w:type="dxa"/>
            <w:vAlign w:val="bottom"/>
            <w:tcBorders>
              <w:top w:val="single" w:sz="8" w:color="EEEEEE"/>
            </w:tcBorders>
            <w:vMerge w:val="restart"/>
          </w:tcPr>
          <w:p>
            <w:pPr>
              <w:ind w:left="240"/>
              <w:spacing w:after="0"/>
              <w:rPr>
                <w:sz w:val="20"/>
                <w:szCs w:val="20"/>
                <w:color w:val="auto"/>
              </w:rPr>
            </w:pPr>
            <w:r>
              <w:rPr>
                <w:rFonts w:ascii="Arial" w:cs="Arial" w:eastAsia="Arial" w:hAnsi="Arial"/>
                <w:sz w:val="14"/>
                <w:szCs w:val="14"/>
                <w:color w:val="auto"/>
              </w:rPr>
              <w:t>(First)</w:t>
            </w:r>
          </w:p>
        </w:tc>
        <w:tc>
          <w:tcPr>
            <w:tcW w:w="17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2900" w:type="dxa"/>
            <w:vAlign w:val="bottom"/>
            <w:gridSpan w:val="4"/>
            <w:vMerge w:val="restart"/>
          </w:tcPr>
          <w:p>
            <w:pPr>
              <w:ind w:left="160"/>
              <w:spacing w:after="0" w:line="176" w:lineRule="exact"/>
              <w:rPr>
                <w:sz w:val="20"/>
                <w:szCs w:val="20"/>
                <w:color w:val="auto"/>
              </w:rPr>
            </w:pPr>
            <w:r>
              <w:rPr>
                <w:rFonts w:ascii="Arial" w:cs="Arial" w:eastAsia="Arial" w:hAnsi="Arial"/>
                <w:sz w:val="18"/>
                <w:szCs w:val="18"/>
                <w:color w:val="0000FF"/>
              </w:rPr>
              <w:t>02/17/2010</w:t>
            </w: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900" w:type="dxa"/>
            <w:vAlign w:val="bottom"/>
            <w:gridSpan w:val="4"/>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ONE LIBERTY PLAZA</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315" w:lineRule="exact"/>
        <w:rPr>
          <w:sz w:val="20"/>
          <w:szCs w:val="20"/>
          <w:color w:val="auto"/>
        </w:rPr>
      </w:pPr>
    </w:p>
    <w:p>
      <w:pPr>
        <w:sectPr>
          <w:pgSz w:w="11900" w:h="16838" w:orient="portrait"/>
          <w:cols w:equalWidth="0" w:num="2">
            <w:col w:w="7980" w:space="77"/>
            <w:col w:w="3463"/>
          </w:cols>
          <w:pgMar w:left="240" w:top="226" w:right="139" w:bottom="1440" w:gutter="0" w:footer="0" w:header="0"/>
          <w:type w:val="continuous"/>
        </w:sectPr>
      </w:pP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10006</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20" w:type="dxa"/>
            <w:vAlign w:val="bottom"/>
          </w:tcPr>
          <w:p>
            <w:pPr>
              <w:spacing w:after="0"/>
              <w:rPr>
                <w:sz w:val="14"/>
                <w:szCs w:val="14"/>
                <w:color w:val="auto"/>
              </w:rPr>
            </w:pPr>
          </w:p>
        </w:tc>
        <w:tc>
          <w:tcPr>
            <w:tcW w:w="126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2"/>
              </w:rPr>
              <w:t>Common Stock, par value $0.01 per share</w:t>
            </w:r>
          </w:p>
        </w:tc>
        <w:tc>
          <w:tcPr>
            <w:tcW w:w="1260" w:type="dxa"/>
            <w:vAlign w:val="bottom"/>
            <w:tcBorders>
              <w:bottom w:val="single" w:sz="8" w:color="2C2C2C"/>
            </w:tcBorders>
            <w:gridSpan w:val="2"/>
          </w:tcPr>
          <w:p>
            <w:pPr>
              <w:jc w:val="right"/>
              <w:ind w:right="99"/>
              <w:spacing w:after="0"/>
              <w:rPr>
                <w:sz w:val="20"/>
                <w:szCs w:val="20"/>
                <w:color w:val="auto"/>
              </w:rPr>
            </w:pPr>
            <w:r>
              <w:rPr>
                <w:rFonts w:ascii="Arial" w:cs="Arial" w:eastAsia="Arial" w:hAnsi="Arial"/>
                <w:sz w:val="18"/>
                <w:szCs w:val="18"/>
                <w:color w:val="0000FF"/>
              </w:rPr>
              <w:t>02/17/2010</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298"/>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80"/>
              <w:spacing w:after="0"/>
              <w:rPr>
                <w:sz w:val="20"/>
                <w:szCs w:val="20"/>
                <w:color w:val="auto"/>
              </w:rPr>
            </w:pPr>
            <w:r>
              <w:rPr>
                <w:rFonts w:ascii="Arial" w:cs="Arial" w:eastAsia="Arial" w:hAnsi="Arial"/>
                <w:sz w:val="18"/>
                <w:szCs w:val="18"/>
                <w:color w:val="0000FF"/>
              </w:rPr>
              <w:t>37,949</w:t>
            </w:r>
            <w:r>
              <w:rPr>
                <w:rFonts w:ascii="Arial" w:cs="Arial" w:eastAsia="Arial" w:hAnsi="Arial"/>
                <w:sz w:val="22"/>
                <w:szCs w:val="22"/>
                <w:color w:val="008000"/>
                <w:vertAlign w:val="superscript"/>
              </w:rPr>
              <w:t>(1)</w:t>
            </w:r>
          </w:p>
        </w:tc>
        <w:tc>
          <w:tcPr>
            <w:tcW w:w="3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4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440"/>
              <w:spacing w:after="0"/>
              <w:rPr>
                <w:sz w:val="20"/>
                <w:szCs w:val="20"/>
                <w:color w:val="auto"/>
              </w:rPr>
            </w:pPr>
            <w:r>
              <w:rPr>
                <w:rFonts w:ascii="Arial" w:cs="Arial" w:eastAsia="Arial" w:hAnsi="Arial"/>
                <w:sz w:val="18"/>
                <w:szCs w:val="18"/>
                <w:color w:val="0000FF"/>
              </w:rPr>
              <w:t>62,949</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6"/>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80" w:type="dxa"/>
            <w:vAlign w:val="bottom"/>
            <w:gridSpan w:val="12"/>
          </w:tcPr>
          <w:p>
            <w:pPr>
              <w:jc w:val="right"/>
              <w:ind w:right="1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36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gridSpan w:val="2"/>
            <w:vMerge w:val="restart"/>
          </w:tcPr>
          <w:p>
            <w:pPr>
              <w:jc w:val="right"/>
              <w:ind w:right="318"/>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spacing w:after="0"/>
              <w:rPr>
                <w:sz w:val="20"/>
                <w:szCs w:val="20"/>
                <w:color w:val="auto"/>
              </w:rPr>
            </w:pPr>
            <w:r>
              <w:rPr>
                <w:rFonts w:ascii="Arial" w:cs="Arial" w:eastAsia="Arial" w:hAnsi="Arial"/>
                <w:sz w:val="18"/>
                <w:szCs w:val="18"/>
                <w:color w:val="0000FF"/>
                <w:w w:val="98"/>
              </w:rPr>
              <w:t>72,319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2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19.5</w:t>
            </w: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4"/>
                <w:szCs w:val="14"/>
                <w:color w:val="0000FF"/>
                <w:w w:val="96"/>
              </w:rPr>
              <w:t>07/22/2019</w:t>
            </w:r>
          </w:p>
        </w:tc>
        <w:tc>
          <w:tcPr>
            <w:tcW w:w="7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20"/>
              <w:spacing w:after="0" w:line="133" w:lineRule="exact"/>
              <w:rPr>
                <w:sz w:val="20"/>
                <w:szCs w:val="20"/>
                <w:color w:val="auto"/>
              </w:rPr>
            </w:pPr>
            <w:r>
              <w:rPr>
                <w:rFonts w:ascii="Arial" w:cs="Arial" w:eastAsia="Arial" w:hAnsi="Arial"/>
                <w:sz w:val="14"/>
                <w:szCs w:val="14"/>
                <w:color w:val="0000FF"/>
                <w:w w:val="88"/>
              </w:rPr>
              <w:t>72,319</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2"/>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settlement of performance share units (PSUs) that were granted under The NASDAQ OMX Group, Inc. Equity Incentive Plan on December 17, 2008. The ultimate amount of shares to be received under the grant depended upon the achievement of performance goals during a one-year performance period from January 1, 2009 through December 31, 2009. On February 17, 2010, the Management Compensation Committee of NASDAQ OMX's Board of Directors approved the settlement of the PSU grant. The shares underlying the PSUs will vest as to 1/3 on December 31, 2010, 1/3 on December 31, 2011 and 1/3 on December 31, 2012.</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(i) 25,000 shares of unvested restricted stock and (ii) 37,949 unvested shares underlying PSUs.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Options exercisable on July 22, 2013.</w:t>
      </w:r>
    </w:p>
    <w:p>
      <w:pPr>
        <w:ind w:left="6860"/>
        <w:spacing w:after="0" w:line="184" w:lineRule="auto"/>
        <w:rPr>
          <w:sz w:val="20"/>
          <w:szCs w:val="20"/>
          <w:color w:val="auto"/>
        </w:rPr>
      </w:pPr>
      <w:r>
        <w:rPr>
          <w:rFonts w:ascii="Arial" w:cs="Arial" w:eastAsia="Arial" w:hAnsi="Arial"/>
          <w:sz w:val="17"/>
          <w:szCs w:val="17"/>
          <w:color w:val="0000FF"/>
        </w:rPr>
        <w:t xml:space="preserve">/s/ Edward S. Knight, by power </w:t>
      </w:r>
      <w:r>
        <w:rPr>
          <w:rFonts w:ascii="Arial" w:cs="Arial" w:eastAsia="Arial" w:hAnsi="Arial"/>
          <w:sz w:val="34"/>
          <w:szCs w:val="34"/>
          <w:color w:val="0000FF"/>
          <w:vertAlign w:val="subscript"/>
        </w:rPr>
        <w:t>02/19/2010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090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906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485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8577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8651" TargetMode="External"/><Relationship Id="rId13" Type="http://schemas.openxmlformats.org/officeDocument/2006/relationships/hyperlink" Target="http://www.sec.gov/cgi-bin/browse-edgar?action=getcompany&amp;CIK=00011201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2019-12-17T14:26:49Z</dcterms:created>
  <dcterms:modified xsi:type="dcterms:W3CDTF">2019-12-17T14:26:49Z</dcterms:modified>
</cp:coreProperties>
</file>