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666750</wp:posOffset>
            </wp:positionH>
            <wp:positionV relativeFrom="page">
              <wp:posOffset>384810</wp:posOffset>
            </wp:positionV>
            <wp:extent cx="54495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9570" cy="762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54495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9570" cy="7620"/>
                    </a:xfrm>
                    <a:prstGeom prst="rect">
                      <a:avLst/>
                    </a:prstGeom>
                    <a:noFill/>
                  </pic:spPr>
                </pic:pic>
              </a:graphicData>
            </a:graphic>
          </wp:anchor>
        </w:drawing>
      </w:r>
    </w:p>
    <w:p>
      <w:pPr>
        <w:spacing w:after="0" w:line="218" w:lineRule="auto"/>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6"/>
          <w:szCs w:val="6"/>
          <w:b w:val="1"/>
          <w:bCs w:val="1"/>
          <w:color w:val="auto"/>
        </w:rPr>
        <w:t>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8" w:lineRule="exact"/>
        <w:rPr>
          <w:sz w:val="24"/>
          <w:szCs w:val="24"/>
          <w:color w:val="auto"/>
        </w:rPr>
      </w:pPr>
    </w:p>
    <w:p>
      <w:pPr>
        <w:ind w:left="640" w:hanging="638"/>
        <w:spacing w:after="0"/>
        <w:tabs>
          <w:tab w:leader="none" w:pos="6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5" w:lineRule="exact"/>
        <w:rPr>
          <w:sz w:val="24"/>
          <w:szCs w:val="24"/>
          <w:color w:val="auto"/>
        </w:rPr>
      </w:pPr>
    </w:p>
    <w:p>
      <w:pPr>
        <w:ind w:left="640"/>
        <w:spacing w:after="0"/>
        <w:tabs>
          <w:tab w:leader="none" w:pos="4420" w:val="left"/>
        </w:tabs>
        <w:rPr>
          <w:sz w:val="20"/>
          <w:szCs w:val="20"/>
          <w:color w:val="auto"/>
        </w:rPr>
      </w:pPr>
      <w:r>
        <w:rPr>
          <w:rFonts w:ascii="Times New Roman" w:cs="Times New Roman" w:eastAsia="Times New Roman" w:hAnsi="Times New Roman"/>
          <w:sz w:val="13"/>
          <w:szCs w:val="13"/>
          <w:b w:val="1"/>
          <w:bCs w:val="1"/>
          <w:color w:val="auto"/>
        </w:rPr>
        <w:t>For the fiscal year ended</w:t>
      </w:r>
      <w:r>
        <w:rPr>
          <w:sz w:val="20"/>
          <w:szCs w:val="20"/>
          <w:color w:val="auto"/>
        </w:rPr>
        <w:tab/>
      </w:r>
      <w:r>
        <w:rPr>
          <w:rFonts w:ascii="Times New Roman" w:cs="Times New Roman" w:eastAsia="Times New Roman" w:hAnsi="Times New Roman"/>
          <w:sz w:val="13"/>
          <w:szCs w:val="13"/>
          <w:b w:val="1"/>
          <w:bCs w:val="1"/>
          <w:color w:val="auto"/>
        </w:rPr>
        <w:t>December 31,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1" w:lineRule="exact"/>
        <w:rPr>
          <w:sz w:val="24"/>
          <w:szCs w:val="24"/>
          <w:color w:val="auto"/>
        </w:rPr>
      </w:pPr>
    </w:p>
    <w:p>
      <w:pPr>
        <w:ind w:left="640" w:hanging="638"/>
        <w:spacing w:after="0"/>
        <w:tabs>
          <w:tab w:leader="none" w:pos="6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40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For the transition period</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from ________ to ________</w:t>
            </w:r>
          </w:p>
        </w:tc>
        <w:tc>
          <w:tcPr>
            <w:tcW w:w="0" w:type="dxa"/>
            <w:vAlign w:val="bottom"/>
          </w:tcPr>
          <w:p>
            <w:pPr>
              <w:spacing w:after="0"/>
              <w:rPr>
                <w:sz w:val="1"/>
                <w:szCs w:val="1"/>
                <w:color w:val="auto"/>
              </w:rPr>
            </w:pPr>
          </w:p>
        </w:tc>
      </w:tr>
      <w:tr>
        <w:trPr>
          <w:trHeight w:val="134"/>
        </w:trPr>
        <w:tc>
          <w:tcPr>
            <w:tcW w:w="2400" w:type="dxa"/>
            <w:vAlign w:val="bottom"/>
            <w:gridSpan w:val="2"/>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Commission file number: 001-38855</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40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___________________________________</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340" w:type="dxa"/>
            <w:vAlign w:val="bottom"/>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Nasdaq, Inc.</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16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w w:val="98"/>
              </w:rPr>
              <w:t>52-1165937</w:t>
            </w:r>
          </w:p>
        </w:tc>
        <w:tc>
          <w:tcPr>
            <w:tcW w:w="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406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151 W. 42nd Street,</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New York</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10036</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400" w:type="dxa"/>
            <w:vAlign w:val="bottom"/>
            <w:gridSpan w:val="2"/>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760" w:type="dxa"/>
            <w:vAlign w:val="bottom"/>
          </w:tcPr>
          <w:p>
            <w:pPr>
              <w:spacing w:after="0"/>
              <w:rPr>
                <w:sz w:val="11"/>
                <w:szCs w:val="11"/>
                <w:color w:val="auto"/>
              </w:rPr>
            </w:pPr>
          </w:p>
        </w:tc>
        <w:tc>
          <w:tcPr>
            <w:tcW w:w="1000" w:type="dxa"/>
            <w:vAlign w:val="bottom"/>
            <w:gridSpan w:val="3"/>
          </w:tcPr>
          <w:p>
            <w:pPr>
              <w:ind w:left="120"/>
              <w:spacing w:after="0" w:line="134" w:lineRule="exact"/>
              <w:rPr>
                <w:sz w:val="20"/>
                <w:szCs w:val="20"/>
                <w:color w:val="auto"/>
              </w:rPr>
            </w:pPr>
            <w:r>
              <w:rPr>
                <w:rFonts w:ascii="Times New Roman" w:cs="Times New Roman" w:eastAsia="Times New Roman" w:hAnsi="Times New Roman"/>
                <w:sz w:val="13"/>
                <w:szCs w:val="13"/>
                <w:b w:val="1"/>
                <w:bCs w:val="1"/>
                <w:color w:val="auto"/>
              </w:rPr>
              <w:t>(Zip Code)</w:t>
            </w:r>
          </w:p>
        </w:tc>
        <w:tc>
          <w:tcPr>
            <w:tcW w:w="3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480" w:type="dxa"/>
            <w:vAlign w:val="bottom"/>
            <w:gridSpan w:val="7"/>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Registrant’s telephone number, including area code: +1 212 401 8700</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160" w:type="dxa"/>
            <w:vAlign w:val="bottom"/>
            <w:gridSpan w:val="3"/>
          </w:tcPr>
          <w:p>
            <w:pPr>
              <w:spacing w:after="0" w:line="121" w:lineRule="exact"/>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w w:val="99"/>
              </w:rPr>
              <w:t>Trading Symbol(s)</w:t>
            </w: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172"/>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Title of each class</w:t>
            </w: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40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Common Stock, $0.01 par value per share</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NDAQ</w:t>
            </w:r>
          </w:p>
        </w:tc>
        <w:tc>
          <w:tcPr>
            <w:tcW w:w="11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290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The Nasdaq Stock Market</w:t>
            </w:r>
          </w:p>
        </w:tc>
        <w:tc>
          <w:tcPr>
            <w:tcW w:w="0" w:type="dxa"/>
            <w:vAlign w:val="bottom"/>
          </w:tcPr>
          <w:p>
            <w:pPr>
              <w:spacing w:after="0"/>
              <w:rPr>
                <w:sz w:val="1"/>
                <w:szCs w:val="1"/>
                <w:color w:val="auto"/>
              </w:rPr>
            </w:pPr>
          </w:p>
        </w:tc>
      </w:tr>
      <w:tr>
        <w:trPr>
          <w:trHeight w:val="174"/>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4.500% Senior Notes due 2032</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NDAQ32</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The Nasdaq Stock Market</w:t>
            </w:r>
          </w:p>
        </w:tc>
        <w:tc>
          <w:tcPr>
            <w:tcW w:w="0" w:type="dxa"/>
            <w:vAlign w:val="bottom"/>
          </w:tcPr>
          <w:p>
            <w:pPr>
              <w:spacing w:after="0"/>
              <w:rPr>
                <w:sz w:val="1"/>
                <w:szCs w:val="1"/>
                <w:color w:val="auto"/>
              </w:rPr>
            </w:pPr>
          </w:p>
        </w:tc>
      </w:tr>
      <w:tr>
        <w:trPr>
          <w:trHeight w:val="180"/>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0.900% Senior Notes due 2033</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NDAQ33</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The Nasdaq Stock Market</w:t>
            </w:r>
          </w:p>
        </w:tc>
        <w:tc>
          <w:tcPr>
            <w:tcW w:w="0" w:type="dxa"/>
            <w:vAlign w:val="bottom"/>
          </w:tcPr>
          <w:p>
            <w:pPr>
              <w:spacing w:after="0"/>
              <w:rPr>
                <w:sz w:val="1"/>
                <w:szCs w:val="1"/>
                <w:color w:val="auto"/>
              </w:rPr>
            </w:pPr>
          </w:p>
        </w:tc>
      </w:tr>
      <w:tr>
        <w:trPr>
          <w:trHeight w:val="180"/>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0.875% Senior Notes due 2030</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NDAQ30</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The Nasdaq Stock Market</w:t>
            </w:r>
          </w:p>
        </w:tc>
        <w:tc>
          <w:tcPr>
            <w:tcW w:w="0" w:type="dxa"/>
            <w:vAlign w:val="bottom"/>
          </w:tcPr>
          <w:p>
            <w:pPr>
              <w:spacing w:after="0"/>
              <w:rPr>
                <w:sz w:val="1"/>
                <w:szCs w:val="1"/>
                <w:color w:val="auto"/>
              </w:rPr>
            </w:pPr>
          </w:p>
        </w:tc>
      </w:tr>
      <w:tr>
        <w:trPr>
          <w:trHeight w:val="180"/>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1.75% Senior Notes due 2029</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NDAQ29</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The Nasdaq Stock Market</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28"/>
        </w:trPr>
        <w:tc>
          <w:tcPr>
            <w:tcW w:w="64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660" w:type="dxa"/>
            <w:vAlign w:val="bottom"/>
            <w:vMerge w:val="restart"/>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46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 Yes</w:t>
            </w:r>
          </w:p>
        </w:tc>
        <w:tc>
          <w:tcPr>
            <w:tcW w:w="660" w:type="dxa"/>
            <w:vAlign w:val="bottom"/>
            <w:vMerge w:val="continue"/>
          </w:tcPr>
          <w:p>
            <w:pPr>
              <w:spacing w:after="0"/>
              <w:rPr>
                <w:sz w:val="10"/>
                <w:szCs w:val="10"/>
                <w:color w:val="auto"/>
              </w:rPr>
            </w:pPr>
          </w:p>
        </w:tc>
        <w:tc>
          <w:tcPr>
            <w:tcW w:w="460" w:type="dxa"/>
            <w:vAlign w:val="bottom"/>
            <w:vMerge w:val="restart"/>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160" w:type="dxa"/>
            <w:vAlign w:val="bottom"/>
            <w:vMerge w:val="restart"/>
          </w:tcPr>
          <w:p>
            <w:pPr>
              <w:ind w:left="4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22"/>
        </w:trPr>
        <w:tc>
          <w:tcPr>
            <w:tcW w:w="712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Exchange Act. Yes</w:t>
            </w:r>
          </w:p>
        </w:tc>
        <w:tc>
          <w:tcPr>
            <w:tcW w:w="46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2"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w:t>
      </w:r>
    </w:p>
    <w:p>
      <w:pPr>
        <w:spacing w:after="0" w:line="189" w:lineRule="auto"/>
        <w:rPr>
          <w:sz w:val="20"/>
          <w:szCs w:val="20"/>
          <w:color w:val="auto"/>
        </w:rPr>
      </w:pPr>
      <w:r>
        <w:rPr>
          <w:rFonts w:ascii="Times New Roman" w:cs="Times New Roman" w:eastAsia="Times New Roman" w:hAnsi="Times New Roman"/>
          <w:sz w:val="13"/>
          <w:szCs w:val="13"/>
          <w:color w:val="auto"/>
        </w:rPr>
        <w:t>during the preceding 12 months (or for such shorter period that the registrant was required to file such reports), and (2) has been subject to such filing requirements for</w:t>
      </w:r>
    </w:p>
    <w:p>
      <w:pPr>
        <w:spacing w:after="0" w:line="123" w:lineRule="exact"/>
        <w:tabs>
          <w:tab w:leader="none" w:pos="980" w:val="left"/>
          <w:tab w:leader="none" w:pos="1500" w:val="left"/>
        </w:tabs>
        <w:rPr>
          <w:sz w:val="20"/>
          <w:szCs w:val="20"/>
          <w:color w:val="auto"/>
        </w:rPr>
      </w:pPr>
      <w:r>
        <w:rPr>
          <w:rFonts w:ascii="Times New Roman" w:cs="Times New Roman" w:eastAsia="Times New Roman" w:hAnsi="Times New Roman"/>
          <w:sz w:val="13"/>
          <w:szCs w:val="13"/>
          <w:color w:val="auto"/>
        </w:rPr>
        <w:t>the past 90 days.</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92"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w:t>
      </w:r>
    </w:p>
    <w:p>
      <w:pPr>
        <w:spacing w:after="0" w:line="189" w:lineRule="auto"/>
        <w:rPr>
          <w:sz w:val="20"/>
          <w:szCs w:val="20"/>
          <w:color w:val="auto"/>
        </w:rPr>
      </w:pPr>
      <w:r>
        <w:rPr>
          <w:rFonts w:ascii="Times New Roman" w:cs="Times New Roman" w:eastAsia="Times New Roman" w:hAnsi="Times New Roman"/>
          <w:sz w:val="13"/>
          <w:szCs w:val="13"/>
          <w:color w:val="auto"/>
        </w:rPr>
        <w:t>Regulation S-T (§232.405 of this chapter) during the preceding 12 months (or for such shorter period that the registrant was required to submit such</w:t>
      </w:r>
    </w:p>
    <w:p>
      <w:pPr>
        <w:spacing w:after="0" w:line="123" w:lineRule="exact"/>
        <w:tabs>
          <w:tab w:leader="none" w:pos="400" w:val="left"/>
          <w:tab w:leader="none" w:pos="940" w:val="left"/>
        </w:tabs>
        <w:rPr>
          <w:sz w:val="20"/>
          <w:szCs w:val="20"/>
          <w:color w:val="auto"/>
        </w:rPr>
      </w:pPr>
      <w:r>
        <w:rPr>
          <w:rFonts w:ascii="Times New Roman" w:cs="Times New Roman" w:eastAsia="Times New Roman" w:hAnsi="Times New Roman"/>
          <w:sz w:val="13"/>
          <w:szCs w:val="13"/>
          <w:color w:val="auto"/>
        </w:rPr>
        <w:t>files).</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ind w:right="660" w:firstLine="576"/>
        <w:spacing w:after="0" w:line="19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2"/>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1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ind w:left="1480"/>
              <w:spacing w:after="0"/>
              <w:rPr>
                <w:sz w:val="20"/>
                <w:szCs w:val="20"/>
                <w:color w:val="auto"/>
              </w:rPr>
            </w:pPr>
            <w:r>
              <w:rPr>
                <w:rFonts w:ascii="Times New Roman" w:cs="Times New Roman" w:eastAsia="Times New Roman" w:hAnsi="Times New Roman"/>
                <w:sz w:val="13"/>
                <w:szCs w:val="13"/>
                <w:color w:val="auto"/>
              </w:rPr>
              <w:t>Accelerated filer</w:t>
            </w:r>
          </w:p>
        </w:tc>
        <w:tc>
          <w:tcPr>
            <w:tcW w:w="520" w:type="dxa"/>
            <w:vAlign w:val="bottom"/>
          </w:tcPr>
          <w:p>
            <w:pPr>
              <w:ind w:left="4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1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ind w:left="14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20" w:type="dxa"/>
            <w:vAlign w:val="bottom"/>
          </w:tcPr>
          <w:p>
            <w:pPr>
              <w:ind w:left="4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1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ind w:right="1280"/>
        <w:spacing w:after="0" w:line="12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94"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w:t>
      </w:r>
    </w:p>
    <w:p>
      <w:pPr>
        <w:ind w:right="660"/>
        <w:spacing w:after="0" w:line="120" w:lineRule="exact"/>
        <w:rPr>
          <w:sz w:val="20"/>
          <w:szCs w:val="20"/>
          <w:color w:val="auto"/>
        </w:rPr>
      </w:pPr>
      <w:r>
        <w:rPr>
          <w:rFonts w:ascii="Times New Roman" w:cs="Times New Roman" w:eastAsia="Times New Roman" w:hAnsi="Times New Roman"/>
          <w:sz w:val="13"/>
          <w:szCs w:val="13"/>
          <w:color w:val="auto"/>
        </w:rPr>
        <w:t xml:space="preserve">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400"/>
        <w:spacing w:after="0" w:line="120"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60"/>
        <w:spacing w:after="0" w:line="11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24" w:lineRule="exact"/>
        <w:tabs>
          <w:tab w:leader="none" w:pos="6100" w:val="left"/>
          <w:tab w:leader="none" w:pos="6620" w:val="left"/>
          <w:tab w:leader="none" w:pos="68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No</w:t>
      </w:r>
      <w:r>
        <w:rPr>
          <w:sz w:val="20"/>
          <w:szCs w:val="20"/>
          <w:color w:val="auto"/>
        </w:rPr>
        <w:tab/>
      </w:r>
      <w:r>
        <w:rPr>
          <w:rFonts w:ascii="MS PGothic" w:cs="MS PGothic" w:eastAsia="MS PGothic" w:hAnsi="MS PGothic"/>
          <w:sz w:val="12"/>
          <w:szCs w:val="12"/>
          <w:color w:val="auto"/>
        </w:rPr>
        <w:t>☒</w:t>
      </w:r>
    </w:p>
    <w:p>
      <w:pPr>
        <w:spacing w:after="0" w:line="192" w:lineRule="auto"/>
        <w:rPr>
          <w:sz w:val="20"/>
          <w:szCs w:val="20"/>
          <w:color w:val="auto"/>
        </w:rPr>
      </w:pPr>
      <w:r>
        <w:rPr>
          <w:rFonts w:ascii="Times New Roman" w:cs="Times New Roman" w:eastAsia="Times New Roman" w:hAnsi="Times New Roman"/>
          <w:sz w:val="13"/>
          <w:szCs w:val="13"/>
          <w:color w:val="auto"/>
        </w:rPr>
        <w:t>As of June 30, 2025, the aggregate market value of the registrant’s common stock held by non-affiliates of the registrant was approximately $40.6 billion</w:t>
      </w:r>
    </w:p>
    <w:p>
      <w:pPr>
        <w:spacing w:after="0" w:line="1" w:lineRule="exact"/>
        <w:rPr>
          <w:sz w:val="24"/>
          <w:szCs w:val="24"/>
          <w:color w:val="auto"/>
        </w:rPr>
      </w:pPr>
    </w:p>
    <w:p>
      <w:pPr>
        <w:ind w:right="740"/>
        <w:spacing w:after="0" w:line="192" w:lineRule="auto"/>
        <w:rPr>
          <w:sz w:val="20"/>
          <w:szCs w:val="20"/>
          <w:color w:val="auto"/>
        </w:rPr>
      </w:pPr>
      <w:r>
        <w:rPr>
          <w:rFonts w:ascii="Times New Roman" w:cs="Times New Roman" w:eastAsia="Times New Roman" w:hAnsi="Times New Roman"/>
          <w:sz w:val="13"/>
          <w:szCs w:val="13"/>
          <w:color w:val="auto"/>
        </w:rPr>
        <w:t>(this amount represents approximately 454.2 million shares of Nasdaq, Inc.’s common stock based on the last reported sales price of $89.42 of the common stock on The Nasdaq Stock Market on such date).</w:t>
      </w:r>
    </w:p>
    <w:p>
      <w:pPr>
        <w:spacing w:after="0" w:line="213" w:lineRule="auto"/>
        <w:rPr>
          <w:sz w:val="20"/>
          <w:szCs w:val="20"/>
          <w:color w:val="auto"/>
        </w:rPr>
      </w:pPr>
      <w:r>
        <w:rPr>
          <w:rFonts w:ascii="Times New Roman" w:cs="Times New Roman" w:eastAsia="Times New Roman" w:hAnsi="Times New Roman"/>
          <w:sz w:val="13"/>
          <w:szCs w:val="13"/>
          <w:color w:val="auto"/>
        </w:rPr>
        <w:t>Indicate the number of shares outstanding of each of the registrant's classes of common stock, as of the latest practicable date.</w:t>
      </w:r>
    </w:p>
    <w:tbl>
      <w:tblPr>
        <w:tblLayout w:type="fixed"/>
        <w:tblInd w:w="0" w:type="dxa"/>
        <w:tblCellMar>
          <w:top w:w="0" w:type="dxa"/>
          <w:left w:w="0" w:type="dxa"/>
          <w:bottom w:w="0" w:type="dxa"/>
          <w:right w:w="0" w:type="dxa"/>
        </w:tblCellMar>
      </w:tblPr>
      <w:tr>
        <w:trPr>
          <w:trHeight w:val="130"/>
        </w:trPr>
        <w:tc>
          <w:tcPr>
            <w:tcW w:w="572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Class</w:t>
            </w:r>
          </w:p>
        </w:tc>
        <w:tc>
          <w:tcPr>
            <w:tcW w:w="1840" w:type="dxa"/>
            <w:vAlign w:val="bottom"/>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Outstanding at February 3, 2026</w:t>
            </w:r>
          </w:p>
        </w:tc>
      </w:tr>
      <w:tr>
        <w:trPr>
          <w:trHeight w:val="20"/>
        </w:trPr>
        <w:tc>
          <w:tcPr>
            <w:tcW w:w="30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36"/>
        </w:trPr>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$0.01 par value per share</w:t>
            </w:r>
          </w:p>
        </w:tc>
        <w:tc>
          <w:tcPr>
            <w:tcW w:w="18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568,443,856  shares</w:t>
            </w:r>
          </w:p>
        </w:tc>
      </w:tr>
    </w:tbl>
    <w:p>
      <w:pPr>
        <w:spacing w:after="0" w:line="56" w:lineRule="exact"/>
        <w:rPr>
          <w:sz w:val="24"/>
          <w:szCs w:val="24"/>
          <w:color w:val="auto"/>
        </w:rPr>
      </w:pPr>
    </w:p>
    <w:p>
      <w:pPr>
        <w:ind w:right="1120"/>
        <w:spacing w:after="0" w:line="234" w:lineRule="auto"/>
        <w:rPr>
          <w:sz w:val="20"/>
          <w:szCs w:val="20"/>
          <w:color w:val="auto"/>
        </w:rPr>
      </w:pPr>
      <w:r>
        <w:rPr>
          <w:rFonts w:ascii="Times New Roman" w:cs="Times New Roman" w:eastAsia="Times New Roman" w:hAnsi="Times New Roman"/>
          <w:sz w:val="13"/>
          <w:szCs w:val="13"/>
          <w:color w:val="auto"/>
        </w:rPr>
        <w:t>Documents Incorporated by Reference: Certain portions of the Definitive Proxy Statement for the 2026 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54571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719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54571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7190" cy="7620"/>
                    </a:xfrm>
                    <a:prstGeom prst="rect">
                      <a:avLst/>
                    </a:prstGeom>
                    <a:noFill/>
                  </pic:spPr>
                </pic:pic>
              </a:graphicData>
            </a:graphic>
          </wp:anchor>
        </w:drawing>
      </w:r>
    </w:p>
    <w:p>
      <w:pPr>
        <w:sectPr>
          <w:pgSz w:w="11900" w:h="16840" w:orient="portrait"/>
          <w:cols w:equalWidth="0" w:num="1">
            <w:col w:w="9400"/>
          </w:cols>
          <w:pgMar w:left="1060" w:top="61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w:t>
      </w:r>
    </w:p>
    <w:p>
      <w:pPr>
        <w:sectPr>
          <w:pgSz w:w="11900" w:h="16840" w:orient="portrait"/>
          <w:cols w:equalWidth="0" w:num="1">
            <w:col w:w="9400"/>
          </w:cols>
          <w:pgMar w:left="1060" w:top="61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44"/>
        </w:trPr>
        <w:tc>
          <w:tcPr>
            <w:tcW w:w="700" w:type="dxa"/>
            <w:vAlign w:val="bottom"/>
            <w:vMerge w:val="restart"/>
          </w:tcPr>
          <w:p>
            <w:pPr>
              <w:spacing w:after="0"/>
              <w:rPr>
                <w:rFonts w:ascii="Times New Roman" w:cs="Times New Roman" w:eastAsia="Times New Roman" w:hAnsi="Times New Roman"/>
                <w:sz w:val="16"/>
                <w:szCs w:val="16"/>
                <w:b w:val="1"/>
                <w:bCs w:val="1"/>
                <w:color w:val="auto"/>
              </w:rPr>
            </w:pPr>
            <w:hyperlink w:anchor="page57">
              <w:r>
                <w:rPr>
                  <w:rFonts w:ascii="Times New Roman" w:cs="Times New Roman" w:eastAsia="Times New Roman" w:hAnsi="Times New Roman"/>
                  <w:sz w:val="16"/>
                  <w:szCs w:val="16"/>
                  <w:b w:val="1"/>
                  <w:bCs w:val="1"/>
                  <w:color w:val="auto"/>
                </w:rPr>
                <w:t>Part I.</w:t>
              </w:r>
            </w:hyperlink>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560" w:type="dxa"/>
            <w:vAlign w:val="bottom"/>
            <w:tcBorders>
              <w:bottom w:val="single" w:sz="8" w:color="0000FF"/>
            </w:tcBorders>
          </w:tcPr>
          <w:p>
            <w:pPr>
              <w:spacing w:after="0"/>
              <w:rPr>
                <w:rFonts w:ascii="Times New Roman" w:cs="Times New Roman" w:eastAsia="Times New Roman" w:hAnsi="Times New Roman"/>
                <w:sz w:val="16"/>
                <w:szCs w:val="16"/>
                <w:color w:val="0000FF"/>
                <w:w w:val="94"/>
              </w:rPr>
            </w:pPr>
            <w:hyperlink w:anchor="page5">
              <w:r>
                <w:rPr>
                  <w:rFonts w:ascii="Times New Roman" w:cs="Times New Roman" w:eastAsia="Times New Roman" w:hAnsi="Times New Roman"/>
                  <w:sz w:val="16"/>
                  <w:szCs w:val="16"/>
                  <w:color w:val="0000FF"/>
                  <w:w w:val="94"/>
                </w:rPr>
                <w:t>Business</w:t>
              </w:r>
            </w:hyperlink>
          </w:p>
        </w:tc>
        <w:tc>
          <w:tcPr>
            <w:tcW w:w="6500" w:type="dxa"/>
            <w:vAlign w:val="bottom"/>
            <w:gridSpan w:val="25"/>
          </w:tcPr>
          <w:p>
            <w:pPr>
              <w:spacing w:after="0"/>
              <w:rPr>
                <w:sz w:val="18"/>
                <w:szCs w:val="18"/>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1</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18">
              <w:r>
                <w:rPr>
                  <w:rFonts w:ascii="Times New Roman" w:cs="Times New Roman" w:eastAsia="Times New Roman" w:hAnsi="Times New Roman"/>
                  <w:sz w:val="16"/>
                  <w:szCs w:val="16"/>
                  <w:color w:val="0000FF"/>
                </w:rPr>
                <w:t>Risk Factors</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18">
              <w:r>
                <w:rPr>
                  <w:rFonts w:ascii="Times New Roman" w:cs="Times New Roman" w:eastAsia="Times New Roman" w:hAnsi="Times New Roman"/>
                  <w:sz w:val="16"/>
                  <w:szCs w:val="16"/>
                  <w:color w:val="0000FF"/>
                  <w:w w:val="74"/>
                </w:rPr>
                <w:t>17</w:t>
              </w:r>
            </w:hyperlink>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178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6"/>
              </w:rPr>
            </w:pPr>
            <w:hyperlink w:anchor="page29">
              <w:r>
                <w:rPr>
                  <w:rFonts w:ascii="Times New Roman" w:cs="Times New Roman" w:eastAsia="Times New Roman" w:hAnsi="Times New Roman"/>
                  <w:sz w:val="16"/>
                  <w:szCs w:val="16"/>
                  <w:color w:val="0000FF"/>
                  <w:w w:val="96"/>
                </w:rPr>
                <w:t>Unresolved Staff Comments</w:t>
              </w:r>
            </w:hyperlink>
          </w:p>
        </w:tc>
        <w:tc>
          <w:tcPr>
            <w:tcW w:w="5280" w:type="dxa"/>
            <w:vAlign w:val="bottom"/>
            <w:gridSpan w:val="12"/>
          </w:tcPr>
          <w:p>
            <w:pPr>
              <w:spacing w:after="0"/>
              <w:rPr>
                <w:sz w:val="23"/>
                <w:szCs w:val="23"/>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29">
              <w:r>
                <w:rPr>
                  <w:rFonts w:ascii="Times New Roman" w:cs="Times New Roman" w:eastAsia="Times New Roman" w:hAnsi="Times New Roman"/>
                  <w:sz w:val="16"/>
                  <w:szCs w:val="16"/>
                  <w:color w:val="0000FF"/>
                  <w:w w:val="74"/>
                </w:rPr>
                <w:t>31</w:t>
              </w:r>
            </w:hyperlink>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88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29">
              <w:r>
                <w:rPr>
                  <w:rFonts w:ascii="Times New Roman" w:cs="Times New Roman" w:eastAsia="Times New Roman" w:hAnsi="Times New Roman"/>
                  <w:sz w:val="16"/>
                  <w:szCs w:val="16"/>
                  <w:color w:val="0000FF"/>
                  <w:w w:val="95"/>
                </w:rPr>
                <w:t>Cybersecurity</w:t>
              </w:r>
            </w:hyperlink>
          </w:p>
        </w:tc>
        <w:tc>
          <w:tcPr>
            <w:tcW w:w="6180" w:type="dxa"/>
            <w:vAlign w:val="bottom"/>
            <w:gridSpan w:val="20"/>
          </w:tcPr>
          <w:p>
            <w:pPr>
              <w:spacing w:after="0"/>
              <w:rPr>
                <w:sz w:val="23"/>
                <w:szCs w:val="23"/>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29">
              <w:r>
                <w:rPr>
                  <w:rFonts w:ascii="Times New Roman" w:cs="Times New Roman" w:eastAsia="Times New Roman" w:hAnsi="Times New Roman"/>
                  <w:sz w:val="16"/>
                  <w:szCs w:val="16"/>
                  <w:color w:val="0000FF"/>
                  <w:w w:val="74"/>
                </w:rPr>
                <w:t>31</w:t>
              </w:r>
            </w:hyperlink>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5"/>
              </w:rPr>
            </w:pPr>
            <w:hyperlink w:anchor="page31">
              <w:r>
                <w:rPr>
                  <w:rFonts w:ascii="Times New Roman" w:cs="Times New Roman" w:eastAsia="Times New Roman" w:hAnsi="Times New Roman"/>
                  <w:sz w:val="16"/>
                  <w:szCs w:val="16"/>
                  <w:color w:val="0000FF"/>
                  <w:w w:val="95"/>
                </w:rPr>
                <w:t>Properties</w:t>
              </w:r>
            </w:hyperlink>
          </w:p>
        </w:tc>
        <w:tc>
          <w:tcPr>
            <w:tcW w:w="6420" w:type="dxa"/>
            <w:vAlign w:val="bottom"/>
            <w:gridSpan w:val="23"/>
          </w:tcPr>
          <w:p>
            <w:pPr>
              <w:spacing w:after="0"/>
              <w:rPr>
                <w:sz w:val="22"/>
                <w:szCs w:val="22"/>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31">
              <w:r>
                <w:rPr>
                  <w:rFonts w:ascii="Times New Roman" w:cs="Times New Roman" w:eastAsia="Times New Roman" w:hAnsi="Times New Roman"/>
                  <w:sz w:val="16"/>
                  <w:szCs w:val="16"/>
                  <w:color w:val="0000FF"/>
                  <w:w w:val="74"/>
                </w:rPr>
                <w:t>33</w:t>
              </w:r>
            </w:hyperlink>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Legal Proceedings</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31">
              <w:r>
                <w:rPr>
                  <w:rFonts w:ascii="Times New Roman" w:cs="Times New Roman" w:eastAsia="Times New Roman" w:hAnsi="Times New Roman"/>
                  <w:sz w:val="16"/>
                  <w:szCs w:val="16"/>
                  <w:color w:val="0000FF"/>
                  <w:w w:val="74"/>
                </w:rPr>
                <w:t>33</w:t>
              </w:r>
            </w:hyperlink>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700" w:type="dxa"/>
            <w:vAlign w:val="bottom"/>
          </w:tcPr>
          <w:p>
            <w:pPr>
              <w:spacing w:after="0"/>
              <w:rPr>
                <w:rFonts w:ascii="Times New Roman" w:cs="Times New Roman" w:eastAsia="Times New Roman" w:hAnsi="Times New Roman"/>
                <w:sz w:val="16"/>
                <w:szCs w:val="16"/>
                <w:b w:val="1"/>
                <w:bCs w:val="1"/>
                <w:color w:val="auto"/>
              </w:rPr>
            </w:pPr>
            <w:hyperlink w:anchor="page31">
              <w:r>
                <w:rPr>
                  <w:rFonts w:ascii="Times New Roman" w:cs="Times New Roman" w:eastAsia="Times New Roman" w:hAnsi="Times New Roman"/>
                  <w:sz w:val="16"/>
                  <w:szCs w:val="16"/>
                  <w:b w:val="1"/>
                  <w:bCs w:val="1"/>
                  <w:color w:val="auto"/>
                </w:rPr>
                <w:t>Part II.</w:t>
              </w:r>
            </w:hyperlink>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Market for Registrant</w:t>
              </w:r>
            </w:hyperlink>
            <w:r>
              <w:rPr>
                <w:rFonts w:ascii="Times New Roman" w:cs="Times New Roman" w:eastAsia="Times New Roman" w:hAnsi="Times New Roman"/>
                <w:sz w:val="16"/>
                <w:szCs w:val="16"/>
                <w:u w:val="single" w:color="auto"/>
                <w:color w:val="0E32E1"/>
              </w:rPr>
              <w:t>’</w:t>
            </w:r>
            <w:hyperlink w:anchor="page31">
              <w:r>
                <w:rPr>
                  <w:rFonts w:ascii="Times New Roman" w:cs="Times New Roman" w:eastAsia="Times New Roman" w:hAnsi="Times New Roman"/>
                  <w:sz w:val="16"/>
                  <w:szCs w:val="16"/>
                  <w:color w:val="0000FF"/>
                </w:rPr>
                <w:t>s Common Equity, Related Stockholder Matters and Issuer Purchases of Equity</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31">
              <w:r>
                <w:rPr>
                  <w:rFonts w:ascii="Times New Roman" w:cs="Times New Roman" w:eastAsia="Times New Roman" w:hAnsi="Times New Roman"/>
                  <w:sz w:val="16"/>
                  <w:szCs w:val="16"/>
                  <w:color w:val="0000FF"/>
                  <w:w w:val="74"/>
                </w:rPr>
                <w:t>33</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62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4"/>
                <w:szCs w:val="14"/>
                <w:color w:val="0000FF"/>
              </w:rPr>
            </w:pPr>
            <w:hyperlink w:anchor="page31">
              <w:r>
                <w:rPr>
                  <w:rFonts w:ascii="Times New Roman" w:cs="Times New Roman" w:eastAsia="Times New Roman" w:hAnsi="Times New Roman"/>
                  <w:sz w:val="14"/>
                  <w:szCs w:val="14"/>
                  <w:color w:val="0000FF"/>
                </w:rPr>
                <w:t>Securities</w:t>
              </w:r>
            </w:hyperlink>
          </w:p>
        </w:tc>
        <w:tc>
          <w:tcPr>
            <w:tcW w:w="74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gridSpan w:val="2"/>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[Reserved]</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33">
              <w:r>
                <w:rPr>
                  <w:rFonts w:ascii="Times New Roman" w:cs="Times New Roman" w:eastAsia="Times New Roman" w:hAnsi="Times New Roman"/>
                  <w:sz w:val="16"/>
                  <w:szCs w:val="16"/>
                  <w:color w:val="0000FF"/>
                  <w:w w:val="74"/>
                </w:rPr>
                <w:t>36</w:t>
              </w:r>
            </w:hyperlink>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Management’s Discussion and Analysis of Financial Condition and Results of Operations</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33">
              <w:r>
                <w:rPr>
                  <w:rFonts w:ascii="Times New Roman" w:cs="Times New Roman" w:eastAsia="Times New Roman" w:hAnsi="Times New Roman"/>
                  <w:sz w:val="16"/>
                  <w:szCs w:val="16"/>
                  <w:color w:val="0000FF"/>
                  <w:w w:val="74"/>
                </w:rPr>
                <w:t>36</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378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6"/>
                <w:szCs w:val="16"/>
                <w:color w:val="0000FF"/>
                <w:w w:val="97"/>
              </w:rPr>
            </w:pPr>
            <w:hyperlink w:anchor="page49">
              <w:r>
                <w:rPr>
                  <w:rFonts w:ascii="Times New Roman" w:cs="Times New Roman" w:eastAsia="Times New Roman" w:hAnsi="Times New Roman"/>
                  <w:sz w:val="16"/>
                  <w:szCs w:val="16"/>
                  <w:color w:val="0000FF"/>
                  <w:w w:val="97"/>
                </w:rPr>
                <w:t>Quantitative and Qualitative Disclosures About Market Risk</w:t>
              </w:r>
            </w:hyperlink>
          </w:p>
        </w:tc>
        <w:tc>
          <w:tcPr>
            <w:tcW w:w="1820" w:type="dxa"/>
            <w:vAlign w:val="bottom"/>
            <w:tcBorders>
              <w:top w:val="single" w:sz="8" w:color="0000FF"/>
            </w:tcBorders>
            <w:gridSpan w:val="3"/>
          </w:tcPr>
          <w:p>
            <w:pPr>
              <w:spacing w:after="0"/>
              <w:rPr>
                <w:sz w:val="24"/>
                <w:szCs w:val="24"/>
                <w:color w:val="auto"/>
              </w:rPr>
            </w:pPr>
          </w:p>
        </w:tc>
        <w:tc>
          <w:tcPr>
            <w:tcW w:w="1460" w:type="dxa"/>
            <w:vAlign w:val="bottom"/>
            <w:gridSpan w:val="4"/>
          </w:tcPr>
          <w:p>
            <w:pPr>
              <w:spacing w:after="0"/>
              <w:rPr>
                <w:sz w:val="24"/>
                <w:szCs w:val="24"/>
                <w:color w:val="auto"/>
              </w:rPr>
            </w:pPr>
          </w:p>
        </w:tc>
        <w:tc>
          <w:tcPr>
            <w:tcW w:w="16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w w:val="74"/>
              </w:rPr>
            </w:pPr>
            <w:hyperlink w:anchor="page49">
              <w:r>
                <w:rPr>
                  <w:rFonts w:ascii="Times New Roman" w:cs="Times New Roman" w:eastAsia="Times New Roman" w:hAnsi="Times New Roman"/>
                  <w:sz w:val="16"/>
                  <w:szCs w:val="16"/>
                  <w:color w:val="0000FF"/>
                  <w:w w:val="74"/>
                </w:rPr>
                <w:t>55</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Financial Statements and Supplementary Data</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49">
              <w:r>
                <w:rPr>
                  <w:rFonts w:ascii="Times New Roman" w:cs="Times New Roman" w:eastAsia="Times New Roman" w:hAnsi="Times New Roman"/>
                  <w:sz w:val="16"/>
                  <w:szCs w:val="16"/>
                  <w:color w:val="0000FF"/>
                  <w:w w:val="74"/>
                </w:rPr>
                <w:t>55</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562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w w:val="97"/>
              </w:rPr>
            </w:pPr>
            <w:hyperlink w:anchor="page49">
              <w:r>
                <w:rPr>
                  <w:rFonts w:ascii="Times New Roman" w:cs="Times New Roman" w:eastAsia="Times New Roman" w:hAnsi="Times New Roman"/>
                  <w:sz w:val="16"/>
                  <w:szCs w:val="16"/>
                  <w:color w:val="0000FF"/>
                  <w:w w:val="97"/>
                </w:rPr>
                <w:t>Changes in and Disagreements with Accountants on Accounting and Financial Disclosure</w:t>
              </w:r>
            </w:hyperlink>
          </w:p>
        </w:tc>
        <w:tc>
          <w:tcPr>
            <w:tcW w:w="1440" w:type="dxa"/>
            <w:vAlign w:val="bottom"/>
            <w:gridSpan w:val="3"/>
          </w:tcPr>
          <w:p>
            <w:pPr>
              <w:spacing w:after="0"/>
              <w:rPr>
                <w:sz w:val="24"/>
                <w:szCs w:val="24"/>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49">
              <w:r>
                <w:rPr>
                  <w:rFonts w:ascii="Times New Roman" w:cs="Times New Roman" w:eastAsia="Times New Roman" w:hAnsi="Times New Roman"/>
                  <w:sz w:val="16"/>
                  <w:szCs w:val="16"/>
                  <w:color w:val="0000FF"/>
                  <w:w w:val="74"/>
                </w:rPr>
                <w:t>56</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154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6"/>
              </w:rPr>
            </w:pPr>
            <w:hyperlink w:anchor="page50">
              <w:r>
                <w:rPr>
                  <w:rFonts w:ascii="Times New Roman" w:cs="Times New Roman" w:eastAsia="Times New Roman" w:hAnsi="Times New Roman"/>
                  <w:sz w:val="16"/>
                  <w:szCs w:val="16"/>
                  <w:color w:val="0000FF"/>
                  <w:w w:val="96"/>
                </w:rPr>
                <w:t>Controls and Procedures</w:t>
              </w:r>
            </w:hyperlink>
          </w:p>
        </w:tc>
        <w:tc>
          <w:tcPr>
            <w:tcW w:w="5520" w:type="dxa"/>
            <w:vAlign w:val="bottom"/>
            <w:gridSpan w:val="14"/>
          </w:tcPr>
          <w:p>
            <w:pPr>
              <w:spacing w:after="0"/>
              <w:rPr>
                <w:sz w:val="24"/>
                <w:szCs w:val="24"/>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50">
              <w:r>
                <w:rPr>
                  <w:rFonts w:ascii="Times New Roman" w:cs="Times New Roman" w:eastAsia="Times New Roman" w:hAnsi="Times New Roman"/>
                  <w:sz w:val="16"/>
                  <w:szCs w:val="16"/>
                  <w:color w:val="0000FF"/>
                  <w:w w:val="74"/>
                </w:rPr>
                <w:t>56</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5"/>
              </w:rPr>
            </w:pPr>
            <w:hyperlink w:anchor="page51">
              <w:r>
                <w:rPr>
                  <w:rFonts w:ascii="Times New Roman" w:cs="Times New Roman" w:eastAsia="Times New Roman" w:hAnsi="Times New Roman"/>
                  <w:sz w:val="16"/>
                  <w:szCs w:val="16"/>
                  <w:color w:val="0000FF"/>
                  <w:w w:val="95"/>
                </w:rPr>
                <w:t>Other Information</w:t>
              </w:r>
            </w:hyperlink>
          </w:p>
        </w:tc>
        <w:tc>
          <w:tcPr>
            <w:tcW w:w="5920" w:type="dxa"/>
            <w:vAlign w:val="bottom"/>
            <w:gridSpan w:val="19"/>
          </w:tcPr>
          <w:p>
            <w:pPr>
              <w:spacing w:after="0"/>
              <w:rPr>
                <w:sz w:val="24"/>
                <w:szCs w:val="24"/>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51">
              <w:r>
                <w:rPr>
                  <w:rFonts w:ascii="Times New Roman" w:cs="Times New Roman" w:eastAsia="Times New Roman" w:hAnsi="Times New Roman"/>
                  <w:sz w:val="16"/>
                  <w:szCs w:val="16"/>
                  <w:color w:val="0000FF"/>
                  <w:w w:val="74"/>
                </w:rPr>
                <w:t>58</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51">
              <w:r>
                <w:rPr>
                  <w:rFonts w:ascii="Times New Roman" w:cs="Times New Roman" w:eastAsia="Times New Roman" w:hAnsi="Times New Roman"/>
                  <w:sz w:val="16"/>
                  <w:szCs w:val="16"/>
                  <w:color w:val="0000FF"/>
                </w:rPr>
                <w:t>Disclosure Regarding Foreign Jurisdictions that Prevent Inspections</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51">
              <w:r>
                <w:rPr>
                  <w:rFonts w:ascii="Times New Roman" w:cs="Times New Roman" w:eastAsia="Times New Roman" w:hAnsi="Times New Roman"/>
                  <w:sz w:val="16"/>
                  <w:szCs w:val="16"/>
                  <w:color w:val="0000FF"/>
                  <w:w w:val="74"/>
                </w:rPr>
                <w:t>58</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00" w:type="dxa"/>
            <w:vAlign w:val="bottom"/>
          </w:tcPr>
          <w:p>
            <w:pPr>
              <w:spacing w:after="0"/>
              <w:rPr>
                <w:rFonts w:ascii="Times New Roman" w:cs="Times New Roman" w:eastAsia="Times New Roman" w:hAnsi="Times New Roman"/>
                <w:sz w:val="16"/>
                <w:szCs w:val="16"/>
                <w:b w:val="1"/>
                <w:bCs w:val="1"/>
                <w:color w:val="auto"/>
              </w:rPr>
            </w:pPr>
            <w:hyperlink w:anchor="page31">
              <w:r>
                <w:rPr>
                  <w:rFonts w:ascii="Times New Roman" w:cs="Times New Roman" w:eastAsia="Times New Roman" w:hAnsi="Times New Roman"/>
                  <w:sz w:val="16"/>
                  <w:szCs w:val="16"/>
                  <w:b w:val="1"/>
                  <w:bCs w:val="1"/>
                  <w:color w:val="auto"/>
                </w:rPr>
                <w:t>Part III.</w:t>
              </w:r>
            </w:hyperlink>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356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7"/>
              </w:rPr>
            </w:pPr>
            <w:hyperlink w:anchor="page51">
              <w:r>
                <w:rPr>
                  <w:rFonts w:ascii="Times New Roman" w:cs="Times New Roman" w:eastAsia="Times New Roman" w:hAnsi="Times New Roman"/>
                  <w:sz w:val="16"/>
                  <w:szCs w:val="16"/>
                  <w:color w:val="0000FF"/>
                  <w:w w:val="97"/>
                </w:rPr>
                <w:t>Directors, Executive Officers and Corporate Governance</w:t>
              </w:r>
            </w:hyperlink>
          </w:p>
        </w:tc>
        <w:tc>
          <w:tcPr>
            <w:tcW w:w="3500" w:type="dxa"/>
            <w:vAlign w:val="bottom"/>
            <w:gridSpan w:val="8"/>
          </w:tcPr>
          <w:p>
            <w:pPr>
              <w:spacing w:after="0"/>
              <w:rPr>
                <w:sz w:val="22"/>
                <w:szCs w:val="22"/>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51">
              <w:r>
                <w:rPr>
                  <w:rFonts w:ascii="Times New Roman" w:cs="Times New Roman" w:eastAsia="Times New Roman" w:hAnsi="Times New Roman"/>
                  <w:sz w:val="16"/>
                  <w:szCs w:val="16"/>
                  <w:color w:val="0000FF"/>
                  <w:w w:val="74"/>
                </w:rPr>
                <w:t>58</w:t>
              </w:r>
            </w:hyperlink>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Executive Compensation</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52">
              <w:r>
                <w:rPr>
                  <w:rFonts w:ascii="Times New Roman" w:cs="Times New Roman" w:eastAsia="Times New Roman" w:hAnsi="Times New Roman"/>
                  <w:sz w:val="16"/>
                  <w:szCs w:val="16"/>
                  <w:color w:val="0000FF"/>
                  <w:w w:val="74"/>
                </w:rPr>
                <w:t>58</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340" w:type="dxa"/>
            <w:vAlign w:val="bottom"/>
            <w:gridSpan w:val="9"/>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632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w w:val="97"/>
              </w:rPr>
            </w:pPr>
            <w:hyperlink w:anchor="page51">
              <w:r>
                <w:rPr>
                  <w:rFonts w:ascii="Times New Roman" w:cs="Times New Roman" w:eastAsia="Times New Roman" w:hAnsi="Times New Roman"/>
                  <w:sz w:val="16"/>
                  <w:szCs w:val="16"/>
                  <w:color w:val="0000FF"/>
                  <w:w w:val="97"/>
                </w:rPr>
                <w:t>Security Ownership of Certain Beneficial Owners and Management and Related Stockholder Matters</w:t>
              </w:r>
            </w:hyperlink>
          </w:p>
        </w:tc>
        <w:tc>
          <w:tcPr>
            <w:tcW w:w="740" w:type="dxa"/>
            <w:vAlign w:val="bottom"/>
            <w:gridSpan w:val="2"/>
          </w:tcPr>
          <w:p>
            <w:pPr>
              <w:spacing w:after="0"/>
              <w:rPr>
                <w:sz w:val="24"/>
                <w:szCs w:val="24"/>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51">
              <w:r>
                <w:rPr>
                  <w:rFonts w:ascii="Times New Roman" w:cs="Times New Roman" w:eastAsia="Times New Roman" w:hAnsi="Times New Roman"/>
                  <w:sz w:val="16"/>
                  <w:szCs w:val="16"/>
                  <w:color w:val="0000FF"/>
                  <w:w w:val="74"/>
                </w:rPr>
                <w:t>58</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Certain Relationships and Related Transactions, and Director Independence</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52">
              <w:r>
                <w:rPr>
                  <w:rFonts w:ascii="Times New Roman" w:cs="Times New Roman" w:eastAsia="Times New Roman" w:hAnsi="Times New Roman"/>
                  <w:sz w:val="16"/>
                  <w:szCs w:val="16"/>
                  <w:color w:val="0000FF"/>
                  <w:w w:val="74"/>
                </w:rPr>
                <w:t>59</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4720" w:type="dxa"/>
            <w:vAlign w:val="bottom"/>
            <w:tcBorders>
              <w:top w:val="single" w:sz="8" w:color="0000FF"/>
            </w:tcBorders>
            <w:gridSpan w:val="21"/>
          </w:tcPr>
          <w:p>
            <w:pPr>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Principal Accountant Fees and Services</w:t>
              </w:r>
            </w:hyperlink>
          </w:p>
        </w:tc>
        <w:tc>
          <w:tcPr>
            <w:tcW w:w="2340" w:type="dxa"/>
            <w:vAlign w:val="bottom"/>
            <w:gridSpan w:val="5"/>
          </w:tcPr>
          <w:p>
            <w:pPr>
              <w:spacing w:after="0"/>
              <w:rPr>
                <w:sz w:val="24"/>
                <w:szCs w:val="24"/>
                <w:color w:val="auto"/>
              </w:rPr>
            </w:pPr>
          </w:p>
        </w:tc>
        <w:tc>
          <w:tcPr>
            <w:tcW w:w="160" w:type="dxa"/>
            <w:vAlign w:val="bottom"/>
            <w:tcBorders>
              <w:top w:val="single" w:sz="8" w:color="0000FF"/>
            </w:tcBorders>
          </w:tcPr>
          <w:p>
            <w:pPr>
              <w:spacing w:after="0"/>
              <w:rPr>
                <w:rFonts w:ascii="Times New Roman" w:cs="Times New Roman" w:eastAsia="Times New Roman" w:hAnsi="Times New Roman"/>
                <w:sz w:val="16"/>
                <w:szCs w:val="16"/>
                <w:color w:val="0000FF"/>
                <w:w w:val="74"/>
              </w:rPr>
            </w:pPr>
            <w:hyperlink w:anchor="page52">
              <w:r>
                <w:rPr>
                  <w:rFonts w:ascii="Times New Roman" w:cs="Times New Roman" w:eastAsia="Times New Roman" w:hAnsi="Times New Roman"/>
                  <w:sz w:val="16"/>
                  <w:szCs w:val="16"/>
                  <w:color w:val="0000FF"/>
                  <w:w w:val="74"/>
                </w:rPr>
                <w:t>59</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00" w:type="dxa"/>
            <w:vAlign w:val="bottom"/>
          </w:tcPr>
          <w:p>
            <w:pPr>
              <w:spacing w:after="0"/>
              <w:rPr>
                <w:rFonts w:ascii="Times New Roman" w:cs="Times New Roman" w:eastAsia="Times New Roman" w:hAnsi="Times New Roman"/>
                <w:sz w:val="16"/>
                <w:szCs w:val="16"/>
                <w:b w:val="1"/>
                <w:bCs w:val="1"/>
                <w:color w:val="auto"/>
              </w:rPr>
            </w:pPr>
            <w:hyperlink w:anchor="page31">
              <w:r>
                <w:rPr>
                  <w:rFonts w:ascii="Times New Roman" w:cs="Times New Roman" w:eastAsia="Times New Roman" w:hAnsi="Times New Roman"/>
                  <w:sz w:val="16"/>
                  <w:szCs w:val="16"/>
                  <w:b w:val="1"/>
                  <w:bCs w:val="1"/>
                  <w:color w:val="auto"/>
                </w:rPr>
                <w:t>Part IV.</w:t>
              </w:r>
            </w:hyperlink>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274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6"/>
              </w:rPr>
            </w:pPr>
            <w:hyperlink w:anchor="page52">
              <w:r>
                <w:rPr>
                  <w:rFonts w:ascii="Times New Roman" w:cs="Times New Roman" w:eastAsia="Times New Roman" w:hAnsi="Times New Roman"/>
                  <w:sz w:val="16"/>
                  <w:szCs w:val="16"/>
                  <w:color w:val="0000FF"/>
                  <w:w w:val="96"/>
                </w:rPr>
                <w:t>Exhibits and Financial Statement Schedules</w:t>
              </w:r>
            </w:hyperlink>
          </w:p>
        </w:tc>
        <w:tc>
          <w:tcPr>
            <w:tcW w:w="4320" w:type="dxa"/>
            <w:vAlign w:val="bottom"/>
            <w:gridSpan w:val="10"/>
          </w:tcPr>
          <w:p>
            <w:pPr>
              <w:spacing w:after="0"/>
              <w:rPr>
                <w:sz w:val="21"/>
                <w:szCs w:val="21"/>
                <w:color w:val="auto"/>
              </w:rPr>
            </w:pPr>
          </w:p>
        </w:tc>
        <w:tc>
          <w:tcPr>
            <w:tcW w:w="16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52">
              <w:r>
                <w:rPr>
                  <w:rFonts w:ascii="Times New Roman" w:cs="Times New Roman" w:eastAsia="Times New Roman" w:hAnsi="Times New Roman"/>
                  <w:sz w:val="16"/>
                  <w:szCs w:val="16"/>
                  <w:color w:val="0000FF"/>
                  <w:w w:val="74"/>
                </w:rPr>
                <w:t>59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7060" w:type="dxa"/>
            <w:vAlign w:val="bottom"/>
            <w:gridSpan w:val="26"/>
          </w:tcPr>
          <w:p>
            <w:pPr>
              <w:spacing w:after="0"/>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Form 10-K Summary</w:t>
              </w:r>
            </w:hyperlink>
          </w:p>
        </w:tc>
        <w:tc>
          <w:tcPr>
            <w:tcW w:w="160" w:type="dxa"/>
            <w:vAlign w:val="bottom"/>
          </w:tcPr>
          <w:p>
            <w:pPr>
              <w:spacing w:after="0"/>
              <w:rPr>
                <w:rFonts w:ascii="Times New Roman" w:cs="Times New Roman" w:eastAsia="Times New Roman" w:hAnsi="Times New Roman"/>
                <w:sz w:val="16"/>
                <w:szCs w:val="16"/>
                <w:color w:val="0000FF"/>
                <w:w w:val="74"/>
              </w:rPr>
            </w:pPr>
            <w:hyperlink w:anchor="page56">
              <w:r>
                <w:rPr>
                  <w:rFonts w:ascii="Times New Roman" w:cs="Times New Roman" w:eastAsia="Times New Roman" w:hAnsi="Times New Roman"/>
                  <w:sz w:val="16"/>
                  <w:szCs w:val="16"/>
                  <w:color w:val="0000FF"/>
                  <w:w w:val="74"/>
                </w:rPr>
                <w:t>63</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About this Form 10-K</w:t>
      </w:r>
    </w:p>
    <w:p>
      <w:pPr>
        <w:spacing w:after="0" w:line="204" w:lineRule="auto"/>
        <w:rPr>
          <w:sz w:val="20"/>
          <w:szCs w:val="20"/>
          <w:color w:val="auto"/>
        </w:rPr>
      </w:pPr>
      <w:r>
        <w:rPr>
          <w:rFonts w:ascii="Times New Roman" w:cs="Times New Roman" w:eastAsia="Times New Roman" w:hAnsi="Times New Roman"/>
          <w:sz w:val="16"/>
          <w:szCs w:val="16"/>
          <w:color w:val="auto"/>
        </w:rPr>
        <w:t>Throughout this Form 10-K, unless otherwise specified:</w:t>
      </w:r>
    </w:p>
    <w:p>
      <w:pPr>
        <w:spacing w:after="0" w:line="203" w:lineRule="auto"/>
        <w:rPr>
          <w:sz w:val="20"/>
          <w:szCs w:val="20"/>
          <w:color w:val="auto"/>
        </w:rPr>
      </w:pPr>
      <w:r>
        <w:rPr>
          <w:rFonts w:ascii="Times New Roman" w:cs="Times New Roman" w:eastAsia="Times New Roman" w:hAnsi="Times New Roman"/>
          <w:sz w:val="16"/>
          <w:szCs w:val="16"/>
          <w:color w:val="auto"/>
        </w:rPr>
        <w:t>•“Nasdaq,” “we,” “us” and “our” refer to Nasdaq, Inc.</w:t>
      </w:r>
    </w:p>
    <w:p>
      <w:pPr>
        <w:spacing w:after="0" w:line="204" w:lineRule="auto"/>
        <w:rPr>
          <w:sz w:val="20"/>
          <w:szCs w:val="20"/>
          <w:color w:val="auto"/>
        </w:rPr>
      </w:pPr>
      <w:r>
        <w:rPr>
          <w:rFonts w:ascii="Times New Roman" w:cs="Times New Roman" w:eastAsia="Times New Roman" w:hAnsi="Times New Roman"/>
          <w:sz w:val="16"/>
          <w:szCs w:val="16"/>
          <w:color w:val="auto"/>
        </w:rPr>
        <w:t>•“Nasdaq Baltic” refers to collectively, Nasdaq Tallinn</w:t>
      </w:r>
    </w:p>
    <w:p>
      <w:pPr>
        <w:spacing w:after="0" w:line="203" w:lineRule="auto"/>
        <w:rPr>
          <w:sz w:val="20"/>
          <w:szCs w:val="20"/>
          <w:color w:val="auto"/>
        </w:rPr>
      </w:pPr>
      <w:r>
        <w:rPr>
          <w:rFonts w:ascii="Times New Roman" w:cs="Times New Roman" w:eastAsia="Times New Roman" w:hAnsi="Times New Roman"/>
          <w:sz w:val="16"/>
          <w:szCs w:val="16"/>
          <w:color w:val="auto"/>
        </w:rPr>
        <w:t>AS, Nasdaq Riga, AS, and AB Nasdaq Vilnius.</w:t>
      </w:r>
    </w:p>
    <w:p>
      <w:pPr>
        <w:spacing w:after="0" w:line="204" w:lineRule="auto"/>
        <w:rPr>
          <w:sz w:val="20"/>
          <w:szCs w:val="20"/>
          <w:color w:val="auto"/>
        </w:rPr>
      </w:pPr>
      <w:r>
        <w:rPr>
          <w:rFonts w:ascii="Times New Roman" w:cs="Times New Roman" w:eastAsia="Times New Roman" w:hAnsi="Times New Roman"/>
          <w:sz w:val="16"/>
          <w:szCs w:val="16"/>
          <w:color w:val="auto"/>
        </w:rPr>
        <w:t>•“Nasdaq BX” refers to the cash equity exchange</w:t>
      </w:r>
    </w:p>
    <w:p>
      <w:pPr>
        <w:spacing w:after="0" w:line="203" w:lineRule="auto"/>
        <w:rPr>
          <w:sz w:val="20"/>
          <w:szCs w:val="20"/>
          <w:color w:val="auto"/>
        </w:rPr>
      </w:pPr>
      <w:r>
        <w:rPr>
          <w:rFonts w:ascii="Times New Roman" w:cs="Times New Roman" w:eastAsia="Times New Roman" w:hAnsi="Times New Roman"/>
          <w:sz w:val="16"/>
          <w:szCs w:val="16"/>
          <w:color w:val="auto"/>
        </w:rPr>
        <w:t>operated by Nasdaq BX, Inc.</w:t>
      </w:r>
    </w:p>
    <w:p>
      <w:pPr>
        <w:spacing w:after="0" w:line="204" w:lineRule="auto"/>
        <w:rPr>
          <w:sz w:val="20"/>
          <w:szCs w:val="20"/>
          <w:color w:val="auto"/>
        </w:rPr>
      </w:pPr>
      <w:r>
        <w:rPr>
          <w:rFonts w:ascii="Times New Roman" w:cs="Times New Roman" w:eastAsia="Times New Roman" w:hAnsi="Times New Roman"/>
          <w:sz w:val="16"/>
          <w:szCs w:val="16"/>
          <w:color w:val="auto"/>
        </w:rPr>
        <w:t>•“Nasdaq BX Options” refers to the options exchange</w:t>
      </w:r>
    </w:p>
    <w:p>
      <w:pPr>
        <w:spacing w:after="0" w:line="203" w:lineRule="auto"/>
        <w:rPr>
          <w:sz w:val="20"/>
          <w:szCs w:val="20"/>
          <w:color w:val="auto"/>
        </w:rPr>
      </w:pPr>
      <w:r>
        <w:rPr>
          <w:rFonts w:ascii="Times New Roman" w:cs="Times New Roman" w:eastAsia="Times New Roman" w:hAnsi="Times New Roman"/>
          <w:sz w:val="16"/>
          <w:szCs w:val="16"/>
          <w:color w:val="auto"/>
        </w:rPr>
        <w:t>operated by Nasdaq BX, Inc.</w:t>
      </w:r>
    </w:p>
    <w:p>
      <w:pPr>
        <w:spacing w:after="0" w:line="204" w:lineRule="auto"/>
        <w:rPr>
          <w:sz w:val="20"/>
          <w:szCs w:val="20"/>
          <w:color w:val="auto"/>
        </w:rPr>
      </w:pPr>
      <w:r>
        <w:rPr>
          <w:rFonts w:ascii="Times New Roman" w:cs="Times New Roman" w:eastAsia="Times New Roman" w:hAnsi="Times New Roman"/>
          <w:sz w:val="16"/>
          <w:szCs w:val="16"/>
          <w:color w:val="auto"/>
        </w:rPr>
        <w:t>•“Nasdaq Clearing” refers to the clearing operations</w:t>
      </w:r>
    </w:p>
    <w:p>
      <w:pPr>
        <w:spacing w:after="0" w:line="204" w:lineRule="auto"/>
        <w:rPr>
          <w:sz w:val="20"/>
          <w:szCs w:val="20"/>
          <w:color w:val="auto"/>
        </w:rPr>
      </w:pPr>
      <w:r>
        <w:rPr>
          <w:rFonts w:ascii="Times New Roman" w:cs="Times New Roman" w:eastAsia="Times New Roman" w:hAnsi="Times New Roman"/>
          <w:sz w:val="16"/>
          <w:szCs w:val="16"/>
          <w:color w:val="auto"/>
        </w:rPr>
        <w:t>conducted by Nasdaq Clearing AB.</w:t>
      </w:r>
    </w:p>
    <w:p>
      <w:pPr>
        <w:spacing w:after="0" w:line="203" w:lineRule="auto"/>
        <w:rPr>
          <w:sz w:val="20"/>
          <w:szCs w:val="20"/>
          <w:color w:val="auto"/>
        </w:rPr>
      </w:pPr>
      <w:r>
        <w:rPr>
          <w:rFonts w:ascii="Times New Roman" w:cs="Times New Roman" w:eastAsia="Times New Roman" w:hAnsi="Times New Roman"/>
          <w:sz w:val="16"/>
          <w:szCs w:val="16"/>
          <w:color w:val="auto"/>
        </w:rPr>
        <w:t>•“Nasdaq CXC” and “Nasdaq CX2” refer to the Canadian</w:t>
      </w:r>
    </w:p>
    <w:p>
      <w:pPr>
        <w:spacing w:after="0" w:line="204" w:lineRule="auto"/>
        <w:rPr>
          <w:sz w:val="20"/>
          <w:szCs w:val="20"/>
          <w:color w:val="auto"/>
        </w:rPr>
      </w:pPr>
      <w:r>
        <w:rPr>
          <w:rFonts w:ascii="Times New Roman" w:cs="Times New Roman" w:eastAsia="Times New Roman" w:hAnsi="Times New Roman"/>
          <w:sz w:val="16"/>
          <w:szCs w:val="16"/>
          <w:color w:val="auto"/>
        </w:rPr>
        <w:t>cash equity trading books operated by Nasdaq CXC</w:t>
      </w:r>
    </w:p>
    <w:p>
      <w:pPr>
        <w:spacing w:after="0" w:line="203" w:lineRule="auto"/>
        <w:rPr>
          <w:sz w:val="20"/>
          <w:szCs w:val="20"/>
          <w:color w:val="auto"/>
        </w:rPr>
      </w:pPr>
      <w:r>
        <w:rPr>
          <w:rFonts w:ascii="Times New Roman" w:cs="Times New Roman" w:eastAsia="Times New Roman" w:hAnsi="Times New Roman"/>
          <w:sz w:val="16"/>
          <w:szCs w:val="16"/>
          <w:color w:val="auto"/>
        </w:rPr>
        <w:t>Limited.</w:t>
      </w:r>
    </w:p>
    <w:p>
      <w:pPr>
        <w:spacing w:after="0" w:line="204" w:lineRule="auto"/>
        <w:rPr>
          <w:sz w:val="20"/>
          <w:szCs w:val="20"/>
          <w:color w:val="auto"/>
        </w:rPr>
      </w:pPr>
      <w:r>
        <w:rPr>
          <w:rFonts w:ascii="Times New Roman" w:cs="Times New Roman" w:eastAsia="Times New Roman" w:hAnsi="Times New Roman"/>
          <w:sz w:val="16"/>
          <w:szCs w:val="16"/>
          <w:color w:val="auto"/>
        </w:rPr>
        <w:t>•“Nasdaq First North” refers to our alternative</w:t>
      </w:r>
    </w:p>
    <w:p>
      <w:pPr>
        <w:spacing w:after="0" w:line="203" w:lineRule="auto"/>
        <w:rPr>
          <w:sz w:val="20"/>
          <w:szCs w:val="20"/>
          <w:color w:val="auto"/>
        </w:rPr>
      </w:pPr>
      <w:r>
        <w:rPr>
          <w:rFonts w:ascii="Times New Roman" w:cs="Times New Roman" w:eastAsia="Times New Roman" w:hAnsi="Times New Roman"/>
          <w:sz w:val="16"/>
          <w:szCs w:val="16"/>
          <w:color w:val="auto"/>
        </w:rPr>
        <w:t>marketplaces for smaller companies and growth</w:t>
      </w:r>
    </w:p>
    <w:p>
      <w:pPr>
        <w:spacing w:after="0" w:line="204" w:lineRule="auto"/>
        <w:rPr>
          <w:sz w:val="20"/>
          <w:szCs w:val="20"/>
          <w:color w:val="auto"/>
        </w:rPr>
      </w:pPr>
      <w:r>
        <w:rPr>
          <w:rFonts w:ascii="Times New Roman" w:cs="Times New Roman" w:eastAsia="Times New Roman" w:hAnsi="Times New Roman"/>
          <w:sz w:val="16"/>
          <w:szCs w:val="16"/>
          <w:color w:val="auto"/>
        </w:rPr>
        <w:t>companies in the Nordic and Baltic regions.</w:t>
      </w:r>
    </w:p>
    <w:p>
      <w:pPr>
        <w:spacing w:after="0" w:line="203" w:lineRule="auto"/>
        <w:rPr>
          <w:sz w:val="20"/>
          <w:szCs w:val="20"/>
          <w:color w:val="auto"/>
        </w:rPr>
      </w:pPr>
      <w:r>
        <w:rPr>
          <w:rFonts w:ascii="Times New Roman" w:cs="Times New Roman" w:eastAsia="Times New Roman" w:hAnsi="Times New Roman"/>
          <w:sz w:val="16"/>
          <w:szCs w:val="16"/>
          <w:color w:val="auto"/>
        </w:rPr>
        <w:t>•“Nasdaq GEMX” refers to the options exchange</w:t>
      </w:r>
    </w:p>
    <w:p>
      <w:pPr>
        <w:spacing w:after="0" w:line="204" w:lineRule="auto"/>
        <w:rPr>
          <w:sz w:val="20"/>
          <w:szCs w:val="20"/>
          <w:color w:val="auto"/>
        </w:rPr>
      </w:pPr>
      <w:r>
        <w:rPr>
          <w:rFonts w:ascii="Times New Roman" w:cs="Times New Roman" w:eastAsia="Times New Roman" w:hAnsi="Times New Roman"/>
          <w:sz w:val="16"/>
          <w:szCs w:val="16"/>
          <w:color w:val="auto"/>
        </w:rPr>
        <w:t>operated by Nasdaq GEMX, LLC.</w:t>
      </w:r>
    </w:p>
    <w:p>
      <w:pPr>
        <w:spacing w:after="0" w:line="204" w:lineRule="auto"/>
        <w:rPr>
          <w:sz w:val="20"/>
          <w:szCs w:val="20"/>
          <w:color w:val="auto"/>
        </w:rPr>
      </w:pPr>
      <w:r>
        <w:rPr>
          <w:rFonts w:ascii="Times New Roman" w:cs="Times New Roman" w:eastAsia="Times New Roman" w:hAnsi="Times New Roman"/>
          <w:sz w:val="16"/>
          <w:szCs w:val="16"/>
          <w:color w:val="auto"/>
        </w:rPr>
        <w:t>•“Nasdaq ISE” refers to the options exchange operated by</w:t>
      </w:r>
    </w:p>
    <w:p>
      <w:pPr>
        <w:spacing w:after="0" w:line="203" w:lineRule="auto"/>
        <w:rPr>
          <w:sz w:val="20"/>
          <w:szCs w:val="20"/>
          <w:color w:val="auto"/>
        </w:rPr>
      </w:pPr>
      <w:r>
        <w:rPr>
          <w:rFonts w:ascii="Times New Roman" w:cs="Times New Roman" w:eastAsia="Times New Roman" w:hAnsi="Times New Roman"/>
          <w:sz w:val="16"/>
          <w:szCs w:val="16"/>
          <w:color w:val="auto"/>
        </w:rPr>
        <w:t>Nasdaq ISE, LLC.</w:t>
      </w:r>
    </w:p>
    <w:p>
      <w:pPr>
        <w:spacing w:after="0" w:line="204" w:lineRule="auto"/>
        <w:rPr>
          <w:sz w:val="20"/>
          <w:szCs w:val="20"/>
          <w:color w:val="auto"/>
        </w:rPr>
      </w:pPr>
      <w:r>
        <w:rPr>
          <w:rFonts w:ascii="Times New Roman" w:cs="Times New Roman" w:eastAsia="Times New Roman" w:hAnsi="Times New Roman"/>
          <w:sz w:val="16"/>
          <w:szCs w:val="16"/>
          <w:color w:val="auto"/>
        </w:rPr>
        <w:t>•“Nasdaq MRX” refers to the options exchange operated</w:t>
      </w:r>
    </w:p>
    <w:p>
      <w:pPr>
        <w:spacing w:after="0" w:line="203" w:lineRule="auto"/>
        <w:rPr>
          <w:sz w:val="20"/>
          <w:szCs w:val="20"/>
          <w:color w:val="auto"/>
        </w:rPr>
      </w:pPr>
      <w:r>
        <w:rPr>
          <w:rFonts w:ascii="Times New Roman" w:cs="Times New Roman" w:eastAsia="Times New Roman" w:hAnsi="Times New Roman"/>
          <w:sz w:val="16"/>
          <w:szCs w:val="16"/>
          <w:color w:val="auto"/>
        </w:rPr>
        <w:t>by Nasdaq MRX, LLC.</w:t>
      </w:r>
    </w:p>
    <w:p>
      <w:pPr>
        <w:spacing w:after="0" w:line="204" w:lineRule="auto"/>
        <w:rPr>
          <w:sz w:val="20"/>
          <w:szCs w:val="20"/>
          <w:color w:val="auto"/>
        </w:rPr>
      </w:pPr>
      <w:r>
        <w:rPr>
          <w:rFonts w:ascii="Times New Roman" w:cs="Times New Roman" w:eastAsia="Times New Roman" w:hAnsi="Times New Roman"/>
          <w:sz w:val="16"/>
          <w:szCs w:val="16"/>
          <w:color w:val="auto"/>
        </w:rPr>
        <w:t>•“Nasdaq Nordic” refers to collectively, Nasdaq Clearing</w:t>
      </w:r>
    </w:p>
    <w:p>
      <w:pPr>
        <w:spacing w:after="0" w:line="203" w:lineRule="auto"/>
        <w:rPr>
          <w:sz w:val="20"/>
          <w:szCs w:val="20"/>
          <w:color w:val="auto"/>
        </w:rPr>
      </w:pPr>
      <w:r>
        <w:rPr>
          <w:rFonts w:ascii="Times New Roman" w:cs="Times New Roman" w:eastAsia="Times New Roman" w:hAnsi="Times New Roman"/>
          <w:sz w:val="16"/>
          <w:szCs w:val="16"/>
          <w:color w:val="auto"/>
        </w:rPr>
        <w:t>AB, Nasdaq Stockholm AB, Nasdaq Copenhagen A/S,</w:t>
      </w:r>
    </w:p>
    <w:p>
      <w:pPr>
        <w:spacing w:after="0" w:line="204" w:lineRule="auto"/>
        <w:rPr>
          <w:sz w:val="20"/>
          <w:szCs w:val="20"/>
          <w:color w:val="auto"/>
        </w:rPr>
      </w:pPr>
      <w:r>
        <w:rPr>
          <w:rFonts w:ascii="Times New Roman" w:cs="Times New Roman" w:eastAsia="Times New Roman" w:hAnsi="Times New Roman"/>
          <w:sz w:val="16"/>
          <w:szCs w:val="16"/>
          <w:color w:val="auto"/>
        </w:rPr>
        <w:t>Nasdaq Helsinki Ltd, and Nasdaq Iceland hf.</w:t>
      </w:r>
    </w:p>
    <w:p>
      <w:pPr>
        <w:spacing w:after="0" w:line="203" w:lineRule="auto"/>
        <w:rPr>
          <w:sz w:val="20"/>
          <w:szCs w:val="20"/>
          <w:color w:val="auto"/>
        </w:rPr>
      </w:pPr>
      <w:r>
        <w:rPr>
          <w:rFonts w:ascii="Times New Roman" w:cs="Times New Roman" w:eastAsia="Times New Roman" w:hAnsi="Times New Roman"/>
          <w:sz w:val="16"/>
          <w:szCs w:val="16"/>
          <w:color w:val="auto"/>
        </w:rPr>
        <w:t>•“Nasdaq PHLX” refers to the options exchange operated</w:t>
      </w:r>
    </w:p>
    <w:p>
      <w:pPr>
        <w:spacing w:after="0" w:line="204" w:lineRule="auto"/>
        <w:rPr>
          <w:sz w:val="20"/>
          <w:szCs w:val="20"/>
          <w:color w:val="auto"/>
        </w:rPr>
      </w:pPr>
      <w:r>
        <w:rPr>
          <w:rFonts w:ascii="Times New Roman" w:cs="Times New Roman" w:eastAsia="Times New Roman" w:hAnsi="Times New Roman"/>
          <w:sz w:val="16"/>
          <w:szCs w:val="16"/>
          <w:color w:val="auto"/>
        </w:rPr>
        <w:t>by Nasdaq PHLX LLC.</w:t>
      </w:r>
    </w:p>
    <w:p>
      <w:pPr>
        <w:spacing w:after="0" w:line="203" w:lineRule="auto"/>
        <w:rPr>
          <w:sz w:val="20"/>
          <w:szCs w:val="20"/>
          <w:color w:val="auto"/>
        </w:rPr>
      </w:pPr>
      <w:r>
        <w:rPr>
          <w:rFonts w:ascii="Times New Roman" w:cs="Times New Roman" w:eastAsia="Times New Roman" w:hAnsi="Times New Roman"/>
          <w:sz w:val="16"/>
          <w:szCs w:val="16"/>
          <w:color w:val="auto"/>
        </w:rPr>
        <w:t>•“Nasdaq PSX” refers to the cash equity exchange</w:t>
      </w:r>
    </w:p>
    <w:p>
      <w:pPr>
        <w:spacing w:after="0" w:line="204" w:lineRule="auto"/>
        <w:rPr>
          <w:sz w:val="20"/>
          <w:szCs w:val="20"/>
          <w:color w:val="auto"/>
        </w:rPr>
      </w:pPr>
      <w:r>
        <w:rPr>
          <w:rFonts w:ascii="Times New Roman" w:cs="Times New Roman" w:eastAsia="Times New Roman" w:hAnsi="Times New Roman"/>
          <w:sz w:val="16"/>
          <w:szCs w:val="16"/>
          <w:color w:val="auto"/>
        </w:rPr>
        <w:t>operated by Nasdaq PHLX LLC.</w:t>
      </w:r>
    </w:p>
    <w:p>
      <w:pPr>
        <w:spacing w:after="0" w:line="204" w:lineRule="auto"/>
        <w:rPr>
          <w:sz w:val="20"/>
          <w:szCs w:val="20"/>
          <w:color w:val="auto"/>
        </w:rPr>
      </w:pPr>
      <w:r>
        <w:rPr>
          <w:rFonts w:ascii="Times New Roman" w:cs="Times New Roman" w:eastAsia="Times New Roman" w:hAnsi="Times New Roman"/>
          <w:sz w:val="16"/>
          <w:szCs w:val="16"/>
          <w:color w:val="auto"/>
        </w:rPr>
        <w:t>•“The Nasdaq Options Market” refers to the options</w:t>
      </w:r>
    </w:p>
    <w:p>
      <w:pPr>
        <w:spacing w:after="0" w:line="203" w:lineRule="auto"/>
        <w:rPr>
          <w:sz w:val="20"/>
          <w:szCs w:val="20"/>
          <w:color w:val="auto"/>
        </w:rPr>
      </w:pPr>
      <w:r>
        <w:rPr>
          <w:rFonts w:ascii="Times New Roman" w:cs="Times New Roman" w:eastAsia="Times New Roman" w:hAnsi="Times New Roman"/>
          <w:sz w:val="16"/>
          <w:szCs w:val="16"/>
          <w:color w:val="auto"/>
        </w:rPr>
        <w:t>exchange operated by The Nasdaq Stock Market LLC.</w:t>
      </w:r>
    </w:p>
    <w:p>
      <w:pPr>
        <w:spacing w:after="0" w:line="204" w:lineRule="auto"/>
        <w:rPr>
          <w:sz w:val="20"/>
          <w:szCs w:val="20"/>
          <w:color w:val="auto"/>
        </w:rPr>
      </w:pPr>
      <w:r>
        <w:rPr>
          <w:rFonts w:ascii="Times New Roman" w:cs="Times New Roman" w:eastAsia="Times New Roman" w:hAnsi="Times New Roman"/>
          <w:sz w:val="16"/>
          <w:szCs w:val="16"/>
          <w:color w:val="auto"/>
        </w:rPr>
        <w:t>•“The Nasdaq Stock Market” refers to the cash equity</w:t>
      </w:r>
    </w:p>
    <w:p>
      <w:pPr>
        <w:spacing w:after="0" w:line="203" w:lineRule="auto"/>
        <w:rPr>
          <w:sz w:val="20"/>
          <w:szCs w:val="20"/>
          <w:color w:val="auto"/>
        </w:rPr>
      </w:pPr>
      <w:r>
        <w:rPr>
          <w:rFonts w:ascii="Times New Roman" w:cs="Times New Roman" w:eastAsia="Times New Roman" w:hAnsi="Times New Roman"/>
          <w:sz w:val="16"/>
          <w:szCs w:val="16"/>
          <w:color w:val="auto"/>
        </w:rPr>
        <w:t>exchange and listing venue operated by The Nasdaq</w:t>
      </w:r>
    </w:p>
    <w:p>
      <w:pPr>
        <w:spacing w:after="0" w:line="204" w:lineRule="auto"/>
        <w:rPr>
          <w:sz w:val="20"/>
          <w:szCs w:val="20"/>
          <w:color w:val="auto"/>
        </w:rPr>
      </w:pPr>
      <w:r>
        <w:rPr>
          <w:rFonts w:ascii="Times New Roman" w:cs="Times New Roman" w:eastAsia="Times New Roman" w:hAnsi="Times New Roman"/>
          <w:sz w:val="16"/>
          <w:szCs w:val="16"/>
          <w:color w:val="auto"/>
        </w:rPr>
        <w:t>Stock Market LLC.</w:t>
      </w:r>
    </w:p>
    <w:p>
      <w:pPr>
        <w:spacing w:after="0"/>
        <w:rPr>
          <w:sz w:val="20"/>
          <w:szCs w:val="20"/>
          <w:color w:val="auto"/>
        </w:rPr>
      </w:pPr>
      <w:r>
        <w:rPr>
          <w:rFonts w:ascii="Times New Roman" w:cs="Times New Roman" w:eastAsia="Times New Roman" w:hAnsi="Times New Roman"/>
          <w:sz w:val="16"/>
          <w:szCs w:val="16"/>
          <w:color w:val="auto"/>
        </w:rPr>
        <w:t>Nasdaq also provides as a tool for the reader the following</w:t>
      </w:r>
    </w:p>
    <w:p>
      <w:pPr>
        <w:sectPr>
          <w:pgSz w:w="11900" w:h="16840" w:orient="portrait"/>
          <w:cols w:equalWidth="0" w:num="1">
            <w:col w:w="9400"/>
          </w:cols>
          <w:pgMar w:left="1060" w:top="580" w:right="1440" w:bottom="2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t>list of abbreviations and acronyms that are used throughout</w:t>
      </w:r>
    </w:p>
    <w:p>
      <w:pPr>
        <w:spacing w:after="0" w:line="203" w:lineRule="auto"/>
        <w:rPr>
          <w:sz w:val="20"/>
          <w:szCs w:val="20"/>
          <w:color w:val="auto"/>
        </w:rPr>
      </w:pPr>
      <w:r>
        <w:rPr>
          <w:rFonts w:ascii="Times New Roman" w:cs="Times New Roman" w:eastAsia="Times New Roman" w:hAnsi="Times New Roman"/>
          <w:sz w:val="16"/>
          <w:szCs w:val="16"/>
          <w:color w:val="auto"/>
        </w:rPr>
        <w:t>this Annual Report on Form 10-K.</w:t>
      </w:r>
    </w:p>
    <w:p>
      <w:pPr>
        <w:spacing w:after="0" w:line="204" w:lineRule="auto"/>
        <w:rPr>
          <w:sz w:val="20"/>
          <w:szCs w:val="20"/>
          <w:color w:val="auto"/>
        </w:rPr>
      </w:pPr>
      <w:r>
        <w:rPr>
          <w:rFonts w:ascii="Times New Roman" w:cs="Times New Roman" w:eastAsia="Times New Roman" w:hAnsi="Times New Roman"/>
          <w:sz w:val="16"/>
          <w:szCs w:val="16"/>
          <w:color w:val="auto"/>
        </w:rPr>
        <w:t>2022 Revolving Credit Facility: $1.25 billion senior</w:t>
      </w:r>
    </w:p>
    <w:p>
      <w:pPr>
        <w:spacing w:after="0" w:line="203" w:lineRule="auto"/>
        <w:rPr>
          <w:sz w:val="20"/>
          <w:szCs w:val="20"/>
          <w:color w:val="auto"/>
        </w:rPr>
      </w:pPr>
      <w:r>
        <w:rPr>
          <w:rFonts w:ascii="Times New Roman" w:cs="Times New Roman" w:eastAsia="Times New Roman" w:hAnsi="Times New Roman"/>
          <w:sz w:val="16"/>
          <w:szCs w:val="16"/>
          <w:color w:val="auto"/>
        </w:rPr>
        <w:t>unsecured revolving credit facility, which matures on</w:t>
      </w:r>
    </w:p>
    <w:p>
      <w:pPr>
        <w:spacing w:after="0" w:line="204" w:lineRule="auto"/>
        <w:rPr>
          <w:sz w:val="20"/>
          <w:szCs w:val="20"/>
          <w:color w:val="auto"/>
        </w:rPr>
      </w:pPr>
      <w:r>
        <w:rPr>
          <w:rFonts w:ascii="Times New Roman" w:cs="Times New Roman" w:eastAsia="Times New Roman" w:hAnsi="Times New Roman"/>
          <w:sz w:val="16"/>
          <w:szCs w:val="16"/>
          <w:color w:val="auto"/>
        </w:rPr>
        <w:t>December 16, 2027</w:t>
      </w:r>
    </w:p>
    <w:p>
      <w:pPr>
        <w:spacing w:after="0" w:line="203" w:lineRule="auto"/>
        <w:rPr>
          <w:sz w:val="20"/>
          <w:szCs w:val="20"/>
          <w:color w:val="auto"/>
        </w:rPr>
      </w:pPr>
      <w:r>
        <w:rPr>
          <w:rFonts w:ascii="Times New Roman" w:cs="Times New Roman" w:eastAsia="Times New Roman" w:hAnsi="Times New Roman"/>
          <w:sz w:val="16"/>
          <w:szCs w:val="16"/>
          <w:color w:val="auto"/>
        </w:rPr>
        <w:t>2025 Notes: $500 million aggregate principal amount of</w:t>
      </w:r>
    </w:p>
    <w:p>
      <w:pPr>
        <w:spacing w:after="0" w:line="204" w:lineRule="auto"/>
        <w:rPr>
          <w:sz w:val="20"/>
          <w:szCs w:val="20"/>
          <w:color w:val="auto"/>
        </w:rPr>
      </w:pPr>
      <w:r>
        <w:rPr>
          <w:rFonts w:ascii="Times New Roman" w:cs="Times New Roman" w:eastAsia="Times New Roman" w:hAnsi="Times New Roman"/>
          <w:sz w:val="16"/>
          <w:szCs w:val="16"/>
          <w:color w:val="auto"/>
        </w:rPr>
        <w:t>5.650% senior unsecured notes paid at maturity on June 28,</w:t>
      </w:r>
    </w:p>
    <w:p>
      <w:pPr>
        <w:spacing w:after="0" w:line="203" w:lineRule="auto"/>
        <w:rPr>
          <w:sz w:val="20"/>
          <w:szCs w:val="20"/>
          <w:color w:val="auto"/>
        </w:rPr>
      </w:pPr>
      <w:r>
        <w:rPr>
          <w:rFonts w:ascii="Times New Roman" w:cs="Times New Roman" w:eastAsia="Times New Roman" w:hAnsi="Times New Roman"/>
          <w:sz w:val="16"/>
          <w:szCs w:val="16"/>
          <w:color w:val="auto"/>
        </w:rPr>
        <w:t>2025</w:t>
      </w:r>
    </w:p>
    <w:p>
      <w:pPr>
        <w:spacing w:after="0" w:line="204" w:lineRule="auto"/>
        <w:rPr>
          <w:sz w:val="20"/>
          <w:szCs w:val="20"/>
          <w:color w:val="auto"/>
        </w:rPr>
      </w:pPr>
      <w:r>
        <w:rPr>
          <w:rFonts w:ascii="Times New Roman" w:cs="Times New Roman" w:eastAsia="Times New Roman" w:hAnsi="Times New Roman"/>
          <w:sz w:val="16"/>
          <w:szCs w:val="16"/>
          <w:color w:val="auto"/>
        </w:rPr>
        <w:t>2026 Notes: $500 million aggregate principal amount of</w:t>
      </w:r>
    </w:p>
    <w:p>
      <w:pPr>
        <w:spacing w:after="0" w:line="203" w:lineRule="auto"/>
        <w:rPr>
          <w:sz w:val="20"/>
          <w:szCs w:val="20"/>
          <w:color w:val="auto"/>
        </w:rPr>
      </w:pPr>
      <w:r>
        <w:rPr>
          <w:rFonts w:ascii="Times New Roman" w:cs="Times New Roman" w:eastAsia="Times New Roman" w:hAnsi="Times New Roman"/>
          <w:sz w:val="16"/>
          <w:szCs w:val="16"/>
          <w:color w:val="auto"/>
        </w:rPr>
        <w:t>3.85% senior unsecured notes due June 30, 2026</w:t>
      </w:r>
    </w:p>
    <w:p>
      <w:pPr>
        <w:spacing w:after="0" w:line="233" w:lineRule="auto"/>
        <w:rPr>
          <w:sz w:val="20"/>
          <w:szCs w:val="20"/>
          <w:color w:val="auto"/>
        </w:rPr>
      </w:pPr>
      <w:r>
        <w:rPr>
          <w:rFonts w:ascii="Times New Roman" w:cs="Times New Roman" w:eastAsia="Times New Roman" w:hAnsi="Times New Roman"/>
          <w:sz w:val="14"/>
          <w:szCs w:val="14"/>
          <w:color w:val="auto"/>
        </w:rPr>
        <w:t>2028 Notes: $1 billion aggregate principal amount of 5.350%</w:t>
      </w:r>
    </w:p>
    <w:p>
      <w:pPr>
        <w:spacing w:after="0" w:line="204" w:lineRule="auto"/>
        <w:rPr>
          <w:sz w:val="20"/>
          <w:szCs w:val="20"/>
          <w:color w:val="auto"/>
        </w:rPr>
      </w:pPr>
      <w:r>
        <w:rPr>
          <w:rFonts w:ascii="Times New Roman" w:cs="Times New Roman" w:eastAsia="Times New Roman" w:hAnsi="Times New Roman"/>
          <w:sz w:val="16"/>
          <w:szCs w:val="16"/>
          <w:color w:val="auto"/>
        </w:rPr>
        <w:t>senior unsecured notes due June 28, 2028</w:t>
      </w:r>
    </w:p>
    <w:p>
      <w:pPr>
        <w:spacing w:after="0" w:line="203" w:lineRule="auto"/>
        <w:rPr>
          <w:sz w:val="20"/>
          <w:szCs w:val="20"/>
          <w:color w:val="auto"/>
        </w:rPr>
      </w:pPr>
      <w:r>
        <w:rPr>
          <w:rFonts w:ascii="Times New Roman" w:cs="Times New Roman" w:eastAsia="Times New Roman" w:hAnsi="Times New Roman"/>
          <w:sz w:val="16"/>
          <w:szCs w:val="16"/>
          <w:color w:val="auto"/>
        </w:rPr>
        <w:t>2029 Notes: €600 million aggregate principal amount of</w:t>
      </w:r>
    </w:p>
    <w:p>
      <w:pPr>
        <w:spacing w:after="0" w:line="204" w:lineRule="auto"/>
        <w:rPr>
          <w:sz w:val="20"/>
          <w:szCs w:val="20"/>
          <w:color w:val="auto"/>
        </w:rPr>
      </w:pPr>
      <w:r>
        <w:rPr>
          <w:rFonts w:ascii="Times New Roman" w:cs="Times New Roman" w:eastAsia="Times New Roman" w:hAnsi="Times New Roman"/>
          <w:sz w:val="16"/>
          <w:szCs w:val="16"/>
          <w:color w:val="auto"/>
        </w:rPr>
        <w:t>1.75% senior unsecured notes due March 28, 2029</w:t>
      </w:r>
    </w:p>
    <w:p>
      <w:pPr>
        <w:spacing w:after="0" w:line="203" w:lineRule="auto"/>
        <w:rPr>
          <w:sz w:val="20"/>
          <w:szCs w:val="20"/>
          <w:color w:val="auto"/>
        </w:rPr>
      </w:pPr>
      <w:r>
        <w:rPr>
          <w:rFonts w:ascii="Times New Roman" w:cs="Times New Roman" w:eastAsia="Times New Roman" w:hAnsi="Times New Roman"/>
          <w:sz w:val="16"/>
          <w:szCs w:val="16"/>
          <w:color w:val="auto"/>
        </w:rPr>
        <w:t>2030 Notes: €600 million aggregate principal amount of</w:t>
      </w:r>
    </w:p>
    <w:p>
      <w:pPr>
        <w:spacing w:after="0" w:line="204" w:lineRule="auto"/>
        <w:rPr>
          <w:sz w:val="20"/>
          <w:szCs w:val="20"/>
          <w:color w:val="auto"/>
        </w:rPr>
      </w:pPr>
      <w:r>
        <w:rPr>
          <w:rFonts w:ascii="Times New Roman" w:cs="Times New Roman" w:eastAsia="Times New Roman" w:hAnsi="Times New Roman"/>
          <w:sz w:val="16"/>
          <w:szCs w:val="16"/>
          <w:color w:val="auto"/>
        </w:rPr>
        <w:t>0.875% senior unsecured notes due February 13, 2030</w:t>
      </w:r>
    </w:p>
    <w:p>
      <w:pPr>
        <w:spacing w:after="0" w:line="203" w:lineRule="auto"/>
        <w:rPr>
          <w:sz w:val="20"/>
          <w:szCs w:val="20"/>
          <w:color w:val="auto"/>
        </w:rPr>
      </w:pPr>
      <w:r>
        <w:rPr>
          <w:rFonts w:ascii="Times New Roman" w:cs="Times New Roman" w:eastAsia="Times New Roman" w:hAnsi="Times New Roman"/>
          <w:sz w:val="16"/>
          <w:szCs w:val="16"/>
          <w:color w:val="auto"/>
        </w:rPr>
        <w:t>2031 Notes: $650 million aggregate principal amount of</w:t>
      </w:r>
    </w:p>
    <w:p>
      <w:pPr>
        <w:spacing w:after="0" w:line="204" w:lineRule="auto"/>
        <w:rPr>
          <w:sz w:val="20"/>
          <w:szCs w:val="20"/>
          <w:color w:val="auto"/>
        </w:rPr>
      </w:pPr>
      <w:r>
        <w:rPr>
          <w:rFonts w:ascii="Times New Roman" w:cs="Times New Roman" w:eastAsia="Times New Roman" w:hAnsi="Times New Roman"/>
          <w:sz w:val="16"/>
          <w:szCs w:val="16"/>
          <w:color w:val="auto"/>
        </w:rPr>
        <w:t>1.650% senior unsecured notes due January 15, 2031</w:t>
      </w:r>
    </w:p>
    <w:p>
      <w:pPr>
        <w:spacing w:after="0" w:line="204" w:lineRule="auto"/>
        <w:rPr>
          <w:sz w:val="20"/>
          <w:szCs w:val="20"/>
          <w:color w:val="auto"/>
        </w:rPr>
      </w:pPr>
      <w:r>
        <w:rPr>
          <w:rFonts w:ascii="Times New Roman" w:cs="Times New Roman" w:eastAsia="Times New Roman" w:hAnsi="Times New Roman"/>
          <w:sz w:val="16"/>
          <w:szCs w:val="16"/>
          <w:color w:val="auto"/>
        </w:rPr>
        <w:t>2032 Notes: €750 million aggregate principal amount of</w:t>
      </w:r>
    </w:p>
    <w:p>
      <w:pPr>
        <w:spacing w:after="0" w:line="203" w:lineRule="auto"/>
        <w:rPr>
          <w:sz w:val="20"/>
          <w:szCs w:val="20"/>
          <w:color w:val="auto"/>
        </w:rPr>
      </w:pPr>
      <w:r>
        <w:rPr>
          <w:rFonts w:ascii="Times New Roman" w:cs="Times New Roman" w:eastAsia="Times New Roman" w:hAnsi="Times New Roman"/>
          <w:sz w:val="16"/>
          <w:szCs w:val="16"/>
          <w:color w:val="auto"/>
        </w:rPr>
        <w:t>4.500% senior unsecured notes due February 15, 2032</w:t>
      </w:r>
    </w:p>
    <w:p>
      <w:pPr>
        <w:spacing w:after="0" w:line="204" w:lineRule="auto"/>
        <w:rPr>
          <w:sz w:val="20"/>
          <w:szCs w:val="20"/>
          <w:color w:val="auto"/>
        </w:rPr>
      </w:pPr>
      <w:r>
        <w:rPr>
          <w:rFonts w:ascii="Times New Roman" w:cs="Times New Roman" w:eastAsia="Times New Roman" w:hAnsi="Times New Roman"/>
          <w:sz w:val="16"/>
          <w:szCs w:val="16"/>
          <w:color w:val="auto"/>
        </w:rPr>
        <w:t>2033 Notes: €615 million aggregate principal amount of</w:t>
      </w:r>
    </w:p>
    <w:p>
      <w:pPr>
        <w:spacing w:after="0" w:line="203" w:lineRule="auto"/>
        <w:rPr>
          <w:sz w:val="20"/>
          <w:szCs w:val="20"/>
          <w:color w:val="auto"/>
        </w:rPr>
      </w:pPr>
      <w:r>
        <w:rPr>
          <w:rFonts w:ascii="Times New Roman" w:cs="Times New Roman" w:eastAsia="Times New Roman" w:hAnsi="Times New Roman"/>
          <w:sz w:val="16"/>
          <w:szCs w:val="16"/>
          <w:color w:val="auto"/>
        </w:rPr>
        <w:t>0.900% senior unsecured notes due July 30, 2033</w:t>
      </w:r>
    </w:p>
    <w:p>
      <w:pPr>
        <w:spacing w:after="0" w:line="204" w:lineRule="auto"/>
        <w:rPr>
          <w:sz w:val="20"/>
          <w:szCs w:val="20"/>
          <w:color w:val="auto"/>
        </w:rPr>
      </w:pPr>
      <w:r>
        <w:rPr>
          <w:rFonts w:ascii="Times New Roman" w:cs="Times New Roman" w:eastAsia="Times New Roman" w:hAnsi="Times New Roman"/>
          <w:sz w:val="16"/>
          <w:szCs w:val="16"/>
          <w:color w:val="auto"/>
        </w:rPr>
        <w:t>2034 Notes: $1.25 billion aggregate principal amount of</w:t>
      </w:r>
    </w:p>
    <w:p>
      <w:pPr>
        <w:spacing w:after="0" w:line="203" w:lineRule="auto"/>
        <w:rPr>
          <w:sz w:val="20"/>
          <w:szCs w:val="20"/>
          <w:color w:val="auto"/>
        </w:rPr>
      </w:pPr>
      <w:r>
        <w:rPr>
          <w:rFonts w:ascii="Times New Roman" w:cs="Times New Roman" w:eastAsia="Times New Roman" w:hAnsi="Times New Roman"/>
          <w:sz w:val="16"/>
          <w:szCs w:val="16"/>
          <w:color w:val="auto"/>
        </w:rPr>
        <w:t>5.550% senior unsecured notes due February 15, 2034</w:t>
      </w:r>
    </w:p>
    <w:p>
      <w:pPr>
        <w:spacing w:after="0" w:line="204" w:lineRule="auto"/>
        <w:rPr>
          <w:sz w:val="20"/>
          <w:szCs w:val="20"/>
          <w:color w:val="auto"/>
        </w:rPr>
      </w:pPr>
      <w:r>
        <w:rPr>
          <w:rFonts w:ascii="Times New Roman" w:cs="Times New Roman" w:eastAsia="Times New Roman" w:hAnsi="Times New Roman"/>
          <w:sz w:val="16"/>
          <w:szCs w:val="16"/>
          <w:color w:val="auto"/>
        </w:rPr>
        <w:t>2040 Notes: $650 million aggregate principal amount of</w:t>
      </w:r>
    </w:p>
    <w:p>
      <w:pPr>
        <w:spacing w:after="0" w:line="203" w:lineRule="auto"/>
        <w:rPr>
          <w:sz w:val="20"/>
          <w:szCs w:val="20"/>
          <w:color w:val="auto"/>
        </w:rPr>
      </w:pPr>
      <w:r>
        <w:rPr>
          <w:rFonts w:ascii="Times New Roman" w:cs="Times New Roman" w:eastAsia="Times New Roman" w:hAnsi="Times New Roman"/>
          <w:sz w:val="16"/>
          <w:szCs w:val="16"/>
          <w:color w:val="auto"/>
        </w:rPr>
        <w:t>2.500% senior unsecured notes due December 21, 2040</w:t>
      </w:r>
    </w:p>
    <w:p>
      <w:pPr>
        <w:spacing w:after="0" w:line="204" w:lineRule="auto"/>
        <w:rPr>
          <w:sz w:val="20"/>
          <w:szCs w:val="20"/>
          <w:color w:val="auto"/>
        </w:rPr>
      </w:pPr>
      <w:r>
        <w:rPr>
          <w:rFonts w:ascii="Times New Roman" w:cs="Times New Roman" w:eastAsia="Times New Roman" w:hAnsi="Times New Roman"/>
          <w:sz w:val="16"/>
          <w:szCs w:val="16"/>
          <w:color w:val="auto"/>
        </w:rPr>
        <w:t>2050 Notes: $500 million aggregate principal amount of</w:t>
      </w:r>
    </w:p>
    <w:p>
      <w:pPr>
        <w:spacing w:after="0" w:line="203" w:lineRule="auto"/>
        <w:rPr>
          <w:sz w:val="20"/>
          <w:szCs w:val="20"/>
          <w:color w:val="auto"/>
        </w:rPr>
      </w:pPr>
      <w:r>
        <w:rPr>
          <w:rFonts w:ascii="Times New Roman" w:cs="Times New Roman" w:eastAsia="Times New Roman" w:hAnsi="Times New Roman"/>
          <w:sz w:val="16"/>
          <w:szCs w:val="16"/>
          <w:color w:val="auto"/>
        </w:rPr>
        <w:t>3.25% senior unsecured notes due April 28, 2050</w:t>
      </w:r>
    </w:p>
    <w:p>
      <w:pPr>
        <w:spacing w:after="0" w:line="204" w:lineRule="auto"/>
        <w:rPr>
          <w:sz w:val="20"/>
          <w:szCs w:val="20"/>
          <w:color w:val="auto"/>
        </w:rPr>
      </w:pPr>
      <w:r>
        <w:rPr>
          <w:rFonts w:ascii="Times New Roman" w:cs="Times New Roman" w:eastAsia="Times New Roman" w:hAnsi="Times New Roman"/>
          <w:sz w:val="16"/>
          <w:szCs w:val="16"/>
          <w:color w:val="auto"/>
        </w:rPr>
        <w:t>2052 Notes: $550 million aggregate principal amount of</w:t>
      </w:r>
    </w:p>
    <w:p>
      <w:pPr>
        <w:spacing w:after="0" w:line="204" w:lineRule="auto"/>
        <w:rPr>
          <w:sz w:val="20"/>
          <w:szCs w:val="20"/>
          <w:color w:val="auto"/>
        </w:rPr>
      </w:pPr>
      <w:r>
        <w:rPr>
          <w:rFonts w:ascii="Times New Roman" w:cs="Times New Roman" w:eastAsia="Times New Roman" w:hAnsi="Times New Roman"/>
          <w:sz w:val="16"/>
          <w:szCs w:val="16"/>
          <w:color w:val="auto"/>
        </w:rPr>
        <w:t>3.950% senior unsecured notes due March 7, 2052</w:t>
      </w:r>
    </w:p>
    <w:p>
      <w:pPr>
        <w:spacing w:after="0" w:line="203" w:lineRule="auto"/>
        <w:rPr>
          <w:sz w:val="20"/>
          <w:szCs w:val="20"/>
          <w:color w:val="auto"/>
        </w:rPr>
      </w:pPr>
      <w:r>
        <w:rPr>
          <w:rFonts w:ascii="Times New Roman" w:cs="Times New Roman" w:eastAsia="Times New Roman" w:hAnsi="Times New Roman"/>
          <w:sz w:val="16"/>
          <w:szCs w:val="16"/>
          <w:color w:val="auto"/>
        </w:rPr>
        <w:t>2053 Notes: $750 million aggregate principal amount of</w:t>
      </w:r>
    </w:p>
    <w:p>
      <w:pPr>
        <w:spacing w:after="0" w:line="204" w:lineRule="auto"/>
        <w:rPr>
          <w:sz w:val="20"/>
          <w:szCs w:val="20"/>
          <w:color w:val="auto"/>
        </w:rPr>
      </w:pPr>
      <w:r>
        <w:rPr>
          <w:rFonts w:ascii="Times New Roman" w:cs="Times New Roman" w:eastAsia="Times New Roman" w:hAnsi="Times New Roman"/>
          <w:sz w:val="16"/>
          <w:szCs w:val="16"/>
          <w:color w:val="auto"/>
        </w:rPr>
        <w:t>5.950% senior unsecured notes due August 15, 2053</w:t>
      </w:r>
    </w:p>
    <w:p>
      <w:pPr>
        <w:spacing w:after="0" w:line="203" w:lineRule="auto"/>
        <w:rPr>
          <w:sz w:val="20"/>
          <w:szCs w:val="20"/>
          <w:color w:val="auto"/>
        </w:rPr>
      </w:pPr>
      <w:r>
        <w:rPr>
          <w:rFonts w:ascii="Times New Roman" w:cs="Times New Roman" w:eastAsia="Times New Roman" w:hAnsi="Times New Roman"/>
          <w:sz w:val="16"/>
          <w:szCs w:val="16"/>
          <w:color w:val="auto"/>
        </w:rPr>
        <w:t>2063 Notes: $750 million aggregate principal amount of</w:t>
      </w:r>
    </w:p>
    <w:p>
      <w:pPr>
        <w:spacing w:after="0" w:line="204" w:lineRule="auto"/>
        <w:rPr>
          <w:sz w:val="20"/>
          <w:szCs w:val="20"/>
          <w:color w:val="auto"/>
        </w:rPr>
      </w:pPr>
      <w:r>
        <w:rPr>
          <w:rFonts w:ascii="Times New Roman" w:cs="Times New Roman" w:eastAsia="Times New Roman" w:hAnsi="Times New Roman"/>
          <w:sz w:val="16"/>
          <w:szCs w:val="16"/>
          <w:color w:val="auto"/>
        </w:rPr>
        <w:t>6.100% senior unsecured notes due June 28, 2063</w:t>
      </w:r>
    </w:p>
    <w:p>
      <w:pPr>
        <w:spacing w:after="0" w:line="191" w:lineRule="auto"/>
        <w:rPr>
          <w:sz w:val="20"/>
          <w:szCs w:val="20"/>
          <w:color w:val="auto"/>
        </w:rPr>
      </w:pPr>
      <w:r>
        <w:rPr>
          <w:rFonts w:ascii="Times New Roman" w:cs="Times New Roman" w:eastAsia="Times New Roman" w:hAnsi="Times New Roman"/>
          <w:sz w:val="16"/>
          <w:szCs w:val="16"/>
          <w:color w:val="111111"/>
        </w:rPr>
        <w:t>Adenza: Adenza Holdings, Inc.</w:t>
      </w:r>
    </w:p>
    <w:p>
      <w:pPr>
        <w:spacing w:after="0" w:line="206" w:lineRule="auto"/>
        <w:rPr>
          <w:sz w:val="20"/>
          <w:szCs w:val="20"/>
          <w:color w:val="auto"/>
        </w:rPr>
      </w:pPr>
      <w:r>
        <w:rPr>
          <w:rFonts w:ascii="Times New Roman" w:cs="Times New Roman" w:eastAsia="Times New Roman" w:hAnsi="Times New Roman"/>
          <w:sz w:val="16"/>
          <w:szCs w:val="16"/>
          <w:color w:val="111111"/>
        </w:rPr>
        <w:t>AI: Artificial Intelligenc</w:t>
      </w:r>
      <w:r>
        <w:rPr>
          <w:rFonts w:ascii="Times New Roman" w:cs="Times New Roman" w:eastAsia="Times New Roman" w:hAnsi="Times New Roman"/>
          <w:sz w:val="18"/>
          <w:szCs w:val="18"/>
          <w:color w:val="111111"/>
        </w:rPr>
        <w:t>e</w:t>
      </w:r>
    </w:p>
    <w:p>
      <w:pPr>
        <w:spacing w:after="0" w:line="203" w:lineRule="auto"/>
        <w:rPr>
          <w:sz w:val="20"/>
          <w:szCs w:val="20"/>
          <w:color w:val="auto"/>
        </w:rPr>
      </w:pPr>
      <w:r>
        <w:rPr>
          <w:rFonts w:ascii="Times New Roman" w:cs="Times New Roman" w:eastAsia="Times New Roman" w:hAnsi="Times New Roman"/>
          <w:sz w:val="16"/>
          <w:szCs w:val="16"/>
          <w:color w:val="auto"/>
        </w:rPr>
        <w:t>ARR: Annualized Recurring Revenue</w:t>
      </w:r>
    </w:p>
    <w:p>
      <w:pPr>
        <w:spacing w:after="0" w:line="204" w:lineRule="auto"/>
        <w:rPr>
          <w:sz w:val="20"/>
          <w:szCs w:val="20"/>
          <w:color w:val="auto"/>
        </w:rPr>
      </w:pPr>
      <w:r>
        <w:rPr>
          <w:rFonts w:ascii="Times New Roman" w:cs="Times New Roman" w:eastAsia="Times New Roman" w:hAnsi="Times New Roman"/>
          <w:sz w:val="16"/>
          <w:szCs w:val="16"/>
          <w:color w:val="auto"/>
        </w:rPr>
        <w:t>ASC: Accounting Standards Codification</w:t>
      </w:r>
    </w:p>
    <w:p>
      <w:pPr>
        <w:spacing w:after="0" w:line="203" w:lineRule="auto"/>
        <w:rPr>
          <w:sz w:val="20"/>
          <w:szCs w:val="20"/>
          <w:color w:val="auto"/>
        </w:rPr>
      </w:pPr>
      <w:r>
        <w:rPr>
          <w:rFonts w:ascii="Times New Roman" w:cs="Times New Roman" w:eastAsia="Times New Roman" w:hAnsi="Times New Roman"/>
          <w:sz w:val="16"/>
          <w:szCs w:val="16"/>
          <w:color w:val="auto"/>
        </w:rPr>
        <w:t>ASR: Accelerated Share Repurchase</w:t>
      </w:r>
    </w:p>
    <w:p>
      <w:pPr>
        <w:spacing w:after="0" w:line="204" w:lineRule="auto"/>
        <w:rPr>
          <w:sz w:val="20"/>
          <w:szCs w:val="20"/>
          <w:color w:val="auto"/>
        </w:rPr>
      </w:pPr>
      <w:r>
        <w:rPr>
          <w:rFonts w:ascii="Times New Roman" w:cs="Times New Roman" w:eastAsia="Times New Roman" w:hAnsi="Times New Roman"/>
          <w:sz w:val="16"/>
          <w:szCs w:val="16"/>
          <w:color w:val="auto"/>
        </w:rPr>
        <w:t>ASU: Accounting Standards Update</w:t>
      </w:r>
    </w:p>
    <w:p>
      <w:pPr>
        <w:spacing w:after="0" w:line="204" w:lineRule="auto"/>
        <w:rPr>
          <w:sz w:val="20"/>
          <w:szCs w:val="20"/>
          <w:color w:val="auto"/>
        </w:rPr>
      </w:pPr>
      <w:r>
        <w:rPr>
          <w:rFonts w:ascii="Times New Roman" w:cs="Times New Roman" w:eastAsia="Times New Roman" w:hAnsi="Times New Roman"/>
          <w:sz w:val="16"/>
          <w:szCs w:val="16"/>
          <w:color w:val="auto"/>
        </w:rPr>
        <w:t>ATS: Alternative Trading System</w:t>
      </w:r>
    </w:p>
    <w:p>
      <w:pPr>
        <w:spacing w:after="0" w:line="203" w:lineRule="auto"/>
        <w:rPr>
          <w:sz w:val="20"/>
          <w:szCs w:val="20"/>
          <w:color w:val="auto"/>
        </w:rPr>
      </w:pPr>
      <w:r>
        <w:rPr>
          <w:rFonts w:ascii="Times New Roman" w:cs="Times New Roman" w:eastAsia="Times New Roman" w:hAnsi="Times New Roman"/>
          <w:sz w:val="16"/>
          <w:szCs w:val="16"/>
          <w:color w:val="auto"/>
        </w:rPr>
        <w:t>AUM: Assets Under Management</w:t>
      </w:r>
    </w:p>
    <w:p>
      <w:pPr>
        <w:spacing w:after="0" w:line="204" w:lineRule="auto"/>
        <w:rPr>
          <w:sz w:val="20"/>
          <w:szCs w:val="20"/>
          <w:color w:val="auto"/>
        </w:rPr>
      </w:pPr>
      <w:r>
        <w:rPr>
          <w:rFonts w:ascii="Times New Roman" w:cs="Times New Roman" w:eastAsia="Times New Roman" w:hAnsi="Times New Roman"/>
          <w:sz w:val="16"/>
          <w:szCs w:val="16"/>
          <w:color w:val="auto"/>
        </w:rPr>
        <w:t>AWS: Amazon Web Services</w:t>
      </w:r>
    </w:p>
    <w:p>
      <w:pPr>
        <w:spacing w:after="0"/>
        <w:rPr>
          <w:sz w:val="20"/>
          <w:szCs w:val="20"/>
          <w:color w:val="auto"/>
        </w:rPr>
      </w:pPr>
      <w:r>
        <w:rPr>
          <w:rFonts w:ascii="Times New Roman" w:cs="Times New Roman" w:eastAsia="Times New Roman" w:hAnsi="Times New Roman"/>
          <w:sz w:val="16"/>
          <w:szCs w:val="16"/>
          <w:color w:val="auto"/>
        </w:rPr>
        <w:t>CAT: A market-wide consolidated audit trail established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iii</w:t>
      </w:r>
    </w:p>
    <w:p>
      <w:pPr>
        <w:spacing w:after="0" w:line="203" w:lineRule="auto"/>
        <w:rPr>
          <w:sz w:val="20"/>
          <w:szCs w:val="20"/>
          <w:color w:val="auto"/>
        </w:rPr>
      </w:pPr>
      <w:r>
        <w:rPr>
          <w:rFonts w:ascii="Times New Roman" w:cs="Times New Roman" w:eastAsia="Times New Roman" w:hAnsi="Times New Roman"/>
          <w:sz w:val="16"/>
          <w:szCs w:val="16"/>
          <w:color w:val="auto"/>
        </w:rPr>
        <w:t>Euro Notes: The 2029, 2030, 2032 and 2033 Notes</w:t>
      </w:r>
    </w:p>
    <w:p>
      <w:pPr>
        <w:spacing w:after="0" w:line="233" w:lineRule="auto"/>
        <w:rPr>
          <w:sz w:val="20"/>
          <w:szCs w:val="20"/>
          <w:color w:val="auto"/>
        </w:rPr>
      </w:pPr>
      <w:r>
        <w:rPr>
          <w:rFonts w:ascii="Times New Roman" w:cs="Times New Roman" w:eastAsia="Times New Roman" w:hAnsi="Times New Roman"/>
          <w:sz w:val="14"/>
          <w:szCs w:val="14"/>
          <w:color w:val="auto"/>
        </w:rPr>
        <w:t>Exchange Act: Securities Exchange Act of 1934, as amended</w:t>
      </w:r>
    </w:p>
    <w:p>
      <w:pPr>
        <w:spacing w:after="0" w:line="203" w:lineRule="auto"/>
        <w:rPr>
          <w:sz w:val="20"/>
          <w:szCs w:val="20"/>
          <w:color w:val="auto"/>
        </w:rPr>
      </w:pPr>
      <w:r>
        <w:rPr>
          <w:rFonts w:ascii="Times New Roman" w:cs="Times New Roman" w:eastAsia="Times New Roman" w:hAnsi="Times New Roman"/>
          <w:sz w:val="16"/>
          <w:szCs w:val="16"/>
          <w:color w:val="auto"/>
        </w:rPr>
        <w:t>FASB: Financial Accounting Standards Board</w:t>
      </w:r>
    </w:p>
    <w:p>
      <w:pPr>
        <w:spacing w:after="0" w:line="204" w:lineRule="auto"/>
        <w:rPr>
          <w:sz w:val="20"/>
          <w:szCs w:val="20"/>
          <w:color w:val="auto"/>
        </w:rPr>
      </w:pPr>
      <w:r>
        <w:rPr>
          <w:rFonts w:ascii="Times New Roman" w:cs="Times New Roman" w:eastAsia="Times New Roman" w:hAnsi="Times New Roman"/>
          <w:sz w:val="16"/>
          <w:szCs w:val="16"/>
          <w:color w:val="auto"/>
        </w:rPr>
        <w:t>FINRA: Financial Industry Regulatory Authority</w:t>
      </w:r>
    </w:p>
    <w:p>
      <w:pPr>
        <w:spacing w:after="0" w:line="203" w:lineRule="auto"/>
        <w:rPr>
          <w:sz w:val="20"/>
          <w:szCs w:val="20"/>
          <w:color w:val="auto"/>
        </w:rPr>
      </w:pPr>
      <w:r>
        <w:rPr>
          <w:rFonts w:ascii="Times New Roman" w:cs="Times New Roman" w:eastAsia="Times New Roman" w:hAnsi="Times New Roman"/>
          <w:sz w:val="16"/>
          <w:szCs w:val="16"/>
          <w:color w:val="auto"/>
        </w:rPr>
        <w:t>GICS: Global Industry Classification Standard</w:t>
      </w:r>
    </w:p>
    <w:p>
      <w:pPr>
        <w:spacing w:after="0" w:line="204" w:lineRule="auto"/>
        <w:rPr>
          <w:sz w:val="20"/>
          <w:szCs w:val="20"/>
          <w:color w:val="auto"/>
        </w:rPr>
      </w:pPr>
      <w:r>
        <w:rPr>
          <w:rFonts w:ascii="Times New Roman" w:cs="Times New Roman" w:eastAsia="Times New Roman" w:hAnsi="Times New Roman"/>
          <w:sz w:val="16"/>
          <w:szCs w:val="16"/>
          <w:color w:val="auto"/>
        </w:rPr>
        <w:t>IP: Intellectual property</w:t>
      </w:r>
    </w:p>
    <w:p>
      <w:pPr>
        <w:spacing w:after="0" w:line="203" w:lineRule="auto"/>
        <w:rPr>
          <w:sz w:val="20"/>
          <w:szCs w:val="20"/>
          <w:color w:val="auto"/>
        </w:rPr>
      </w:pPr>
      <w:r>
        <w:rPr>
          <w:rFonts w:ascii="Times New Roman" w:cs="Times New Roman" w:eastAsia="Times New Roman" w:hAnsi="Times New Roman"/>
          <w:sz w:val="16"/>
          <w:szCs w:val="16"/>
          <w:color w:val="auto"/>
        </w:rPr>
        <w:t>IPO: Initial Public Offering</w:t>
      </w:r>
    </w:p>
    <w:p>
      <w:pPr>
        <w:spacing w:after="0" w:line="204" w:lineRule="auto"/>
        <w:rPr>
          <w:sz w:val="20"/>
          <w:szCs w:val="20"/>
          <w:color w:val="auto"/>
        </w:rPr>
      </w:pPr>
      <w:r>
        <w:rPr>
          <w:rFonts w:ascii="Times New Roman" w:cs="Times New Roman" w:eastAsia="Times New Roman" w:hAnsi="Times New Roman"/>
          <w:sz w:val="16"/>
          <w:szCs w:val="16"/>
          <w:color w:val="auto"/>
        </w:rPr>
        <w:t>MiFID II: Update to the Markets in Financial Instruments</w:t>
      </w:r>
    </w:p>
    <w:p>
      <w:pPr>
        <w:spacing w:after="0" w:line="204" w:lineRule="auto"/>
        <w:rPr>
          <w:sz w:val="20"/>
          <w:szCs w:val="20"/>
          <w:color w:val="auto"/>
        </w:rPr>
      </w:pPr>
      <w:r>
        <w:rPr>
          <w:rFonts w:ascii="Times New Roman" w:cs="Times New Roman" w:eastAsia="Times New Roman" w:hAnsi="Times New Roman"/>
          <w:sz w:val="16"/>
          <w:szCs w:val="16"/>
          <w:color w:val="auto"/>
        </w:rPr>
        <w:t>Directive</w:t>
      </w:r>
    </w:p>
    <w:p>
      <w:pPr>
        <w:spacing w:after="0" w:line="203" w:lineRule="auto"/>
        <w:rPr>
          <w:sz w:val="20"/>
          <w:szCs w:val="20"/>
          <w:color w:val="auto"/>
        </w:rPr>
      </w:pPr>
      <w:r>
        <w:rPr>
          <w:rFonts w:ascii="Times New Roman" w:cs="Times New Roman" w:eastAsia="Times New Roman" w:hAnsi="Times New Roman"/>
          <w:sz w:val="16"/>
          <w:szCs w:val="16"/>
          <w:color w:val="auto"/>
        </w:rPr>
        <w:t>MiFIR: Markets in Financial Instruments Regulation</w:t>
      </w:r>
    </w:p>
    <w:p>
      <w:pPr>
        <w:spacing w:after="0" w:line="204" w:lineRule="auto"/>
        <w:rPr>
          <w:sz w:val="20"/>
          <w:szCs w:val="20"/>
          <w:color w:val="auto"/>
        </w:rPr>
      </w:pPr>
      <w:r>
        <w:rPr>
          <w:rFonts w:ascii="Times New Roman" w:cs="Times New Roman" w:eastAsia="Times New Roman" w:hAnsi="Times New Roman"/>
          <w:sz w:val="16"/>
          <w:szCs w:val="16"/>
          <w:color w:val="auto"/>
        </w:rPr>
        <w:t>NSCC: National Securities Clearing Corporation</w:t>
      </w:r>
    </w:p>
    <w:p>
      <w:pPr>
        <w:spacing w:after="0" w:line="203" w:lineRule="auto"/>
        <w:rPr>
          <w:sz w:val="20"/>
          <w:szCs w:val="20"/>
          <w:color w:val="auto"/>
        </w:rPr>
      </w:pPr>
      <w:r>
        <w:rPr>
          <w:rFonts w:ascii="Times New Roman" w:cs="Times New Roman" w:eastAsia="Times New Roman" w:hAnsi="Times New Roman"/>
          <w:sz w:val="16"/>
          <w:szCs w:val="16"/>
          <w:color w:val="auto"/>
        </w:rPr>
        <w:t>OCC: The Options Clearing Corporation</w:t>
      </w:r>
    </w:p>
    <w:p>
      <w:pPr>
        <w:spacing w:after="0" w:line="204" w:lineRule="auto"/>
        <w:rPr>
          <w:sz w:val="20"/>
          <w:szCs w:val="20"/>
          <w:color w:val="auto"/>
        </w:rPr>
      </w:pPr>
      <w:r>
        <w:rPr>
          <w:rFonts w:ascii="Times New Roman" w:cs="Times New Roman" w:eastAsia="Times New Roman" w:hAnsi="Times New Roman"/>
          <w:sz w:val="16"/>
          <w:szCs w:val="16"/>
          <w:color w:val="auto"/>
        </w:rPr>
        <w:t>OTC: Over-the-Counter</w:t>
      </w:r>
    </w:p>
    <w:p>
      <w:pPr>
        <w:spacing w:after="0" w:line="203" w:lineRule="auto"/>
        <w:rPr>
          <w:sz w:val="20"/>
          <w:szCs w:val="20"/>
          <w:color w:val="auto"/>
        </w:rPr>
      </w:pPr>
      <w:r>
        <w:rPr>
          <w:rFonts w:ascii="Times New Roman" w:cs="Times New Roman" w:eastAsia="Times New Roman" w:hAnsi="Times New Roman"/>
          <w:sz w:val="16"/>
          <w:szCs w:val="16"/>
          <w:color w:val="auto"/>
        </w:rPr>
        <w:t>PCS: P</w:t>
      </w:r>
      <w:r>
        <w:rPr>
          <w:rFonts w:ascii="Times New Roman" w:cs="Times New Roman" w:eastAsia="Times New Roman" w:hAnsi="Times New Roman"/>
          <w:sz w:val="16"/>
          <w:szCs w:val="16"/>
          <w:color w:val="231F20"/>
        </w:rPr>
        <w:t>ost-contract Customer Support</w:t>
      </w:r>
    </w:p>
    <w:p>
      <w:pPr>
        <w:spacing w:after="0" w:line="204" w:lineRule="auto"/>
        <w:rPr>
          <w:sz w:val="20"/>
          <w:szCs w:val="20"/>
          <w:color w:val="auto"/>
        </w:rPr>
      </w:pPr>
      <w:r>
        <w:rPr>
          <w:rFonts w:ascii="Times New Roman" w:cs="Times New Roman" w:eastAsia="Times New Roman" w:hAnsi="Times New Roman"/>
          <w:sz w:val="16"/>
          <w:szCs w:val="16"/>
          <w:color w:val="auto"/>
        </w:rPr>
        <w:t>Proxy Statement: Nasdaq’s Definitive Proxy Statement for</w:t>
      </w:r>
    </w:p>
    <w:p>
      <w:pPr>
        <w:spacing w:after="0" w:line="203" w:lineRule="auto"/>
        <w:rPr>
          <w:sz w:val="20"/>
          <w:szCs w:val="20"/>
          <w:color w:val="auto"/>
        </w:rPr>
      </w:pPr>
      <w:r>
        <w:rPr>
          <w:rFonts w:ascii="Times New Roman" w:cs="Times New Roman" w:eastAsia="Times New Roman" w:hAnsi="Times New Roman"/>
          <w:sz w:val="16"/>
          <w:szCs w:val="16"/>
          <w:color w:val="auto"/>
        </w:rPr>
        <w:t>the 2026 Annual Meeting of Shareholders</w:t>
      </w:r>
    </w:p>
    <w:p>
      <w:pPr>
        <w:spacing w:after="0" w:line="204" w:lineRule="auto"/>
        <w:rPr>
          <w:sz w:val="20"/>
          <w:szCs w:val="20"/>
          <w:color w:val="auto"/>
        </w:rPr>
      </w:pPr>
      <w:r>
        <w:rPr>
          <w:rFonts w:ascii="Times New Roman" w:cs="Times New Roman" w:eastAsia="Times New Roman" w:hAnsi="Times New Roman"/>
          <w:sz w:val="16"/>
          <w:szCs w:val="16"/>
          <w:color w:val="auto"/>
        </w:rPr>
        <w:t>PSU: Performance Share Unit</w:t>
      </w:r>
    </w:p>
    <w:p>
      <w:pPr>
        <w:spacing w:after="0" w:line="204" w:lineRule="auto"/>
        <w:rPr>
          <w:sz w:val="20"/>
          <w:szCs w:val="20"/>
          <w:color w:val="auto"/>
        </w:rPr>
      </w:pPr>
      <w:r>
        <w:rPr>
          <w:rFonts w:ascii="Times New Roman" w:cs="Times New Roman" w:eastAsia="Times New Roman" w:hAnsi="Times New Roman"/>
          <w:sz w:val="16"/>
          <w:szCs w:val="16"/>
          <w:color w:val="auto"/>
        </w:rPr>
        <w:t>Regulation NMS: Regulation National Market System</w:t>
      </w:r>
    </w:p>
    <w:p>
      <w:pPr>
        <w:spacing w:after="0" w:line="203" w:lineRule="auto"/>
        <w:rPr>
          <w:sz w:val="20"/>
          <w:szCs w:val="20"/>
          <w:color w:val="auto"/>
        </w:rPr>
      </w:pPr>
      <w:r>
        <w:rPr>
          <w:rFonts w:ascii="Times New Roman" w:cs="Times New Roman" w:eastAsia="Times New Roman" w:hAnsi="Times New Roman"/>
          <w:sz w:val="16"/>
          <w:szCs w:val="16"/>
          <w:color w:val="auto"/>
        </w:rPr>
        <w:t>Regulation SCI: Regulation Systems Compliance and</w:t>
      </w:r>
    </w:p>
    <w:p>
      <w:pPr>
        <w:spacing w:after="0" w:line="204" w:lineRule="auto"/>
        <w:rPr>
          <w:sz w:val="20"/>
          <w:szCs w:val="20"/>
          <w:color w:val="auto"/>
        </w:rPr>
      </w:pPr>
      <w:r>
        <w:rPr>
          <w:rFonts w:ascii="Times New Roman" w:cs="Times New Roman" w:eastAsia="Times New Roman" w:hAnsi="Times New Roman"/>
          <w:sz w:val="16"/>
          <w:szCs w:val="16"/>
          <w:color w:val="auto"/>
        </w:rPr>
        <w:t>Integrity</w:t>
      </w:r>
    </w:p>
    <w:p>
      <w:pPr>
        <w:spacing w:after="0" w:line="203" w:lineRule="auto"/>
        <w:rPr>
          <w:sz w:val="20"/>
          <w:szCs w:val="20"/>
          <w:color w:val="auto"/>
        </w:rPr>
      </w:pPr>
      <w:r>
        <w:rPr>
          <w:rFonts w:ascii="Times New Roman" w:cs="Times New Roman" w:eastAsia="Times New Roman" w:hAnsi="Times New Roman"/>
          <w:sz w:val="16"/>
          <w:szCs w:val="16"/>
          <w:color w:val="auto"/>
        </w:rPr>
        <w:t>SaaS: Software as a Service</w:t>
      </w:r>
    </w:p>
    <w:p>
      <w:pPr>
        <w:spacing w:after="0" w:line="204" w:lineRule="auto"/>
        <w:rPr>
          <w:sz w:val="20"/>
          <w:szCs w:val="20"/>
          <w:color w:val="auto"/>
        </w:rPr>
      </w:pPr>
      <w:r>
        <w:rPr>
          <w:rFonts w:ascii="Times New Roman" w:cs="Times New Roman" w:eastAsia="Times New Roman" w:hAnsi="Times New Roman"/>
          <w:sz w:val="16"/>
          <w:szCs w:val="16"/>
          <w:color w:val="auto"/>
        </w:rPr>
        <w:t>SEC: U.S. Securities and Exchange Commission</w:t>
      </w:r>
    </w:p>
    <w:p>
      <w:pPr>
        <w:spacing w:after="0" w:line="203" w:lineRule="auto"/>
        <w:rPr>
          <w:sz w:val="20"/>
          <w:szCs w:val="20"/>
          <w:color w:val="auto"/>
        </w:rPr>
      </w:pPr>
      <w:r>
        <w:rPr>
          <w:rFonts w:ascii="Times New Roman" w:cs="Times New Roman" w:eastAsia="Times New Roman" w:hAnsi="Times New Roman"/>
          <w:sz w:val="16"/>
          <w:szCs w:val="16"/>
          <w:color w:val="auto"/>
        </w:rPr>
        <w:t>SERP: Supplemental Executive Retirement Plan</w:t>
      </w:r>
    </w:p>
    <w:p>
      <w:pPr>
        <w:spacing w:after="0" w:line="204" w:lineRule="auto"/>
        <w:rPr>
          <w:sz w:val="20"/>
          <w:szCs w:val="20"/>
          <w:color w:val="auto"/>
        </w:rPr>
      </w:pPr>
      <w:r>
        <w:rPr>
          <w:rFonts w:ascii="Times New Roman" w:cs="Times New Roman" w:eastAsia="Times New Roman" w:hAnsi="Times New Roman"/>
          <w:sz w:val="16"/>
          <w:szCs w:val="16"/>
          <w:color w:val="auto"/>
        </w:rPr>
        <w:t>SFSA: Swedish Financial Supervisory Authority</w:t>
      </w:r>
    </w:p>
    <w:p>
      <w:pPr>
        <w:spacing w:after="0" w:line="203" w:lineRule="auto"/>
        <w:rPr>
          <w:sz w:val="20"/>
          <w:szCs w:val="20"/>
          <w:color w:val="auto"/>
        </w:rPr>
      </w:pPr>
      <w:r>
        <w:rPr>
          <w:rFonts w:ascii="Times New Roman" w:cs="Times New Roman" w:eastAsia="Times New Roman" w:hAnsi="Times New Roman"/>
          <w:sz w:val="16"/>
          <w:szCs w:val="16"/>
          <w:color w:val="auto"/>
        </w:rPr>
        <w:t>SOFR: Secured Overnight Financing Rate</w:t>
      </w:r>
    </w:p>
    <w:p>
      <w:pPr>
        <w:spacing w:after="0" w:line="204" w:lineRule="auto"/>
        <w:rPr>
          <w:sz w:val="20"/>
          <w:szCs w:val="20"/>
          <w:color w:val="auto"/>
        </w:rPr>
      </w:pPr>
      <w:r>
        <w:rPr>
          <w:rFonts w:ascii="Times New Roman" w:cs="Times New Roman" w:eastAsia="Times New Roman" w:hAnsi="Times New Roman"/>
          <w:sz w:val="16"/>
          <w:szCs w:val="16"/>
          <w:color w:val="auto"/>
        </w:rPr>
        <w:t>S&amp;P: Standard &amp; Poor’s</w:t>
      </w:r>
    </w:p>
    <w:p>
      <w:pPr>
        <w:spacing w:after="0" w:line="203" w:lineRule="auto"/>
        <w:rPr>
          <w:sz w:val="20"/>
          <w:szCs w:val="20"/>
          <w:color w:val="auto"/>
        </w:rPr>
      </w:pPr>
      <w:r>
        <w:rPr>
          <w:rFonts w:ascii="Times New Roman" w:cs="Times New Roman" w:eastAsia="Times New Roman" w:hAnsi="Times New Roman"/>
          <w:sz w:val="16"/>
          <w:szCs w:val="16"/>
          <w:color w:val="auto"/>
        </w:rPr>
        <w:t>S&amp;P 500: S&amp;P 500 Stock Index</w:t>
      </w:r>
    </w:p>
    <w:p>
      <w:pPr>
        <w:spacing w:after="0" w:line="204" w:lineRule="auto"/>
        <w:rPr>
          <w:sz w:val="20"/>
          <w:szCs w:val="20"/>
          <w:color w:val="auto"/>
        </w:rPr>
      </w:pPr>
      <w:r>
        <w:rPr>
          <w:rFonts w:ascii="Times New Roman" w:cs="Times New Roman" w:eastAsia="Times New Roman" w:hAnsi="Times New Roman"/>
          <w:sz w:val="16"/>
          <w:szCs w:val="16"/>
          <w:color w:val="auto"/>
        </w:rPr>
        <w:t>SPAC: Special Purpose Acquisition Company</w:t>
      </w:r>
    </w:p>
    <w:p>
      <w:pPr>
        <w:spacing w:after="0" w:line="204" w:lineRule="auto"/>
        <w:rPr>
          <w:sz w:val="20"/>
          <w:szCs w:val="20"/>
          <w:color w:val="auto"/>
        </w:rPr>
      </w:pPr>
      <w:r>
        <w:rPr>
          <w:rFonts w:ascii="Times New Roman" w:cs="Times New Roman" w:eastAsia="Times New Roman" w:hAnsi="Times New Roman"/>
          <w:sz w:val="16"/>
          <w:szCs w:val="16"/>
          <w:color w:val="auto"/>
        </w:rPr>
        <w:t>SRO: Self-regulatory Organization</w:t>
      </w:r>
    </w:p>
    <w:p>
      <w:pPr>
        <w:spacing w:after="0" w:line="203" w:lineRule="auto"/>
        <w:rPr>
          <w:sz w:val="20"/>
          <w:szCs w:val="20"/>
          <w:color w:val="auto"/>
        </w:rPr>
      </w:pPr>
      <w:r>
        <w:rPr>
          <w:rFonts w:ascii="Times New Roman" w:cs="Times New Roman" w:eastAsia="Times New Roman" w:hAnsi="Times New Roman"/>
          <w:sz w:val="16"/>
          <w:szCs w:val="16"/>
          <w:color w:val="auto"/>
        </w:rPr>
        <w:t>SSMA: Swedish Securities Markets Act 2007:528</w:t>
      </w:r>
    </w:p>
    <w:p>
      <w:pPr>
        <w:spacing w:after="0" w:line="204" w:lineRule="auto"/>
        <w:rPr>
          <w:sz w:val="20"/>
          <w:szCs w:val="20"/>
          <w:color w:val="auto"/>
        </w:rPr>
      </w:pPr>
      <w:r>
        <w:rPr>
          <w:rFonts w:ascii="Times New Roman" w:cs="Times New Roman" w:eastAsia="Times New Roman" w:hAnsi="Times New Roman"/>
          <w:sz w:val="16"/>
          <w:szCs w:val="16"/>
          <w:color w:val="auto"/>
        </w:rPr>
        <w:t>TSR: Total Shareholder Return</w:t>
      </w:r>
    </w:p>
    <w:p>
      <w:pPr>
        <w:spacing w:after="0" w:line="232" w:lineRule="auto"/>
        <w:rPr>
          <w:sz w:val="20"/>
          <w:szCs w:val="20"/>
          <w:color w:val="auto"/>
        </w:rPr>
      </w:pPr>
      <w:r>
        <w:rPr>
          <w:rFonts w:ascii="Times New Roman" w:cs="Times New Roman" w:eastAsia="Times New Roman" w:hAnsi="Times New Roman"/>
          <w:sz w:val="14"/>
          <w:szCs w:val="14"/>
          <w:color w:val="auto"/>
        </w:rPr>
        <w:t>U.S. GAAP: U.S. Generally Accepted Accounting Principles</w:t>
      </w:r>
    </w:p>
    <w:p>
      <w:pPr>
        <w:spacing w:after="0" w:line="233" w:lineRule="auto"/>
        <w:rPr>
          <w:sz w:val="20"/>
          <w:szCs w:val="20"/>
          <w:color w:val="auto"/>
        </w:rPr>
      </w:pPr>
      <w:r>
        <w:rPr>
          <w:rFonts w:ascii="Times New Roman" w:cs="Times New Roman" w:eastAsia="Times New Roman" w:hAnsi="Times New Roman"/>
          <w:sz w:val="14"/>
          <w:szCs w:val="14"/>
          <w:color w:val="auto"/>
        </w:rPr>
        <w:t>U.S. Tape plans: U.S. cash equity and U.S. options industry</w:t>
      </w:r>
    </w:p>
    <w:p>
      <w:pPr>
        <w:spacing w:after="0" w:line="203" w:lineRule="auto"/>
        <w:rPr>
          <w:sz w:val="20"/>
          <w:szCs w:val="20"/>
          <w:color w:val="auto"/>
        </w:rPr>
      </w:pPr>
      <w:r>
        <w:rPr>
          <w:rFonts w:ascii="Times New Roman" w:cs="Times New Roman" w:eastAsia="Times New Roman" w:hAnsi="Times New Roman"/>
          <w:sz w:val="16"/>
          <w:szCs w:val="16"/>
          <w:color w:val="auto"/>
        </w:rPr>
        <w:t>data</w:t>
      </w:r>
    </w:p>
    <w:p>
      <w:pPr>
        <w:spacing w:after="0" w:line="204" w:lineRule="auto"/>
        <w:rPr>
          <w:sz w:val="20"/>
          <w:szCs w:val="20"/>
          <w:color w:val="auto"/>
        </w:rPr>
      </w:pPr>
      <w:r>
        <w:rPr>
          <w:rFonts w:ascii="Times New Roman" w:cs="Times New Roman" w:eastAsia="Times New Roman" w:hAnsi="Times New Roman"/>
          <w:sz w:val="16"/>
          <w:szCs w:val="16"/>
          <w:color w:val="auto"/>
        </w:rPr>
        <w:t>UTP: Unlisted Trading Privileges</w:t>
      </w:r>
    </w:p>
    <w:p>
      <w:pPr>
        <w:spacing w:after="0" w:line="204" w:lineRule="auto"/>
        <w:rPr>
          <w:sz w:val="20"/>
          <w:szCs w:val="20"/>
          <w:color w:val="auto"/>
        </w:rPr>
      </w:pPr>
      <w:r>
        <w:rPr>
          <w:rFonts w:ascii="Times New Roman" w:cs="Times New Roman" w:eastAsia="Times New Roman" w:hAnsi="Times New Roman"/>
          <w:sz w:val="16"/>
          <w:szCs w:val="16"/>
          <w:color w:val="auto"/>
        </w:rPr>
        <w:t>UTP Plan: Joint SRO Plan Governing the Collection,</w:t>
      </w:r>
    </w:p>
    <w:p>
      <w:pPr>
        <w:spacing w:after="0" w:line="203" w:lineRule="auto"/>
        <w:rPr>
          <w:sz w:val="20"/>
          <w:szCs w:val="20"/>
          <w:color w:val="auto"/>
        </w:rPr>
      </w:pPr>
      <w:r>
        <w:rPr>
          <w:rFonts w:ascii="Times New Roman" w:cs="Times New Roman" w:eastAsia="Times New Roman" w:hAnsi="Times New Roman"/>
          <w:sz w:val="16"/>
          <w:szCs w:val="16"/>
          <w:color w:val="auto"/>
        </w:rPr>
        <w:t>Consolidation, and Dissemination of Quotation and</w:t>
      </w:r>
    </w:p>
    <w:p>
      <w:pPr>
        <w:spacing w:after="0" w:line="204" w:lineRule="auto"/>
        <w:rPr>
          <w:sz w:val="20"/>
          <w:szCs w:val="20"/>
          <w:color w:val="auto"/>
        </w:rPr>
      </w:pPr>
      <w:r>
        <w:rPr>
          <w:rFonts w:ascii="Times New Roman" w:cs="Times New Roman" w:eastAsia="Times New Roman" w:hAnsi="Times New Roman"/>
          <w:sz w:val="16"/>
          <w:szCs w:val="16"/>
          <w:color w:val="auto"/>
        </w:rPr>
        <w:t>Transaction Information for Nasdaq-Listed Securities</w:t>
      </w:r>
    </w:p>
    <w:p>
      <w:pPr>
        <w:spacing w:after="0" w:line="203" w:lineRule="auto"/>
        <w:rPr>
          <w:sz w:val="20"/>
          <w:szCs w:val="20"/>
          <w:color w:val="auto"/>
        </w:rPr>
      </w:pPr>
      <w:r>
        <w:rPr>
          <w:rFonts w:ascii="Times New Roman" w:cs="Times New Roman" w:eastAsia="Times New Roman" w:hAnsi="Times New Roman"/>
          <w:sz w:val="16"/>
          <w:szCs w:val="16"/>
          <w:color w:val="auto"/>
        </w:rPr>
        <w:t>Traded on Exchanges on a UTP Basis</w:t>
      </w:r>
    </w:p>
    <w:p>
      <w:pPr>
        <w:spacing w:after="0" w:line="233" w:lineRule="auto"/>
        <w:rPr>
          <w:sz w:val="20"/>
          <w:szCs w:val="20"/>
          <w:color w:val="auto"/>
        </w:rPr>
      </w:pPr>
      <w:r>
        <w:rPr>
          <w:rFonts w:ascii="Times New Roman" w:cs="Times New Roman" w:eastAsia="Times New Roman" w:hAnsi="Times New Roman"/>
          <w:sz w:val="14"/>
          <w:szCs w:val="14"/>
          <w:color w:val="auto"/>
        </w:rPr>
        <w:t>NASDAQ, the NASDAQ logos, and other brand, service or</w:t>
      </w:r>
    </w:p>
    <w:p>
      <w:pPr>
        <w:spacing w:after="0" w:line="203" w:lineRule="auto"/>
        <w:rPr>
          <w:sz w:val="20"/>
          <w:szCs w:val="20"/>
          <w:color w:val="auto"/>
        </w:rPr>
      </w:pPr>
      <w:r>
        <w:rPr>
          <w:rFonts w:ascii="Times New Roman" w:cs="Times New Roman" w:eastAsia="Times New Roman" w:hAnsi="Times New Roman"/>
          <w:sz w:val="16"/>
          <w:szCs w:val="16"/>
          <w:color w:val="auto"/>
        </w:rPr>
        <w:t>product names or marks referred to in this report are</w:t>
      </w:r>
    </w:p>
    <w:p>
      <w:pPr>
        <w:spacing w:after="0" w:line="204" w:lineRule="auto"/>
        <w:rPr>
          <w:sz w:val="20"/>
          <w:szCs w:val="20"/>
          <w:color w:val="auto"/>
        </w:rPr>
      </w:pPr>
      <w:r>
        <w:rPr>
          <w:rFonts w:ascii="Times New Roman" w:cs="Times New Roman" w:eastAsia="Times New Roman" w:hAnsi="Times New Roman"/>
          <w:sz w:val="16"/>
          <w:szCs w:val="16"/>
          <w:color w:val="auto"/>
        </w:rPr>
        <w:t>trademarks or service marks, registered or otherwise, of</w:t>
      </w:r>
    </w:p>
    <w:p>
      <w:pPr>
        <w:spacing w:after="0" w:line="204" w:lineRule="auto"/>
        <w:rPr>
          <w:sz w:val="20"/>
          <w:szCs w:val="20"/>
          <w:color w:val="auto"/>
        </w:rPr>
      </w:pPr>
      <w:r>
        <w:rPr>
          <w:rFonts w:ascii="Times New Roman" w:cs="Times New Roman" w:eastAsia="Times New Roman" w:hAnsi="Times New Roman"/>
          <w:sz w:val="16"/>
          <w:szCs w:val="16"/>
          <w:color w:val="auto"/>
        </w:rPr>
        <w:t>Nasdaq, Inc. and/or its subsidiaries. FINRA and Trade</w:t>
      </w:r>
    </w:p>
    <w:p>
      <w:pPr>
        <w:spacing w:after="0" w:line="203" w:lineRule="auto"/>
        <w:rPr>
          <w:sz w:val="20"/>
          <w:szCs w:val="20"/>
          <w:color w:val="auto"/>
        </w:rPr>
      </w:pPr>
      <w:r>
        <w:rPr>
          <w:rFonts w:ascii="Times New Roman" w:cs="Times New Roman" w:eastAsia="Times New Roman" w:hAnsi="Times New Roman"/>
          <w:sz w:val="16"/>
          <w:szCs w:val="16"/>
          <w:color w:val="auto"/>
        </w:rPr>
        <w:t>Reporting Facility are registered trademarks of FINRA.</w:t>
      </w:r>
    </w:p>
    <w:p>
      <w:pPr>
        <w:spacing w:after="0" w:line="233" w:lineRule="auto"/>
        <w:rPr>
          <w:sz w:val="20"/>
          <w:szCs w:val="20"/>
          <w:color w:val="auto"/>
        </w:rPr>
      </w:pPr>
      <w:r>
        <w:rPr>
          <w:rFonts w:ascii="Times New Roman" w:cs="Times New Roman" w:eastAsia="Times New Roman" w:hAnsi="Times New Roman"/>
          <w:sz w:val="14"/>
          <w:szCs w:val="14"/>
          <w:color w:val="auto"/>
        </w:rPr>
        <w:t>This Annual Report on Form 10-K includes market share and</w:t>
      </w:r>
    </w:p>
    <w:p>
      <w:pPr>
        <w:spacing w:after="0" w:line="232" w:lineRule="auto"/>
        <w:rPr>
          <w:sz w:val="20"/>
          <w:szCs w:val="20"/>
          <w:color w:val="auto"/>
        </w:rPr>
      </w:pPr>
      <w:r>
        <w:rPr>
          <w:rFonts w:ascii="Times New Roman" w:cs="Times New Roman" w:eastAsia="Times New Roman" w:hAnsi="Times New Roman"/>
          <w:sz w:val="14"/>
          <w:szCs w:val="14"/>
          <w:color w:val="auto"/>
        </w:rPr>
        <w:t>industry data that we obtained from industry publications and</w:t>
      </w:r>
    </w:p>
    <w:p>
      <w:pPr>
        <w:spacing w:after="0" w:line="204" w:lineRule="auto"/>
        <w:rPr>
          <w:sz w:val="20"/>
          <w:szCs w:val="20"/>
          <w:color w:val="auto"/>
        </w:rPr>
      </w:pPr>
      <w:r>
        <w:rPr>
          <w:rFonts w:ascii="Times New Roman" w:cs="Times New Roman" w:eastAsia="Times New Roman" w:hAnsi="Times New Roman"/>
          <w:sz w:val="16"/>
          <w:szCs w:val="16"/>
          <w:color w:val="auto"/>
        </w:rPr>
        <w:t>surveys, reports of governmental agencies and internal</w:t>
      </w:r>
    </w:p>
    <w:p>
      <w:pPr>
        <w:spacing w:after="0" w:line="203" w:lineRule="auto"/>
        <w:rPr>
          <w:sz w:val="20"/>
          <w:szCs w:val="20"/>
          <w:color w:val="auto"/>
        </w:rPr>
      </w:pPr>
      <w:r>
        <w:rPr>
          <w:rFonts w:ascii="Times New Roman" w:cs="Times New Roman" w:eastAsia="Times New Roman" w:hAnsi="Times New Roman"/>
          <w:sz w:val="16"/>
          <w:szCs w:val="16"/>
          <w:color w:val="auto"/>
        </w:rPr>
        <w:t>company surveys. Industry publications and surveys</w:t>
      </w:r>
    </w:p>
    <w:p>
      <w:pPr>
        <w:spacing w:after="0" w:line="204" w:lineRule="auto"/>
        <w:rPr>
          <w:sz w:val="20"/>
          <w:szCs w:val="20"/>
          <w:color w:val="auto"/>
        </w:rPr>
      </w:pPr>
      <w:r>
        <w:rPr>
          <w:rFonts w:ascii="Times New Roman" w:cs="Times New Roman" w:eastAsia="Times New Roman" w:hAnsi="Times New Roman"/>
          <w:sz w:val="16"/>
          <w:szCs w:val="16"/>
          <w:color w:val="auto"/>
        </w:rPr>
        <w:t>generally state that the information they contain has been</w:t>
      </w:r>
    </w:p>
    <w:p>
      <w:pPr>
        <w:spacing w:after="0" w:line="233" w:lineRule="auto"/>
        <w:rPr>
          <w:sz w:val="20"/>
          <w:szCs w:val="20"/>
          <w:color w:val="auto"/>
        </w:rPr>
      </w:pPr>
      <w:r>
        <w:rPr>
          <w:rFonts w:ascii="Times New Roman" w:cs="Times New Roman" w:eastAsia="Times New Roman" w:hAnsi="Times New Roman"/>
          <w:sz w:val="14"/>
          <w:szCs w:val="14"/>
          <w:color w:val="auto"/>
        </w:rPr>
        <w:t>obtained from sources believed to be reliable, but we cannot</w:t>
      </w:r>
    </w:p>
    <w:p>
      <w:pPr>
        <w:spacing w:after="0" w:line="232" w:lineRule="auto"/>
        <w:rPr>
          <w:sz w:val="20"/>
          <w:szCs w:val="20"/>
          <w:color w:val="auto"/>
        </w:rPr>
      </w:pPr>
      <w:r>
        <w:rPr>
          <w:rFonts w:ascii="Times New Roman" w:cs="Times New Roman" w:eastAsia="Times New Roman" w:hAnsi="Times New Roman"/>
          <w:sz w:val="14"/>
          <w:szCs w:val="14"/>
          <w:color w:val="auto"/>
        </w:rPr>
        <w:t>assure you that this information is accurate or complete. We</w:t>
      </w:r>
    </w:p>
    <w:p>
      <w:pPr>
        <w:spacing w:after="0" w:line="204" w:lineRule="auto"/>
        <w:rPr>
          <w:sz w:val="20"/>
          <w:szCs w:val="20"/>
          <w:color w:val="auto"/>
        </w:rPr>
      </w:pPr>
      <w:r>
        <w:rPr>
          <w:rFonts w:ascii="Times New Roman" w:cs="Times New Roman" w:eastAsia="Times New Roman" w:hAnsi="Times New Roman"/>
          <w:sz w:val="16"/>
          <w:szCs w:val="16"/>
          <w:color w:val="auto"/>
        </w:rPr>
        <w:t>have not independently verified any of the data from third-</w:t>
      </w:r>
    </w:p>
    <w:p>
      <w:pPr>
        <w:spacing w:after="0" w:line="203" w:lineRule="auto"/>
        <w:rPr>
          <w:sz w:val="20"/>
          <w:szCs w:val="20"/>
          <w:color w:val="auto"/>
        </w:rPr>
      </w:pPr>
      <w:r>
        <w:rPr>
          <w:rFonts w:ascii="Times New Roman" w:cs="Times New Roman" w:eastAsia="Times New Roman" w:hAnsi="Times New Roman"/>
          <w:sz w:val="16"/>
          <w:szCs w:val="16"/>
          <w:color w:val="auto"/>
        </w:rPr>
        <w:t>party sources nor have we ascertained the underlying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economic assumptions relied upon therein. Statements as to</w:t>
      </w:r>
    </w:p>
    <w:p>
      <w:pPr>
        <w:sectPr>
          <w:pgSz w:w="11900" w:h="16840" w:orient="portrait"/>
          <w:cols w:equalWidth="0" w:num="1">
            <w:col w:w="9400"/>
          </w:cols>
          <w:pgMar w:left="1060" w:top="547" w:right="1440" w:bottom="139"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auto"/>
        </w:rPr>
        <w:t>our market position are based on the most currently available</w:t>
      </w:r>
    </w:p>
    <w:p>
      <w:pPr>
        <w:spacing w:after="0" w:line="220" w:lineRule="auto"/>
        <w:rPr>
          <w:sz w:val="20"/>
          <w:szCs w:val="20"/>
          <w:color w:val="auto"/>
        </w:rPr>
      </w:pPr>
      <w:r>
        <w:rPr>
          <w:rFonts w:ascii="Times New Roman" w:cs="Times New Roman" w:eastAsia="Times New Roman" w:hAnsi="Times New Roman"/>
          <w:sz w:val="16"/>
          <w:szCs w:val="16"/>
          <w:color w:val="auto"/>
        </w:rPr>
        <w:t>market data. For market comparison purposes, The Nasdaq</w:t>
      </w:r>
    </w:p>
    <w:p>
      <w:pPr>
        <w:spacing w:after="0" w:line="204" w:lineRule="auto"/>
        <w:rPr>
          <w:sz w:val="20"/>
          <w:szCs w:val="20"/>
          <w:color w:val="auto"/>
        </w:rPr>
      </w:pPr>
      <w:r>
        <w:rPr>
          <w:rFonts w:ascii="Times New Roman" w:cs="Times New Roman" w:eastAsia="Times New Roman" w:hAnsi="Times New Roman"/>
          <w:sz w:val="16"/>
          <w:szCs w:val="16"/>
          <w:color w:val="auto"/>
        </w:rPr>
        <w:t>Stock Market data in this Annual Report on Form 10-K for</w:t>
      </w:r>
    </w:p>
    <w:p>
      <w:pPr>
        <w:spacing w:after="0" w:line="203" w:lineRule="auto"/>
        <w:rPr>
          <w:sz w:val="20"/>
          <w:szCs w:val="20"/>
          <w:color w:val="auto"/>
        </w:rPr>
      </w:pPr>
      <w:r>
        <w:rPr>
          <w:rFonts w:ascii="Times New Roman" w:cs="Times New Roman" w:eastAsia="Times New Roman" w:hAnsi="Times New Roman"/>
          <w:sz w:val="16"/>
          <w:szCs w:val="16"/>
          <w:color w:val="auto"/>
        </w:rPr>
        <w:t>IPOs and new listings of equity securities (including issuers</w:t>
      </w:r>
    </w:p>
    <w:p>
      <w:pPr>
        <w:spacing w:after="0" w:line="204" w:lineRule="auto"/>
        <w:rPr>
          <w:sz w:val="20"/>
          <w:szCs w:val="20"/>
          <w:color w:val="auto"/>
        </w:rPr>
      </w:pPr>
      <w:r>
        <w:rPr>
          <w:rFonts w:ascii="Times New Roman" w:cs="Times New Roman" w:eastAsia="Times New Roman" w:hAnsi="Times New Roman"/>
          <w:sz w:val="16"/>
          <w:szCs w:val="16"/>
          <w:color w:val="auto"/>
        </w:rPr>
        <w:t>that switched from other listings venues, closed-end funds</w:t>
      </w:r>
    </w:p>
    <w:p>
      <w:pPr>
        <w:spacing w:after="0" w:line="203" w:lineRule="auto"/>
        <w:rPr>
          <w:sz w:val="20"/>
          <w:szCs w:val="20"/>
          <w:color w:val="auto"/>
        </w:rPr>
      </w:pPr>
      <w:r>
        <w:rPr>
          <w:rFonts w:ascii="Times New Roman" w:cs="Times New Roman" w:eastAsia="Times New Roman" w:hAnsi="Times New Roman"/>
          <w:sz w:val="16"/>
          <w:szCs w:val="16"/>
          <w:color w:val="auto"/>
        </w:rPr>
        <w:t>and ETPs) is based on data generated internally by us;</w:t>
      </w:r>
    </w:p>
    <w:p>
      <w:pPr>
        <w:spacing w:after="0" w:line="233" w:lineRule="auto"/>
        <w:rPr>
          <w:sz w:val="20"/>
          <w:szCs w:val="20"/>
          <w:color w:val="auto"/>
        </w:rPr>
      </w:pPr>
      <w:r>
        <w:rPr>
          <w:rFonts w:ascii="Times New Roman" w:cs="Times New Roman" w:eastAsia="Times New Roman" w:hAnsi="Times New Roman"/>
          <w:sz w:val="14"/>
          <w:szCs w:val="14"/>
          <w:color w:val="auto"/>
        </w:rPr>
        <w:t>therefore, the data may not be comparable to other publicly-</w:t>
      </w:r>
    </w:p>
    <w:p>
      <w:pPr>
        <w:spacing w:after="0" w:line="233" w:lineRule="auto"/>
        <w:rPr>
          <w:sz w:val="20"/>
          <w:szCs w:val="20"/>
          <w:color w:val="auto"/>
        </w:rPr>
      </w:pPr>
      <w:r>
        <w:rPr>
          <w:rFonts w:ascii="Times New Roman" w:cs="Times New Roman" w:eastAsia="Times New Roman" w:hAnsi="Times New Roman"/>
          <w:sz w:val="14"/>
          <w:szCs w:val="14"/>
          <w:color w:val="auto"/>
        </w:rPr>
        <w:t>available IPO data. Data in this Annual Report on Form 10-K</w:t>
      </w:r>
    </w:p>
    <w:p>
      <w:pPr>
        <w:spacing w:after="0" w:line="232" w:lineRule="auto"/>
        <w:rPr>
          <w:sz w:val="20"/>
          <w:szCs w:val="20"/>
          <w:color w:val="auto"/>
        </w:rPr>
      </w:pPr>
      <w:r>
        <w:rPr>
          <w:rFonts w:ascii="Times New Roman" w:cs="Times New Roman" w:eastAsia="Times New Roman" w:hAnsi="Times New Roman"/>
          <w:sz w:val="14"/>
          <w:szCs w:val="14"/>
          <w:color w:val="auto"/>
        </w:rPr>
        <w:t>for IPOs and new listings of equity securities on the Nasdaq</w:t>
      </w:r>
    </w:p>
    <w:p>
      <w:pPr>
        <w:spacing w:after="0" w:line="233" w:lineRule="auto"/>
        <w:rPr>
          <w:sz w:val="20"/>
          <w:szCs w:val="20"/>
          <w:color w:val="auto"/>
        </w:rPr>
      </w:pPr>
      <w:r>
        <w:rPr>
          <w:rFonts w:ascii="Times New Roman" w:cs="Times New Roman" w:eastAsia="Times New Roman" w:hAnsi="Times New Roman"/>
          <w:sz w:val="14"/>
          <w:szCs w:val="14"/>
          <w:color w:val="auto"/>
        </w:rPr>
        <w:t>Nordic and Nasdaq Baltic exchanges and Nasdaq First North</w:t>
      </w:r>
    </w:p>
    <w:p>
      <w:pPr>
        <w:spacing w:after="0" w:line="203" w:lineRule="auto"/>
        <w:rPr>
          <w:sz w:val="20"/>
          <w:szCs w:val="20"/>
          <w:color w:val="auto"/>
        </w:rPr>
      </w:pPr>
      <w:r>
        <w:rPr>
          <w:rFonts w:ascii="Times New Roman" w:cs="Times New Roman" w:eastAsia="Times New Roman" w:hAnsi="Times New Roman"/>
          <w:sz w:val="16"/>
          <w:szCs w:val="16"/>
          <w:color w:val="auto"/>
        </w:rPr>
        <w:t>also is based on data generated internally by us. IPOs and</w:t>
      </w:r>
    </w:p>
    <w:p>
      <w:pPr>
        <w:spacing w:after="0" w:line="233" w:lineRule="auto"/>
        <w:rPr>
          <w:sz w:val="20"/>
          <w:szCs w:val="20"/>
          <w:color w:val="auto"/>
        </w:rPr>
      </w:pPr>
      <w:r>
        <w:rPr>
          <w:rFonts w:ascii="Times New Roman" w:cs="Times New Roman" w:eastAsia="Times New Roman" w:hAnsi="Times New Roman"/>
          <w:sz w:val="14"/>
          <w:szCs w:val="14"/>
          <w:color w:val="auto"/>
        </w:rPr>
        <w:t>new listings data is presented as of period end. While we are</w:t>
      </w:r>
    </w:p>
    <w:p>
      <w:pPr>
        <w:spacing w:after="0" w:line="204" w:lineRule="auto"/>
        <w:rPr>
          <w:sz w:val="20"/>
          <w:szCs w:val="20"/>
          <w:color w:val="auto"/>
        </w:rPr>
      </w:pPr>
      <w:r>
        <w:rPr>
          <w:rFonts w:ascii="Times New Roman" w:cs="Times New Roman" w:eastAsia="Times New Roman" w:hAnsi="Times New Roman"/>
          <w:sz w:val="16"/>
          <w:szCs w:val="16"/>
          <w:color w:val="auto"/>
        </w:rPr>
        <w:t>not aware of any misstatements regarding industry data</w:t>
      </w:r>
    </w:p>
    <w:p>
      <w:pPr>
        <w:spacing w:after="0" w:line="203" w:lineRule="auto"/>
        <w:rPr>
          <w:sz w:val="20"/>
          <w:szCs w:val="20"/>
          <w:color w:val="auto"/>
        </w:rPr>
      </w:pPr>
      <w:r>
        <w:rPr>
          <w:rFonts w:ascii="Times New Roman" w:cs="Times New Roman" w:eastAsia="Times New Roman" w:hAnsi="Times New Roman"/>
          <w:sz w:val="16"/>
          <w:szCs w:val="16"/>
          <w:color w:val="auto"/>
        </w:rPr>
        <w:t>presented herein, our estimates involve risks and</w:t>
      </w:r>
    </w:p>
    <w:p>
      <w:pPr>
        <w:spacing w:after="0" w:line="204" w:lineRule="auto"/>
        <w:rPr>
          <w:sz w:val="20"/>
          <w:szCs w:val="20"/>
          <w:color w:val="auto"/>
        </w:rPr>
      </w:pPr>
      <w:r>
        <w:rPr>
          <w:rFonts w:ascii="Times New Roman" w:cs="Times New Roman" w:eastAsia="Times New Roman" w:hAnsi="Times New Roman"/>
          <w:sz w:val="16"/>
          <w:szCs w:val="16"/>
          <w:color w:val="auto"/>
        </w:rPr>
        <w:t>uncertainties and are subject to change based on various</w:t>
      </w:r>
    </w:p>
    <w:p>
      <w:pPr>
        <w:spacing w:after="0" w:line="203" w:lineRule="auto"/>
        <w:rPr>
          <w:sz w:val="20"/>
          <w:szCs w:val="20"/>
          <w:color w:val="auto"/>
        </w:rPr>
      </w:pPr>
      <w:r>
        <w:rPr>
          <w:rFonts w:ascii="Times New Roman" w:cs="Times New Roman" w:eastAsia="Times New Roman" w:hAnsi="Times New Roman"/>
          <w:sz w:val="16"/>
          <w:szCs w:val="16"/>
          <w:color w:val="auto"/>
        </w:rPr>
        <w:t>factors, including those discussed in the “Item 1A. Risk</w:t>
      </w:r>
    </w:p>
    <w:p>
      <w:pPr>
        <w:spacing w:after="0" w:line="203" w:lineRule="auto"/>
        <w:rPr>
          <w:sz w:val="20"/>
          <w:szCs w:val="20"/>
          <w:color w:val="auto"/>
        </w:rPr>
      </w:pPr>
      <w:r>
        <w:rPr>
          <w:rFonts w:ascii="Times New Roman" w:cs="Times New Roman" w:eastAsia="Times New Roman" w:hAnsi="Times New Roman"/>
          <w:sz w:val="16"/>
          <w:szCs w:val="16"/>
          <w:color w:val="auto"/>
        </w:rPr>
        <w:t>Factors” section in this Annual Report on Form 10-K</w:t>
      </w:r>
      <w:r>
        <w:rPr>
          <w:rFonts w:ascii="Arial" w:cs="Arial" w:eastAsia="Arial" w:hAnsi="Arial"/>
          <w:sz w:val="16"/>
          <w:szCs w:val="16"/>
          <w:color w:val="252525"/>
        </w:rPr>
        <w:t>.</w:t>
      </w:r>
    </w:p>
    <w:p>
      <w:pPr>
        <w:spacing w:after="0" w:line="233" w:lineRule="auto"/>
        <w:rPr>
          <w:sz w:val="20"/>
          <w:szCs w:val="20"/>
          <w:color w:val="auto"/>
        </w:rPr>
      </w:pPr>
      <w:r>
        <w:rPr>
          <w:rFonts w:ascii="Times New Roman" w:cs="Times New Roman" w:eastAsia="Times New Roman" w:hAnsi="Times New Roman"/>
          <w:sz w:val="14"/>
          <w:szCs w:val="14"/>
          <w:color w:val="auto"/>
        </w:rPr>
        <w:t>Nasdaq intends to use its website, ir.nasdaq.com, as a means</w:t>
      </w:r>
    </w:p>
    <w:p>
      <w:pPr>
        <w:spacing w:after="0" w:line="203" w:lineRule="auto"/>
        <w:rPr>
          <w:sz w:val="20"/>
          <w:szCs w:val="20"/>
          <w:color w:val="auto"/>
        </w:rPr>
      </w:pPr>
      <w:r>
        <w:rPr>
          <w:rFonts w:ascii="Times New Roman" w:cs="Times New Roman" w:eastAsia="Times New Roman" w:hAnsi="Times New Roman"/>
          <w:sz w:val="16"/>
          <w:szCs w:val="16"/>
          <w:color w:val="auto"/>
        </w:rPr>
        <w:t>for disclosing material non-public information and for</w:t>
      </w:r>
    </w:p>
    <w:p>
      <w:pPr>
        <w:spacing w:after="0" w:line="204" w:lineRule="auto"/>
        <w:rPr>
          <w:sz w:val="20"/>
          <w:szCs w:val="20"/>
          <w:color w:val="auto"/>
        </w:rPr>
      </w:pPr>
      <w:r>
        <w:rPr>
          <w:rFonts w:ascii="Times New Roman" w:cs="Times New Roman" w:eastAsia="Times New Roman" w:hAnsi="Times New Roman"/>
          <w:sz w:val="16"/>
          <w:szCs w:val="16"/>
          <w:color w:val="auto"/>
        </w:rPr>
        <w:t>complying with SEC Regulation FD and other disclosure</w:t>
      </w:r>
    </w:p>
    <w:p>
      <w:pPr>
        <w:spacing w:after="0"/>
        <w:rPr>
          <w:sz w:val="20"/>
          <w:szCs w:val="20"/>
          <w:color w:val="auto"/>
        </w:rPr>
      </w:pPr>
      <w:r>
        <w:rPr>
          <w:rFonts w:ascii="Times New Roman" w:cs="Times New Roman" w:eastAsia="Times New Roman" w:hAnsi="Times New Roman"/>
          <w:sz w:val="16"/>
          <w:szCs w:val="16"/>
          <w:color w:val="auto"/>
        </w:rPr>
        <w:t>obligations.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iv</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3" w:lineRule="auto"/>
        <w:rPr>
          <w:sz w:val="20"/>
          <w:szCs w:val="20"/>
          <w:color w:val="auto"/>
        </w:rPr>
      </w:pPr>
      <w:r>
        <w:rPr>
          <w:rFonts w:ascii="Times New Roman" w:cs="Times New Roman" w:eastAsia="Times New Roman" w:hAnsi="Times New Roman"/>
          <w:sz w:val="14"/>
          <w:szCs w:val="14"/>
          <w:i w:val="1"/>
          <w:iCs w:val="1"/>
          <w:color w:val="auto"/>
        </w:rPr>
        <w:t>The SEC encourages companies to disclose forward-looking</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information so that investors can better understand a</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company’s future prospects and make informed investment</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decisions. This Annual Report on Form 10-K contains these</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types of statements. Words such as “can,” “may,” “will,”</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“could,” “should,” “anticipate,” “estimates,” “expects,”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“projects,” “intends,” “plans,” “believes” and words or</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terms of similar substance used in connection with any</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discussion of future expectations as to industry and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regulatory developments or business initiatives and</w:t>
      </w:r>
    </w:p>
    <w:p>
      <w:pPr>
        <w:spacing w:after="0" w:line="232" w:lineRule="auto"/>
        <w:rPr>
          <w:sz w:val="20"/>
          <w:szCs w:val="20"/>
          <w:color w:val="auto"/>
        </w:rPr>
      </w:pPr>
      <w:r>
        <w:rPr>
          <w:rFonts w:ascii="Times New Roman" w:cs="Times New Roman" w:eastAsia="Times New Roman" w:hAnsi="Times New Roman"/>
          <w:sz w:val="14"/>
          <w:szCs w:val="14"/>
          <w:i w:val="1"/>
          <w:iCs w:val="1"/>
          <w:color w:val="auto"/>
        </w:rPr>
        <w:t>strategies, future operating results or financial performance,</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and other future developments are intended to identify</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forward-looking statements. These include, among others,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statements relating to:</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•our strategic direction;</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•the integration of acquired businesses, including</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accounting decisions relating thereto;</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scope, nature or impact of acquisitions, divestitures,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investments or other transactional activities;</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effective dates for, and expected benefits of, ongoing</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initiatives, including transactional activities and other</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strategic, restructuring, technology, de-leveraging and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capital return initiatives;</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our products and services;</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impact of pricing changes;</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 matters;</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cost and availability of liquidity and capital; and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•any litigation, or any regulatory or government</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investigation or action, to which we are or could become a</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party or which may affect us and any potential settlements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of litigation, regulatory or governmental investigations or</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actions.</w:t>
      </w:r>
    </w:p>
    <w:p>
      <w:pPr>
        <w:spacing w:after="0" w:line="232" w:lineRule="auto"/>
        <w:rPr>
          <w:sz w:val="20"/>
          <w:szCs w:val="20"/>
          <w:color w:val="auto"/>
        </w:rPr>
      </w:pPr>
      <w:r>
        <w:rPr>
          <w:rFonts w:ascii="Times New Roman" w:cs="Times New Roman" w:eastAsia="Times New Roman" w:hAnsi="Times New Roman"/>
          <w:sz w:val="14"/>
          <w:szCs w:val="14"/>
          <w:i w:val="1"/>
          <w:iCs w:val="1"/>
          <w:color w:val="auto"/>
        </w:rPr>
        <w:t>Forward-looking statements involve risks and uncertainties.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Factors that could cause actual results to differ materially</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from those contemplated by the forward-looking statements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include, among others, the following:</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•our operating results may be lower than expected;</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•our ability to successfully integrate acquired businesses or</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divest sold businesses or assets, including the fact that any</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integration or transition may be more difficult, time</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consuming or costly than expected, and we may be unable</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to realize synergies from business combinations,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acquisitions, divestitures or other transactional activities;</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loss of significant trading and clearing volumes or values,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fees, market share, listed companies, market data</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customers or other customers;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•our ability to develop and grow our non-trading</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businesses;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•our ability to keep up with rapid technological advances,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including our ability to effectively manage the development</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and use of AI in certain of our products and offerings, and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adequately address cybersecurity risks;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•economic, political, regulatory and market conditions and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fluctuations, including inflation, tariffs, interest rate and</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foreign currency risk inherent in U.S. and international</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operations, and geopolitical instability;</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performance and reliability of our technology and</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technology of third parties on which we rely;</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any significant systems failures or errors in our</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operational processes;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•our ability to continue to generate cash and manage our</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indebtedness; and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•adverse changes that may occur in the litigation or</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regulatory areas, or in the securities markets generally, or</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increased regulatory oversight domestically or</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internationally.</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Most of these factors are difficult to predict accurately and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are generally beyond our control. You should consider the</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uncertainty and any risk related to forward-looking</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statements that we make. These risk factors are discussed</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under the caption “Part I. Item 1A. Risk Factors”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Report on Form 10-K. You are cautioned not to place</w:t>
      </w:r>
    </w:p>
    <w:p>
      <w:pPr>
        <w:sectPr>
          <w:pgSz w:w="11900" w:h="16840" w:orient="portrait"/>
          <w:cols w:equalWidth="0" w:num="1">
            <w:col w:w="9400"/>
          </w:cols>
          <w:pgMar w:left="1060" w:top="557" w:right="1440" w:bottom="79"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color w:val="auto"/>
        </w:rPr>
        <w:t>undue reliance on these forward-looking statements, which</w:t>
      </w:r>
    </w:p>
    <w:p>
      <w:pPr>
        <w:spacing w:after="0" w:line="232" w:lineRule="auto"/>
        <w:rPr>
          <w:sz w:val="20"/>
          <w:szCs w:val="20"/>
          <w:color w:val="auto"/>
        </w:rPr>
      </w:pPr>
      <w:r>
        <w:rPr>
          <w:rFonts w:ascii="Times New Roman" w:cs="Times New Roman" w:eastAsia="Times New Roman" w:hAnsi="Times New Roman"/>
          <w:sz w:val="14"/>
          <w:szCs w:val="14"/>
          <w:i w:val="1"/>
          <w:iCs w:val="1"/>
          <w:color w:val="auto"/>
        </w:rPr>
        <w:t>speak only as of the date of this Annual Report on Form 10-</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K. You should carefully read this entire Annual Report on</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Form 10-K, including “Part II. Item 7. Management’s</w:t>
      </w:r>
    </w:p>
    <w:p>
      <w:pPr>
        <w:spacing w:after="0" w:line="233" w:lineRule="auto"/>
        <w:rPr>
          <w:sz w:val="20"/>
          <w:szCs w:val="20"/>
          <w:color w:val="auto"/>
        </w:rPr>
      </w:pPr>
      <w:r>
        <w:rPr>
          <w:rFonts w:ascii="Times New Roman" w:cs="Times New Roman" w:eastAsia="Times New Roman" w:hAnsi="Times New Roman"/>
          <w:sz w:val="14"/>
          <w:szCs w:val="14"/>
          <w:i w:val="1"/>
          <w:iCs w:val="1"/>
          <w:color w:val="auto"/>
        </w:rPr>
        <w:t>Discussion and Analysis of Financial Condition and Results</w:t>
      </w:r>
    </w:p>
    <w:p>
      <w:pPr>
        <w:spacing w:after="0" w:line="233" w:lineRule="auto"/>
        <w:rPr>
          <w:sz w:val="20"/>
          <w:szCs w:val="20"/>
          <w:color w:val="auto"/>
        </w:rPr>
      </w:pPr>
      <w:r>
        <w:rPr>
          <w:rFonts w:ascii="Times New Roman" w:cs="Times New Roman" w:eastAsia="Times New Roman" w:hAnsi="Times New Roman"/>
          <w:sz w:val="14"/>
          <w:szCs w:val="14"/>
          <w:i w:val="1"/>
          <w:iCs w:val="1"/>
          <w:color w:val="auto"/>
        </w:rPr>
        <w:t>of Operations” and the consolidated financial statements and</w:t>
      </w:r>
    </w:p>
    <w:p>
      <w:pPr>
        <w:spacing w:after="0"/>
        <w:rPr>
          <w:sz w:val="20"/>
          <w:szCs w:val="20"/>
          <w:color w:val="auto"/>
        </w:rPr>
      </w:pPr>
      <w:r>
        <w:rPr>
          <w:rFonts w:ascii="Times New Roman" w:cs="Times New Roman" w:eastAsia="Times New Roman" w:hAnsi="Times New Roman"/>
          <w:sz w:val="14"/>
          <w:szCs w:val="14"/>
          <w:i w:val="1"/>
          <w:iCs w:val="1"/>
          <w:color w:val="auto"/>
        </w:rPr>
        <w:t>the related notes. Except as required by the federal securities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PART I</w:t>
      </w:r>
    </w:p>
    <w:p>
      <w:pPr>
        <w:spacing w:after="0" w:line="204" w:lineRule="auto"/>
        <w:rPr>
          <w:sz w:val="20"/>
          <w:szCs w:val="20"/>
          <w:color w:val="auto"/>
        </w:rPr>
      </w:pPr>
      <w:r>
        <w:rPr>
          <w:rFonts w:ascii="Times New Roman" w:cs="Times New Roman" w:eastAsia="Times New Roman" w:hAnsi="Times New Roman"/>
          <w:sz w:val="16"/>
          <w:szCs w:val="16"/>
          <w:b w:val="1"/>
          <w:bCs w:val="1"/>
          <w:color w:val="0092BC"/>
        </w:rPr>
        <w:t>Item 1. Business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OVERVIEW</w:t>
      </w:r>
    </w:p>
    <w:p>
      <w:pPr>
        <w:spacing w:after="0" w:line="204" w:lineRule="auto"/>
        <w:rPr>
          <w:sz w:val="20"/>
          <w:szCs w:val="20"/>
          <w:color w:val="auto"/>
        </w:rPr>
      </w:pPr>
      <w:r>
        <w:rPr>
          <w:rFonts w:ascii="Times New Roman" w:cs="Times New Roman" w:eastAsia="Times New Roman" w:hAnsi="Times New Roman"/>
          <w:sz w:val="16"/>
          <w:szCs w:val="16"/>
          <w:color w:val="auto"/>
        </w:rPr>
        <w:t>Nasdaq is a leading technology platform that powers the</w:t>
      </w:r>
    </w:p>
    <w:p>
      <w:pPr>
        <w:spacing w:after="0" w:line="203" w:lineRule="auto"/>
        <w:rPr>
          <w:sz w:val="20"/>
          <w:szCs w:val="20"/>
          <w:color w:val="auto"/>
        </w:rPr>
      </w:pPr>
      <w:r>
        <w:rPr>
          <w:rFonts w:ascii="Times New Roman" w:cs="Times New Roman" w:eastAsia="Times New Roman" w:hAnsi="Times New Roman"/>
          <w:sz w:val="16"/>
          <w:szCs w:val="16"/>
          <w:color w:val="auto"/>
        </w:rPr>
        <w:t>world’s economies. We architect the infrastructure of the</w:t>
      </w:r>
    </w:p>
    <w:p>
      <w:pPr>
        <w:spacing w:after="0" w:line="204" w:lineRule="auto"/>
        <w:rPr>
          <w:sz w:val="20"/>
          <w:szCs w:val="20"/>
          <w:color w:val="auto"/>
        </w:rPr>
      </w:pPr>
      <w:r>
        <w:rPr>
          <w:rFonts w:ascii="Times New Roman" w:cs="Times New Roman" w:eastAsia="Times New Roman" w:hAnsi="Times New Roman"/>
          <w:sz w:val="16"/>
          <w:szCs w:val="16"/>
          <w:color w:val="auto"/>
        </w:rPr>
        <w:t>world’s most modern markets, power the innovation</w:t>
      </w:r>
    </w:p>
    <w:p>
      <w:pPr>
        <w:spacing w:after="0" w:line="203" w:lineRule="auto"/>
        <w:rPr>
          <w:sz w:val="20"/>
          <w:szCs w:val="20"/>
          <w:color w:val="auto"/>
        </w:rPr>
      </w:pPr>
      <w:r>
        <w:rPr>
          <w:rFonts w:ascii="Times New Roman" w:cs="Times New Roman" w:eastAsia="Times New Roman" w:hAnsi="Times New Roman"/>
          <w:sz w:val="16"/>
          <w:szCs w:val="16"/>
          <w:color w:val="auto"/>
        </w:rPr>
        <w:t>economy, and build trust in the financial system. We</w:t>
      </w:r>
    </w:p>
    <w:p>
      <w:pPr>
        <w:spacing w:after="0" w:line="233" w:lineRule="auto"/>
        <w:rPr>
          <w:sz w:val="20"/>
          <w:szCs w:val="20"/>
          <w:color w:val="auto"/>
        </w:rPr>
      </w:pPr>
      <w:r>
        <w:rPr>
          <w:rFonts w:ascii="Times New Roman" w:cs="Times New Roman" w:eastAsia="Times New Roman" w:hAnsi="Times New Roman"/>
          <w:sz w:val="14"/>
          <w:szCs w:val="14"/>
          <w:color w:val="auto"/>
        </w:rPr>
        <w:t>empower economic opportunity by designing and deploying</w:t>
      </w:r>
    </w:p>
    <w:p>
      <w:pPr>
        <w:spacing w:after="0" w:line="233" w:lineRule="auto"/>
        <w:rPr>
          <w:sz w:val="20"/>
          <w:szCs w:val="20"/>
          <w:color w:val="auto"/>
        </w:rPr>
      </w:pPr>
      <w:r>
        <w:rPr>
          <w:rFonts w:ascii="Times New Roman" w:cs="Times New Roman" w:eastAsia="Times New Roman" w:hAnsi="Times New Roman"/>
          <w:sz w:val="14"/>
          <w:szCs w:val="14"/>
          <w:color w:val="auto"/>
        </w:rPr>
        <w:t>the technology, data, and advanced analytics that enable our</w:t>
      </w:r>
    </w:p>
    <w:p>
      <w:pPr>
        <w:spacing w:after="0" w:line="232" w:lineRule="auto"/>
        <w:rPr>
          <w:sz w:val="20"/>
          <w:szCs w:val="20"/>
          <w:color w:val="auto"/>
        </w:rPr>
      </w:pPr>
      <w:r>
        <w:rPr>
          <w:rFonts w:ascii="Times New Roman" w:cs="Times New Roman" w:eastAsia="Times New Roman" w:hAnsi="Times New Roman"/>
          <w:sz w:val="14"/>
          <w:szCs w:val="14"/>
          <w:color w:val="auto"/>
        </w:rPr>
        <w:t>clients to capture opportunities, navigate risk, and strengthen</w:t>
      </w:r>
    </w:p>
    <w:p>
      <w:pPr>
        <w:spacing w:after="0" w:line="204" w:lineRule="auto"/>
        <w:rPr>
          <w:sz w:val="20"/>
          <w:szCs w:val="20"/>
          <w:color w:val="auto"/>
        </w:rPr>
      </w:pPr>
      <w:r>
        <w:rPr>
          <w:rFonts w:ascii="Times New Roman" w:cs="Times New Roman" w:eastAsia="Times New Roman" w:hAnsi="Times New Roman"/>
          <w:sz w:val="16"/>
          <w:szCs w:val="16"/>
          <w:color w:val="auto"/>
        </w:rPr>
        <w:t>resilience.</w:t>
      </w:r>
    </w:p>
    <w:p>
      <w:pPr>
        <w:spacing w:after="0" w:line="232" w:lineRule="auto"/>
        <w:rPr>
          <w:sz w:val="20"/>
          <w:szCs w:val="20"/>
          <w:color w:val="auto"/>
        </w:rPr>
      </w:pPr>
      <w:r>
        <w:rPr>
          <w:rFonts w:ascii="Times New Roman" w:cs="Times New Roman" w:eastAsia="Times New Roman" w:hAnsi="Times New Roman"/>
          <w:sz w:val="14"/>
          <w:szCs w:val="14"/>
          <w:color w:val="auto"/>
        </w:rPr>
        <w:t>We manage, operate and provide our products and services in</w:t>
      </w:r>
    </w:p>
    <w:p>
      <w:pPr>
        <w:spacing w:after="0" w:line="233" w:lineRule="auto"/>
        <w:rPr>
          <w:sz w:val="20"/>
          <w:szCs w:val="20"/>
          <w:color w:val="auto"/>
        </w:rPr>
      </w:pPr>
      <w:r>
        <w:rPr>
          <w:rFonts w:ascii="Times New Roman" w:cs="Times New Roman" w:eastAsia="Times New Roman" w:hAnsi="Times New Roman"/>
          <w:sz w:val="14"/>
          <w:szCs w:val="14"/>
          <w:color w:val="auto"/>
        </w:rPr>
        <w:t>three business segments: Capital Access Platforms, Financial</w:t>
      </w:r>
    </w:p>
    <w:p>
      <w:pPr>
        <w:spacing w:after="0" w:line="204" w:lineRule="auto"/>
        <w:rPr>
          <w:sz w:val="20"/>
          <w:szCs w:val="20"/>
          <w:color w:val="auto"/>
        </w:rPr>
      </w:pPr>
      <w:r>
        <w:rPr>
          <w:rFonts w:ascii="Times New Roman" w:cs="Times New Roman" w:eastAsia="Times New Roman" w:hAnsi="Times New Roman"/>
          <w:sz w:val="16"/>
          <w:szCs w:val="16"/>
          <w:color w:val="auto"/>
        </w:rPr>
        <w:t>Technology and Market Services.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HISTORY</w:t>
      </w:r>
    </w:p>
    <w:p>
      <w:pPr>
        <w:spacing w:after="0" w:line="204" w:lineRule="auto"/>
        <w:rPr>
          <w:sz w:val="20"/>
          <w:szCs w:val="20"/>
          <w:color w:val="auto"/>
        </w:rPr>
      </w:pPr>
      <w:r>
        <w:rPr>
          <w:rFonts w:ascii="Times New Roman" w:cs="Times New Roman" w:eastAsia="Times New Roman" w:hAnsi="Times New Roman"/>
          <w:sz w:val="16"/>
          <w:szCs w:val="16"/>
          <w:color w:val="auto"/>
        </w:rPr>
        <w:t>Nasdaq was founded in 1971 as a wholly-owned subsidiary</w:t>
      </w:r>
    </w:p>
    <w:p>
      <w:pPr>
        <w:spacing w:after="0" w:line="203" w:lineRule="auto"/>
        <w:rPr>
          <w:sz w:val="20"/>
          <w:szCs w:val="20"/>
          <w:color w:val="auto"/>
        </w:rPr>
      </w:pPr>
      <w:r>
        <w:rPr>
          <w:rFonts w:ascii="Times New Roman" w:cs="Times New Roman" w:eastAsia="Times New Roman" w:hAnsi="Times New Roman"/>
          <w:sz w:val="16"/>
          <w:szCs w:val="16"/>
          <w:color w:val="auto"/>
        </w:rPr>
        <w:t>of FINRA. Beginning in 2000, FINRA restructured and</w:t>
      </w:r>
    </w:p>
    <w:p>
      <w:pPr>
        <w:spacing w:after="0" w:line="233" w:lineRule="auto"/>
        <w:rPr>
          <w:sz w:val="20"/>
          <w:szCs w:val="20"/>
          <w:color w:val="auto"/>
        </w:rPr>
      </w:pPr>
      <w:r>
        <w:rPr>
          <w:rFonts w:ascii="Times New Roman" w:cs="Times New Roman" w:eastAsia="Times New Roman" w:hAnsi="Times New Roman"/>
          <w:sz w:val="14"/>
          <w:szCs w:val="14"/>
          <w:color w:val="auto"/>
        </w:rPr>
        <w:t>broadened ownership in Nasdaq by selling shares to FINRA</w:t>
      </w:r>
    </w:p>
    <w:p>
      <w:pPr>
        <w:spacing w:after="0" w:line="203" w:lineRule="auto"/>
        <w:rPr>
          <w:sz w:val="20"/>
          <w:szCs w:val="20"/>
          <w:color w:val="auto"/>
        </w:rPr>
      </w:pPr>
      <w:r>
        <w:rPr>
          <w:rFonts w:ascii="Times New Roman" w:cs="Times New Roman" w:eastAsia="Times New Roman" w:hAnsi="Times New Roman"/>
          <w:sz w:val="16"/>
          <w:szCs w:val="16"/>
          <w:color w:val="auto"/>
        </w:rPr>
        <w:t>members, investment companies and issuers listed on The</w:t>
      </w:r>
    </w:p>
    <w:p>
      <w:pPr>
        <w:spacing w:after="0" w:line="204" w:lineRule="auto"/>
        <w:rPr>
          <w:sz w:val="20"/>
          <w:szCs w:val="20"/>
          <w:color w:val="auto"/>
        </w:rPr>
      </w:pPr>
      <w:r>
        <w:rPr>
          <w:rFonts w:ascii="Times New Roman" w:cs="Times New Roman" w:eastAsia="Times New Roman" w:hAnsi="Times New Roman"/>
          <w:sz w:val="16"/>
          <w:szCs w:val="16"/>
          <w:color w:val="auto"/>
        </w:rPr>
        <w:t>Nasdaq Stock Market. In connection with this restructuring,</w:t>
      </w:r>
    </w:p>
    <w:p>
      <w:pPr>
        <w:spacing w:after="0" w:line="204" w:lineRule="auto"/>
        <w:rPr>
          <w:sz w:val="20"/>
          <w:szCs w:val="20"/>
          <w:color w:val="auto"/>
        </w:rPr>
      </w:pPr>
      <w:r>
        <w:rPr>
          <w:rFonts w:ascii="Times New Roman" w:cs="Times New Roman" w:eastAsia="Times New Roman" w:hAnsi="Times New Roman"/>
          <w:sz w:val="16"/>
          <w:szCs w:val="16"/>
          <w:color w:val="auto"/>
        </w:rPr>
        <w:t>FINRA fully divested its ownership of Nasdaq in 2006, and</w:t>
      </w:r>
    </w:p>
    <w:p>
      <w:pPr>
        <w:spacing w:after="0" w:line="232" w:lineRule="auto"/>
        <w:rPr>
          <w:sz w:val="20"/>
          <w:szCs w:val="20"/>
          <w:color w:val="auto"/>
        </w:rPr>
      </w:pPr>
      <w:r>
        <w:rPr>
          <w:rFonts w:ascii="Times New Roman" w:cs="Times New Roman" w:eastAsia="Times New Roman" w:hAnsi="Times New Roman"/>
          <w:sz w:val="14"/>
          <w:szCs w:val="14"/>
          <w:color w:val="auto"/>
        </w:rPr>
        <w:t>The Nasdaq Stock Market became an independent registered</w:t>
      </w:r>
    </w:p>
    <w:p>
      <w:pPr>
        <w:spacing w:after="0" w:line="204" w:lineRule="auto"/>
        <w:rPr>
          <w:sz w:val="20"/>
          <w:szCs w:val="20"/>
          <w:color w:val="auto"/>
        </w:rPr>
      </w:pPr>
      <w:r>
        <w:rPr>
          <w:rFonts w:ascii="Times New Roman" w:cs="Times New Roman" w:eastAsia="Times New Roman" w:hAnsi="Times New Roman"/>
          <w:sz w:val="16"/>
          <w:szCs w:val="16"/>
          <w:color w:val="auto"/>
        </w:rPr>
        <w:t>national securities exchange in 2007.</w:t>
      </w:r>
    </w:p>
    <w:p>
      <w:pPr>
        <w:spacing w:after="0" w:line="203" w:lineRule="auto"/>
        <w:rPr>
          <w:sz w:val="20"/>
          <w:szCs w:val="20"/>
          <w:color w:val="auto"/>
        </w:rPr>
      </w:pPr>
      <w:r>
        <w:rPr>
          <w:rFonts w:ascii="Times New Roman" w:cs="Times New Roman" w:eastAsia="Times New Roman" w:hAnsi="Times New Roman"/>
          <w:sz w:val="16"/>
          <w:szCs w:val="16"/>
          <w:color w:val="auto"/>
        </w:rPr>
        <w:t>In February 2008, Nasdaq and OMX AB combined their</w:t>
      </w:r>
    </w:p>
    <w:p>
      <w:pPr>
        <w:spacing w:after="0" w:line="204" w:lineRule="auto"/>
        <w:rPr>
          <w:sz w:val="20"/>
          <w:szCs w:val="20"/>
          <w:color w:val="auto"/>
        </w:rPr>
      </w:pPr>
      <w:r>
        <w:rPr>
          <w:rFonts w:ascii="Times New Roman" w:cs="Times New Roman" w:eastAsia="Times New Roman" w:hAnsi="Times New Roman"/>
          <w:sz w:val="16"/>
          <w:szCs w:val="16"/>
          <w:color w:val="auto"/>
        </w:rPr>
        <w:t>businesses, leading to a transformational combination and</w:t>
      </w:r>
    </w:p>
    <w:p>
      <w:pPr>
        <w:spacing w:after="0" w:line="203" w:lineRule="auto"/>
        <w:rPr>
          <w:sz w:val="20"/>
          <w:szCs w:val="20"/>
          <w:color w:val="auto"/>
        </w:rPr>
      </w:pPr>
      <w:r>
        <w:rPr>
          <w:rFonts w:ascii="Times New Roman" w:cs="Times New Roman" w:eastAsia="Times New Roman" w:hAnsi="Times New Roman"/>
          <w:sz w:val="16"/>
          <w:szCs w:val="16"/>
          <w:color w:val="auto"/>
        </w:rPr>
        <w:t>expansion of our company from a U.S.-based exchange</w:t>
      </w:r>
    </w:p>
    <w:p>
      <w:pPr>
        <w:spacing w:after="0" w:line="204" w:lineRule="auto"/>
        <w:rPr>
          <w:sz w:val="20"/>
          <w:szCs w:val="20"/>
          <w:color w:val="auto"/>
        </w:rPr>
      </w:pPr>
      <w:r>
        <w:rPr>
          <w:rFonts w:ascii="Times New Roman" w:cs="Times New Roman" w:eastAsia="Times New Roman" w:hAnsi="Times New Roman"/>
          <w:sz w:val="16"/>
          <w:szCs w:val="16"/>
          <w:color w:val="auto"/>
        </w:rPr>
        <w:t>operator to a global exchange company offering technology</w:t>
      </w:r>
    </w:p>
    <w:p>
      <w:pPr>
        <w:spacing w:after="0" w:line="233" w:lineRule="auto"/>
        <w:rPr>
          <w:sz w:val="20"/>
          <w:szCs w:val="20"/>
          <w:color w:val="auto"/>
        </w:rPr>
      </w:pPr>
      <w:r>
        <w:rPr>
          <w:rFonts w:ascii="Times New Roman" w:cs="Times New Roman" w:eastAsia="Times New Roman" w:hAnsi="Times New Roman"/>
          <w:sz w:val="14"/>
          <w:szCs w:val="14"/>
          <w:color w:val="auto"/>
        </w:rPr>
        <w:t>that powers our own exchanges and markets as well as many</w:t>
      </w:r>
    </w:p>
    <w:p>
      <w:pPr>
        <w:spacing w:after="0" w:line="203" w:lineRule="auto"/>
        <w:rPr>
          <w:sz w:val="20"/>
          <w:szCs w:val="20"/>
          <w:color w:val="auto"/>
        </w:rPr>
      </w:pPr>
      <w:r>
        <w:rPr>
          <w:rFonts w:ascii="Times New Roman" w:cs="Times New Roman" w:eastAsia="Times New Roman" w:hAnsi="Times New Roman"/>
          <w:sz w:val="16"/>
          <w:szCs w:val="16"/>
          <w:color w:val="auto"/>
        </w:rPr>
        <w:t>other marketplaces around the world. Further, our</w:t>
      </w:r>
    </w:p>
    <w:p>
      <w:pPr>
        <w:spacing w:after="0" w:line="204" w:lineRule="auto"/>
        <w:rPr>
          <w:sz w:val="20"/>
          <w:szCs w:val="20"/>
          <w:color w:val="auto"/>
        </w:rPr>
      </w:pPr>
      <w:r>
        <w:rPr>
          <w:rFonts w:ascii="Times New Roman" w:cs="Times New Roman" w:eastAsia="Times New Roman" w:hAnsi="Times New Roman"/>
          <w:sz w:val="16"/>
          <w:szCs w:val="16"/>
          <w:color w:val="auto"/>
        </w:rPr>
        <w:t>transformation into a leading technology platform that</w:t>
      </w:r>
    </w:p>
    <w:p>
      <w:pPr>
        <w:spacing w:after="0" w:line="203" w:lineRule="auto"/>
        <w:rPr>
          <w:sz w:val="20"/>
          <w:szCs w:val="20"/>
          <w:color w:val="auto"/>
        </w:rPr>
      </w:pPr>
      <w:r>
        <w:rPr>
          <w:rFonts w:ascii="Times New Roman" w:cs="Times New Roman" w:eastAsia="Times New Roman" w:hAnsi="Times New Roman"/>
          <w:sz w:val="16"/>
          <w:szCs w:val="16"/>
          <w:color w:val="auto"/>
        </w:rPr>
        <w:t>powers the world’s economies gained momentum with the</w:t>
      </w:r>
    </w:p>
    <w:p>
      <w:pPr>
        <w:spacing w:after="0" w:line="233" w:lineRule="auto"/>
        <w:rPr>
          <w:sz w:val="20"/>
          <w:szCs w:val="20"/>
          <w:color w:val="auto"/>
        </w:rPr>
      </w:pPr>
      <w:r>
        <w:rPr>
          <w:rFonts w:ascii="Times New Roman" w:cs="Times New Roman" w:eastAsia="Times New Roman" w:hAnsi="Times New Roman"/>
          <w:sz w:val="14"/>
          <w:szCs w:val="14"/>
          <w:color w:val="auto"/>
        </w:rPr>
        <w:t>2021 acquisition of Verafin, followed by the 2023 acquisition</w:t>
      </w:r>
    </w:p>
    <w:p>
      <w:pPr>
        <w:spacing w:after="0" w:line="203" w:lineRule="auto"/>
        <w:rPr>
          <w:sz w:val="20"/>
          <w:szCs w:val="20"/>
          <w:color w:val="auto"/>
        </w:rPr>
      </w:pPr>
      <w:r>
        <w:rPr>
          <w:rFonts w:ascii="Times New Roman" w:cs="Times New Roman" w:eastAsia="Times New Roman" w:hAnsi="Times New Roman"/>
          <w:sz w:val="16"/>
          <w:szCs w:val="16"/>
          <w:color w:val="auto"/>
        </w:rPr>
        <w:t>of Adenza and its two flagship solutions, AxiomSL and</w:t>
      </w:r>
    </w:p>
    <w:p>
      <w:pPr>
        <w:spacing w:after="0" w:line="204" w:lineRule="auto"/>
        <w:rPr>
          <w:sz w:val="20"/>
          <w:szCs w:val="20"/>
          <w:color w:val="auto"/>
        </w:rPr>
      </w:pPr>
      <w:r>
        <w:rPr>
          <w:rFonts w:ascii="Times New Roman" w:cs="Times New Roman" w:eastAsia="Times New Roman" w:hAnsi="Times New Roman"/>
          <w:sz w:val="16"/>
          <w:szCs w:val="16"/>
          <w:color w:val="auto"/>
        </w:rPr>
        <w:t>Calypso. The seamless integration of these businesses</w:t>
      </w:r>
    </w:p>
    <w:p>
      <w:pPr>
        <w:spacing w:after="0" w:line="204" w:lineRule="auto"/>
        <w:rPr>
          <w:sz w:val="20"/>
          <w:szCs w:val="20"/>
          <w:color w:val="auto"/>
        </w:rPr>
      </w:pPr>
      <w:r>
        <w:rPr>
          <w:rFonts w:ascii="Times New Roman" w:cs="Times New Roman" w:eastAsia="Times New Roman" w:hAnsi="Times New Roman"/>
          <w:sz w:val="16"/>
          <w:szCs w:val="16"/>
          <w:color w:val="auto"/>
        </w:rPr>
        <w:t>allowed us to capitalize on our existing divisional structure,</w:t>
      </w:r>
    </w:p>
    <w:p>
      <w:pPr>
        <w:spacing w:after="0" w:line="203" w:lineRule="auto"/>
        <w:rPr>
          <w:sz w:val="20"/>
          <w:szCs w:val="20"/>
          <w:color w:val="auto"/>
        </w:rPr>
      </w:pPr>
      <w:r>
        <w:rPr>
          <w:rFonts w:ascii="Times New Roman" w:cs="Times New Roman" w:eastAsia="Times New Roman" w:hAnsi="Times New Roman"/>
          <w:sz w:val="16"/>
          <w:szCs w:val="16"/>
          <w:color w:val="auto"/>
        </w:rPr>
        <w:t>consolidated by a singular One Nasdaq go-to-market</w:t>
      </w:r>
    </w:p>
    <w:p>
      <w:pPr>
        <w:spacing w:after="0" w:line="204" w:lineRule="auto"/>
        <w:rPr>
          <w:sz w:val="20"/>
          <w:szCs w:val="20"/>
          <w:color w:val="auto"/>
        </w:rPr>
      </w:pPr>
      <w:r>
        <w:rPr>
          <w:rFonts w:ascii="Times New Roman" w:cs="Times New Roman" w:eastAsia="Times New Roman" w:hAnsi="Times New Roman"/>
          <w:sz w:val="16"/>
          <w:szCs w:val="16"/>
          <w:color w:val="auto"/>
        </w:rPr>
        <w:t>strategy.</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GROWTH STRATEGY</w:t>
      </w:r>
    </w:p>
    <w:p>
      <w:pPr>
        <w:spacing w:after="0" w:line="233" w:lineRule="auto"/>
        <w:rPr>
          <w:sz w:val="20"/>
          <w:szCs w:val="20"/>
          <w:color w:val="auto"/>
        </w:rPr>
      </w:pPr>
      <w:r>
        <w:rPr>
          <w:rFonts w:ascii="Times New Roman" w:cs="Times New Roman" w:eastAsia="Times New Roman" w:hAnsi="Times New Roman"/>
          <w:sz w:val="14"/>
          <w:szCs w:val="14"/>
          <w:color w:val="auto"/>
        </w:rPr>
        <w:t>To enable success in the evolving global financial system, we</w:t>
      </w:r>
    </w:p>
    <w:p>
      <w:pPr>
        <w:spacing w:after="0" w:line="203" w:lineRule="auto"/>
        <w:rPr>
          <w:sz w:val="20"/>
          <w:szCs w:val="20"/>
          <w:color w:val="auto"/>
        </w:rPr>
      </w:pPr>
      <w:r>
        <w:rPr>
          <w:rFonts w:ascii="Times New Roman" w:cs="Times New Roman" w:eastAsia="Times New Roman" w:hAnsi="Times New Roman"/>
          <w:sz w:val="16"/>
          <w:szCs w:val="16"/>
          <w:color w:val="auto"/>
        </w:rPr>
        <w:t>have established our purpose, vision, and value proposition</w:t>
      </w:r>
    </w:p>
    <w:p>
      <w:pPr>
        <w:spacing w:after="0" w:line="204" w:lineRule="auto"/>
        <w:rPr>
          <w:sz w:val="20"/>
          <w:szCs w:val="20"/>
          <w:color w:val="auto"/>
        </w:rPr>
      </w:pPr>
      <w:r>
        <w:rPr>
          <w:rFonts w:ascii="Times New Roman" w:cs="Times New Roman" w:eastAsia="Times New Roman" w:hAnsi="Times New Roman"/>
          <w:sz w:val="16"/>
          <w:szCs w:val="16"/>
          <w:color w:val="auto"/>
        </w:rPr>
        <w:t>together with a focused growth strategy:</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Purpose: </w:t>
      </w:r>
      <w:r>
        <w:rPr>
          <w:rFonts w:ascii="Times New Roman" w:cs="Times New Roman" w:eastAsia="Times New Roman" w:hAnsi="Times New Roman"/>
          <w:sz w:val="16"/>
          <w:szCs w:val="16"/>
          <w:color w:val="auto"/>
        </w:rPr>
        <w:t>We advance economic progress for all.</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Vision: </w:t>
      </w:r>
      <w:r>
        <w:rPr>
          <w:rFonts w:ascii="Times New Roman" w:cs="Times New Roman" w:eastAsia="Times New Roman" w:hAnsi="Times New Roman"/>
          <w:sz w:val="16"/>
          <w:szCs w:val="16"/>
          <w:color w:val="auto"/>
        </w:rPr>
        <w:t>We will be the trusted fabric of the world’s</w:t>
      </w:r>
    </w:p>
    <w:p>
      <w:pPr>
        <w:spacing w:after="0" w:line="204" w:lineRule="auto"/>
        <w:rPr>
          <w:sz w:val="20"/>
          <w:szCs w:val="20"/>
          <w:color w:val="auto"/>
        </w:rPr>
      </w:pPr>
      <w:r>
        <w:rPr>
          <w:rFonts w:ascii="Times New Roman" w:cs="Times New Roman" w:eastAsia="Times New Roman" w:hAnsi="Times New Roman"/>
          <w:sz w:val="16"/>
          <w:szCs w:val="16"/>
          <w:color w:val="auto"/>
        </w:rPr>
        <w:t>financial system.</w:t>
      </w:r>
    </w:p>
    <w:p>
      <w:pP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Value Proposition: </w:t>
      </w:r>
      <w:r>
        <w:rPr>
          <w:rFonts w:ascii="Times New Roman" w:cs="Times New Roman" w:eastAsia="Times New Roman" w:hAnsi="Times New Roman"/>
          <w:sz w:val="14"/>
          <w:szCs w:val="14"/>
          <w:color w:val="auto"/>
        </w:rPr>
        <w:t>We deliver world-leading platforms</w:t>
      </w:r>
    </w:p>
    <w:p>
      <w:pPr>
        <w:spacing w:after="0" w:line="204" w:lineRule="auto"/>
        <w:rPr>
          <w:sz w:val="20"/>
          <w:szCs w:val="20"/>
          <w:color w:val="auto"/>
        </w:rPr>
      </w:pPr>
      <w:r>
        <w:rPr>
          <w:rFonts w:ascii="Times New Roman" w:cs="Times New Roman" w:eastAsia="Times New Roman" w:hAnsi="Times New Roman"/>
          <w:sz w:val="16"/>
          <w:szCs w:val="16"/>
          <w:color w:val="auto"/>
        </w:rPr>
        <w:t>that advance the liquidity, transparency, and integrity of the</w:t>
      </w:r>
    </w:p>
    <w:p>
      <w:pPr>
        <w:spacing w:after="0" w:line="203" w:lineRule="auto"/>
        <w:rPr>
          <w:sz w:val="20"/>
          <w:szCs w:val="20"/>
          <w:color w:val="auto"/>
        </w:rPr>
      </w:pPr>
      <w:r>
        <w:rPr>
          <w:rFonts w:ascii="Times New Roman" w:cs="Times New Roman" w:eastAsia="Times New Roman" w:hAnsi="Times New Roman"/>
          <w:sz w:val="16"/>
          <w:szCs w:val="16"/>
          <w:color w:val="auto"/>
        </w:rPr>
        <w:t>global economy.</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Strategy: </w:t>
      </w:r>
      <w:r>
        <w:rPr>
          <w:rFonts w:ascii="Times New Roman" w:cs="Times New Roman" w:eastAsia="Times New Roman" w:hAnsi="Times New Roman"/>
          <w:sz w:val="14"/>
          <w:szCs w:val="14"/>
          <w:color w:val="auto"/>
        </w:rPr>
        <w:t>Our strategic direction is aimed at optimizing</w:t>
      </w:r>
    </w:p>
    <w:p>
      <w:pPr>
        <w:spacing w:after="0" w:line="204" w:lineRule="auto"/>
        <w:rPr>
          <w:sz w:val="20"/>
          <w:szCs w:val="20"/>
          <w:color w:val="auto"/>
        </w:rPr>
      </w:pPr>
      <w:r>
        <w:rPr>
          <w:rFonts w:ascii="Times New Roman" w:cs="Times New Roman" w:eastAsia="Times New Roman" w:hAnsi="Times New Roman"/>
          <w:sz w:val="16"/>
          <w:szCs w:val="16"/>
          <w:color w:val="auto"/>
        </w:rPr>
        <w:t>the deployment of resources, human capital, and financial</w:t>
      </w:r>
    </w:p>
    <w:p>
      <w:pPr>
        <w:spacing w:after="0" w:line="203" w:lineRule="auto"/>
        <w:rPr>
          <w:sz w:val="20"/>
          <w:szCs w:val="20"/>
          <w:color w:val="auto"/>
        </w:rPr>
      </w:pPr>
      <w:r>
        <w:rPr>
          <w:rFonts w:ascii="Times New Roman" w:cs="Times New Roman" w:eastAsia="Times New Roman" w:hAnsi="Times New Roman"/>
          <w:sz w:val="16"/>
          <w:szCs w:val="16"/>
          <w:color w:val="auto"/>
        </w:rPr>
        <w:t>assets towards our most promising growth opportunities.</w:t>
      </w:r>
    </w:p>
    <w:p>
      <w:pPr>
        <w:spacing w:after="0" w:line="204" w:lineRule="auto"/>
        <w:rPr>
          <w:sz w:val="20"/>
          <w:szCs w:val="20"/>
          <w:color w:val="auto"/>
        </w:rPr>
      </w:pPr>
      <w:r>
        <w:rPr>
          <w:rFonts w:ascii="Times New Roman" w:cs="Times New Roman" w:eastAsia="Times New Roman" w:hAnsi="Times New Roman"/>
          <w:sz w:val="16"/>
          <w:szCs w:val="16"/>
          <w:color w:val="auto"/>
        </w:rPr>
        <w:t>These opportunities, which we identified as substantial and</w:t>
      </w:r>
    </w:p>
    <w:p>
      <w:pPr>
        <w:spacing w:after="0" w:line="203" w:lineRule="auto"/>
        <w:rPr>
          <w:sz w:val="20"/>
          <w:szCs w:val="20"/>
          <w:color w:val="auto"/>
        </w:rPr>
      </w:pPr>
      <w:r>
        <w:rPr>
          <w:rFonts w:ascii="Times New Roman" w:cs="Times New Roman" w:eastAsia="Times New Roman" w:hAnsi="Times New Roman"/>
          <w:sz w:val="16"/>
          <w:szCs w:val="16"/>
          <w:color w:val="auto"/>
        </w:rPr>
        <w:t>expanding opportunities, included solutions for combating</w:t>
      </w:r>
    </w:p>
    <w:p>
      <w:pPr>
        <w:spacing w:after="0" w:line="204" w:lineRule="auto"/>
        <w:rPr>
          <w:sz w:val="20"/>
          <w:szCs w:val="20"/>
          <w:color w:val="auto"/>
        </w:rPr>
      </w:pPr>
      <w:r>
        <w:rPr>
          <w:rFonts w:ascii="Times New Roman" w:cs="Times New Roman" w:eastAsia="Times New Roman" w:hAnsi="Times New Roman"/>
          <w:sz w:val="16"/>
          <w:szCs w:val="16"/>
          <w:color w:val="auto"/>
        </w:rPr>
        <w:t>financial crime, compliance solutions, marketplace</w:t>
      </w:r>
    </w:p>
    <w:p>
      <w:pPr>
        <w:spacing w:after="0" w:line="203" w:lineRule="auto"/>
        <w:rPr>
          <w:sz w:val="20"/>
          <w:szCs w:val="20"/>
          <w:color w:val="auto"/>
        </w:rPr>
      </w:pPr>
      <w:r>
        <w:rPr>
          <w:rFonts w:ascii="Times New Roman" w:cs="Times New Roman" w:eastAsia="Times New Roman" w:hAnsi="Times New Roman"/>
          <w:sz w:val="16"/>
          <w:szCs w:val="16"/>
          <w:color w:val="auto"/>
        </w:rPr>
        <w:t>technology, workflow for investment managers and asset</w:t>
      </w:r>
    </w:p>
    <w:p>
      <w:pPr>
        <w:spacing w:after="0" w:line="204" w:lineRule="auto"/>
        <w:rPr>
          <w:sz w:val="20"/>
          <w:szCs w:val="20"/>
          <w:color w:val="auto"/>
        </w:rPr>
      </w:pPr>
      <w:r>
        <w:rPr>
          <w:rFonts w:ascii="Times New Roman" w:cs="Times New Roman" w:eastAsia="Times New Roman" w:hAnsi="Times New Roman"/>
          <w:sz w:val="16"/>
          <w:szCs w:val="16"/>
          <w:color w:val="auto"/>
        </w:rPr>
        <w:t>owners as well as insight solutions. Our strengths in</w:t>
      </w:r>
    </w:p>
    <w:p>
      <w:pPr>
        <w:spacing w:after="0" w:line="203" w:lineRule="auto"/>
        <w:rPr>
          <w:sz w:val="20"/>
          <w:szCs w:val="20"/>
          <w:color w:val="auto"/>
        </w:rPr>
      </w:pPr>
      <w:r>
        <w:rPr>
          <w:rFonts w:ascii="Times New Roman" w:cs="Times New Roman" w:eastAsia="Times New Roman" w:hAnsi="Times New Roman"/>
          <w:sz w:val="16"/>
          <w:szCs w:val="16"/>
          <w:color w:val="auto"/>
        </w:rPr>
        <w:t>technology, proprietary data, analytics, and capital markets</w:t>
      </w:r>
    </w:p>
    <w:p>
      <w:pPr>
        <w:spacing w:after="0" w:line="204" w:lineRule="auto"/>
        <w:rPr>
          <w:sz w:val="20"/>
          <w:szCs w:val="20"/>
          <w:color w:val="auto"/>
        </w:rPr>
      </w:pPr>
      <w:r>
        <w:rPr>
          <w:rFonts w:ascii="Times New Roman" w:cs="Times New Roman" w:eastAsia="Times New Roman" w:hAnsi="Times New Roman"/>
          <w:sz w:val="16"/>
          <w:szCs w:val="16"/>
          <w:color w:val="auto"/>
        </w:rPr>
        <w:t>expertise, in conjunction with our broad client base and</w:t>
      </w:r>
    </w:p>
    <w:p>
      <w:pPr>
        <w:spacing w:after="0" w:line="203" w:lineRule="auto"/>
        <w:rPr>
          <w:sz w:val="20"/>
          <w:szCs w:val="20"/>
          <w:color w:val="auto"/>
        </w:rPr>
      </w:pPr>
      <w:r>
        <w:rPr>
          <w:rFonts w:ascii="Times New Roman" w:cs="Times New Roman" w:eastAsia="Times New Roman" w:hAnsi="Times New Roman"/>
          <w:sz w:val="16"/>
          <w:szCs w:val="16"/>
          <w:color w:val="auto"/>
        </w:rPr>
        <w:t>innovative brand has positioned us favorably to meet the</w:t>
      </w:r>
    </w:p>
    <w:p>
      <w:pPr>
        <w:spacing w:after="0" w:line="233" w:lineRule="auto"/>
        <w:rPr>
          <w:sz w:val="20"/>
          <w:szCs w:val="20"/>
          <w:color w:val="auto"/>
        </w:rPr>
      </w:pPr>
      <w:r>
        <w:rPr>
          <w:rFonts w:ascii="Times New Roman" w:cs="Times New Roman" w:eastAsia="Times New Roman" w:hAnsi="Times New Roman"/>
          <w:sz w:val="14"/>
          <w:szCs w:val="14"/>
          <w:color w:val="auto"/>
        </w:rPr>
        <w:t>evolving demands of our clientele and deliver in a sustainable</w:t>
      </w:r>
    </w:p>
    <w:p>
      <w:pPr>
        <w:spacing w:after="0" w:line="204" w:lineRule="auto"/>
        <w:rPr>
          <w:sz w:val="20"/>
          <w:szCs w:val="20"/>
          <w:color w:val="auto"/>
        </w:rPr>
      </w:pPr>
      <w:r>
        <w:rPr>
          <w:rFonts w:ascii="Times New Roman" w:cs="Times New Roman" w:eastAsia="Times New Roman" w:hAnsi="Times New Roman"/>
          <w:sz w:val="16"/>
          <w:szCs w:val="16"/>
          <w:color w:val="auto"/>
        </w:rPr>
        <w:t>and scalable way.</w:t>
      </w:r>
    </w:p>
    <w:p>
      <w:pPr>
        <w:spacing w:after="0" w:line="203" w:lineRule="auto"/>
        <w:rPr>
          <w:sz w:val="20"/>
          <w:szCs w:val="20"/>
          <w:color w:val="auto"/>
        </w:rPr>
      </w:pPr>
      <w:r>
        <w:rPr>
          <w:rFonts w:ascii="Times New Roman" w:cs="Times New Roman" w:eastAsia="Times New Roman" w:hAnsi="Times New Roman"/>
          <w:sz w:val="16"/>
          <w:szCs w:val="16"/>
          <w:color w:val="auto"/>
        </w:rPr>
        <w:t>Through our platforms:</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We architect the world’s most modern markets</w:t>
      </w:r>
      <w:r>
        <w:rPr>
          <w:rFonts w:ascii="Times New Roman" w:cs="Times New Roman" w:eastAsia="Times New Roman" w:hAnsi="Times New Roman"/>
          <w:sz w:val="16"/>
          <w:szCs w:val="16"/>
          <w:color w:val="auto"/>
        </w:rPr>
        <w:t>: Our</w:t>
      </w:r>
    </w:p>
    <w:p>
      <w:pPr>
        <w:spacing w:after="0" w:line="203" w:lineRule="auto"/>
        <w:rPr>
          <w:sz w:val="20"/>
          <w:szCs w:val="20"/>
          <w:color w:val="auto"/>
        </w:rPr>
      </w:pPr>
      <w:r>
        <w:rPr>
          <w:rFonts w:ascii="Times New Roman" w:cs="Times New Roman" w:eastAsia="Times New Roman" w:hAnsi="Times New Roman"/>
          <w:sz w:val="16"/>
          <w:szCs w:val="16"/>
          <w:color w:val="auto"/>
        </w:rPr>
        <w:t>platform delivers scalable, interoperable solutions that can</w:t>
      </w:r>
    </w:p>
    <w:p>
      <w:pPr>
        <w:spacing w:after="0" w:line="204" w:lineRule="auto"/>
        <w:rPr>
          <w:sz w:val="20"/>
          <w:szCs w:val="20"/>
          <w:color w:val="auto"/>
        </w:rPr>
      </w:pPr>
      <w:r>
        <w:rPr>
          <w:rFonts w:ascii="Times New Roman" w:cs="Times New Roman" w:eastAsia="Times New Roman" w:hAnsi="Times New Roman"/>
          <w:sz w:val="16"/>
          <w:szCs w:val="16"/>
          <w:color w:val="auto"/>
        </w:rPr>
        <w:t>minimize friction, strengthen resilience, and enable market</w:t>
      </w:r>
    </w:p>
    <w:p>
      <w:pPr>
        <w:spacing w:after="0" w:line="203" w:lineRule="auto"/>
        <w:rPr>
          <w:sz w:val="20"/>
          <w:szCs w:val="20"/>
          <w:color w:val="auto"/>
        </w:rPr>
      </w:pPr>
      <w:r>
        <w:rPr>
          <w:rFonts w:ascii="Times New Roman" w:cs="Times New Roman" w:eastAsia="Times New Roman" w:hAnsi="Times New Roman"/>
          <w:sz w:val="16"/>
          <w:szCs w:val="16"/>
          <w:color w:val="auto"/>
        </w:rPr>
        <w:t>operators to drive innovation into local market</w:t>
      </w:r>
    </w:p>
    <w:p>
      <w:pPr>
        <w:spacing w:after="0" w:line="204" w:lineRule="auto"/>
        <w:rPr>
          <w:sz w:val="20"/>
          <w:szCs w:val="20"/>
          <w:color w:val="auto"/>
        </w:rPr>
      </w:pPr>
      <w:r>
        <w:rPr>
          <w:rFonts w:ascii="Times New Roman" w:cs="Times New Roman" w:eastAsia="Times New Roman" w:hAnsi="Times New Roman"/>
          <w:sz w:val="16"/>
          <w:szCs w:val="16"/>
          <w:color w:val="auto"/>
        </w:rPr>
        <w:t>environments. As a result, we believe our platform delivers</w:t>
      </w:r>
    </w:p>
    <w:p>
      <w:pPr>
        <w:spacing w:after="0" w:line="204" w:lineRule="auto"/>
        <w:rPr>
          <w:sz w:val="20"/>
          <w:szCs w:val="20"/>
          <w:color w:val="auto"/>
        </w:rPr>
      </w:pPr>
      <w:r>
        <w:rPr>
          <w:rFonts w:ascii="Times New Roman" w:cs="Times New Roman" w:eastAsia="Times New Roman" w:hAnsi="Times New Roman"/>
          <w:sz w:val="16"/>
          <w:szCs w:val="16"/>
          <w:color w:val="auto"/>
        </w:rPr>
        <w:t>highly advanced market infrastructure, enabling deeper</w:t>
      </w:r>
    </w:p>
    <w:p>
      <w:pPr>
        <w:spacing w:after="0" w:line="203" w:lineRule="auto"/>
        <w:rPr>
          <w:sz w:val="20"/>
          <w:szCs w:val="20"/>
          <w:color w:val="auto"/>
        </w:rPr>
      </w:pPr>
      <w:r>
        <w:rPr>
          <w:rFonts w:ascii="Times New Roman" w:cs="Times New Roman" w:eastAsia="Times New Roman" w:hAnsi="Times New Roman"/>
          <w:sz w:val="16"/>
          <w:szCs w:val="16"/>
          <w:color w:val="auto"/>
        </w:rPr>
        <w:t>liquidity and more seamless flows of capital across markets</w:t>
      </w:r>
    </w:p>
    <w:p>
      <w:pPr>
        <w:spacing w:after="0" w:line="204" w:lineRule="auto"/>
        <w:rPr>
          <w:sz w:val="20"/>
          <w:szCs w:val="20"/>
          <w:color w:val="auto"/>
        </w:rPr>
      </w:pPr>
      <w:r>
        <w:rPr>
          <w:rFonts w:ascii="Times New Roman" w:cs="Times New Roman" w:eastAsia="Times New Roman" w:hAnsi="Times New Roman"/>
          <w:sz w:val="16"/>
          <w:szCs w:val="16"/>
          <w:color w:val="auto"/>
        </w:rPr>
        <w:t>globally.</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We power the innovation economy</w:t>
      </w:r>
      <w:r>
        <w:rPr>
          <w:rFonts w:ascii="Times New Roman" w:cs="Times New Roman" w:eastAsia="Times New Roman" w:hAnsi="Times New Roman"/>
          <w:sz w:val="16"/>
          <w:szCs w:val="16"/>
          <w:color w:val="auto"/>
        </w:rPr>
        <w:t>: The world’s most</w:t>
      </w:r>
    </w:p>
    <w:p>
      <w:pPr>
        <w:spacing w:after="0" w:line="204" w:lineRule="auto"/>
        <w:rPr>
          <w:sz w:val="20"/>
          <w:szCs w:val="20"/>
          <w:color w:val="auto"/>
        </w:rPr>
      </w:pPr>
      <w:r>
        <w:rPr>
          <w:rFonts w:ascii="Times New Roman" w:cs="Times New Roman" w:eastAsia="Times New Roman" w:hAnsi="Times New Roman"/>
          <w:sz w:val="16"/>
          <w:szCs w:val="16"/>
          <w:color w:val="auto"/>
        </w:rPr>
        <w:t>dynamic economies are not defined by geography or size.</w:t>
      </w:r>
    </w:p>
    <w:p>
      <w:pPr>
        <w:spacing w:after="0" w:line="203" w:lineRule="auto"/>
        <w:rPr>
          <w:sz w:val="20"/>
          <w:szCs w:val="20"/>
          <w:color w:val="auto"/>
        </w:rPr>
      </w:pPr>
      <w:r>
        <w:rPr>
          <w:rFonts w:ascii="Times New Roman" w:cs="Times New Roman" w:eastAsia="Times New Roman" w:hAnsi="Times New Roman"/>
          <w:sz w:val="16"/>
          <w:szCs w:val="16"/>
          <w:color w:val="auto"/>
        </w:rPr>
        <w:t>They are defined by their ability to transform ideas into</w:t>
      </w:r>
    </w:p>
    <w:p>
      <w:pPr>
        <w:spacing w:after="0" w:line="204" w:lineRule="auto"/>
        <w:rPr>
          <w:sz w:val="20"/>
          <w:szCs w:val="20"/>
          <w:color w:val="auto"/>
        </w:rPr>
      </w:pPr>
      <w:r>
        <w:rPr>
          <w:rFonts w:ascii="Times New Roman" w:cs="Times New Roman" w:eastAsia="Times New Roman" w:hAnsi="Times New Roman"/>
          <w:sz w:val="16"/>
          <w:szCs w:val="16"/>
          <w:color w:val="auto"/>
        </w:rPr>
        <w:t>growth and allowing that innovation to scale. Nasdaq sits</w:t>
      </w:r>
    </w:p>
    <w:p>
      <w:pPr>
        <w:spacing w:after="0" w:line="203" w:lineRule="auto"/>
        <w:rPr>
          <w:sz w:val="20"/>
          <w:szCs w:val="20"/>
          <w:color w:val="auto"/>
        </w:rPr>
      </w:pPr>
      <w:r>
        <w:rPr>
          <w:rFonts w:ascii="Times New Roman" w:cs="Times New Roman" w:eastAsia="Times New Roman" w:hAnsi="Times New Roman"/>
          <w:sz w:val="16"/>
          <w:szCs w:val="16"/>
          <w:color w:val="auto"/>
        </w:rPr>
        <w:t>at the center of the world’s most dynamic innovation</w:t>
      </w:r>
    </w:p>
    <w:p>
      <w:pPr>
        <w:spacing w:after="0" w:line="204" w:lineRule="auto"/>
        <w:rPr>
          <w:sz w:val="20"/>
          <w:szCs w:val="20"/>
          <w:color w:val="auto"/>
        </w:rPr>
      </w:pPr>
      <w:r>
        <w:rPr>
          <w:rFonts w:ascii="Times New Roman" w:cs="Times New Roman" w:eastAsia="Times New Roman" w:hAnsi="Times New Roman"/>
          <w:sz w:val="16"/>
          <w:szCs w:val="16"/>
          <w:color w:val="auto"/>
        </w:rPr>
        <w:t>economies. We provide innovators and investors with the</w:t>
      </w:r>
    </w:p>
    <w:p>
      <w:pPr>
        <w:spacing w:after="0" w:line="204" w:lineRule="auto"/>
        <w:rPr>
          <w:sz w:val="20"/>
          <w:szCs w:val="20"/>
          <w:color w:val="auto"/>
        </w:rPr>
      </w:pPr>
      <w:r>
        <w:rPr>
          <w:rFonts w:ascii="Times New Roman" w:cs="Times New Roman" w:eastAsia="Times New Roman" w:hAnsi="Times New Roman"/>
          <w:sz w:val="16"/>
          <w:szCs w:val="16"/>
          <w:color w:val="auto"/>
        </w:rPr>
        <w:t>infrastructure, investment products, and data and insights</w:t>
      </w:r>
    </w:p>
    <w:p>
      <w:pPr>
        <w:spacing w:after="0" w:line="203" w:lineRule="auto"/>
        <w:rPr>
          <w:sz w:val="20"/>
          <w:szCs w:val="20"/>
          <w:color w:val="auto"/>
        </w:rPr>
      </w:pPr>
      <w:r>
        <w:rPr>
          <w:rFonts w:ascii="Times New Roman" w:cs="Times New Roman" w:eastAsia="Times New Roman" w:hAnsi="Times New Roman"/>
          <w:sz w:val="16"/>
          <w:szCs w:val="16"/>
          <w:color w:val="auto"/>
        </w:rPr>
        <w:t>that enable innovation to scale and investors to allocate</w:t>
      </w:r>
    </w:p>
    <w:p>
      <w:pPr>
        <w:spacing w:after="0" w:line="204" w:lineRule="auto"/>
        <w:rPr>
          <w:sz w:val="20"/>
          <w:szCs w:val="20"/>
          <w:color w:val="auto"/>
        </w:rPr>
      </w:pPr>
      <w:r>
        <w:rPr>
          <w:rFonts w:ascii="Times New Roman" w:cs="Times New Roman" w:eastAsia="Times New Roman" w:hAnsi="Times New Roman"/>
          <w:sz w:val="16"/>
          <w:szCs w:val="16"/>
          <w:color w:val="auto"/>
        </w:rPr>
        <w:t>with confidence.</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We build trust in the financial system</w:t>
      </w:r>
      <w:r>
        <w:rPr>
          <w:rFonts w:ascii="Times New Roman" w:cs="Times New Roman" w:eastAsia="Times New Roman" w:hAnsi="Times New Roman"/>
          <w:sz w:val="16"/>
          <w:szCs w:val="16"/>
          <w:color w:val="auto"/>
        </w:rPr>
        <w:t>: As risk becomes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more pervasive, interconnected, and embedded across the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Data &amp; Listing Services</w:t>
      </w:r>
    </w:p>
    <w:p>
      <w:pPr>
        <w:spacing w:after="0" w:line="204" w:lineRule="auto"/>
        <w:rPr>
          <w:sz w:val="20"/>
          <w:szCs w:val="20"/>
          <w:color w:val="auto"/>
        </w:rPr>
      </w:pPr>
      <w:r>
        <w:rPr>
          <w:rFonts w:ascii="Times New Roman" w:cs="Times New Roman" w:eastAsia="Times New Roman" w:hAnsi="Times New Roman"/>
          <w:sz w:val="16"/>
          <w:szCs w:val="16"/>
          <w:color w:val="auto"/>
        </w:rPr>
        <w:t>Our North American and European data products enhance</w:t>
      </w:r>
    </w:p>
    <w:p>
      <w:pPr>
        <w:spacing w:after="0" w:line="203" w:lineRule="auto"/>
        <w:rPr>
          <w:sz w:val="20"/>
          <w:szCs w:val="20"/>
          <w:color w:val="auto"/>
        </w:rPr>
      </w:pPr>
      <w:r>
        <w:rPr>
          <w:rFonts w:ascii="Times New Roman" w:cs="Times New Roman" w:eastAsia="Times New Roman" w:hAnsi="Times New Roman"/>
          <w:sz w:val="16"/>
          <w:szCs w:val="16"/>
          <w:color w:val="auto"/>
        </w:rPr>
        <w:t>transparency of market activity within our exchanges and</w:t>
      </w:r>
    </w:p>
    <w:p>
      <w:pPr>
        <w:spacing w:after="0" w:line="204" w:lineRule="auto"/>
        <w:rPr>
          <w:sz w:val="20"/>
          <w:szCs w:val="20"/>
          <w:color w:val="auto"/>
        </w:rPr>
      </w:pPr>
      <w:r>
        <w:rPr>
          <w:rFonts w:ascii="Times New Roman" w:cs="Times New Roman" w:eastAsia="Times New Roman" w:hAnsi="Times New Roman"/>
          <w:sz w:val="16"/>
          <w:szCs w:val="16"/>
          <w:color w:val="auto"/>
        </w:rPr>
        <w:t>provide critical information to professional and non-</w:t>
      </w:r>
    </w:p>
    <w:p>
      <w:pPr>
        <w:spacing w:after="0" w:line="232" w:lineRule="auto"/>
        <w:rPr>
          <w:sz w:val="20"/>
          <w:szCs w:val="20"/>
          <w:color w:val="auto"/>
        </w:rPr>
      </w:pPr>
      <w:r>
        <w:rPr>
          <w:rFonts w:ascii="Times New Roman" w:cs="Times New Roman" w:eastAsia="Times New Roman" w:hAnsi="Times New Roman"/>
          <w:sz w:val="14"/>
          <w:szCs w:val="14"/>
          <w:color w:val="auto"/>
        </w:rPr>
        <w:t>professional investors globally. Our Data business distributes</w:t>
      </w:r>
    </w:p>
    <w:p>
      <w:pPr>
        <w:spacing w:after="0" w:line="204" w:lineRule="auto"/>
        <w:rPr>
          <w:sz w:val="20"/>
          <w:szCs w:val="20"/>
          <w:color w:val="auto"/>
        </w:rPr>
      </w:pPr>
      <w:r>
        <w:rPr>
          <w:rFonts w:ascii="Times New Roman" w:cs="Times New Roman" w:eastAsia="Times New Roman" w:hAnsi="Times New Roman"/>
          <w:sz w:val="16"/>
          <w:szCs w:val="16"/>
          <w:color w:val="auto"/>
        </w:rPr>
        <w:t>historical and real-time market data to sell-side customers,</w:t>
      </w:r>
    </w:p>
    <w:p>
      <w:pPr>
        <w:spacing w:after="0" w:line="203" w:lineRule="auto"/>
        <w:rPr>
          <w:sz w:val="20"/>
          <w:szCs w:val="20"/>
          <w:color w:val="auto"/>
        </w:rPr>
      </w:pPr>
      <w:r>
        <w:rPr>
          <w:rFonts w:ascii="Times New Roman" w:cs="Times New Roman" w:eastAsia="Times New Roman" w:hAnsi="Times New Roman"/>
          <w:sz w:val="16"/>
          <w:szCs w:val="16"/>
          <w:color w:val="auto"/>
        </w:rPr>
        <w:t>the institutional investing community, retail online brokers,</w:t>
      </w:r>
    </w:p>
    <w:p>
      <w:pPr>
        <w:spacing w:after="0" w:line="204" w:lineRule="auto"/>
        <w:rPr>
          <w:sz w:val="20"/>
          <w:szCs w:val="20"/>
          <w:color w:val="auto"/>
        </w:rPr>
      </w:pPr>
      <w:r>
        <w:rPr>
          <w:rFonts w:ascii="Times New Roman" w:cs="Times New Roman" w:eastAsia="Times New Roman" w:hAnsi="Times New Roman"/>
          <w:sz w:val="16"/>
          <w:szCs w:val="16"/>
          <w:color w:val="auto"/>
        </w:rPr>
        <w:t>proprietary trading firms, and other venues, as well as</w:t>
      </w:r>
    </w:p>
    <w:p>
      <w:pPr>
        <w:spacing w:after="0" w:line="203" w:lineRule="auto"/>
        <w:rPr>
          <w:sz w:val="20"/>
          <w:szCs w:val="20"/>
          <w:color w:val="auto"/>
        </w:rPr>
      </w:pPr>
      <w:r>
        <w:rPr>
          <w:rFonts w:ascii="Times New Roman" w:cs="Times New Roman" w:eastAsia="Times New Roman" w:hAnsi="Times New Roman"/>
          <w:sz w:val="16"/>
          <w:szCs w:val="16"/>
          <w:color w:val="auto"/>
        </w:rPr>
        <w:t>internet portals and data distributors.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collect, process, and create information and earn</w:t>
      </w:r>
    </w:p>
    <w:p>
      <w:pPr>
        <w:sectPr>
          <w:pgSz w:w="11900" w:h="16840" w:orient="portrait"/>
          <w:cols w:equalWidth="0" w:num="1">
            <w:col w:w="9400"/>
          </w:cols>
          <w:pgMar w:left="1060" w:top="547" w:right="1440"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revenues as a distributor of our own, as well as select third-</w:t>
      </w:r>
    </w:p>
    <w:p>
      <w:pPr>
        <w:spacing w:after="0" w:line="203" w:lineRule="auto"/>
        <w:rPr>
          <w:sz w:val="20"/>
          <w:szCs w:val="20"/>
          <w:color w:val="auto"/>
        </w:rPr>
      </w:pPr>
      <w:r>
        <w:rPr>
          <w:rFonts w:ascii="Times New Roman" w:cs="Times New Roman" w:eastAsia="Times New Roman" w:hAnsi="Times New Roman"/>
          <w:sz w:val="16"/>
          <w:szCs w:val="16"/>
          <w:color w:val="auto"/>
        </w:rPr>
        <w:t>party, content. We provide varying levels of quote and trade</w:t>
      </w:r>
    </w:p>
    <w:p>
      <w:pPr>
        <w:spacing w:after="0" w:line="204" w:lineRule="auto"/>
        <w:rPr>
          <w:sz w:val="20"/>
          <w:szCs w:val="20"/>
          <w:color w:val="auto"/>
        </w:rPr>
      </w:pPr>
      <w:r>
        <w:rPr>
          <w:rFonts w:ascii="Times New Roman" w:cs="Times New Roman" w:eastAsia="Times New Roman" w:hAnsi="Times New Roman"/>
          <w:sz w:val="16"/>
          <w:szCs w:val="16"/>
          <w:color w:val="auto"/>
        </w:rPr>
        <w:t>information to market participants and to data distributors</w:t>
      </w:r>
    </w:p>
    <w:p>
      <w:pPr>
        <w:spacing w:after="0" w:line="203" w:lineRule="auto"/>
        <w:rPr>
          <w:sz w:val="20"/>
          <w:szCs w:val="20"/>
          <w:color w:val="auto"/>
        </w:rPr>
      </w:pPr>
      <w:r>
        <w:rPr>
          <w:rFonts w:ascii="Times New Roman" w:cs="Times New Roman" w:eastAsia="Times New Roman" w:hAnsi="Times New Roman"/>
          <w:sz w:val="16"/>
          <w:szCs w:val="16"/>
          <w:color w:val="auto"/>
        </w:rPr>
        <w:t>who in turn provide subscriptions for this information. Our</w:t>
      </w:r>
    </w:p>
    <w:p>
      <w:pPr>
        <w:spacing w:after="0" w:line="204" w:lineRule="auto"/>
        <w:rPr>
          <w:sz w:val="20"/>
          <w:szCs w:val="20"/>
          <w:color w:val="auto"/>
        </w:rPr>
      </w:pPr>
      <w:r>
        <w:rPr>
          <w:rFonts w:ascii="Times New Roman" w:cs="Times New Roman" w:eastAsia="Times New Roman" w:hAnsi="Times New Roman"/>
          <w:sz w:val="16"/>
          <w:szCs w:val="16"/>
          <w:color w:val="auto"/>
        </w:rPr>
        <w:t>systems enable distributors to gain access to our market</w:t>
      </w:r>
    </w:p>
    <w:p>
      <w:pPr>
        <w:spacing w:after="0" w:line="203" w:lineRule="auto"/>
        <w:rPr>
          <w:sz w:val="20"/>
          <w:szCs w:val="20"/>
          <w:color w:val="auto"/>
        </w:rPr>
      </w:pPr>
      <w:r>
        <w:rPr>
          <w:rFonts w:ascii="Times New Roman" w:cs="Times New Roman" w:eastAsia="Times New Roman" w:hAnsi="Times New Roman"/>
          <w:sz w:val="16"/>
          <w:szCs w:val="16"/>
          <w:color w:val="auto"/>
        </w:rPr>
        <w:t>depth, order imbalances, market sentiment and other</w:t>
      </w:r>
    </w:p>
    <w:p>
      <w:pPr>
        <w:spacing w:after="0" w:line="204" w:lineRule="auto"/>
        <w:rPr>
          <w:sz w:val="20"/>
          <w:szCs w:val="20"/>
          <w:color w:val="auto"/>
        </w:rPr>
      </w:pPr>
      <w:r>
        <w:rPr>
          <w:rFonts w:ascii="Times New Roman" w:cs="Times New Roman" w:eastAsia="Times New Roman" w:hAnsi="Times New Roman"/>
          <w:sz w:val="16"/>
          <w:szCs w:val="16"/>
          <w:color w:val="auto"/>
        </w:rPr>
        <w:t>analytical data.</w:t>
      </w:r>
    </w:p>
    <w:p>
      <w:pPr>
        <w:spacing w:after="0" w:line="203" w:lineRule="auto"/>
        <w:rPr>
          <w:sz w:val="20"/>
          <w:szCs w:val="20"/>
          <w:color w:val="auto"/>
        </w:rPr>
      </w:pPr>
      <w:r>
        <w:rPr>
          <w:rFonts w:ascii="Times New Roman" w:cs="Times New Roman" w:eastAsia="Times New Roman" w:hAnsi="Times New Roman"/>
          <w:sz w:val="16"/>
          <w:szCs w:val="16"/>
          <w:color w:val="auto"/>
        </w:rPr>
        <w:t>We distribute this proprietary market information to both</w:t>
      </w:r>
    </w:p>
    <w:p>
      <w:pPr>
        <w:spacing w:after="0" w:line="204" w:lineRule="auto"/>
        <w:rPr>
          <w:sz w:val="20"/>
          <w:szCs w:val="20"/>
          <w:color w:val="auto"/>
        </w:rPr>
      </w:pPr>
      <w:r>
        <w:rPr>
          <w:rFonts w:ascii="Times New Roman" w:cs="Times New Roman" w:eastAsia="Times New Roman" w:hAnsi="Times New Roman"/>
          <w:sz w:val="16"/>
          <w:szCs w:val="16"/>
          <w:color w:val="auto"/>
        </w:rPr>
        <w:t>market participants and non-participants through a number of</w:t>
      </w:r>
    </w:p>
    <w:p>
      <w:pPr>
        <w:spacing w:after="0" w:line="203" w:lineRule="auto"/>
        <w:rPr>
          <w:sz w:val="20"/>
          <w:szCs w:val="20"/>
          <w:color w:val="auto"/>
        </w:rPr>
      </w:pPr>
      <w:r>
        <w:rPr>
          <w:rFonts w:ascii="Times New Roman" w:cs="Times New Roman" w:eastAsia="Times New Roman" w:hAnsi="Times New Roman"/>
          <w:sz w:val="16"/>
          <w:szCs w:val="16"/>
          <w:color w:val="auto"/>
        </w:rPr>
        <w:t>proprietary products, including Nasdaq TotalView, our</w:t>
      </w:r>
    </w:p>
    <w:p>
      <w:pPr>
        <w:spacing w:after="0" w:line="204" w:lineRule="auto"/>
        <w:rPr>
          <w:sz w:val="20"/>
          <w:szCs w:val="20"/>
          <w:color w:val="auto"/>
        </w:rPr>
      </w:pPr>
      <w:r>
        <w:rPr>
          <w:rFonts w:ascii="Times New Roman" w:cs="Times New Roman" w:eastAsia="Times New Roman" w:hAnsi="Times New Roman"/>
          <w:sz w:val="16"/>
          <w:szCs w:val="16"/>
          <w:color w:val="auto"/>
        </w:rPr>
        <w:t>flagship market depth quote product. We offer TotalView</w:t>
      </w:r>
    </w:p>
    <w:p>
      <w:pPr>
        <w:spacing w:after="0" w:line="204" w:lineRule="auto"/>
        <w:rPr>
          <w:sz w:val="20"/>
          <w:szCs w:val="20"/>
          <w:color w:val="auto"/>
        </w:rPr>
      </w:pPr>
      <w:r>
        <w:rPr>
          <w:rFonts w:ascii="Times New Roman" w:cs="Times New Roman" w:eastAsia="Times New Roman" w:hAnsi="Times New Roman"/>
          <w:sz w:val="16"/>
          <w:szCs w:val="16"/>
          <w:color w:val="auto"/>
        </w:rPr>
        <w:t>products for The Nasdaq Stock Market and our Nasdaq BX</w:t>
      </w:r>
    </w:p>
    <w:p>
      <w:pPr>
        <w:spacing w:after="0" w:line="203" w:lineRule="auto"/>
        <w:rPr>
          <w:sz w:val="20"/>
          <w:szCs w:val="20"/>
          <w:color w:val="auto"/>
        </w:rPr>
      </w:pPr>
      <w:r>
        <w:rPr>
          <w:rFonts w:ascii="Times New Roman" w:cs="Times New Roman" w:eastAsia="Times New Roman" w:hAnsi="Times New Roman"/>
          <w:sz w:val="16"/>
          <w:szCs w:val="16"/>
          <w:color w:val="auto"/>
        </w:rPr>
        <w:t>and Nasdaq PSX markets. We also offer Nordic Equity</w:t>
      </w:r>
    </w:p>
    <w:p>
      <w:pPr>
        <w:spacing w:after="0" w:line="204" w:lineRule="auto"/>
        <w:rPr>
          <w:sz w:val="20"/>
          <w:szCs w:val="20"/>
          <w:color w:val="auto"/>
        </w:rPr>
      </w:pPr>
      <w:r>
        <w:rPr>
          <w:rFonts w:ascii="Times New Roman" w:cs="Times New Roman" w:eastAsia="Times New Roman" w:hAnsi="Times New Roman"/>
          <w:sz w:val="16"/>
          <w:szCs w:val="16"/>
          <w:color w:val="auto"/>
        </w:rPr>
        <w:t>TotalView, Nordic Derivatives TotalView and Nordic Fixed</w:t>
      </w:r>
    </w:p>
    <w:p>
      <w:pPr>
        <w:spacing w:after="0" w:line="203" w:lineRule="auto"/>
        <w:rPr>
          <w:sz w:val="20"/>
          <w:szCs w:val="20"/>
          <w:color w:val="auto"/>
        </w:rPr>
      </w:pPr>
      <w:r>
        <w:rPr>
          <w:rFonts w:ascii="Times New Roman" w:cs="Times New Roman" w:eastAsia="Times New Roman" w:hAnsi="Times New Roman"/>
          <w:sz w:val="16"/>
          <w:szCs w:val="16"/>
          <w:color w:val="auto"/>
        </w:rPr>
        <w:t>Income TotalView for Nordic markets.</w:t>
      </w:r>
    </w:p>
    <w:p>
      <w:pPr>
        <w:spacing w:after="0" w:line="204" w:lineRule="auto"/>
        <w:rPr>
          <w:sz w:val="20"/>
          <w:szCs w:val="20"/>
          <w:color w:val="auto"/>
        </w:rPr>
      </w:pPr>
      <w:r>
        <w:rPr>
          <w:rFonts w:ascii="Times New Roman" w:cs="Times New Roman" w:eastAsia="Times New Roman" w:hAnsi="Times New Roman"/>
          <w:sz w:val="16"/>
          <w:szCs w:val="16"/>
          <w:color w:val="auto"/>
        </w:rPr>
        <w:t>We operate several other proprietary services and data</w:t>
      </w:r>
    </w:p>
    <w:p>
      <w:pPr>
        <w:spacing w:after="0" w:line="203" w:lineRule="auto"/>
        <w:rPr>
          <w:sz w:val="20"/>
          <w:szCs w:val="20"/>
          <w:color w:val="auto"/>
        </w:rPr>
      </w:pPr>
      <w:r>
        <w:rPr>
          <w:rFonts w:ascii="Times New Roman" w:cs="Times New Roman" w:eastAsia="Times New Roman" w:hAnsi="Times New Roman"/>
          <w:sz w:val="16"/>
          <w:szCs w:val="16"/>
          <w:color w:val="auto"/>
        </w:rPr>
        <w:t>products to provide market information, including Nasdaq</w:t>
      </w:r>
    </w:p>
    <w:p>
      <w:pPr>
        <w:spacing w:after="0" w:line="204" w:lineRule="auto"/>
        <w:rPr>
          <w:sz w:val="20"/>
          <w:szCs w:val="20"/>
          <w:color w:val="auto"/>
        </w:rPr>
      </w:pPr>
      <w:r>
        <w:rPr>
          <w:rFonts w:ascii="Times New Roman" w:cs="Times New Roman" w:eastAsia="Times New Roman" w:hAnsi="Times New Roman"/>
          <w:sz w:val="16"/>
          <w:szCs w:val="16"/>
          <w:color w:val="auto"/>
        </w:rPr>
        <w:t>Basic, a lower cost alternative to the industry Level 1 feed</w:t>
      </w:r>
    </w:p>
    <w:p>
      <w:pPr>
        <w:spacing w:after="0" w:line="203" w:lineRule="auto"/>
        <w:rPr>
          <w:sz w:val="20"/>
          <w:szCs w:val="20"/>
          <w:color w:val="auto"/>
        </w:rPr>
      </w:pPr>
      <w:r>
        <w:rPr>
          <w:rFonts w:ascii="Times New Roman" w:cs="Times New Roman" w:eastAsia="Times New Roman" w:hAnsi="Times New Roman"/>
          <w:sz w:val="16"/>
          <w:szCs w:val="16"/>
          <w:color w:val="auto"/>
        </w:rPr>
        <w:t>and Nasdaq Canada Basic, a lower cost alternative to other</w:t>
      </w:r>
    </w:p>
    <w:p>
      <w:pPr>
        <w:spacing w:after="0" w:line="204" w:lineRule="auto"/>
        <w:rPr>
          <w:sz w:val="20"/>
          <w:szCs w:val="20"/>
          <w:color w:val="auto"/>
        </w:rPr>
      </w:pPr>
      <w:r>
        <w:rPr>
          <w:rFonts w:ascii="Times New Roman" w:cs="Times New Roman" w:eastAsia="Times New Roman" w:hAnsi="Times New Roman"/>
          <w:sz w:val="16"/>
          <w:szCs w:val="16"/>
          <w:color w:val="auto"/>
        </w:rPr>
        <w:t>data feeds. We also provide various other data, including data</w:t>
      </w:r>
    </w:p>
    <w:p>
      <w:pPr>
        <w:spacing w:after="0" w:line="204" w:lineRule="auto"/>
        <w:rPr>
          <w:sz w:val="20"/>
          <w:szCs w:val="20"/>
          <w:color w:val="auto"/>
        </w:rPr>
      </w:pPr>
      <w:r>
        <w:rPr>
          <w:rFonts w:ascii="Times New Roman" w:cs="Times New Roman" w:eastAsia="Times New Roman" w:hAnsi="Times New Roman"/>
          <w:sz w:val="16"/>
          <w:szCs w:val="16"/>
          <w:color w:val="auto"/>
        </w:rPr>
        <w:t>relating to our U.S. equities and options exchanges and</w:t>
      </w:r>
    </w:p>
    <w:p>
      <w:pPr>
        <w:spacing w:after="0" w:line="203" w:lineRule="auto"/>
        <w:rPr>
          <w:sz w:val="20"/>
          <w:szCs w:val="20"/>
          <w:color w:val="auto"/>
        </w:rPr>
      </w:pPr>
      <w:r>
        <w:rPr>
          <w:rFonts w:ascii="Times New Roman" w:cs="Times New Roman" w:eastAsia="Times New Roman" w:hAnsi="Times New Roman"/>
          <w:sz w:val="16"/>
          <w:szCs w:val="16"/>
          <w:color w:val="auto"/>
        </w:rPr>
        <w:t>Nordic equities, derivatives, fixed income and futures.</w:t>
      </w:r>
    </w:p>
    <w:p>
      <w:pPr>
        <w:spacing w:after="0" w:line="204" w:lineRule="auto"/>
        <w:rPr>
          <w:sz w:val="20"/>
          <w:szCs w:val="20"/>
          <w:color w:val="auto"/>
        </w:rPr>
      </w:pPr>
      <w:r>
        <w:rPr>
          <w:rFonts w:ascii="Times New Roman" w:cs="Times New Roman" w:eastAsia="Times New Roman" w:hAnsi="Times New Roman"/>
          <w:sz w:val="16"/>
          <w:szCs w:val="16"/>
          <w:color w:val="auto"/>
        </w:rPr>
        <w:t>We operate a variety of listing platforms around the world to</w:t>
      </w:r>
    </w:p>
    <w:p>
      <w:pPr>
        <w:spacing w:after="0" w:line="203" w:lineRule="auto"/>
        <w:rPr>
          <w:sz w:val="20"/>
          <w:szCs w:val="20"/>
          <w:color w:val="auto"/>
        </w:rPr>
      </w:pPr>
      <w:r>
        <w:rPr>
          <w:rFonts w:ascii="Times New Roman" w:cs="Times New Roman" w:eastAsia="Times New Roman" w:hAnsi="Times New Roman"/>
          <w:sz w:val="16"/>
          <w:szCs w:val="16"/>
          <w:color w:val="auto"/>
        </w:rPr>
        <w:t>provide multiple global capital raising solutions for public</w:t>
      </w:r>
    </w:p>
    <w:p>
      <w:pPr>
        <w:spacing w:after="0" w:line="204" w:lineRule="auto"/>
        <w:rPr>
          <w:sz w:val="20"/>
          <w:szCs w:val="20"/>
          <w:color w:val="auto"/>
        </w:rPr>
      </w:pPr>
      <w:r>
        <w:rPr>
          <w:rFonts w:ascii="Times New Roman" w:cs="Times New Roman" w:eastAsia="Times New Roman" w:hAnsi="Times New Roman"/>
          <w:sz w:val="16"/>
          <w:szCs w:val="16"/>
          <w:color w:val="auto"/>
        </w:rPr>
        <w:t>companies. Companies listed on our markets represent a</w:t>
      </w:r>
    </w:p>
    <w:p>
      <w:pPr>
        <w:spacing w:after="0" w:line="203" w:lineRule="auto"/>
        <w:rPr>
          <w:sz w:val="20"/>
          <w:szCs w:val="20"/>
          <w:color w:val="auto"/>
        </w:rPr>
      </w:pPr>
      <w:r>
        <w:rPr>
          <w:rFonts w:ascii="Times New Roman" w:cs="Times New Roman" w:eastAsia="Times New Roman" w:hAnsi="Times New Roman"/>
          <w:sz w:val="16"/>
          <w:szCs w:val="16"/>
          <w:color w:val="auto"/>
        </w:rPr>
        <w:t>diverse array of industries including, among others,</w:t>
      </w:r>
    </w:p>
    <w:p>
      <w:pPr>
        <w:spacing w:after="0" w:line="204" w:lineRule="auto"/>
        <w:rPr>
          <w:sz w:val="20"/>
          <w:szCs w:val="20"/>
          <w:color w:val="auto"/>
        </w:rPr>
      </w:pPr>
      <w:r>
        <w:rPr>
          <w:rFonts w:ascii="Times New Roman" w:cs="Times New Roman" w:eastAsia="Times New Roman" w:hAnsi="Times New Roman"/>
          <w:sz w:val="16"/>
          <w:szCs w:val="16"/>
          <w:color w:val="auto"/>
        </w:rPr>
        <w:t>healthcare, consumer products, telecommunication services,</w:t>
      </w:r>
    </w:p>
    <w:p>
      <w:pPr>
        <w:spacing w:after="0" w:line="203" w:lineRule="auto"/>
        <w:rPr>
          <w:sz w:val="20"/>
          <w:szCs w:val="20"/>
          <w:color w:val="auto"/>
        </w:rPr>
      </w:pPr>
      <w:r>
        <w:rPr>
          <w:rFonts w:ascii="Times New Roman" w:cs="Times New Roman" w:eastAsia="Times New Roman" w:hAnsi="Times New Roman"/>
          <w:sz w:val="16"/>
          <w:szCs w:val="16"/>
          <w:color w:val="auto"/>
        </w:rPr>
        <w:t>information technology, financial services, industrials and</w:t>
      </w:r>
    </w:p>
    <w:p>
      <w:pPr>
        <w:spacing w:after="0" w:line="204" w:lineRule="auto"/>
        <w:rPr>
          <w:sz w:val="20"/>
          <w:szCs w:val="20"/>
          <w:color w:val="auto"/>
        </w:rPr>
      </w:pPr>
      <w:r>
        <w:rPr>
          <w:rFonts w:ascii="Times New Roman" w:cs="Times New Roman" w:eastAsia="Times New Roman" w:hAnsi="Times New Roman"/>
          <w:sz w:val="16"/>
          <w:szCs w:val="16"/>
          <w:color w:val="auto"/>
        </w:rPr>
        <w:t>energy. Our main listing markets are The Nasdaq Stock</w:t>
      </w:r>
    </w:p>
    <w:p>
      <w:pPr>
        <w:spacing w:after="0" w:line="203" w:lineRule="auto"/>
        <w:rPr>
          <w:sz w:val="20"/>
          <w:szCs w:val="20"/>
          <w:color w:val="auto"/>
        </w:rPr>
      </w:pPr>
      <w:r>
        <w:rPr>
          <w:rFonts w:ascii="Times New Roman" w:cs="Times New Roman" w:eastAsia="Times New Roman" w:hAnsi="Times New Roman"/>
          <w:sz w:val="16"/>
          <w:szCs w:val="16"/>
          <w:color w:val="auto"/>
        </w:rPr>
        <w:t>Market and the Nasdaq Nordic and Nasdaq Baltic exchanges.</w:t>
      </w:r>
    </w:p>
    <w:p>
      <w:pPr>
        <w:spacing w:after="0" w:line="204" w:lineRule="auto"/>
        <w:rPr>
          <w:sz w:val="20"/>
          <w:szCs w:val="20"/>
          <w:color w:val="auto"/>
        </w:rPr>
      </w:pPr>
      <w:r>
        <w:rPr>
          <w:rFonts w:ascii="Times New Roman" w:cs="Times New Roman" w:eastAsia="Times New Roman" w:hAnsi="Times New Roman"/>
          <w:sz w:val="16"/>
          <w:szCs w:val="16"/>
          <w:color w:val="auto"/>
        </w:rPr>
        <w:t>Companies seeking to list securities on The Nasdaq Stock</w:t>
      </w:r>
    </w:p>
    <w:p>
      <w:pPr>
        <w:spacing w:after="0" w:line="204" w:lineRule="auto"/>
        <w:rPr>
          <w:sz w:val="20"/>
          <w:szCs w:val="20"/>
          <w:color w:val="auto"/>
        </w:rPr>
      </w:pPr>
      <w:r>
        <w:rPr>
          <w:rFonts w:ascii="Times New Roman" w:cs="Times New Roman" w:eastAsia="Times New Roman" w:hAnsi="Times New Roman"/>
          <w:sz w:val="16"/>
          <w:szCs w:val="16"/>
          <w:color w:val="auto"/>
        </w:rPr>
        <w:t>Market may do so on one of the three market tiers: The</w:t>
      </w:r>
    </w:p>
    <w:p>
      <w:pPr>
        <w:spacing w:after="0" w:line="203" w:lineRule="auto"/>
        <w:rPr>
          <w:sz w:val="20"/>
          <w:szCs w:val="20"/>
          <w:color w:val="auto"/>
        </w:rPr>
      </w:pPr>
      <w:r>
        <w:rPr>
          <w:rFonts w:ascii="Times New Roman" w:cs="Times New Roman" w:eastAsia="Times New Roman" w:hAnsi="Times New Roman"/>
          <w:sz w:val="16"/>
          <w:szCs w:val="16"/>
          <w:color w:val="auto"/>
        </w:rPr>
        <w:t>Nasdaq Global Select Market, The Nasdaq Global Market, or</w:t>
      </w:r>
    </w:p>
    <w:p>
      <w:pPr>
        <w:spacing w:after="0" w:line="204" w:lineRule="auto"/>
        <w:rPr>
          <w:sz w:val="20"/>
          <w:szCs w:val="20"/>
          <w:color w:val="auto"/>
        </w:rPr>
      </w:pPr>
      <w:r>
        <w:rPr>
          <w:rFonts w:ascii="Times New Roman" w:cs="Times New Roman" w:eastAsia="Times New Roman" w:hAnsi="Times New Roman"/>
          <w:sz w:val="16"/>
          <w:szCs w:val="16"/>
          <w:color w:val="auto"/>
        </w:rPr>
        <w:t>The Nasdaq Capital Market. To qualify, companies must</w:t>
      </w:r>
    </w:p>
    <w:p>
      <w:pPr>
        <w:spacing w:after="0" w:line="203" w:lineRule="auto"/>
        <w:rPr>
          <w:sz w:val="20"/>
          <w:szCs w:val="20"/>
          <w:color w:val="auto"/>
        </w:rPr>
      </w:pPr>
      <w:r>
        <w:rPr>
          <w:rFonts w:ascii="Times New Roman" w:cs="Times New Roman" w:eastAsia="Times New Roman" w:hAnsi="Times New Roman"/>
          <w:sz w:val="16"/>
          <w:szCs w:val="16"/>
          <w:color w:val="auto"/>
        </w:rPr>
        <w:t>meet minimum listing requirements, including specified</w:t>
      </w:r>
    </w:p>
    <w:p>
      <w:pPr>
        <w:spacing w:after="0" w:line="204" w:lineRule="auto"/>
        <w:rPr>
          <w:sz w:val="20"/>
          <w:szCs w:val="20"/>
          <w:color w:val="auto"/>
        </w:rPr>
      </w:pPr>
      <w:r>
        <w:rPr>
          <w:rFonts w:ascii="Times New Roman" w:cs="Times New Roman" w:eastAsia="Times New Roman" w:hAnsi="Times New Roman"/>
          <w:sz w:val="16"/>
          <w:szCs w:val="16"/>
          <w:color w:val="auto"/>
        </w:rPr>
        <w:t>financial and corporate governance criteria. Once listed,</w:t>
      </w:r>
    </w:p>
    <w:p>
      <w:pPr>
        <w:spacing w:after="0" w:line="203" w:lineRule="auto"/>
        <w:rPr>
          <w:sz w:val="20"/>
          <w:szCs w:val="20"/>
          <w:color w:val="auto"/>
        </w:rPr>
      </w:pPr>
      <w:r>
        <w:rPr>
          <w:rFonts w:ascii="Times New Roman" w:cs="Times New Roman" w:eastAsia="Times New Roman" w:hAnsi="Times New Roman"/>
          <w:sz w:val="16"/>
          <w:szCs w:val="16"/>
          <w:color w:val="auto"/>
        </w:rPr>
        <w:t>companies must maintain rigorous listing and corporate</w:t>
      </w:r>
    </w:p>
    <w:p>
      <w:pPr>
        <w:spacing w:after="0" w:line="204" w:lineRule="auto"/>
        <w:rPr>
          <w:sz w:val="20"/>
          <w:szCs w:val="20"/>
          <w:color w:val="auto"/>
        </w:rPr>
      </w:pPr>
      <w:r>
        <w:rPr>
          <w:rFonts w:ascii="Times New Roman" w:cs="Times New Roman" w:eastAsia="Times New Roman" w:hAnsi="Times New Roman"/>
          <w:sz w:val="16"/>
          <w:szCs w:val="16"/>
          <w:color w:val="auto"/>
        </w:rPr>
        <w:t>governance standards.</w:t>
      </w:r>
    </w:p>
    <w:p>
      <w:pPr>
        <w:spacing w:after="0" w:line="203" w:lineRule="auto"/>
        <w:rPr>
          <w:sz w:val="20"/>
          <w:szCs w:val="20"/>
          <w:color w:val="auto"/>
        </w:rPr>
      </w:pPr>
      <w:r>
        <w:rPr>
          <w:rFonts w:ascii="Times New Roman" w:cs="Times New Roman" w:eastAsia="Times New Roman" w:hAnsi="Times New Roman"/>
          <w:sz w:val="16"/>
          <w:szCs w:val="16"/>
          <w:color w:val="auto"/>
        </w:rPr>
        <w:t>As of December 31, 2025, a total of 5,599 companies listed</w:t>
      </w:r>
    </w:p>
    <w:p>
      <w:pPr>
        <w:spacing w:after="0" w:line="204" w:lineRule="auto"/>
        <w:rPr>
          <w:sz w:val="20"/>
          <w:szCs w:val="20"/>
          <w:color w:val="auto"/>
        </w:rPr>
      </w:pPr>
      <w:r>
        <w:rPr>
          <w:rFonts w:ascii="Times New Roman" w:cs="Times New Roman" w:eastAsia="Times New Roman" w:hAnsi="Times New Roman"/>
          <w:sz w:val="16"/>
          <w:szCs w:val="16"/>
          <w:color w:val="auto"/>
        </w:rPr>
        <w:t>securities on our U.S., Nasdaq Nordic, Nasdaq Baltic and</w:t>
      </w:r>
    </w:p>
    <w:p>
      <w:pPr>
        <w:spacing w:after="0" w:line="204" w:lineRule="auto"/>
        <w:rPr>
          <w:sz w:val="20"/>
          <w:szCs w:val="20"/>
          <w:color w:val="auto"/>
        </w:rPr>
      </w:pPr>
      <w:r>
        <w:rPr>
          <w:rFonts w:ascii="Times New Roman" w:cs="Times New Roman" w:eastAsia="Times New Roman" w:hAnsi="Times New Roman"/>
          <w:sz w:val="16"/>
          <w:szCs w:val="16"/>
          <w:color w:val="auto"/>
        </w:rPr>
        <w:t>Nasdaq First North exchanges. As of December 31, 2025, a</w:t>
      </w:r>
    </w:p>
    <w:p>
      <w:pPr>
        <w:spacing w:after="0" w:line="203" w:lineRule="auto"/>
        <w:rPr>
          <w:sz w:val="20"/>
          <w:szCs w:val="20"/>
          <w:color w:val="auto"/>
        </w:rPr>
      </w:pPr>
      <w:r>
        <w:rPr>
          <w:rFonts w:ascii="Times New Roman" w:cs="Times New Roman" w:eastAsia="Times New Roman" w:hAnsi="Times New Roman"/>
          <w:sz w:val="16"/>
          <w:szCs w:val="16"/>
          <w:color w:val="auto"/>
        </w:rPr>
        <w:t>total of 4,480 companies listed securities on The Nasdaq</w:t>
      </w:r>
    </w:p>
    <w:p>
      <w:pPr>
        <w:spacing w:after="0" w:line="204" w:lineRule="auto"/>
        <w:rPr>
          <w:sz w:val="20"/>
          <w:szCs w:val="20"/>
          <w:color w:val="auto"/>
        </w:rPr>
      </w:pPr>
      <w:r>
        <w:rPr>
          <w:rFonts w:ascii="Times New Roman" w:cs="Times New Roman" w:eastAsia="Times New Roman" w:hAnsi="Times New Roman"/>
          <w:sz w:val="16"/>
          <w:szCs w:val="16"/>
          <w:color w:val="auto"/>
        </w:rPr>
        <w:t>Stock Market, with 1,316 listings on The Nasdaq Global</w:t>
      </w:r>
    </w:p>
    <w:p>
      <w:pPr>
        <w:spacing w:after="0" w:line="203" w:lineRule="auto"/>
        <w:rPr>
          <w:sz w:val="20"/>
          <w:szCs w:val="20"/>
          <w:color w:val="auto"/>
        </w:rPr>
      </w:pPr>
      <w:r>
        <w:rPr>
          <w:rFonts w:ascii="Times New Roman" w:cs="Times New Roman" w:eastAsia="Times New Roman" w:hAnsi="Times New Roman"/>
          <w:sz w:val="16"/>
          <w:szCs w:val="16"/>
          <w:color w:val="auto"/>
        </w:rPr>
        <w:t>Select Market, 1,750 on The Nasdaq Global Market and</w:t>
      </w:r>
    </w:p>
    <w:p>
      <w:pPr>
        <w:spacing w:after="0" w:line="204" w:lineRule="auto"/>
        <w:rPr>
          <w:sz w:val="20"/>
          <w:szCs w:val="20"/>
          <w:color w:val="auto"/>
        </w:rPr>
      </w:pPr>
      <w:r>
        <w:rPr>
          <w:rFonts w:ascii="Times New Roman" w:cs="Times New Roman" w:eastAsia="Times New Roman" w:hAnsi="Times New Roman"/>
          <w:sz w:val="16"/>
          <w:szCs w:val="16"/>
          <w:color w:val="auto"/>
        </w:rPr>
        <w:t>1,414 on The Nasdaq Capital Market.</w:t>
      </w:r>
    </w:p>
    <w:p>
      <w:pPr>
        <w:spacing w:after="0" w:line="203" w:lineRule="auto"/>
        <w:rPr>
          <w:sz w:val="20"/>
          <w:szCs w:val="20"/>
          <w:color w:val="auto"/>
        </w:rPr>
      </w:pPr>
      <w:r>
        <w:rPr>
          <w:rFonts w:ascii="Times New Roman" w:cs="Times New Roman" w:eastAsia="Times New Roman" w:hAnsi="Times New Roman"/>
          <w:sz w:val="16"/>
          <w:szCs w:val="16"/>
          <w:color w:val="auto"/>
        </w:rPr>
        <w:t>In the U.S., we seek new listings from companies conducting</w:t>
      </w:r>
    </w:p>
    <w:p>
      <w:pPr>
        <w:spacing w:after="0" w:line="204" w:lineRule="auto"/>
        <w:rPr>
          <w:sz w:val="20"/>
          <w:szCs w:val="20"/>
          <w:color w:val="auto"/>
        </w:rPr>
      </w:pPr>
      <w:r>
        <w:rPr>
          <w:rFonts w:ascii="Times New Roman" w:cs="Times New Roman" w:eastAsia="Times New Roman" w:hAnsi="Times New Roman"/>
          <w:sz w:val="16"/>
          <w:szCs w:val="16"/>
          <w:color w:val="auto"/>
        </w:rPr>
        <w:t>IPOs, including SPACs, and direct listings as well as</w:t>
      </w:r>
    </w:p>
    <w:p>
      <w:pPr>
        <w:spacing w:after="0" w:line="203" w:lineRule="auto"/>
        <w:rPr>
          <w:sz w:val="20"/>
          <w:szCs w:val="20"/>
          <w:color w:val="auto"/>
        </w:rPr>
      </w:pPr>
      <w:r>
        <w:rPr>
          <w:rFonts w:ascii="Times New Roman" w:cs="Times New Roman" w:eastAsia="Times New Roman" w:hAnsi="Times New Roman"/>
          <w:sz w:val="16"/>
          <w:szCs w:val="16"/>
          <w:color w:val="auto"/>
        </w:rPr>
        <w:t>companies looking to switch from alternative exchanges. The</w:t>
      </w:r>
    </w:p>
    <w:p>
      <w:pPr>
        <w:spacing w:after="0" w:line="220" w:lineRule="auto"/>
        <w:rPr>
          <w:sz w:val="20"/>
          <w:szCs w:val="20"/>
          <w:color w:val="auto"/>
        </w:rPr>
      </w:pPr>
      <w:r>
        <w:rPr>
          <w:rFonts w:ascii="Times New Roman" w:cs="Times New Roman" w:eastAsia="Times New Roman" w:hAnsi="Times New Roman"/>
          <w:sz w:val="16"/>
          <w:szCs w:val="16"/>
          <w:color w:val="auto"/>
        </w:rPr>
        <w:t>2025 new listings were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545715" cy="144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5715" cy="1447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The Nasdaq Stock Market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Operating company IPOs</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155</w:t>
            </w:r>
          </w:p>
        </w:tc>
      </w:tr>
      <w:tr>
        <w:trPr>
          <w:trHeight w:val="38"/>
        </w:trPr>
        <w:tc>
          <w:tcPr>
            <w:tcW w:w="34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8"/>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SPAC IPOs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126</w:t>
            </w:r>
          </w:p>
        </w:tc>
      </w:tr>
      <w:tr>
        <w:trPr>
          <w:trHeight w:val="144"/>
        </w:trPr>
        <w:tc>
          <w:tcPr>
            <w:tcW w:w="34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Switches from the New York Stock Exchange</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20</w:t>
            </w:r>
          </w:p>
        </w:tc>
      </w:tr>
      <w:tr>
        <w:trPr>
          <w:trHeight w:val="156"/>
        </w:trPr>
        <w:tc>
          <w:tcPr>
            <w:tcW w:w="34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LLC, or NYSE, and the NYSE American LLC, or</w:t>
            </w:r>
          </w:p>
        </w:tc>
        <w:tc>
          <w:tcPr>
            <w:tcW w:w="580" w:type="dxa"/>
            <w:vAlign w:val="bottom"/>
          </w:tcPr>
          <w:p>
            <w:pPr>
              <w:spacing w:after="0"/>
              <w:rPr>
                <w:sz w:val="13"/>
                <w:szCs w:val="13"/>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NYSE American</w:t>
            </w:r>
          </w:p>
        </w:tc>
        <w:tc>
          <w:tcPr>
            <w:tcW w:w="580" w:type="dxa"/>
            <w:vAlign w:val="bottom"/>
          </w:tcPr>
          <w:p>
            <w:pPr>
              <w:spacing w:after="0"/>
              <w:rPr>
                <w:sz w:val="17"/>
                <w:szCs w:val="17"/>
                <w:color w:val="auto"/>
              </w:rPr>
            </w:pPr>
          </w:p>
        </w:tc>
      </w:tr>
      <w:tr>
        <w:trPr>
          <w:trHeight w:val="25"/>
        </w:trPr>
        <w:tc>
          <w:tcPr>
            <w:tcW w:w="34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8"/>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Upgrades from OTC</w:t>
            </w: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ETPs and Other Listings</w:t>
            </w: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452</w:t>
            </w:r>
          </w:p>
        </w:tc>
      </w:tr>
      <w:tr>
        <w:trPr>
          <w:trHeight w:val="25"/>
        </w:trPr>
        <w:tc>
          <w:tcPr>
            <w:tcW w:w="34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8"/>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784</w:t>
            </w:r>
          </w:p>
        </w:tc>
      </w:tr>
    </w:tbl>
    <w:p>
      <w:pPr>
        <w:spacing w:after="0" w:line="225" w:lineRule="auto"/>
        <w:rPr>
          <w:sz w:val="20"/>
          <w:szCs w:val="20"/>
          <w:color w:val="auto"/>
        </w:rPr>
      </w:pPr>
      <w:r>
        <w:rPr>
          <w:rFonts w:ascii="Times New Roman" w:cs="Times New Roman" w:eastAsia="Times New Roman" w:hAnsi="Times New Roman"/>
          <w:sz w:val="16"/>
          <w:szCs w:val="16"/>
          <w:color w:val="auto"/>
        </w:rPr>
        <w:t>During 2025, we had 20 new listings resulting from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-100965</wp:posOffset>
            </wp:positionV>
            <wp:extent cx="3657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companies switching their listings from NYSE or NYSE</w:t>
      </w:r>
    </w:p>
    <w:p>
      <w:pPr>
        <w:spacing w:after="0" w:line="203" w:lineRule="auto"/>
        <w:rPr>
          <w:sz w:val="20"/>
          <w:szCs w:val="20"/>
          <w:color w:val="auto"/>
        </w:rPr>
      </w:pPr>
      <w:r>
        <w:rPr>
          <w:rFonts w:ascii="Times New Roman" w:cs="Times New Roman" w:eastAsia="Times New Roman" w:hAnsi="Times New Roman"/>
          <w:sz w:val="16"/>
          <w:szCs w:val="16"/>
          <w:color w:val="auto"/>
        </w:rPr>
        <w:t>American to join The Nasdaq Stock Market as well as 5 ETP</w:t>
      </w:r>
    </w:p>
    <w:p>
      <w:pPr>
        <w:spacing w:after="0" w:line="204" w:lineRule="auto"/>
        <w:rPr>
          <w:sz w:val="20"/>
          <w:szCs w:val="20"/>
          <w:color w:val="auto"/>
        </w:rPr>
      </w:pPr>
      <w:r>
        <w:rPr>
          <w:rFonts w:ascii="Times New Roman" w:cs="Times New Roman" w:eastAsia="Times New Roman" w:hAnsi="Times New Roman"/>
          <w:sz w:val="16"/>
          <w:szCs w:val="16"/>
          <w:color w:val="auto"/>
        </w:rPr>
        <w:t>switches, included in ETPs and other listings in the table</w:t>
      </w:r>
    </w:p>
    <w:p>
      <w:pPr>
        <w:spacing w:after="0" w:line="203" w:lineRule="auto"/>
        <w:rPr>
          <w:sz w:val="20"/>
          <w:szCs w:val="20"/>
          <w:color w:val="auto"/>
        </w:rPr>
      </w:pPr>
      <w:r>
        <w:rPr>
          <w:rFonts w:ascii="Times New Roman" w:cs="Times New Roman" w:eastAsia="Times New Roman" w:hAnsi="Times New Roman"/>
          <w:sz w:val="16"/>
          <w:szCs w:val="16"/>
          <w:color w:val="auto"/>
        </w:rPr>
        <w:t>above. More than $1,241 billion in global equity market</w:t>
      </w:r>
    </w:p>
    <w:p>
      <w:pPr>
        <w:spacing w:after="0" w:line="204" w:lineRule="auto"/>
        <w:rPr>
          <w:sz w:val="20"/>
          <w:szCs w:val="20"/>
          <w:color w:val="auto"/>
        </w:rPr>
      </w:pPr>
      <w:r>
        <w:rPr>
          <w:rFonts w:ascii="Times New Roman" w:cs="Times New Roman" w:eastAsia="Times New Roman" w:hAnsi="Times New Roman"/>
          <w:sz w:val="16"/>
          <w:szCs w:val="16"/>
          <w:color w:val="auto"/>
        </w:rPr>
        <w:t>capitalization switched to The Nasdaq Stock Market in 2025.</w:t>
      </w:r>
    </w:p>
    <w:p>
      <w:pPr>
        <w:spacing w:after="0" w:line="204" w:lineRule="auto"/>
        <w:rPr>
          <w:sz w:val="20"/>
          <w:szCs w:val="20"/>
          <w:color w:val="auto"/>
        </w:rPr>
      </w:pPr>
      <w:r>
        <w:rPr>
          <w:rFonts w:ascii="Times New Roman" w:cs="Times New Roman" w:eastAsia="Times New Roman" w:hAnsi="Times New Roman"/>
          <w:sz w:val="16"/>
          <w:szCs w:val="16"/>
          <w:color w:val="auto"/>
        </w:rPr>
        <w:t>We also offer listings on the exchanges that comprise Nasdaq</w:t>
      </w:r>
    </w:p>
    <w:p>
      <w:pPr>
        <w:spacing w:after="0" w:line="203" w:lineRule="auto"/>
        <w:rPr>
          <w:sz w:val="20"/>
          <w:szCs w:val="20"/>
          <w:color w:val="auto"/>
        </w:rPr>
      </w:pPr>
      <w:r>
        <w:rPr>
          <w:rFonts w:ascii="Times New Roman" w:cs="Times New Roman" w:eastAsia="Times New Roman" w:hAnsi="Times New Roman"/>
          <w:sz w:val="16"/>
          <w:szCs w:val="16"/>
          <w:color w:val="auto"/>
        </w:rPr>
        <w:t>Nordic and Nasdaq Baltic. For smaller companies and growth</w:t>
      </w:r>
    </w:p>
    <w:p>
      <w:pPr>
        <w:spacing w:after="0"/>
        <w:rPr>
          <w:sz w:val="20"/>
          <w:szCs w:val="20"/>
          <w:color w:val="auto"/>
        </w:rPr>
      </w:pPr>
      <w:r>
        <w:rPr>
          <w:rFonts w:ascii="Times New Roman" w:cs="Times New Roman" w:eastAsia="Times New Roman" w:hAnsi="Times New Roman"/>
          <w:sz w:val="16"/>
          <w:szCs w:val="16"/>
          <w:color w:val="auto"/>
        </w:rPr>
        <w:t>companies, we offer access to the financial markets through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Workflow &amp; Insights</w:t>
      </w:r>
    </w:p>
    <w:p>
      <w:pPr>
        <w:spacing w:after="0" w:line="204" w:lineRule="auto"/>
        <w:rPr>
          <w:sz w:val="20"/>
          <w:szCs w:val="20"/>
          <w:color w:val="auto"/>
        </w:rPr>
      </w:pPr>
      <w:r>
        <w:rPr>
          <w:rFonts w:ascii="Times New Roman" w:cs="Times New Roman" w:eastAsia="Times New Roman" w:hAnsi="Times New Roman"/>
          <w:sz w:val="16"/>
          <w:szCs w:val="16"/>
          <w:color w:val="auto"/>
        </w:rPr>
        <w:t>Workflow &amp; Insights includes our analytics and corporate</w:t>
      </w:r>
    </w:p>
    <w:p>
      <w:pPr>
        <w:spacing w:after="0" w:line="203" w:lineRule="auto"/>
        <w:rPr>
          <w:sz w:val="20"/>
          <w:szCs w:val="20"/>
          <w:color w:val="auto"/>
        </w:rPr>
      </w:pPr>
      <w:r>
        <w:rPr>
          <w:rFonts w:ascii="Times New Roman" w:cs="Times New Roman" w:eastAsia="Times New Roman" w:hAnsi="Times New Roman"/>
          <w:sz w:val="16"/>
          <w:szCs w:val="16"/>
          <w:color w:val="auto"/>
        </w:rPr>
        <w:t>solutions products.</w:t>
      </w:r>
    </w:p>
    <w:p>
      <w:pPr>
        <w:spacing w:after="0" w:line="204" w:lineRule="auto"/>
        <w:rPr>
          <w:sz w:val="20"/>
          <w:szCs w:val="20"/>
          <w:color w:val="auto"/>
        </w:rPr>
      </w:pPr>
      <w:r>
        <w:rPr>
          <w:rFonts w:ascii="Times New Roman" w:cs="Times New Roman" w:eastAsia="Times New Roman" w:hAnsi="Times New Roman"/>
          <w:sz w:val="16"/>
          <w:szCs w:val="16"/>
          <w:color w:val="auto"/>
        </w:rPr>
        <w:t>Our analytics products provide asset managers, investment</w:t>
      </w:r>
    </w:p>
    <w:p>
      <w:pPr>
        <w:spacing w:after="0" w:line="203" w:lineRule="auto"/>
        <w:rPr>
          <w:sz w:val="20"/>
          <w:szCs w:val="20"/>
          <w:color w:val="auto"/>
        </w:rPr>
      </w:pPr>
      <w:r>
        <w:rPr>
          <w:rFonts w:ascii="Times New Roman" w:cs="Times New Roman" w:eastAsia="Times New Roman" w:hAnsi="Times New Roman"/>
          <w:sz w:val="16"/>
          <w:szCs w:val="16"/>
          <w:color w:val="auto"/>
        </w:rPr>
        <w:t>consultants and institutional asset owners with information</w:t>
      </w:r>
    </w:p>
    <w:p>
      <w:pPr>
        <w:spacing w:after="0" w:line="204" w:lineRule="auto"/>
        <w:rPr>
          <w:sz w:val="20"/>
          <w:szCs w:val="20"/>
          <w:color w:val="auto"/>
        </w:rPr>
      </w:pPr>
      <w:r>
        <w:rPr>
          <w:rFonts w:ascii="Times New Roman" w:cs="Times New Roman" w:eastAsia="Times New Roman" w:hAnsi="Times New Roman"/>
          <w:sz w:val="16"/>
          <w:szCs w:val="16"/>
          <w:color w:val="auto"/>
        </w:rPr>
        <w:t>and analytics to make data-driven investment decisions,</w:t>
      </w:r>
    </w:p>
    <w:p>
      <w:pPr>
        <w:spacing w:after="0" w:line="203" w:lineRule="auto"/>
        <w:rPr>
          <w:sz w:val="20"/>
          <w:szCs w:val="20"/>
          <w:color w:val="auto"/>
        </w:rPr>
      </w:pPr>
      <w:r>
        <w:rPr>
          <w:rFonts w:ascii="Times New Roman" w:cs="Times New Roman" w:eastAsia="Times New Roman" w:hAnsi="Times New Roman"/>
          <w:sz w:val="16"/>
          <w:szCs w:val="16"/>
          <w:color w:val="auto"/>
        </w:rPr>
        <w:t>deploy their resources more productively, and provide</w:t>
      </w:r>
    </w:p>
    <w:p>
      <w:pPr>
        <w:spacing w:after="0" w:line="204" w:lineRule="auto"/>
        <w:rPr>
          <w:sz w:val="20"/>
          <w:szCs w:val="20"/>
          <w:color w:val="auto"/>
        </w:rPr>
      </w:pPr>
      <w:r>
        <w:rPr>
          <w:rFonts w:ascii="Times New Roman" w:cs="Times New Roman" w:eastAsia="Times New Roman" w:hAnsi="Times New Roman"/>
          <w:sz w:val="16"/>
          <w:szCs w:val="16"/>
          <w:color w:val="auto"/>
        </w:rPr>
        <w:t>liquidity solutions for private funds. Through our eVestment</w:t>
      </w:r>
    </w:p>
    <w:p>
      <w:pPr>
        <w:spacing w:after="0" w:line="203" w:lineRule="auto"/>
        <w:rPr>
          <w:sz w:val="20"/>
          <w:szCs w:val="20"/>
          <w:color w:val="auto"/>
        </w:rPr>
      </w:pPr>
      <w:r>
        <w:rPr>
          <w:rFonts w:ascii="Times New Roman" w:cs="Times New Roman" w:eastAsia="Times New Roman" w:hAnsi="Times New Roman"/>
          <w:sz w:val="16"/>
          <w:szCs w:val="16"/>
          <w:color w:val="auto"/>
        </w:rPr>
        <w:t>platform, we provide a suite of cloud-based solutions that</w:t>
      </w:r>
    </w:p>
    <w:p>
      <w:pPr>
        <w:spacing w:after="0" w:line="204" w:lineRule="auto"/>
        <w:rPr>
          <w:sz w:val="20"/>
          <w:szCs w:val="20"/>
          <w:color w:val="auto"/>
        </w:rPr>
      </w:pPr>
      <w:r>
        <w:rPr>
          <w:rFonts w:ascii="Times New Roman" w:cs="Times New Roman" w:eastAsia="Times New Roman" w:hAnsi="Times New Roman"/>
          <w:sz w:val="16"/>
          <w:szCs w:val="16"/>
          <w:color w:val="auto"/>
        </w:rPr>
        <w:t>help institutional investors and consultants conduct pre-</w:t>
      </w:r>
    </w:p>
    <w:p>
      <w:pPr>
        <w:spacing w:after="0" w:line="204" w:lineRule="auto"/>
        <w:rPr>
          <w:sz w:val="20"/>
          <w:szCs w:val="20"/>
          <w:color w:val="auto"/>
        </w:rPr>
      </w:pPr>
      <w:r>
        <w:rPr>
          <w:rFonts w:ascii="Times New Roman" w:cs="Times New Roman" w:eastAsia="Times New Roman" w:hAnsi="Times New Roman"/>
          <w:sz w:val="16"/>
          <w:szCs w:val="16"/>
          <w:color w:val="auto"/>
        </w:rPr>
        <w:t>investment due diligence, and monitor their portfolios post-</w:t>
      </w:r>
    </w:p>
    <w:p>
      <w:pPr>
        <w:spacing w:after="0" w:line="203" w:lineRule="auto"/>
        <w:rPr>
          <w:sz w:val="20"/>
          <w:szCs w:val="20"/>
          <w:color w:val="auto"/>
        </w:rPr>
      </w:pPr>
      <w:r>
        <w:rPr>
          <w:rFonts w:ascii="Times New Roman" w:cs="Times New Roman" w:eastAsia="Times New Roman" w:hAnsi="Times New Roman"/>
          <w:sz w:val="16"/>
          <w:szCs w:val="16"/>
          <w:color w:val="auto"/>
        </w:rPr>
        <w:t>investment. The eVestment platform also enables asset</w:t>
      </w:r>
    </w:p>
    <w:p>
      <w:pPr>
        <w:spacing w:after="0" w:line="204" w:lineRule="auto"/>
        <w:rPr>
          <w:sz w:val="20"/>
          <w:szCs w:val="20"/>
          <w:color w:val="auto"/>
        </w:rPr>
      </w:pPr>
      <w:r>
        <w:rPr>
          <w:rFonts w:ascii="Times New Roman" w:cs="Times New Roman" w:eastAsia="Times New Roman" w:hAnsi="Times New Roman"/>
          <w:sz w:val="16"/>
          <w:szCs w:val="16"/>
          <w:color w:val="auto"/>
        </w:rPr>
        <w:t>managers to efficiently distribute information about their</w:t>
      </w:r>
    </w:p>
    <w:p>
      <w:pPr>
        <w:spacing w:after="0" w:line="203" w:lineRule="auto"/>
        <w:rPr>
          <w:sz w:val="20"/>
          <w:szCs w:val="20"/>
          <w:color w:val="auto"/>
        </w:rPr>
      </w:pPr>
      <w:r>
        <w:rPr>
          <w:rFonts w:ascii="Times New Roman" w:cs="Times New Roman" w:eastAsia="Times New Roman" w:hAnsi="Times New Roman"/>
          <w:sz w:val="16"/>
          <w:szCs w:val="16"/>
          <w:color w:val="auto"/>
        </w:rPr>
        <w:t>firms and funds to asset owners and consultants worldwide.</w:t>
      </w:r>
    </w:p>
    <w:p>
      <w:pPr>
        <w:spacing w:after="0" w:line="204" w:lineRule="auto"/>
        <w:rPr>
          <w:sz w:val="20"/>
          <w:szCs w:val="20"/>
          <w:color w:val="auto"/>
        </w:rPr>
      </w:pPr>
      <w:r>
        <w:rPr>
          <w:rFonts w:ascii="Times New Roman" w:cs="Times New Roman" w:eastAsia="Times New Roman" w:hAnsi="Times New Roman"/>
          <w:sz w:val="16"/>
          <w:szCs w:val="16"/>
          <w:color w:val="auto"/>
        </w:rPr>
        <w:t>Our eVestment platform has expanded the scale and reach of</w:t>
      </w:r>
    </w:p>
    <w:p>
      <w:pPr>
        <w:spacing w:after="0" w:line="203" w:lineRule="auto"/>
        <w:rPr>
          <w:sz w:val="20"/>
          <w:szCs w:val="20"/>
          <w:color w:val="auto"/>
        </w:rPr>
      </w:pPr>
      <w:r>
        <w:rPr>
          <w:rFonts w:ascii="Times New Roman" w:cs="Times New Roman" w:eastAsia="Times New Roman" w:hAnsi="Times New Roman"/>
          <w:sz w:val="16"/>
          <w:szCs w:val="16"/>
          <w:color w:val="auto"/>
        </w:rPr>
        <w:t>data assets to meet the evolving needs of clients and enhance</w:t>
      </w:r>
    </w:p>
    <w:p>
      <w:pPr>
        <w:spacing w:after="0" w:line="204" w:lineRule="auto"/>
        <w:rPr>
          <w:sz w:val="20"/>
          <w:szCs w:val="20"/>
          <w:color w:val="auto"/>
        </w:rPr>
      </w:pPr>
      <w:r>
        <w:rPr>
          <w:rFonts w:ascii="Times New Roman" w:cs="Times New Roman" w:eastAsia="Times New Roman" w:hAnsi="Times New Roman"/>
          <w:sz w:val="16"/>
          <w:szCs w:val="16"/>
          <w:color w:val="auto"/>
        </w:rPr>
        <w:t>the value to asset owners and asset managers, including in the</w:t>
      </w:r>
    </w:p>
    <w:p>
      <w:pPr>
        <w:spacing w:after="0" w:line="203" w:lineRule="auto"/>
        <w:rPr>
          <w:sz w:val="20"/>
          <w:szCs w:val="20"/>
          <w:color w:val="auto"/>
        </w:rPr>
      </w:pPr>
      <w:r>
        <w:rPr>
          <w:rFonts w:ascii="Times New Roman" w:cs="Times New Roman" w:eastAsia="Times New Roman" w:hAnsi="Times New Roman"/>
          <w:sz w:val="16"/>
          <w:szCs w:val="16"/>
          <w:color w:val="auto"/>
        </w:rPr>
        <w:t>private markets space, with over 80,000 private funds</w:t>
      </w:r>
    </w:p>
    <w:p>
      <w:pPr>
        <w:spacing w:after="0" w:line="204" w:lineRule="auto"/>
        <w:rPr>
          <w:sz w:val="20"/>
          <w:szCs w:val="20"/>
          <w:color w:val="auto"/>
        </w:rPr>
      </w:pPr>
      <w:r>
        <w:rPr>
          <w:rFonts w:ascii="Times New Roman" w:cs="Times New Roman" w:eastAsia="Times New Roman" w:hAnsi="Times New Roman"/>
          <w:sz w:val="16"/>
          <w:szCs w:val="16"/>
          <w:color w:val="auto"/>
        </w:rPr>
        <w:t>covered. In October 2025, we sold our Solovis business, a</w:t>
      </w:r>
    </w:p>
    <w:p>
      <w:pPr>
        <w:spacing w:after="0" w:line="204" w:lineRule="auto"/>
        <w:rPr>
          <w:sz w:val="20"/>
          <w:szCs w:val="20"/>
          <w:color w:val="auto"/>
        </w:rPr>
      </w:pPr>
      <w:r>
        <w:rPr>
          <w:rFonts w:ascii="Times New Roman" w:cs="Times New Roman" w:eastAsia="Times New Roman" w:hAnsi="Times New Roman"/>
          <w:sz w:val="16"/>
          <w:szCs w:val="16"/>
          <w:color w:val="auto"/>
        </w:rPr>
        <w:t>financial technology platform offering portfolio monitoring</w:t>
      </w:r>
    </w:p>
    <w:p>
      <w:pPr>
        <w:spacing w:after="0" w:line="203" w:lineRule="auto"/>
        <w:rPr>
          <w:sz w:val="20"/>
          <w:szCs w:val="20"/>
          <w:color w:val="auto"/>
        </w:rPr>
      </w:pPr>
      <w:r>
        <w:rPr>
          <w:rFonts w:ascii="Times New Roman" w:cs="Times New Roman" w:eastAsia="Times New Roman" w:hAnsi="Times New Roman"/>
          <w:sz w:val="16"/>
          <w:szCs w:val="16"/>
          <w:color w:val="auto"/>
        </w:rPr>
        <w:t>and analytics tools.</w:t>
      </w:r>
    </w:p>
    <w:p>
      <w:pPr>
        <w:spacing w:after="0" w:line="204" w:lineRule="auto"/>
        <w:rPr>
          <w:sz w:val="20"/>
          <w:szCs w:val="20"/>
          <w:color w:val="auto"/>
        </w:rPr>
      </w:pPr>
      <w:r>
        <w:rPr>
          <w:rFonts w:ascii="Times New Roman" w:cs="Times New Roman" w:eastAsia="Times New Roman" w:hAnsi="Times New Roman"/>
          <w:sz w:val="16"/>
          <w:szCs w:val="16"/>
          <w:color w:val="auto"/>
        </w:rPr>
        <w:t>The Nasdaq Fund Network and Nasdaq Data Link are</w:t>
      </w:r>
    </w:p>
    <w:p>
      <w:pPr>
        <w:spacing w:after="0" w:line="203" w:lineRule="auto"/>
        <w:rPr>
          <w:sz w:val="20"/>
          <w:szCs w:val="20"/>
          <w:color w:val="auto"/>
        </w:rPr>
      </w:pPr>
      <w:r>
        <w:rPr>
          <w:rFonts w:ascii="Times New Roman" w:cs="Times New Roman" w:eastAsia="Times New Roman" w:hAnsi="Times New Roman"/>
          <w:sz w:val="16"/>
          <w:szCs w:val="16"/>
          <w:color w:val="auto"/>
        </w:rPr>
        <w:t>additional platforms in our suite of investment data analytics</w:t>
      </w:r>
    </w:p>
    <w:p>
      <w:pPr>
        <w:spacing w:after="0" w:line="204" w:lineRule="auto"/>
        <w:rPr>
          <w:sz w:val="20"/>
          <w:szCs w:val="20"/>
          <w:color w:val="auto"/>
        </w:rPr>
      </w:pPr>
      <w:r>
        <w:rPr>
          <w:rFonts w:ascii="Times New Roman" w:cs="Times New Roman" w:eastAsia="Times New Roman" w:hAnsi="Times New Roman"/>
          <w:sz w:val="16"/>
          <w:szCs w:val="16"/>
          <w:color w:val="auto"/>
        </w:rPr>
        <w:t>offerings and data management tools. Nasdaq Fund Network</w:t>
      </w:r>
    </w:p>
    <w:p>
      <w:pPr>
        <w:spacing w:after="0" w:line="203" w:lineRule="auto"/>
        <w:rPr>
          <w:sz w:val="20"/>
          <w:szCs w:val="20"/>
          <w:color w:val="auto"/>
        </w:rPr>
      </w:pPr>
      <w:r>
        <w:rPr>
          <w:rFonts w:ascii="Times New Roman" w:cs="Times New Roman" w:eastAsia="Times New Roman" w:hAnsi="Times New Roman"/>
          <w:sz w:val="16"/>
          <w:szCs w:val="16"/>
          <w:color w:val="auto"/>
        </w:rPr>
        <w:t>gathers and distributes daily net asset values from over</w:t>
      </w:r>
    </w:p>
    <w:p>
      <w:pPr>
        <w:spacing w:after="0" w:line="204" w:lineRule="auto"/>
        <w:rPr>
          <w:sz w:val="20"/>
          <w:szCs w:val="20"/>
          <w:color w:val="auto"/>
        </w:rPr>
      </w:pPr>
      <w:r>
        <w:rPr>
          <w:rFonts w:ascii="Times New Roman" w:cs="Times New Roman" w:eastAsia="Times New Roman" w:hAnsi="Times New Roman"/>
          <w:sz w:val="16"/>
          <w:szCs w:val="16"/>
          <w:color w:val="auto"/>
        </w:rPr>
        <w:t>100,000 funds and other investment vehicles across North</w:t>
      </w:r>
    </w:p>
    <w:p>
      <w:pPr>
        <w:spacing w:after="0" w:line="203" w:lineRule="auto"/>
        <w:rPr>
          <w:sz w:val="20"/>
          <w:szCs w:val="20"/>
          <w:color w:val="auto"/>
        </w:rPr>
      </w:pPr>
      <w:r>
        <w:rPr>
          <w:rFonts w:ascii="Times New Roman" w:cs="Times New Roman" w:eastAsia="Times New Roman" w:hAnsi="Times New Roman"/>
          <w:sz w:val="16"/>
          <w:szCs w:val="16"/>
          <w:color w:val="auto"/>
        </w:rPr>
        <w:t>America. Nasdaq Data Link strengthens our position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leading source for financial, economic, and alternative</w:t>
      </w:r>
    </w:p>
    <w:p>
      <w:pPr>
        <w:sectPr>
          <w:pgSz w:w="11900" w:h="16840" w:orient="portrait"/>
          <w:cols w:equalWidth="0" w:num="1">
            <w:col w:w="9400"/>
          </w:cols>
          <w:pgMar w:left="1060" w:top="547" w:right="1440" w:bottom="92"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datasets.</w:t>
      </w:r>
    </w:p>
    <w:p>
      <w:pPr>
        <w:spacing w:after="0" w:line="232" w:lineRule="auto"/>
        <w:rPr>
          <w:sz w:val="20"/>
          <w:szCs w:val="20"/>
          <w:color w:val="auto"/>
        </w:rPr>
      </w:pPr>
      <w:r>
        <w:rPr>
          <w:rFonts w:ascii="Times New Roman" w:cs="Times New Roman" w:eastAsia="Times New Roman" w:hAnsi="Times New Roman"/>
          <w:sz w:val="14"/>
          <w:szCs w:val="14"/>
          <w:color w:val="auto"/>
        </w:rPr>
        <w:t>Corporate solutions serves both public and private companies</w:t>
      </w:r>
    </w:p>
    <w:p>
      <w:pPr>
        <w:spacing w:after="0" w:line="204" w:lineRule="auto"/>
        <w:rPr>
          <w:sz w:val="20"/>
          <w:szCs w:val="20"/>
          <w:color w:val="auto"/>
        </w:rPr>
      </w:pPr>
      <w:r>
        <w:rPr>
          <w:rFonts w:ascii="Times New Roman" w:cs="Times New Roman" w:eastAsia="Times New Roman" w:hAnsi="Times New Roman"/>
          <w:sz w:val="16"/>
          <w:szCs w:val="16"/>
          <w:color w:val="auto"/>
        </w:rPr>
        <w:t>and organizations through our Investor Relations</w:t>
      </w:r>
    </w:p>
    <w:p>
      <w:pPr>
        <w:spacing w:after="0" w:line="203" w:lineRule="auto"/>
        <w:rPr>
          <w:sz w:val="20"/>
          <w:szCs w:val="20"/>
          <w:color w:val="auto"/>
        </w:rPr>
      </w:pPr>
      <w:r>
        <w:rPr>
          <w:rFonts w:ascii="Times New Roman" w:cs="Times New Roman" w:eastAsia="Times New Roman" w:hAnsi="Times New Roman"/>
          <w:sz w:val="16"/>
          <w:szCs w:val="16"/>
          <w:color w:val="auto"/>
        </w:rPr>
        <w:t>Intelligence, Governance Solutions and Sustainability</w:t>
      </w:r>
    </w:p>
    <w:p>
      <w:pPr>
        <w:spacing w:after="0" w:line="204" w:lineRule="auto"/>
        <w:rPr>
          <w:sz w:val="20"/>
          <w:szCs w:val="20"/>
          <w:color w:val="auto"/>
        </w:rPr>
      </w:pPr>
      <w:r>
        <w:rPr>
          <w:rFonts w:ascii="Times New Roman" w:cs="Times New Roman" w:eastAsia="Times New Roman" w:hAnsi="Times New Roman"/>
          <w:sz w:val="16"/>
          <w:szCs w:val="16"/>
          <w:color w:val="auto"/>
        </w:rPr>
        <w:t>Solutions products. Our public company clients can be</w:t>
      </w:r>
    </w:p>
    <w:p>
      <w:pPr>
        <w:spacing w:after="0" w:line="203" w:lineRule="auto"/>
        <w:rPr>
          <w:sz w:val="20"/>
          <w:szCs w:val="20"/>
          <w:color w:val="auto"/>
        </w:rPr>
      </w:pPr>
      <w:r>
        <w:rPr>
          <w:rFonts w:ascii="Times New Roman" w:cs="Times New Roman" w:eastAsia="Times New Roman" w:hAnsi="Times New Roman"/>
          <w:sz w:val="16"/>
          <w:szCs w:val="16"/>
          <w:color w:val="auto"/>
        </w:rPr>
        <w:t>companies listed on our exchanges or other U.S. and global</w:t>
      </w:r>
    </w:p>
    <w:p>
      <w:pPr>
        <w:spacing w:after="0" w:line="204" w:lineRule="auto"/>
        <w:rPr>
          <w:sz w:val="20"/>
          <w:szCs w:val="20"/>
          <w:color w:val="auto"/>
        </w:rPr>
      </w:pPr>
      <w:r>
        <w:rPr>
          <w:rFonts w:ascii="Times New Roman" w:cs="Times New Roman" w:eastAsia="Times New Roman" w:hAnsi="Times New Roman"/>
          <w:sz w:val="16"/>
          <w:szCs w:val="16"/>
          <w:color w:val="auto"/>
        </w:rPr>
        <w:t>exchanges. Our private company clients include a diverse</w:t>
      </w:r>
    </w:p>
    <w:p>
      <w:pPr>
        <w:spacing w:after="0" w:line="203" w:lineRule="auto"/>
        <w:rPr>
          <w:sz w:val="20"/>
          <w:szCs w:val="20"/>
          <w:color w:val="auto"/>
        </w:rPr>
      </w:pPr>
      <w:r>
        <w:rPr>
          <w:rFonts w:ascii="Times New Roman" w:cs="Times New Roman" w:eastAsia="Times New Roman" w:hAnsi="Times New Roman"/>
          <w:sz w:val="16"/>
          <w:szCs w:val="16"/>
          <w:color w:val="auto"/>
        </w:rPr>
        <w:t>group of organizations ranging from family-owned</w:t>
      </w:r>
    </w:p>
    <w:p>
      <w:pPr>
        <w:spacing w:after="0" w:line="204" w:lineRule="auto"/>
        <w:rPr>
          <w:sz w:val="20"/>
          <w:szCs w:val="20"/>
          <w:color w:val="auto"/>
        </w:rPr>
      </w:pPr>
      <w:r>
        <w:rPr>
          <w:rFonts w:ascii="Times New Roman" w:cs="Times New Roman" w:eastAsia="Times New Roman" w:hAnsi="Times New Roman"/>
          <w:sz w:val="16"/>
          <w:szCs w:val="16"/>
          <w:color w:val="auto"/>
        </w:rPr>
        <w:t>companies, government organizations, law firms, privately</w:t>
      </w:r>
    </w:p>
    <w:p>
      <w:pPr>
        <w:spacing w:after="0" w:line="203" w:lineRule="auto"/>
        <w:rPr>
          <w:sz w:val="20"/>
          <w:szCs w:val="20"/>
          <w:color w:val="auto"/>
        </w:rPr>
      </w:pPr>
      <w:r>
        <w:rPr>
          <w:rFonts w:ascii="Times New Roman" w:cs="Times New Roman" w:eastAsia="Times New Roman" w:hAnsi="Times New Roman"/>
          <w:sz w:val="16"/>
          <w:szCs w:val="16"/>
          <w:color w:val="auto"/>
        </w:rPr>
        <w:t>held entities, and various non-profit organizations to</w:t>
      </w:r>
    </w:p>
    <w:p>
      <w:pPr>
        <w:spacing w:after="0" w:line="204" w:lineRule="auto"/>
        <w:rPr>
          <w:sz w:val="20"/>
          <w:szCs w:val="20"/>
          <w:color w:val="auto"/>
        </w:rPr>
      </w:pPr>
      <w:r>
        <w:rPr>
          <w:rFonts w:ascii="Times New Roman" w:cs="Times New Roman" w:eastAsia="Times New Roman" w:hAnsi="Times New Roman"/>
          <w:sz w:val="16"/>
          <w:szCs w:val="16"/>
          <w:color w:val="auto"/>
        </w:rPr>
        <w:t>hospitals and healthcare systems.</w:t>
      </w:r>
    </w:p>
    <w:p>
      <w:pPr>
        <w:spacing w:after="0" w:line="233" w:lineRule="auto"/>
        <w:rPr>
          <w:sz w:val="20"/>
          <w:szCs w:val="20"/>
          <w:color w:val="auto"/>
        </w:rPr>
      </w:pPr>
      <w:r>
        <w:rPr>
          <w:rFonts w:ascii="Times New Roman" w:cs="Times New Roman" w:eastAsia="Times New Roman" w:hAnsi="Times New Roman"/>
          <w:sz w:val="14"/>
          <w:szCs w:val="14"/>
          <w:color w:val="auto"/>
        </w:rPr>
        <w:t>Our Investor Relations Intelligence offerings include a global</w:t>
      </w:r>
    </w:p>
    <w:p>
      <w:pPr>
        <w:spacing w:after="0" w:line="203" w:lineRule="auto"/>
        <w:rPr>
          <w:sz w:val="20"/>
          <w:szCs w:val="20"/>
          <w:color w:val="auto"/>
        </w:rPr>
      </w:pPr>
      <w:r>
        <w:rPr>
          <w:rFonts w:ascii="Times New Roman" w:cs="Times New Roman" w:eastAsia="Times New Roman" w:hAnsi="Times New Roman"/>
          <w:sz w:val="16"/>
          <w:szCs w:val="16"/>
          <w:color w:val="auto"/>
        </w:rPr>
        <w:t>team of expert consultants that deliver advisory services</w:t>
      </w:r>
    </w:p>
    <w:p>
      <w:pPr>
        <w:spacing w:after="0" w:line="204" w:lineRule="auto"/>
        <w:rPr>
          <w:sz w:val="20"/>
          <w:szCs w:val="20"/>
          <w:color w:val="auto"/>
        </w:rPr>
      </w:pPr>
      <w:r>
        <w:rPr>
          <w:rFonts w:ascii="Times New Roman" w:cs="Times New Roman" w:eastAsia="Times New Roman" w:hAnsi="Times New Roman"/>
          <w:sz w:val="16"/>
          <w:szCs w:val="16"/>
          <w:color w:val="auto"/>
        </w:rPr>
        <w:t>including Equity Surveillance &amp; Shareholder Analysis,</w:t>
      </w:r>
    </w:p>
    <w:p>
      <w:pPr>
        <w:spacing w:after="0" w:line="203" w:lineRule="auto"/>
        <w:rPr>
          <w:sz w:val="20"/>
          <w:szCs w:val="20"/>
          <w:color w:val="auto"/>
        </w:rPr>
      </w:pPr>
      <w:r>
        <w:rPr>
          <w:rFonts w:ascii="Times New Roman" w:cs="Times New Roman" w:eastAsia="Times New Roman" w:hAnsi="Times New Roman"/>
          <w:sz w:val="16"/>
          <w:szCs w:val="16"/>
          <w:color w:val="auto"/>
        </w:rPr>
        <w:t>Investor Engagement and Perception Studies, as well as an</w:t>
      </w:r>
    </w:p>
    <w:p>
      <w:pPr>
        <w:spacing w:after="0" w:line="204" w:lineRule="auto"/>
        <w:rPr>
          <w:sz w:val="20"/>
          <w:szCs w:val="20"/>
          <w:color w:val="auto"/>
        </w:rPr>
      </w:pPr>
      <w:r>
        <w:rPr>
          <w:rFonts w:ascii="Times New Roman" w:cs="Times New Roman" w:eastAsia="Times New Roman" w:hAnsi="Times New Roman"/>
          <w:sz w:val="16"/>
          <w:szCs w:val="16"/>
          <w:color w:val="auto"/>
        </w:rPr>
        <w:t>industry-leading platform, Nasdaq IR Insight, to investor</w:t>
      </w:r>
    </w:p>
    <w:p>
      <w:pPr>
        <w:spacing w:after="0" w:line="233" w:lineRule="auto"/>
        <w:rPr>
          <w:sz w:val="20"/>
          <w:szCs w:val="20"/>
          <w:color w:val="auto"/>
        </w:rPr>
      </w:pPr>
      <w:r>
        <w:rPr>
          <w:rFonts w:ascii="Times New Roman" w:cs="Times New Roman" w:eastAsia="Times New Roman" w:hAnsi="Times New Roman"/>
          <w:sz w:val="14"/>
          <w:szCs w:val="14"/>
          <w:color w:val="auto"/>
        </w:rPr>
        <w:t>relations professionals and executive teams. These solutions</w:t>
      </w:r>
    </w:p>
    <w:p>
      <w:pPr>
        <w:spacing w:after="0" w:line="203" w:lineRule="auto"/>
        <w:rPr>
          <w:sz w:val="20"/>
          <w:szCs w:val="20"/>
          <w:color w:val="auto"/>
        </w:rPr>
      </w:pPr>
      <w:r>
        <w:rPr>
          <w:rFonts w:ascii="Times New Roman" w:cs="Times New Roman" w:eastAsia="Times New Roman" w:hAnsi="Times New Roman"/>
          <w:sz w:val="16"/>
          <w:szCs w:val="16"/>
          <w:color w:val="auto"/>
        </w:rPr>
        <w:t>allow investor relations officers and executives to better</w:t>
      </w:r>
    </w:p>
    <w:p>
      <w:pPr>
        <w:spacing w:after="0" w:line="204" w:lineRule="auto"/>
        <w:rPr>
          <w:sz w:val="20"/>
          <w:szCs w:val="20"/>
          <w:color w:val="auto"/>
        </w:rPr>
      </w:pPr>
      <w:r>
        <w:rPr>
          <w:rFonts w:ascii="Times New Roman" w:cs="Times New Roman" w:eastAsia="Times New Roman" w:hAnsi="Times New Roman"/>
          <w:sz w:val="16"/>
          <w:szCs w:val="16"/>
          <w:color w:val="auto"/>
        </w:rPr>
        <w:t>manage their investor relations programs, understand their</w:t>
      </w:r>
    </w:p>
    <w:p>
      <w:pPr>
        <w:spacing w:after="0" w:line="203" w:lineRule="auto"/>
        <w:rPr>
          <w:sz w:val="20"/>
          <w:szCs w:val="20"/>
          <w:color w:val="auto"/>
        </w:rPr>
      </w:pPr>
      <w:r>
        <w:rPr>
          <w:rFonts w:ascii="Times New Roman" w:cs="Times New Roman" w:eastAsia="Times New Roman" w:hAnsi="Times New Roman"/>
          <w:sz w:val="16"/>
          <w:szCs w:val="16"/>
          <w:color w:val="auto"/>
        </w:rPr>
        <w:t>investor base, target new investors, manage meetings and</w:t>
      </w:r>
    </w:p>
    <w:p>
      <w:pPr>
        <w:spacing w:after="0" w:line="204" w:lineRule="auto"/>
        <w:rPr>
          <w:sz w:val="20"/>
          <w:szCs w:val="20"/>
          <w:color w:val="auto"/>
        </w:rPr>
      </w:pPr>
      <w:r>
        <w:rPr>
          <w:rFonts w:ascii="Times New Roman" w:cs="Times New Roman" w:eastAsia="Times New Roman" w:hAnsi="Times New Roman"/>
          <w:sz w:val="16"/>
          <w:szCs w:val="16"/>
          <w:color w:val="auto"/>
        </w:rPr>
        <w:t>consume key data such as investor profiles, equity research,</w:t>
      </w:r>
    </w:p>
    <w:p>
      <w:pPr>
        <w:spacing w:after="0" w:line="203" w:lineRule="auto"/>
        <w:rPr>
          <w:sz w:val="20"/>
          <w:szCs w:val="20"/>
          <w:color w:val="auto"/>
        </w:rPr>
      </w:pPr>
      <w:r>
        <w:rPr>
          <w:rFonts w:ascii="Times New Roman" w:cs="Times New Roman" w:eastAsia="Times New Roman" w:hAnsi="Times New Roman"/>
          <w:sz w:val="16"/>
          <w:szCs w:val="16"/>
          <w:color w:val="auto"/>
        </w:rPr>
        <w:t>consensus estimates and news.</w:t>
      </w:r>
    </w:p>
    <w:p>
      <w:pPr>
        <w:spacing w:after="0" w:line="204" w:lineRule="auto"/>
        <w:rPr>
          <w:sz w:val="20"/>
          <w:szCs w:val="20"/>
          <w:color w:val="auto"/>
        </w:rPr>
      </w:pPr>
      <w:r>
        <w:rPr>
          <w:rFonts w:ascii="Times New Roman" w:cs="Times New Roman" w:eastAsia="Times New Roman" w:hAnsi="Times New Roman"/>
          <w:sz w:val="16"/>
          <w:szCs w:val="16"/>
          <w:color w:val="auto"/>
        </w:rPr>
        <w:t>Through our Governance Solutions products, we provide an</w:t>
      </w:r>
    </w:p>
    <w:p>
      <w:pPr>
        <w:spacing w:after="0" w:line="203" w:lineRule="auto"/>
        <w:rPr>
          <w:sz w:val="20"/>
          <w:szCs w:val="20"/>
          <w:color w:val="auto"/>
        </w:rPr>
      </w:pPr>
      <w:r>
        <w:rPr>
          <w:rFonts w:ascii="Times New Roman" w:cs="Times New Roman" w:eastAsia="Times New Roman" w:hAnsi="Times New Roman"/>
          <w:sz w:val="16"/>
          <w:szCs w:val="16"/>
          <w:color w:val="auto"/>
        </w:rPr>
        <w:t>industry-leading board meeting management platform,</w:t>
      </w:r>
    </w:p>
    <w:p>
      <w:pPr>
        <w:spacing w:after="0" w:line="233" w:lineRule="auto"/>
        <w:rPr>
          <w:sz w:val="20"/>
          <w:szCs w:val="20"/>
          <w:color w:val="auto"/>
        </w:rPr>
      </w:pPr>
      <w:r>
        <w:rPr>
          <w:rFonts w:ascii="Times New Roman" w:cs="Times New Roman" w:eastAsia="Times New Roman" w:hAnsi="Times New Roman"/>
          <w:sz w:val="14"/>
          <w:szCs w:val="14"/>
          <w:color w:val="auto"/>
        </w:rPr>
        <w:t>Nasdaq Boardvantage, and advisory services that streamline</w:t>
      </w:r>
    </w:p>
    <w:p>
      <w:pPr>
        <w:spacing w:after="0" w:line="204" w:lineRule="auto"/>
        <w:rPr>
          <w:sz w:val="20"/>
          <w:szCs w:val="20"/>
          <w:color w:val="auto"/>
        </w:rPr>
      </w:pPr>
      <w:r>
        <w:rPr>
          <w:rFonts w:ascii="Times New Roman" w:cs="Times New Roman" w:eastAsia="Times New Roman" w:hAnsi="Times New Roman"/>
          <w:sz w:val="16"/>
          <w:szCs w:val="16"/>
          <w:color w:val="auto"/>
        </w:rPr>
        <w:t>the meeting process for board of directors and executive</w:t>
      </w:r>
    </w:p>
    <w:p>
      <w:pPr>
        <w:spacing w:after="0" w:line="203" w:lineRule="auto"/>
        <w:rPr>
          <w:sz w:val="20"/>
          <w:szCs w:val="20"/>
          <w:color w:val="auto"/>
        </w:rPr>
      </w:pPr>
      <w:r>
        <w:rPr>
          <w:rFonts w:ascii="Times New Roman" w:cs="Times New Roman" w:eastAsia="Times New Roman" w:hAnsi="Times New Roman"/>
          <w:sz w:val="16"/>
          <w:szCs w:val="16"/>
          <w:color w:val="auto"/>
        </w:rPr>
        <w:t>leadership teams and enable them to accelerate decision</w:t>
      </w:r>
    </w:p>
    <w:p>
      <w:pPr>
        <w:spacing w:after="0" w:line="204" w:lineRule="auto"/>
        <w:rPr>
          <w:sz w:val="20"/>
          <w:szCs w:val="20"/>
          <w:color w:val="auto"/>
        </w:rPr>
      </w:pPr>
      <w:r>
        <w:rPr>
          <w:rFonts w:ascii="Times New Roman" w:cs="Times New Roman" w:eastAsia="Times New Roman" w:hAnsi="Times New Roman"/>
          <w:sz w:val="16"/>
          <w:szCs w:val="16"/>
          <w:color w:val="auto"/>
        </w:rPr>
        <w:t>making and strengthen governance.</w:t>
      </w:r>
    </w:p>
    <w:p>
      <w:pPr>
        <w:spacing w:after="0" w:line="232" w:lineRule="auto"/>
        <w:rPr>
          <w:sz w:val="20"/>
          <w:szCs w:val="20"/>
          <w:color w:val="auto"/>
        </w:rPr>
      </w:pPr>
      <w:r>
        <w:rPr>
          <w:rFonts w:ascii="Times New Roman" w:cs="Times New Roman" w:eastAsia="Times New Roman" w:hAnsi="Times New Roman"/>
          <w:sz w:val="14"/>
          <w:szCs w:val="14"/>
          <w:color w:val="auto"/>
        </w:rPr>
        <w:t>Our Sustainability Solutions includes consulting services and</w:t>
      </w:r>
    </w:p>
    <w:p>
      <w:pPr>
        <w:spacing w:after="0" w:line="233" w:lineRule="auto"/>
        <w:rPr>
          <w:sz w:val="20"/>
          <w:szCs w:val="20"/>
          <w:color w:val="auto"/>
        </w:rPr>
      </w:pPr>
      <w:r>
        <w:rPr>
          <w:rFonts w:ascii="Times New Roman" w:cs="Times New Roman" w:eastAsia="Times New Roman" w:hAnsi="Times New Roman"/>
          <w:sz w:val="14"/>
          <w:szCs w:val="14"/>
          <w:color w:val="auto"/>
        </w:rPr>
        <w:t>purpose built sustainability reporting software. Our advisory</w:t>
      </w:r>
    </w:p>
    <w:p>
      <w:pPr>
        <w:spacing w:after="0" w:line="204" w:lineRule="auto"/>
        <w:rPr>
          <w:sz w:val="20"/>
          <w:szCs w:val="20"/>
          <w:color w:val="auto"/>
        </w:rPr>
      </w:pPr>
      <w:r>
        <w:rPr>
          <w:rFonts w:ascii="Times New Roman" w:cs="Times New Roman" w:eastAsia="Times New Roman" w:hAnsi="Times New Roman"/>
          <w:sz w:val="16"/>
          <w:szCs w:val="16"/>
          <w:color w:val="auto"/>
        </w:rPr>
        <w:t>practice helps companies analyze, assess and action best</w:t>
      </w:r>
    </w:p>
    <w:p>
      <w:pPr>
        <w:spacing w:after="0" w:line="232" w:lineRule="auto"/>
        <w:rPr>
          <w:sz w:val="20"/>
          <w:szCs w:val="20"/>
          <w:color w:val="auto"/>
        </w:rPr>
      </w:pPr>
      <w:r>
        <w:rPr>
          <w:rFonts w:ascii="Times New Roman" w:cs="Times New Roman" w:eastAsia="Times New Roman" w:hAnsi="Times New Roman"/>
          <w:sz w:val="14"/>
          <w:szCs w:val="14"/>
          <w:color w:val="auto"/>
        </w:rPr>
        <w:t>practices as it relates to their sustainability programs. Nasdaq</w:t>
      </w:r>
    </w:p>
    <w:p>
      <w:pPr>
        <w:spacing w:after="0" w:line="233" w:lineRule="auto"/>
        <w:rPr>
          <w:sz w:val="20"/>
          <w:szCs w:val="20"/>
          <w:color w:val="auto"/>
        </w:rPr>
      </w:pPr>
      <w:r>
        <w:rPr>
          <w:rFonts w:ascii="Times New Roman" w:cs="Times New Roman" w:eastAsia="Times New Roman" w:hAnsi="Times New Roman"/>
          <w:sz w:val="14"/>
          <w:szCs w:val="14"/>
          <w:color w:val="auto"/>
        </w:rPr>
        <w:t>Metrio is our cloud-based end-to-end sustainability reporting</w:t>
      </w:r>
    </w:p>
    <w:p>
      <w:pPr>
        <w:spacing w:after="0" w:line="232" w:lineRule="auto"/>
        <w:rPr>
          <w:sz w:val="20"/>
          <w:szCs w:val="20"/>
          <w:color w:val="auto"/>
        </w:rPr>
      </w:pPr>
      <w:r>
        <w:rPr>
          <w:rFonts w:ascii="Times New Roman" w:cs="Times New Roman" w:eastAsia="Times New Roman" w:hAnsi="Times New Roman"/>
          <w:sz w:val="14"/>
          <w:szCs w:val="14"/>
          <w:color w:val="auto"/>
        </w:rPr>
        <w:t>platform that enables corporates to collect, measure, disclose</w:t>
      </w:r>
    </w:p>
    <w:p>
      <w:pPr>
        <w:spacing w:after="0" w:line="204" w:lineRule="auto"/>
        <w:rPr>
          <w:sz w:val="20"/>
          <w:szCs w:val="20"/>
          <w:color w:val="auto"/>
        </w:rPr>
      </w:pPr>
      <w:r>
        <w:rPr>
          <w:rFonts w:ascii="Times New Roman" w:cs="Times New Roman" w:eastAsia="Times New Roman" w:hAnsi="Times New Roman"/>
          <w:sz w:val="16"/>
          <w:szCs w:val="16"/>
          <w:color w:val="auto"/>
        </w:rPr>
        <w:t>and communicate investor-grade, audited ESG data</w:t>
      </w:r>
    </w:p>
    <w:p>
      <w:pPr>
        <w:spacing w:after="0" w:line="203" w:lineRule="auto"/>
        <w:rPr>
          <w:sz w:val="20"/>
          <w:szCs w:val="20"/>
          <w:color w:val="auto"/>
        </w:rPr>
      </w:pPr>
      <w:r>
        <w:rPr>
          <w:rFonts w:ascii="Times New Roman" w:cs="Times New Roman" w:eastAsia="Times New Roman" w:hAnsi="Times New Roman"/>
          <w:sz w:val="16"/>
          <w:szCs w:val="16"/>
          <w:color w:val="auto"/>
        </w:rPr>
        <w:t>efficiently across dozens of raters, rankers and framework</w:t>
      </w:r>
    </w:p>
    <w:p>
      <w:pPr>
        <w:spacing w:after="0" w:line="204" w:lineRule="auto"/>
        <w:rPr>
          <w:sz w:val="20"/>
          <w:szCs w:val="20"/>
          <w:color w:val="auto"/>
        </w:rPr>
      </w:pPr>
      <w:r>
        <w:rPr>
          <w:rFonts w:ascii="Times New Roman" w:cs="Times New Roman" w:eastAsia="Times New Roman" w:hAnsi="Times New Roman"/>
          <w:sz w:val="16"/>
          <w:szCs w:val="16"/>
          <w:color w:val="auto"/>
        </w:rPr>
        <w:t>organizations to drive strategic outcomes and attract</w:t>
      </w:r>
    </w:p>
    <w:p>
      <w:pPr>
        <w:spacing w:after="0" w:line="204" w:lineRule="auto"/>
        <w:rPr>
          <w:sz w:val="20"/>
          <w:szCs w:val="20"/>
          <w:color w:val="auto"/>
        </w:rPr>
      </w:pPr>
      <w:r>
        <w:rPr>
          <w:rFonts w:ascii="Times New Roman" w:cs="Times New Roman" w:eastAsia="Times New Roman" w:hAnsi="Times New Roman"/>
          <w:sz w:val="16"/>
          <w:szCs w:val="16"/>
          <w:color w:val="auto"/>
        </w:rPr>
        <w:t>investors.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Financial Technology</w:t>
      </w:r>
    </w:p>
    <w:p>
      <w:pPr>
        <w:spacing w:after="0" w:line="204" w:lineRule="auto"/>
        <w:rPr>
          <w:sz w:val="20"/>
          <w:szCs w:val="20"/>
          <w:color w:val="auto"/>
        </w:rPr>
      </w:pPr>
      <w:r>
        <w:rPr>
          <w:rFonts w:ascii="Times New Roman" w:cs="Times New Roman" w:eastAsia="Times New Roman" w:hAnsi="Times New Roman"/>
          <w:sz w:val="16"/>
          <w:szCs w:val="16"/>
          <w:color w:val="auto"/>
        </w:rPr>
        <w:t>The Financial Technology segment delivers world leading</w:t>
      </w:r>
    </w:p>
    <w:p>
      <w:pPr>
        <w:spacing w:after="0" w:line="203" w:lineRule="auto"/>
        <w:rPr>
          <w:sz w:val="20"/>
          <w:szCs w:val="20"/>
          <w:color w:val="auto"/>
        </w:rPr>
      </w:pPr>
      <w:r>
        <w:rPr>
          <w:rFonts w:ascii="Times New Roman" w:cs="Times New Roman" w:eastAsia="Times New Roman" w:hAnsi="Times New Roman"/>
          <w:sz w:val="16"/>
          <w:szCs w:val="16"/>
          <w:color w:val="auto"/>
        </w:rPr>
        <w:t>platforms that improve the liquidity, transparency and</w:t>
      </w:r>
    </w:p>
    <w:p>
      <w:pPr>
        <w:spacing w:after="0" w:line="233" w:lineRule="auto"/>
        <w:rPr>
          <w:sz w:val="20"/>
          <w:szCs w:val="20"/>
          <w:color w:val="auto"/>
        </w:rPr>
      </w:pPr>
      <w:r>
        <w:rPr>
          <w:rFonts w:ascii="Times New Roman" w:cs="Times New Roman" w:eastAsia="Times New Roman" w:hAnsi="Times New Roman"/>
          <w:sz w:val="14"/>
          <w:szCs w:val="14"/>
          <w:color w:val="auto"/>
        </w:rPr>
        <w:t>integrity of the global economy by architecting and operating</w:t>
      </w:r>
    </w:p>
    <w:p>
      <w:pPr>
        <w:spacing w:after="0" w:line="203" w:lineRule="auto"/>
        <w:rPr>
          <w:sz w:val="20"/>
          <w:szCs w:val="20"/>
          <w:color w:val="auto"/>
        </w:rPr>
      </w:pPr>
      <w:r>
        <w:rPr>
          <w:rFonts w:ascii="Times New Roman" w:cs="Times New Roman" w:eastAsia="Times New Roman" w:hAnsi="Times New Roman"/>
          <w:sz w:val="16"/>
          <w:szCs w:val="16"/>
          <w:color w:val="auto"/>
        </w:rPr>
        <w:t>the world’s best markets. This segment comprises Financial</w:t>
      </w:r>
    </w:p>
    <w:p>
      <w:pPr>
        <w:spacing w:after="0" w:line="233" w:lineRule="auto"/>
        <w:rPr>
          <w:sz w:val="20"/>
          <w:szCs w:val="20"/>
          <w:color w:val="auto"/>
        </w:rPr>
      </w:pPr>
      <w:r>
        <w:rPr>
          <w:rFonts w:ascii="Times New Roman" w:cs="Times New Roman" w:eastAsia="Times New Roman" w:hAnsi="Times New Roman"/>
          <w:sz w:val="14"/>
          <w:szCs w:val="14"/>
          <w:color w:val="auto"/>
        </w:rPr>
        <w:t>Crime Management Technology, Regulatory Technology and</w:t>
      </w:r>
    </w:p>
    <w:p>
      <w:pPr>
        <w:spacing w:after="0" w:line="204" w:lineRule="auto"/>
        <w:rPr>
          <w:sz w:val="20"/>
          <w:szCs w:val="20"/>
          <w:color w:val="auto"/>
        </w:rPr>
      </w:pPr>
      <w:r>
        <w:rPr>
          <w:rFonts w:ascii="Times New Roman" w:cs="Times New Roman" w:eastAsia="Times New Roman" w:hAnsi="Times New Roman"/>
          <w:sz w:val="16"/>
          <w:szCs w:val="16"/>
          <w:color w:val="auto"/>
        </w:rPr>
        <w:t>Capital Markets Technology businesses.</w:t>
      </w:r>
    </w:p>
    <w:p>
      <w:pPr>
        <w:spacing w:after="0" w:line="203" w:lineRule="auto"/>
        <w:rPr>
          <w:sz w:val="20"/>
          <w:szCs w:val="20"/>
          <w:color w:val="auto"/>
        </w:rPr>
      </w:pPr>
      <w:r>
        <w:rPr>
          <w:rFonts w:ascii="Times New Roman" w:cs="Times New Roman" w:eastAsia="Times New Roman" w:hAnsi="Times New Roman"/>
          <w:sz w:val="16"/>
          <w:szCs w:val="16"/>
          <w:color w:val="auto"/>
        </w:rPr>
        <w:t>We are a leading global technology solutions provider and</w:t>
      </w:r>
    </w:p>
    <w:p>
      <w:pPr>
        <w:spacing w:after="0" w:line="204" w:lineRule="auto"/>
        <w:rPr>
          <w:sz w:val="20"/>
          <w:szCs w:val="20"/>
          <w:color w:val="auto"/>
        </w:rPr>
      </w:pPr>
      <w:r>
        <w:rPr>
          <w:rFonts w:ascii="Times New Roman" w:cs="Times New Roman" w:eastAsia="Times New Roman" w:hAnsi="Times New Roman"/>
          <w:sz w:val="16"/>
          <w:szCs w:val="16"/>
          <w:color w:val="auto"/>
        </w:rPr>
        <w:t>partner to exchanges, clearing organizations, central</w:t>
      </w:r>
    </w:p>
    <w:p>
      <w:pPr>
        <w:spacing w:after="0" w:line="203" w:lineRule="auto"/>
        <w:rPr>
          <w:sz w:val="20"/>
          <w:szCs w:val="20"/>
          <w:color w:val="auto"/>
        </w:rPr>
      </w:pPr>
      <w:r>
        <w:rPr>
          <w:rFonts w:ascii="Times New Roman" w:cs="Times New Roman" w:eastAsia="Times New Roman" w:hAnsi="Times New Roman"/>
          <w:sz w:val="16"/>
          <w:szCs w:val="16"/>
          <w:color w:val="auto"/>
        </w:rPr>
        <w:t>securities depositories, banks, brokers, buy-side firms and</w:t>
      </w:r>
    </w:p>
    <w:p>
      <w:pPr>
        <w:spacing w:after="0" w:line="204" w:lineRule="auto"/>
        <w:rPr>
          <w:sz w:val="20"/>
          <w:szCs w:val="20"/>
          <w:color w:val="auto"/>
        </w:rPr>
      </w:pPr>
      <w:r>
        <w:rPr>
          <w:rFonts w:ascii="Times New Roman" w:cs="Times New Roman" w:eastAsia="Times New Roman" w:hAnsi="Times New Roman"/>
          <w:sz w:val="16"/>
          <w:szCs w:val="16"/>
          <w:color w:val="auto"/>
        </w:rPr>
        <w:t>corporate businesses. Through our Financial Technology</w:t>
      </w:r>
    </w:p>
    <w:p>
      <w:pPr>
        <w:spacing w:after="0" w:line="203" w:lineRule="auto"/>
        <w:rPr>
          <w:sz w:val="20"/>
          <w:szCs w:val="20"/>
          <w:color w:val="auto"/>
        </w:rPr>
      </w:pPr>
      <w:r>
        <w:rPr>
          <w:rFonts w:ascii="Times New Roman" w:cs="Times New Roman" w:eastAsia="Times New Roman" w:hAnsi="Times New Roman"/>
          <w:sz w:val="16"/>
          <w:szCs w:val="16"/>
          <w:color w:val="auto"/>
        </w:rPr>
        <w:t>solutions, we power more than 135 marketplaces (including</w:t>
      </w:r>
    </w:p>
    <w:p>
      <w:pPr>
        <w:spacing w:after="0" w:line="204" w:lineRule="auto"/>
        <w:rPr>
          <w:sz w:val="20"/>
          <w:szCs w:val="20"/>
          <w:color w:val="auto"/>
        </w:rPr>
      </w:pPr>
      <w:r>
        <w:rPr>
          <w:rFonts w:ascii="Times New Roman" w:cs="Times New Roman" w:eastAsia="Times New Roman" w:hAnsi="Times New Roman"/>
          <w:sz w:val="16"/>
          <w:szCs w:val="16"/>
          <w:color w:val="auto"/>
        </w:rPr>
        <w:t>19 owned and operated by Nasdaq) and regulators, in more</w:t>
      </w:r>
    </w:p>
    <w:p>
      <w:pPr>
        <w:spacing w:after="0"/>
        <w:rPr>
          <w:sz w:val="20"/>
          <w:szCs w:val="20"/>
          <w:color w:val="auto"/>
        </w:rPr>
      </w:pPr>
      <w:r>
        <w:rPr>
          <w:rFonts w:ascii="Times New Roman" w:cs="Times New Roman" w:eastAsia="Times New Roman" w:hAnsi="Times New Roman"/>
          <w:sz w:val="16"/>
          <w:szCs w:val="16"/>
          <w:color w:val="auto"/>
        </w:rPr>
        <w:t>than 55 countries. We serve approximately 3,800 global</w:t>
      </w:r>
    </w:p>
    <w:p>
      <w:pPr>
        <w:spacing w:after="0" w:line="214" w:lineRule="auto"/>
        <w:rPr>
          <w:sz w:val="20"/>
          <w:szCs w:val="20"/>
          <w:color w:val="auto"/>
        </w:rPr>
      </w:pPr>
      <w:r>
        <w:rPr>
          <w:rFonts w:ascii="Times New Roman" w:cs="Times New Roman" w:eastAsia="Times New Roman" w:hAnsi="Times New Roman"/>
          <w:sz w:val="16"/>
          <w:szCs w:val="16"/>
          <w:color w:val="auto"/>
        </w:rPr>
        <w:t>4</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Regulatory Technology</w:t>
      </w:r>
    </w:p>
    <w:p>
      <w:pPr>
        <w:spacing w:after="0" w:line="204" w:lineRule="auto"/>
        <w:rPr>
          <w:sz w:val="20"/>
          <w:szCs w:val="20"/>
          <w:color w:val="auto"/>
        </w:rPr>
      </w:pPr>
      <w:r>
        <w:rPr>
          <w:rFonts w:ascii="Times New Roman" w:cs="Times New Roman" w:eastAsia="Times New Roman" w:hAnsi="Times New Roman"/>
          <w:sz w:val="16"/>
          <w:szCs w:val="16"/>
          <w:color w:val="auto"/>
        </w:rPr>
        <w:t>Regulatory Technology includes our AxiomSL and</w:t>
      </w:r>
    </w:p>
    <w:p>
      <w:pPr>
        <w:spacing w:after="0" w:line="203" w:lineRule="auto"/>
        <w:rPr>
          <w:sz w:val="20"/>
          <w:szCs w:val="20"/>
          <w:color w:val="auto"/>
        </w:rPr>
      </w:pPr>
      <w:r>
        <w:rPr>
          <w:rFonts w:ascii="Times New Roman" w:cs="Times New Roman" w:eastAsia="Times New Roman" w:hAnsi="Times New Roman"/>
          <w:sz w:val="16"/>
          <w:szCs w:val="16"/>
          <w:color w:val="auto"/>
        </w:rPr>
        <w:t>surveillance solutions.</w:t>
      </w:r>
    </w:p>
    <w:p>
      <w:pPr>
        <w:spacing w:after="0" w:line="204" w:lineRule="auto"/>
        <w:rPr>
          <w:sz w:val="20"/>
          <w:szCs w:val="20"/>
          <w:color w:val="auto"/>
        </w:rPr>
      </w:pPr>
      <w:r>
        <w:rPr>
          <w:rFonts w:ascii="Times New Roman" w:cs="Times New Roman" w:eastAsia="Times New Roman" w:hAnsi="Times New Roman"/>
          <w:sz w:val="16"/>
          <w:szCs w:val="16"/>
          <w:color w:val="auto"/>
        </w:rPr>
        <w:t>AxiomSL is a global leader in risk data management and</w:t>
      </w:r>
    </w:p>
    <w:p>
      <w:pPr>
        <w:spacing w:after="0" w:line="203" w:lineRule="auto"/>
        <w:rPr>
          <w:sz w:val="20"/>
          <w:szCs w:val="20"/>
          <w:color w:val="auto"/>
        </w:rPr>
      </w:pPr>
      <w:r>
        <w:rPr>
          <w:rFonts w:ascii="Times New Roman" w:cs="Times New Roman" w:eastAsia="Times New Roman" w:hAnsi="Times New Roman"/>
          <w:sz w:val="16"/>
          <w:szCs w:val="16"/>
          <w:color w:val="auto"/>
        </w:rPr>
        <w:t>regulatory reporting solutions for the financial industry,</w:t>
      </w:r>
    </w:p>
    <w:p>
      <w:pPr>
        <w:spacing w:after="0" w:line="233" w:lineRule="auto"/>
        <w:rPr>
          <w:sz w:val="20"/>
          <w:szCs w:val="20"/>
          <w:color w:val="auto"/>
        </w:rPr>
      </w:pPr>
      <w:r>
        <w:rPr>
          <w:rFonts w:ascii="Times New Roman" w:cs="Times New Roman" w:eastAsia="Times New Roman" w:hAnsi="Times New Roman"/>
          <w:sz w:val="14"/>
          <w:szCs w:val="14"/>
          <w:color w:val="auto"/>
        </w:rPr>
        <w:t>covering more than 170 regulators in more than 60 countries,</w:t>
      </w:r>
    </w:p>
    <w:p>
      <w:pPr>
        <w:spacing w:after="0" w:line="204" w:lineRule="auto"/>
        <w:rPr>
          <w:sz w:val="20"/>
          <w:szCs w:val="20"/>
          <w:color w:val="auto"/>
        </w:rPr>
      </w:pPr>
      <w:r>
        <w:rPr>
          <w:rFonts w:ascii="Times New Roman" w:cs="Times New Roman" w:eastAsia="Times New Roman" w:hAnsi="Times New Roman"/>
          <w:sz w:val="16"/>
          <w:szCs w:val="16"/>
          <w:color w:val="auto"/>
        </w:rPr>
        <w:t>including banks, broker dealers and asset managers. Its</w:t>
      </w:r>
    </w:p>
    <w:p>
      <w:pPr>
        <w:spacing w:after="0" w:line="203" w:lineRule="auto"/>
        <w:rPr>
          <w:sz w:val="20"/>
          <w:szCs w:val="20"/>
          <w:color w:val="auto"/>
        </w:rPr>
      </w:pPr>
      <w:r>
        <w:rPr>
          <w:rFonts w:ascii="Times New Roman" w:cs="Times New Roman" w:eastAsia="Times New Roman" w:hAnsi="Times New Roman"/>
          <w:sz w:val="16"/>
          <w:szCs w:val="16"/>
          <w:color w:val="auto"/>
        </w:rPr>
        <w:t>unique enterprise data management platform delivers data</w:t>
      </w:r>
    </w:p>
    <w:p>
      <w:pPr>
        <w:spacing w:after="0" w:line="204" w:lineRule="auto"/>
        <w:rPr>
          <w:sz w:val="20"/>
          <w:szCs w:val="20"/>
          <w:color w:val="auto"/>
        </w:rPr>
      </w:pPr>
      <w:r>
        <w:rPr>
          <w:rFonts w:ascii="Times New Roman" w:cs="Times New Roman" w:eastAsia="Times New Roman" w:hAnsi="Times New Roman"/>
          <w:sz w:val="16"/>
          <w:szCs w:val="16"/>
          <w:color w:val="auto"/>
        </w:rPr>
        <w:t>lineage, risk aggregation, analytics, workflow automation,</w:t>
      </w:r>
    </w:p>
    <w:p>
      <w:pPr>
        <w:spacing w:after="0" w:line="203" w:lineRule="auto"/>
        <w:rPr>
          <w:sz w:val="20"/>
          <w:szCs w:val="20"/>
          <w:color w:val="auto"/>
        </w:rPr>
      </w:pPr>
      <w:r>
        <w:rPr>
          <w:rFonts w:ascii="Times New Roman" w:cs="Times New Roman" w:eastAsia="Times New Roman" w:hAnsi="Times New Roman"/>
          <w:sz w:val="16"/>
          <w:szCs w:val="16"/>
          <w:color w:val="auto"/>
        </w:rPr>
        <w:t>reconciliation, validation and audit functionality, as well as</w:t>
      </w:r>
    </w:p>
    <w:p>
      <w:pPr>
        <w:spacing w:after="0" w:line="204" w:lineRule="auto"/>
        <w:rPr>
          <w:sz w:val="20"/>
          <w:szCs w:val="20"/>
          <w:color w:val="auto"/>
        </w:rPr>
      </w:pPr>
      <w:r>
        <w:rPr>
          <w:rFonts w:ascii="Times New Roman" w:cs="Times New Roman" w:eastAsia="Times New Roman" w:hAnsi="Times New Roman"/>
          <w:sz w:val="16"/>
          <w:szCs w:val="16"/>
          <w:color w:val="auto"/>
        </w:rPr>
        <w:t>disclosures.</w:t>
      </w:r>
    </w:p>
    <w:p>
      <w:pPr>
        <w:spacing w:after="0" w:line="232" w:lineRule="auto"/>
        <w:rPr>
          <w:sz w:val="20"/>
          <w:szCs w:val="20"/>
          <w:color w:val="auto"/>
        </w:rPr>
      </w:pPr>
      <w:r>
        <w:rPr>
          <w:rFonts w:ascii="Times New Roman" w:cs="Times New Roman" w:eastAsia="Times New Roman" w:hAnsi="Times New Roman"/>
          <w:sz w:val="14"/>
          <w:szCs w:val="14"/>
          <w:color w:val="auto"/>
        </w:rPr>
        <w:t>AxiomSL’s cloud-enabled and on-premises solutions support</w:t>
      </w:r>
    </w:p>
    <w:p>
      <w:pPr>
        <w:spacing w:after="0" w:line="204" w:lineRule="auto"/>
        <w:rPr>
          <w:sz w:val="20"/>
          <w:szCs w:val="20"/>
          <w:color w:val="auto"/>
        </w:rPr>
      </w:pPr>
      <w:r>
        <w:rPr>
          <w:rFonts w:ascii="Times New Roman" w:cs="Times New Roman" w:eastAsia="Times New Roman" w:hAnsi="Times New Roman"/>
          <w:sz w:val="16"/>
          <w:szCs w:val="16"/>
          <w:color w:val="auto"/>
        </w:rPr>
        <w:t>compliance across a wide range of global and local</w:t>
      </w:r>
    </w:p>
    <w:p>
      <w:pPr>
        <w:spacing w:after="0" w:line="203" w:lineRule="auto"/>
        <w:rPr>
          <w:sz w:val="20"/>
          <w:szCs w:val="20"/>
          <w:color w:val="auto"/>
        </w:rPr>
      </w:pPr>
      <w:r>
        <w:rPr>
          <w:rFonts w:ascii="Times New Roman" w:cs="Times New Roman" w:eastAsia="Times New Roman" w:hAnsi="Times New Roman"/>
          <w:sz w:val="16"/>
          <w:szCs w:val="16"/>
          <w:color w:val="auto"/>
        </w:rPr>
        <w:t>regulations and deliver solutions and services for financial</w:t>
      </w:r>
    </w:p>
    <w:p>
      <w:pPr>
        <w:spacing w:after="0" w:line="233" w:lineRule="auto"/>
        <w:rPr>
          <w:sz w:val="20"/>
          <w:szCs w:val="20"/>
          <w:color w:val="auto"/>
        </w:rPr>
      </w:pPr>
      <w:r>
        <w:rPr>
          <w:rFonts w:ascii="Times New Roman" w:cs="Times New Roman" w:eastAsia="Times New Roman" w:hAnsi="Times New Roman"/>
          <w:sz w:val="14"/>
          <w:szCs w:val="14"/>
          <w:color w:val="auto"/>
        </w:rPr>
        <w:t>regulatory reporting, liquidity, capital and credit, operations,</w:t>
      </w:r>
    </w:p>
    <w:p>
      <w:pPr>
        <w:spacing w:after="0" w:line="204" w:lineRule="auto"/>
        <w:rPr>
          <w:sz w:val="20"/>
          <w:szCs w:val="20"/>
          <w:color w:val="auto"/>
        </w:rPr>
      </w:pPr>
      <w:r>
        <w:rPr>
          <w:rFonts w:ascii="Times New Roman" w:cs="Times New Roman" w:eastAsia="Times New Roman" w:hAnsi="Times New Roman"/>
          <w:sz w:val="16"/>
          <w:szCs w:val="16"/>
          <w:color w:val="auto"/>
        </w:rPr>
        <w:t>trade and transaction reporting, and ESG reporting. We also</w:t>
      </w:r>
    </w:p>
    <w:p>
      <w:pPr>
        <w:spacing w:after="0" w:line="203" w:lineRule="auto"/>
        <w:rPr>
          <w:sz w:val="20"/>
          <w:szCs w:val="20"/>
          <w:color w:val="auto"/>
        </w:rPr>
      </w:pPr>
      <w:r>
        <w:rPr>
          <w:rFonts w:ascii="Times New Roman" w:cs="Times New Roman" w:eastAsia="Times New Roman" w:hAnsi="Times New Roman"/>
          <w:sz w:val="16"/>
          <w:szCs w:val="16"/>
          <w:color w:val="auto"/>
        </w:rPr>
        <w:t>provide professional services which relate to systems</w:t>
      </w:r>
    </w:p>
    <w:p>
      <w:pPr>
        <w:spacing w:after="0" w:line="233" w:lineRule="auto"/>
        <w:rPr>
          <w:sz w:val="20"/>
          <w:szCs w:val="20"/>
          <w:color w:val="auto"/>
        </w:rPr>
      </w:pPr>
      <w:r>
        <w:rPr>
          <w:rFonts w:ascii="Times New Roman" w:cs="Times New Roman" w:eastAsia="Times New Roman" w:hAnsi="Times New Roman"/>
          <w:sz w:val="14"/>
          <w:szCs w:val="14"/>
          <w:color w:val="auto"/>
        </w:rPr>
        <w:t>implementation and integration as well as advisory services.</w:t>
      </w:r>
    </w:p>
    <w:p>
      <w:pPr>
        <w:spacing w:after="0" w:line="203" w:lineRule="auto"/>
        <w:rPr>
          <w:sz w:val="20"/>
          <w:szCs w:val="20"/>
          <w:color w:val="auto"/>
        </w:rPr>
      </w:pPr>
      <w:r>
        <w:rPr>
          <w:rFonts w:ascii="Times New Roman" w:cs="Times New Roman" w:eastAsia="Times New Roman" w:hAnsi="Times New Roman"/>
          <w:sz w:val="16"/>
          <w:szCs w:val="16"/>
          <w:color w:val="auto"/>
        </w:rPr>
        <w:t>Our surveillance cloud-enabled and on-premises solution is</w:t>
      </w:r>
    </w:p>
    <w:p>
      <w:pPr>
        <w:spacing w:after="0" w:line="233" w:lineRule="auto"/>
        <w:rPr>
          <w:sz w:val="20"/>
          <w:szCs w:val="20"/>
          <w:color w:val="auto"/>
        </w:rPr>
      </w:pPr>
      <w:r>
        <w:rPr>
          <w:rFonts w:ascii="Times New Roman" w:cs="Times New Roman" w:eastAsia="Times New Roman" w:hAnsi="Times New Roman"/>
          <w:sz w:val="14"/>
          <w:szCs w:val="14"/>
          <w:color w:val="auto"/>
        </w:rPr>
        <w:t>designed for banks, brokers and other market participants to</w:t>
      </w:r>
    </w:p>
    <w:p>
      <w:pPr>
        <w:spacing w:after="0" w:line="204" w:lineRule="auto"/>
        <w:rPr>
          <w:sz w:val="20"/>
          <w:szCs w:val="20"/>
          <w:color w:val="auto"/>
        </w:rPr>
      </w:pPr>
      <w:r>
        <w:rPr>
          <w:rFonts w:ascii="Times New Roman" w:cs="Times New Roman" w:eastAsia="Times New Roman" w:hAnsi="Times New Roman"/>
          <w:sz w:val="16"/>
          <w:szCs w:val="16"/>
          <w:color w:val="auto"/>
        </w:rPr>
        <w:t>assist in complying with market rules, regulations and</w:t>
      </w:r>
    </w:p>
    <w:p>
      <w:pPr>
        <w:spacing w:after="0" w:line="203" w:lineRule="auto"/>
        <w:rPr>
          <w:sz w:val="20"/>
          <w:szCs w:val="20"/>
          <w:color w:val="auto"/>
        </w:rPr>
      </w:pPr>
      <w:r>
        <w:rPr>
          <w:rFonts w:ascii="Times New Roman" w:cs="Times New Roman" w:eastAsia="Times New Roman" w:hAnsi="Times New Roman"/>
          <w:sz w:val="16"/>
          <w:szCs w:val="16"/>
          <w:color w:val="auto"/>
        </w:rPr>
        <w:t>internal market surveillance policies and serves more than</w:t>
      </w:r>
    </w:p>
    <w:p>
      <w:pPr>
        <w:spacing w:after="0" w:line="204" w:lineRule="auto"/>
        <w:rPr>
          <w:sz w:val="20"/>
          <w:szCs w:val="20"/>
          <w:color w:val="auto"/>
        </w:rPr>
      </w:pPr>
      <w:r>
        <w:rPr>
          <w:rFonts w:ascii="Times New Roman" w:cs="Times New Roman" w:eastAsia="Times New Roman" w:hAnsi="Times New Roman"/>
          <w:sz w:val="16"/>
          <w:szCs w:val="16"/>
          <w:color w:val="auto"/>
        </w:rPr>
        <w:t>170 clients. We also provide our solution to regulators and</w:t>
      </w:r>
    </w:p>
    <w:p>
      <w:pPr>
        <w:spacing w:after="0" w:line="203" w:lineRule="auto"/>
        <w:rPr>
          <w:sz w:val="20"/>
          <w:szCs w:val="20"/>
          <w:color w:val="auto"/>
        </w:rPr>
      </w:pPr>
      <w:r>
        <w:rPr>
          <w:rFonts w:ascii="Times New Roman" w:cs="Times New Roman" w:eastAsia="Times New Roman" w:hAnsi="Times New Roman"/>
          <w:sz w:val="16"/>
          <w:szCs w:val="16"/>
          <w:color w:val="auto"/>
        </w:rPr>
        <w:t>exchanges with a robust platform to manage cross-market,</w:t>
      </w:r>
    </w:p>
    <w:p>
      <w:pPr>
        <w:spacing w:after="0" w:line="204" w:lineRule="auto"/>
        <w:rPr>
          <w:sz w:val="20"/>
          <w:szCs w:val="20"/>
          <w:color w:val="auto"/>
        </w:rPr>
      </w:pPr>
      <w:r>
        <w:rPr>
          <w:rFonts w:ascii="Times New Roman" w:cs="Times New Roman" w:eastAsia="Times New Roman" w:hAnsi="Times New Roman"/>
          <w:sz w:val="16"/>
          <w:szCs w:val="16"/>
          <w:color w:val="auto"/>
        </w:rPr>
        <w:t>cross-asset and multi-venue surveillance. This offering</w:t>
      </w:r>
    </w:p>
    <w:p>
      <w:pPr>
        <w:spacing w:after="0" w:line="203" w:lineRule="auto"/>
        <w:rPr>
          <w:sz w:val="20"/>
          <w:szCs w:val="20"/>
          <w:color w:val="auto"/>
        </w:rPr>
      </w:pPr>
      <w:r>
        <w:rPr>
          <w:rFonts w:ascii="Times New Roman" w:cs="Times New Roman" w:eastAsia="Times New Roman" w:hAnsi="Times New Roman"/>
          <w:sz w:val="16"/>
          <w:szCs w:val="16"/>
          <w:color w:val="auto"/>
        </w:rPr>
        <w:t>powers surveillance for more than 50 exchanges and 22</w:t>
      </w:r>
    </w:p>
    <w:p>
      <w:pPr>
        <w:spacing w:after="0" w:line="204" w:lineRule="auto"/>
        <w:rPr>
          <w:sz w:val="20"/>
          <w:szCs w:val="20"/>
          <w:color w:val="auto"/>
        </w:rPr>
      </w:pPr>
      <w:r>
        <w:rPr>
          <w:rFonts w:ascii="Times New Roman" w:cs="Times New Roman" w:eastAsia="Times New Roman" w:hAnsi="Times New Roman"/>
          <w:sz w:val="16"/>
          <w:szCs w:val="16"/>
          <w:color w:val="auto"/>
        </w:rPr>
        <w:t>regulators.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Capital Markets Technology</w:t>
      </w:r>
    </w:p>
    <w:p>
      <w:pPr>
        <w:spacing w:after="0" w:line="203" w:lineRule="auto"/>
        <w:rPr>
          <w:sz w:val="20"/>
          <w:szCs w:val="20"/>
          <w:color w:val="auto"/>
        </w:rPr>
      </w:pPr>
      <w:r>
        <w:rPr>
          <w:rFonts w:ascii="Times New Roman" w:cs="Times New Roman" w:eastAsia="Times New Roman" w:hAnsi="Times New Roman"/>
          <w:sz w:val="16"/>
          <w:szCs w:val="16"/>
          <w:color w:val="auto"/>
        </w:rPr>
        <w:t>Capital Markets Technology includes our Calypso and</w:t>
      </w:r>
    </w:p>
    <w:p>
      <w:pPr>
        <w:spacing w:after="0" w:line="204" w:lineRule="auto"/>
        <w:rPr>
          <w:sz w:val="20"/>
          <w:szCs w:val="20"/>
          <w:color w:val="auto"/>
        </w:rPr>
      </w:pPr>
      <w:r>
        <w:rPr>
          <w:rFonts w:ascii="Times New Roman" w:cs="Times New Roman" w:eastAsia="Times New Roman" w:hAnsi="Times New Roman"/>
          <w:sz w:val="16"/>
          <w:szCs w:val="16"/>
          <w:color w:val="auto"/>
        </w:rPr>
        <w:t>market technology solutions as well as trade management</w:t>
      </w:r>
    </w:p>
    <w:p>
      <w:pPr>
        <w:spacing w:after="0" w:line="203" w:lineRule="auto"/>
        <w:rPr>
          <w:sz w:val="20"/>
          <w:szCs w:val="20"/>
          <w:color w:val="auto"/>
        </w:rPr>
      </w:pPr>
      <w:r>
        <w:rPr>
          <w:rFonts w:ascii="Times New Roman" w:cs="Times New Roman" w:eastAsia="Times New Roman" w:hAnsi="Times New Roman"/>
          <w:sz w:val="16"/>
          <w:szCs w:val="16"/>
          <w:color w:val="auto"/>
        </w:rPr>
        <w:t>services.</w:t>
      </w:r>
    </w:p>
    <w:p>
      <w:pPr>
        <w:spacing w:after="0" w:line="233" w:lineRule="auto"/>
        <w:rPr>
          <w:sz w:val="20"/>
          <w:szCs w:val="20"/>
          <w:color w:val="auto"/>
        </w:rPr>
      </w:pPr>
      <w:r>
        <w:rPr>
          <w:rFonts w:ascii="Times New Roman" w:cs="Times New Roman" w:eastAsia="Times New Roman" w:hAnsi="Times New Roman"/>
          <w:sz w:val="14"/>
          <w:szCs w:val="14"/>
          <w:color w:val="auto"/>
        </w:rPr>
        <w:t>Calypso is a leading cloud-enabled platform providing cross-</w:t>
      </w:r>
    </w:p>
    <w:p>
      <w:pPr>
        <w:spacing w:after="0" w:line="203" w:lineRule="auto"/>
        <w:rPr>
          <w:sz w:val="20"/>
          <w:szCs w:val="20"/>
          <w:color w:val="auto"/>
        </w:rPr>
      </w:pPr>
      <w:r>
        <w:rPr>
          <w:rFonts w:ascii="Times New Roman" w:cs="Times New Roman" w:eastAsia="Times New Roman" w:hAnsi="Times New Roman"/>
          <w:sz w:val="16"/>
          <w:szCs w:val="16"/>
          <w:color w:val="auto"/>
        </w:rPr>
        <w:t>asset, front-to-back trading, treasury, risk and collateral</w:t>
      </w:r>
    </w:p>
    <w:p>
      <w:pPr>
        <w:spacing w:after="0" w:line="204" w:lineRule="auto"/>
        <w:rPr>
          <w:sz w:val="20"/>
          <w:szCs w:val="20"/>
          <w:color w:val="auto"/>
        </w:rPr>
      </w:pPr>
      <w:r>
        <w:rPr>
          <w:rFonts w:ascii="Times New Roman" w:cs="Times New Roman" w:eastAsia="Times New Roman" w:hAnsi="Times New Roman"/>
          <w:sz w:val="16"/>
          <w:szCs w:val="16"/>
          <w:color w:val="auto"/>
        </w:rPr>
        <w:t>management solutions. The Calypso solution provides</w:t>
      </w:r>
    </w:p>
    <w:p>
      <w:pPr>
        <w:spacing w:after="0" w:line="203" w:lineRule="auto"/>
        <w:rPr>
          <w:sz w:val="20"/>
          <w:szCs w:val="20"/>
          <w:color w:val="auto"/>
        </w:rPr>
      </w:pPr>
      <w:r>
        <w:rPr>
          <w:rFonts w:ascii="Times New Roman" w:cs="Times New Roman" w:eastAsia="Times New Roman" w:hAnsi="Times New Roman"/>
          <w:sz w:val="16"/>
          <w:szCs w:val="16"/>
          <w:color w:val="auto"/>
        </w:rPr>
        <w:t>customers with a single platform designed to enable</w:t>
      </w:r>
    </w:p>
    <w:p>
      <w:pPr>
        <w:spacing w:after="0" w:line="233" w:lineRule="auto"/>
        <w:rPr>
          <w:sz w:val="20"/>
          <w:szCs w:val="20"/>
          <w:color w:val="auto"/>
        </w:rPr>
      </w:pPr>
      <w:r>
        <w:rPr>
          <w:rFonts w:ascii="Times New Roman" w:cs="Times New Roman" w:eastAsia="Times New Roman" w:hAnsi="Times New Roman"/>
          <w:sz w:val="14"/>
          <w:szCs w:val="14"/>
          <w:color w:val="auto"/>
        </w:rPr>
        <w:t>consolidation, innovation and growth. The platform supports</w:t>
      </w:r>
    </w:p>
    <w:p>
      <w:pPr>
        <w:spacing w:after="0" w:line="204" w:lineRule="auto"/>
        <w:rPr>
          <w:sz w:val="20"/>
          <w:szCs w:val="20"/>
          <w:color w:val="auto"/>
        </w:rPr>
      </w:pPr>
      <w:r>
        <w:rPr>
          <w:rFonts w:ascii="Times New Roman" w:cs="Times New Roman" w:eastAsia="Times New Roman" w:hAnsi="Times New Roman"/>
          <w:sz w:val="16"/>
          <w:szCs w:val="16"/>
          <w:color w:val="auto"/>
        </w:rPr>
        <w:t>front, middle and back office activities in exchange-traded</w:t>
      </w:r>
    </w:p>
    <w:p>
      <w:pPr>
        <w:spacing w:after="0" w:line="203" w:lineRule="auto"/>
        <w:rPr>
          <w:sz w:val="20"/>
          <w:szCs w:val="20"/>
          <w:color w:val="auto"/>
        </w:rPr>
      </w:pPr>
      <w:r>
        <w:rPr>
          <w:rFonts w:ascii="Times New Roman" w:cs="Times New Roman" w:eastAsia="Times New Roman" w:hAnsi="Times New Roman"/>
          <w:sz w:val="16"/>
          <w:szCs w:val="16"/>
          <w:color w:val="auto"/>
        </w:rPr>
        <w:t>and OTC instruments and supports multiple financial asset</w:t>
      </w:r>
    </w:p>
    <w:p>
      <w:pPr>
        <w:spacing w:after="0" w:line="204" w:lineRule="auto"/>
        <w:rPr>
          <w:sz w:val="20"/>
          <w:szCs w:val="20"/>
          <w:color w:val="auto"/>
        </w:rPr>
      </w:pPr>
      <w:r>
        <w:rPr>
          <w:rFonts w:ascii="Times New Roman" w:cs="Times New Roman" w:eastAsia="Times New Roman" w:hAnsi="Times New Roman"/>
          <w:sz w:val="16"/>
          <w:szCs w:val="16"/>
          <w:color w:val="auto"/>
        </w:rPr>
        <w:t>classes and the associated financial instruments. Calypso’s</w:t>
      </w:r>
    </w:p>
    <w:p>
      <w:pPr>
        <w:spacing w:after="0" w:line="203" w:lineRule="auto"/>
        <w:rPr>
          <w:sz w:val="20"/>
          <w:szCs w:val="20"/>
          <w:color w:val="auto"/>
        </w:rPr>
      </w:pPr>
      <w:r>
        <w:rPr>
          <w:rFonts w:ascii="Times New Roman" w:cs="Times New Roman" w:eastAsia="Times New Roman" w:hAnsi="Times New Roman"/>
          <w:sz w:val="16"/>
          <w:szCs w:val="16"/>
          <w:color w:val="auto"/>
        </w:rPr>
        <w:t>software application specializes in capital markets,</w:t>
      </w:r>
    </w:p>
    <w:p>
      <w:pPr>
        <w:spacing w:after="0" w:line="204" w:lineRule="auto"/>
        <w:rPr>
          <w:sz w:val="20"/>
          <w:szCs w:val="20"/>
          <w:color w:val="auto"/>
        </w:rPr>
      </w:pPr>
      <w:r>
        <w:rPr>
          <w:rFonts w:ascii="Times New Roman" w:cs="Times New Roman" w:eastAsia="Times New Roman" w:hAnsi="Times New Roman"/>
          <w:sz w:val="16"/>
          <w:szCs w:val="16"/>
          <w:color w:val="auto"/>
        </w:rPr>
        <w:t>investment management, risk management, clearing,</w:t>
      </w:r>
    </w:p>
    <w:p>
      <w:pPr>
        <w:spacing w:after="0" w:line="203" w:lineRule="auto"/>
        <w:rPr>
          <w:sz w:val="20"/>
          <w:szCs w:val="20"/>
          <w:color w:val="auto"/>
        </w:rPr>
      </w:pPr>
      <w:r>
        <w:rPr>
          <w:rFonts w:ascii="Times New Roman" w:cs="Times New Roman" w:eastAsia="Times New Roman" w:hAnsi="Times New Roman"/>
          <w:sz w:val="16"/>
          <w:szCs w:val="16"/>
          <w:color w:val="auto"/>
        </w:rPr>
        <w:t>collateral, treasury and liquidity management.</w:t>
      </w:r>
    </w:p>
    <w:p>
      <w:pPr>
        <w:spacing w:after="0" w:line="204" w:lineRule="auto"/>
        <w:rPr>
          <w:sz w:val="20"/>
          <w:szCs w:val="20"/>
          <w:color w:val="auto"/>
        </w:rPr>
      </w:pPr>
      <w:r>
        <w:rPr>
          <w:rFonts w:ascii="Times New Roman" w:cs="Times New Roman" w:eastAsia="Times New Roman" w:hAnsi="Times New Roman"/>
          <w:sz w:val="16"/>
          <w:szCs w:val="16"/>
          <w:color w:val="auto"/>
        </w:rPr>
        <w:t>The Calypso platform, leveraging modern technology, is</w:t>
      </w:r>
    </w:p>
    <w:p>
      <w:pPr>
        <w:spacing w:after="0" w:line="204" w:lineRule="auto"/>
        <w:rPr>
          <w:sz w:val="20"/>
          <w:szCs w:val="20"/>
          <w:color w:val="auto"/>
        </w:rPr>
      </w:pPr>
      <w:r>
        <w:rPr>
          <w:rFonts w:ascii="Times New Roman" w:cs="Times New Roman" w:eastAsia="Times New Roman" w:hAnsi="Times New Roman"/>
          <w:sz w:val="16"/>
          <w:szCs w:val="16"/>
          <w:color w:val="auto"/>
        </w:rPr>
        <w:t>versatile and serves more than 20 central banks and other</w:t>
      </w:r>
    </w:p>
    <w:p>
      <w:pPr>
        <w:spacing w:after="0" w:line="203" w:lineRule="auto"/>
        <w:rPr>
          <w:sz w:val="20"/>
          <w:szCs w:val="20"/>
          <w:color w:val="auto"/>
        </w:rPr>
      </w:pPr>
      <w:r>
        <w:rPr>
          <w:rFonts w:ascii="Times New Roman" w:cs="Times New Roman" w:eastAsia="Times New Roman" w:hAnsi="Times New Roman"/>
          <w:sz w:val="16"/>
          <w:szCs w:val="16"/>
          <w:color w:val="auto"/>
        </w:rPr>
        <w:t>customers across different industries, including banks, buy-</w:t>
      </w:r>
    </w:p>
    <w:p>
      <w:pPr>
        <w:spacing w:after="0" w:line="204" w:lineRule="auto"/>
        <w:rPr>
          <w:sz w:val="20"/>
          <w:szCs w:val="20"/>
          <w:color w:val="auto"/>
        </w:rPr>
      </w:pPr>
      <w:r>
        <w:rPr>
          <w:rFonts w:ascii="Times New Roman" w:cs="Times New Roman" w:eastAsia="Times New Roman" w:hAnsi="Times New Roman"/>
          <w:sz w:val="16"/>
          <w:szCs w:val="16"/>
          <w:color w:val="auto"/>
        </w:rPr>
        <w:t>side clients, government-sponsored entities and corporate</w:t>
      </w:r>
    </w:p>
    <w:p>
      <w:pPr>
        <w:spacing w:after="0"/>
        <w:rPr>
          <w:sz w:val="20"/>
          <w:szCs w:val="20"/>
          <w:color w:val="auto"/>
        </w:rPr>
      </w:pPr>
      <w:r>
        <w:rPr>
          <w:rFonts w:ascii="Times New Roman" w:cs="Times New Roman" w:eastAsia="Times New Roman" w:hAnsi="Times New Roman"/>
          <w:sz w:val="16"/>
          <w:szCs w:val="16"/>
          <w:color w:val="auto"/>
        </w:rPr>
        <w:t>clients, and can quickly adapt to changing paradigms</w:t>
      </w:r>
    </w:p>
    <w:p>
      <w:pPr>
        <w:sectPr>
          <w:pgSz w:w="11900" w:h="16840" w:orient="portrait"/>
          <w:cols w:equalWidth="0" w:num="1">
            <w:col w:w="9400"/>
          </w:cols>
          <w:pgMar w:left="1060" w:top="547" w:right="1440" w:bottom="32"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auto"/>
        </w:rPr>
        <w:t>including new asset classes, regulations, trading venues, and</w:t>
      </w:r>
    </w:p>
    <w:p>
      <w:pPr>
        <w:spacing w:after="0" w:line="220" w:lineRule="auto"/>
        <w:rPr>
          <w:sz w:val="20"/>
          <w:szCs w:val="20"/>
          <w:color w:val="auto"/>
        </w:rPr>
      </w:pPr>
      <w:r>
        <w:rPr>
          <w:rFonts w:ascii="Times New Roman" w:cs="Times New Roman" w:eastAsia="Times New Roman" w:hAnsi="Times New Roman"/>
          <w:sz w:val="16"/>
          <w:szCs w:val="16"/>
          <w:color w:val="auto"/>
        </w:rPr>
        <w:t>trading and processing workflows.</w:t>
      </w:r>
    </w:p>
    <w:p>
      <w:pPr>
        <w:spacing w:after="0" w:line="233" w:lineRule="auto"/>
        <w:rPr>
          <w:sz w:val="20"/>
          <w:szCs w:val="20"/>
          <w:color w:val="auto"/>
        </w:rPr>
      </w:pPr>
      <w:r>
        <w:rPr>
          <w:rFonts w:ascii="Times New Roman" w:cs="Times New Roman" w:eastAsia="Times New Roman" w:hAnsi="Times New Roman"/>
          <w:sz w:val="14"/>
          <w:szCs w:val="14"/>
          <w:color w:val="auto"/>
        </w:rPr>
        <w:t>Nasdaq’s market technology solutions are utilized by leading</w:t>
      </w:r>
    </w:p>
    <w:p>
      <w:pPr>
        <w:spacing w:after="0" w:line="232" w:lineRule="auto"/>
        <w:rPr>
          <w:sz w:val="20"/>
          <w:szCs w:val="20"/>
          <w:color w:val="auto"/>
        </w:rPr>
      </w:pPr>
      <w:r>
        <w:rPr>
          <w:rFonts w:ascii="Times New Roman" w:cs="Times New Roman" w:eastAsia="Times New Roman" w:hAnsi="Times New Roman"/>
          <w:sz w:val="14"/>
          <w:szCs w:val="14"/>
          <w:color w:val="auto"/>
        </w:rPr>
        <w:t>markets in North America, Europe, Asia, Middle East, Latin</w:t>
      </w:r>
    </w:p>
    <w:p>
      <w:pPr>
        <w:spacing w:after="0" w:line="233" w:lineRule="auto"/>
        <w:rPr>
          <w:sz w:val="20"/>
          <w:szCs w:val="20"/>
          <w:color w:val="auto"/>
        </w:rPr>
      </w:pPr>
      <w:r>
        <w:rPr>
          <w:rFonts w:ascii="Times New Roman" w:cs="Times New Roman" w:eastAsia="Times New Roman" w:hAnsi="Times New Roman"/>
          <w:sz w:val="14"/>
          <w:szCs w:val="14"/>
          <w:color w:val="auto"/>
        </w:rPr>
        <w:t>America and Africa. These solutions can handle a wide array</w:t>
      </w:r>
    </w:p>
    <w:p>
      <w:pPr>
        <w:spacing w:after="0" w:line="204" w:lineRule="auto"/>
        <w:rPr>
          <w:sz w:val="20"/>
          <w:szCs w:val="20"/>
          <w:color w:val="auto"/>
        </w:rPr>
      </w:pPr>
      <w:r>
        <w:rPr>
          <w:rFonts w:ascii="Times New Roman" w:cs="Times New Roman" w:eastAsia="Times New Roman" w:hAnsi="Times New Roman"/>
          <w:sz w:val="16"/>
          <w:szCs w:val="16"/>
          <w:color w:val="auto"/>
        </w:rPr>
        <w:t>of asset classes, including but not limited to cash equities,</w:t>
      </w:r>
    </w:p>
    <w:p>
      <w:pPr>
        <w:spacing w:after="0" w:line="203" w:lineRule="auto"/>
        <w:rPr>
          <w:sz w:val="20"/>
          <w:szCs w:val="20"/>
          <w:color w:val="auto"/>
        </w:rPr>
      </w:pPr>
      <w:r>
        <w:rPr>
          <w:rFonts w:ascii="Times New Roman" w:cs="Times New Roman" w:eastAsia="Times New Roman" w:hAnsi="Times New Roman"/>
          <w:sz w:val="16"/>
          <w:szCs w:val="16"/>
          <w:color w:val="auto"/>
        </w:rPr>
        <w:t>equity derivatives, currencies, various interest-bearing</w:t>
      </w:r>
    </w:p>
    <w:p>
      <w:pPr>
        <w:spacing w:after="0" w:line="204" w:lineRule="auto"/>
        <w:rPr>
          <w:sz w:val="20"/>
          <w:szCs w:val="20"/>
          <w:color w:val="auto"/>
        </w:rPr>
      </w:pPr>
      <w:r>
        <w:rPr>
          <w:rFonts w:ascii="Times New Roman" w:cs="Times New Roman" w:eastAsia="Times New Roman" w:hAnsi="Times New Roman"/>
          <w:sz w:val="16"/>
          <w:szCs w:val="16"/>
          <w:color w:val="auto"/>
        </w:rPr>
        <w:t>securities, commodities, energy products and digital</w:t>
      </w:r>
    </w:p>
    <w:p>
      <w:pPr>
        <w:spacing w:after="0" w:line="232" w:lineRule="auto"/>
        <w:rPr>
          <w:sz w:val="20"/>
          <w:szCs w:val="20"/>
          <w:color w:val="auto"/>
        </w:rPr>
      </w:pPr>
      <w:r>
        <w:rPr>
          <w:rFonts w:ascii="Times New Roman" w:cs="Times New Roman" w:eastAsia="Times New Roman" w:hAnsi="Times New Roman"/>
          <w:sz w:val="14"/>
          <w:szCs w:val="14"/>
          <w:color w:val="auto"/>
        </w:rPr>
        <w:t>currencies. We continue to develop our business portfolio by</w:t>
      </w:r>
    </w:p>
    <w:p>
      <w:pPr>
        <w:spacing w:after="0" w:line="204" w:lineRule="auto"/>
        <w:rPr>
          <w:sz w:val="20"/>
          <w:szCs w:val="20"/>
          <w:color w:val="auto"/>
        </w:rPr>
      </w:pPr>
      <w:r>
        <w:rPr>
          <w:rFonts w:ascii="Times New Roman" w:cs="Times New Roman" w:eastAsia="Times New Roman" w:hAnsi="Times New Roman"/>
          <w:sz w:val="16"/>
          <w:szCs w:val="16"/>
          <w:color w:val="auto"/>
        </w:rPr>
        <w:t>extending and migrating our current offerings to the cloud.</w:t>
      </w:r>
    </w:p>
    <w:p>
      <w:pPr>
        <w:spacing w:after="0" w:line="203" w:lineRule="auto"/>
        <w:rPr>
          <w:sz w:val="20"/>
          <w:szCs w:val="20"/>
          <w:color w:val="auto"/>
        </w:rPr>
      </w:pPr>
      <w:r>
        <w:rPr>
          <w:rFonts w:ascii="Times New Roman" w:cs="Times New Roman" w:eastAsia="Times New Roman" w:hAnsi="Times New Roman"/>
          <w:sz w:val="16"/>
          <w:szCs w:val="16"/>
          <w:color w:val="auto"/>
        </w:rPr>
        <w:t>We provide and deliver mission-critical solutions to market</w:t>
      </w:r>
    </w:p>
    <w:p>
      <w:pPr>
        <w:spacing w:after="0" w:line="233" w:lineRule="auto"/>
        <w:rPr>
          <w:sz w:val="20"/>
          <w:szCs w:val="20"/>
          <w:color w:val="auto"/>
        </w:rPr>
      </w:pPr>
      <w:r>
        <w:rPr>
          <w:rFonts w:ascii="Times New Roman" w:cs="Times New Roman" w:eastAsia="Times New Roman" w:hAnsi="Times New Roman"/>
          <w:sz w:val="14"/>
          <w:szCs w:val="14"/>
          <w:color w:val="auto"/>
        </w:rPr>
        <w:t>infrastructure operators, which include exchanges, regulators,</w:t>
      </w:r>
    </w:p>
    <w:p>
      <w:pPr>
        <w:spacing w:after="0" w:line="204" w:lineRule="auto"/>
        <w:rPr>
          <w:sz w:val="20"/>
          <w:szCs w:val="20"/>
          <w:color w:val="auto"/>
        </w:rPr>
      </w:pPr>
      <w:r>
        <w:rPr>
          <w:rFonts w:ascii="Times New Roman" w:cs="Times New Roman" w:eastAsia="Times New Roman" w:hAnsi="Times New Roman"/>
          <w:sz w:val="16"/>
          <w:szCs w:val="16"/>
          <w:color w:val="auto"/>
        </w:rPr>
        <w:t>clearinghouses and central securities depositories. These</w:t>
      </w:r>
    </w:p>
    <w:p>
      <w:pPr>
        <w:spacing w:after="0" w:line="203" w:lineRule="auto"/>
        <w:rPr>
          <w:sz w:val="20"/>
          <w:szCs w:val="20"/>
          <w:color w:val="auto"/>
        </w:rPr>
      </w:pPr>
      <w:r>
        <w:rPr>
          <w:rFonts w:ascii="Times New Roman" w:cs="Times New Roman" w:eastAsia="Times New Roman" w:hAnsi="Times New Roman"/>
          <w:sz w:val="16"/>
          <w:szCs w:val="16"/>
          <w:color w:val="auto"/>
        </w:rPr>
        <w:t>solutions are designed to cover all aspects of a market</w:t>
      </w:r>
    </w:p>
    <w:p>
      <w:pPr>
        <w:spacing w:after="0" w:line="204" w:lineRule="auto"/>
        <w:rPr>
          <w:sz w:val="20"/>
          <w:szCs w:val="20"/>
          <w:color w:val="auto"/>
        </w:rPr>
      </w:pPr>
      <w:r>
        <w:rPr>
          <w:rFonts w:ascii="Times New Roman" w:cs="Times New Roman" w:eastAsia="Times New Roman" w:hAnsi="Times New Roman"/>
          <w:sz w:val="16"/>
          <w:szCs w:val="16"/>
          <w:color w:val="auto"/>
        </w:rPr>
        <w:t>operator’s needs, from trading and clearing to risk</w:t>
      </w:r>
    </w:p>
    <w:p>
      <w:pPr>
        <w:spacing w:after="0" w:line="232" w:lineRule="auto"/>
        <w:rPr>
          <w:sz w:val="20"/>
          <w:szCs w:val="20"/>
          <w:color w:val="auto"/>
        </w:rPr>
      </w:pPr>
      <w:r>
        <w:rPr>
          <w:rFonts w:ascii="Times New Roman" w:cs="Times New Roman" w:eastAsia="Times New Roman" w:hAnsi="Times New Roman"/>
          <w:sz w:val="14"/>
          <w:szCs w:val="14"/>
          <w:color w:val="auto"/>
        </w:rPr>
        <w:t>management, index development, data, management, testing</w:t>
      </w:r>
    </w:p>
    <w:p>
      <w:pPr>
        <w:spacing w:after="0" w:line="204" w:lineRule="auto"/>
        <w:rPr>
          <w:sz w:val="20"/>
          <w:szCs w:val="20"/>
          <w:color w:val="auto"/>
        </w:rPr>
      </w:pPr>
      <w:r>
        <w:rPr>
          <w:rFonts w:ascii="Times New Roman" w:cs="Times New Roman" w:eastAsia="Times New Roman" w:hAnsi="Times New Roman"/>
          <w:sz w:val="16"/>
          <w:szCs w:val="16"/>
          <w:color w:val="auto"/>
        </w:rPr>
        <w:t>and quality assurance.</w:t>
      </w:r>
    </w:p>
    <w:p>
      <w:pPr>
        <w:spacing w:after="0" w:line="232" w:lineRule="auto"/>
        <w:rPr>
          <w:sz w:val="20"/>
          <w:szCs w:val="20"/>
          <w:color w:val="auto"/>
        </w:rPr>
      </w:pPr>
      <w:r>
        <w:rPr>
          <w:rFonts w:ascii="Times New Roman" w:cs="Times New Roman" w:eastAsia="Times New Roman" w:hAnsi="Times New Roman"/>
          <w:sz w:val="14"/>
          <w:szCs w:val="14"/>
          <w:color w:val="auto"/>
        </w:rPr>
        <w:t>In addition to serving the market operators in the core capital</w:t>
      </w:r>
    </w:p>
    <w:p>
      <w:pPr>
        <w:spacing w:after="0" w:line="204" w:lineRule="auto"/>
        <w:rPr>
          <w:sz w:val="20"/>
          <w:szCs w:val="20"/>
          <w:color w:val="auto"/>
        </w:rPr>
      </w:pPr>
      <w:r>
        <w:rPr>
          <w:rFonts w:ascii="Times New Roman" w:cs="Times New Roman" w:eastAsia="Times New Roman" w:hAnsi="Times New Roman"/>
          <w:sz w:val="16"/>
          <w:szCs w:val="16"/>
          <w:color w:val="auto"/>
        </w:rPr>
        <w:t>markets, there is a demand for mission critical solutions to</w:t>
      </w:r>
    </w:p>
    <w:p>
      <w:pPr>
        <w:spacing w:after="0" w:line="203" w:lineRule="auto"/>
        <w:rPr>
          <w:sz w:val="20"/>
          <w:szCs w:val="20"/>
          <w:color w:val="auto"/>
        </w:rPr>
      </w:pPr>
      <w:r>
        <w:rPr>
          <w:rFonts w:ascii="Times New Roman" w:cs="Times New Roman" w:eastAsia="Times New Roman" w:hAnsi="Times New Roman"/>
          <w:sz w:val="16"/>
          <w:szCs w:val="16"/>
          <w:color w:val="auto"/>
        </w:rPr>
        <w:t>enable robust operation of new emerging asset classes such</w:t>
      </w:r>
    </w:p>
    <w:p>
      <w:pPr>
        <w:spacing w:after="0" w:line="204" w:lineRule="auto"/>
        <w:rPr>
          <w:sz w:val="20"/>
          <w:szCs w:val="20"/>
          <w:color w:val="auto"/>
        </w:rPr>
      </w:pPr>
      <w:r>
        <w:rPr>
          <w:rFonts w:ascii="Times New Roman" w:cs="Times New Roman" w:eastAsia="Times New Roman" w:hAnsi="Times New Roman"/>
          <w:sz w:val="16"/>
          <w:szCs w:val="16"/>
          <w:color w:val="auto"/>
        </w:rPr>
        <w:t>as crypto currencies and native digital markets. Our market</w:t>
      </w:r>
    </w:p>
    <w:p>
      <w:pPr>
        <w:spacing w:after="0" w:line="203" w:lineRule="auto"/>
        <w:rPr>
          <w:sz w:val="20"/>
          <w:szCs w:val="20"/>
          <w:color w:val="auto"/>
        </w:rPr>
      </w:pPr>
      <w:r>
        <w:rPr>
          <w:rFonts w:ascii="Times New Roman" w:cs="Times New Roman" w:eastAsia="Times New Roman" w:hAnsi="Times New Roman"/>
          <w:sz w:val="16"/>
          <w:szCs w:val="16"/>
          <w:color w:val="auto"/>
        </w:rPr>
        <w:t>technology business currently offers its services to several</w:t>
      </w:r>
    </w:p>
    <w:p>
      <w:pPr>
        <w:spacing w:after="0" w:line="204" w:lineRule="auto"/>
        <w:rPr>
          <w:sz w:val="20"/>
          <w:szCs w:val="20"/>
          <w:color w:val="auto"/>
        </w:rPr>
      </w:pPr>
      <w:r>
        <w:rPr>
          <w:rFonts w:ascii="Times New Roman" w:cs="Times New Roman" w:eastAsia="Times New Roman" w:hAnsi="Times New Roman"/>
          <w:sz w:val="16"/>
          <w:szCs w:val="16"/>
          <w:color w:val="auto"/>
        </w:rPr>
        <w:t>digital assets exchanges, and the SaaS-based Marketplace</w:t>
      </w:r>
    </w:p>
    <w:p>
      <w:pPr>
        <w:spacing w:after="0" w:line="204" w:lineRule="auto"/>
        <w:rPr>
          <w:sz w:val="20"/>
          <w:szCs w:val="20"/>
          <w:color w:val="auto"/>
        </w:rPr>
      </w:pPr>
      <w:r>
        <w:rPr>
          <w:rFonts w:ascii="Times New Roman" w:cs="Times New Roman" w:eastAsia="Times New Roman" w:hAnsi="Times New Roman"/>
          <w:sz w:val="16"/>
          <w:szCs w:val="16"/>
          <w:color w:val="auto"/>
        </w:rPr>
        <w:t>Services Platform provides next-generation marketplace</w:t>
      </w:r>
    </w:p>
    <w:p>
      <w:pPr>
        <w:spacing w:after="0" w:line="232" w:lineRule="auto"/>
        <w:rPr>
          <w:sz w:val="20"/>
          <w:szCs w:val="20"/>
          <w:color w:val="auto"/>
        </w:rPr>
      </w:pPr>
      <w:r>
        <w:rPr>
          <w:rFonts w:ascii="Times New Roman" w:cs="Times New Roman" w:eastAsia="Times New Roman" w:hAnsi="Times New Roman"/>
          <w:sz w:val="14"/>
          <w:szCs w:val="14"/>
          <w:color w:val="auto"/>
        </w:rPr>
        <w:t>capabilities spanning the transaction lifecycle to facilitate the</w:t>
      </w:r>
    </w:p>
    <w:p>
      <w:pPr>
        <w:spacing w:after="0" w:line="204" w:lineRule="auto"/>
        <w:rPr>
          <w:sz w:val="20"/>
          <w:szCs w:val="20"/>
          <w:color w:val="auto"/>
        </w:rPr>
      </w:pPr>
      <w:r>
        <w:rPr>
          <w:rFonts w:ascii="Times New Roman" w:cs="Times New Roman" w:eastAsia="Times New Roman" w:hAnsi="Times New Roman"/>
          <w:sz w:val="16"/>
          <w:szCs w:val="16"/>
          <w:color w:val="auto"/>
        </w:rPr>
        <w:t>exchange of assets, services and information across various</w:t>
      </w:r>
    </w:p>
    <w:p>
      <w:pPr>
        <w:spacing w:after="0" w:line="203" w:lineRule="auto"/>
        <w:rPr>
          <w:sz w:val="20"/>
          <w:szCs w:val="20"/>
          <w:color w:val="auto"/>
        </w:rPr>
      </w:pPr>
      <w:r>
        <w:rPr>
          <w:rFonts w:ascii="Times New Roman" w:cs="Times New Roman" w:eastAsia="Times New Roman" w:hAnsi="Times New Roman"/>
          <w:sz w:val="16"/>
          <w:szCs w:val="16"/>
          <w:color w:val="auto"/>
        </w:rPr>
        <w:t>types of market ecosystems and machine-to-machine</w:t>
      </w:r>
    </w:p>
    <w:p>
      <w:pPr>
        <w:spacing w:after="0" w:line="204" w:lineRule="auto"/>
        <w:rPr>
          <w:sz w:val="20"/>
          <w:szCs w:val="20"/>
          <w:color w:val="auto"/>
        </w:rPr>
      </w:pPr>
      <w:r>
        <w:rPr>
          <w:rFonts w:ascii="Times New Roman" w:cs="Times New Roman" w:eastAsia="Times New Roman" w:hAnsi="Times New Roman"/>
          <w:sz w:val="16"/>
          <w:szCs w:val="16"/>
          <w:color w:val="auto"/>
        </w:rPr>
        <w:t>transactions.</w:t>
      </w:r>
    </w:p>
    <w:p>
      <w:pPr>
        <w:spacing w:after="0" w:line="203" w:lineRule="auto"/>
        <w:rPr>
          <w:sz w:val="20"/>
          <w:szCs w:val="20"/>
          <w:color w:val="auto"/>
        </w:rPr>
      </w:pPr>
      <w:r>
        <w:rPr>
          <w:rFonts w:ascii="Times New Roman" w:cs="Times New Roman" w:eastAsia="Times New Roman" w:hAnsi="Times New Roman"/>
          <w:sz w:val="16"/>
          <w:szCs w:val="16"/>
          <w:color w:val="auto"/>
        </w:rPr>
        <w:t>Our Capital Markets Technology businesses also provide</w:t>
      </w:r>
    </w:p>
    <w:p>
      <w:pPr>
        <w:spacing w:after="0" w:line="204" w:lineRule="auto"/>
        <w:rPr>
          <w:sz w:val="20"/>
          <w:szCs w:val="20"/>
          <w:color w:val="auto"/>
        </w:rPr>
      </w:pPr>
      <w:r>
        <w:rPr>
          <w:rFonts w:ascii="Times New Roman" w:cs="Times New Roman" w:eastAsia="Times New Roman" w:hAnsi="Times New Roman"/>
          <w:sz w:val="16"/>
          <w:szCs w:val="16"/>
          <w:color w:val="auto"/>
        </w:rPr>
        <w:t>complex delivery management and systems integration.</w:t>
      </w:r>
    </w:p>
    <w:p>
      <w:pPr>
        <w:spacing w:after="0" w:line="203" w:lineRule="auto"/>
        <w:rPr>
          <w:sz w:val="20"/>
          <w:szCs w:val="20"/>
          <w:color w:val="auto"/>
        </w:rPr>
      </w:pPr>
      <w:r>
        <w:rPr>
          <w:rFonts w:ascii="Times New Roman" w:cs="Times New Roman" w:eastAsia="Times New Roman" w:hAnsi="Times New Roman"/>
          <w:sz w:val="16"/>
          <w:szCs w:val="16"/>
          <w:color w:val="auto"/>
        </w:rPr>
        <w:t>Through our integration services, we can assume</w:t>
      </w:r>
    </w:p>
    <w:p>
      <w:pPr>
        <w:spacing w:after="0" w:line="204" w:lineRule="auto"/>
        <w:rPr>
          <w:sz w:val="20"/>
          <w:szCs w:val="20"/>
          <w:color w:val="auto"/>
        </w:rPr>
      </w:pPr>
      <w:r>
        <w:rPr>
          <w:rFonts w:ascii="Times New Roman" w:cs="Times New Roman" w:eastAsia="Times New Roman" w:hAnsi="Times New Roman"/>
          <w:sz w:val="16"/>
          <w:szCs w:val="16"/>
          <w:color w:val="auto"/>
        </w:rPr>
        <w:t>responsibility for projects that involve migration to a new</w:t>
      </w:r>
    </w:p>
    <w:p>
      <w:pPr>
        <w:spacing w:after="0"/>
        <w:rPr>
          <w:sz w:val="20"/>
          <w:szCs w:val="20"/>
          <w:color w:val="auto"/>
        </w:rPr>
      </w:pPr>
      <w:r>
        <w:rPr>
          <w:rFonts w:ascii="Times New Roman" w:cs="Times New Roman" w:eastAsia="Times New Roman" w:hAnsi="Times New Roman"/>
          <w:sz w:val="16"/>
          <w:szCs w:val="16"/>
          <w:color w:val="auto"/>
        </w:rPr>
        <w:t>system and the establishment of entirely new marketplaces.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Market Services</w:t>
      </w:r>
    </w:p>
    <w:p>
      <w:pPr>
        <w:spacing w:after="0" w:line="233" w:lineRule="auto"/>
        <w:rPr>
          <w:sz w:val="20"/>
          <w:szCs w:val="20"/>
          <w:color w:val="auto"/>
        </w:rPr>
      </w:pPr>
      <w:r>
        <w:rPr>
          <w:rFonts w:ascii="Times New Roman" w:cs="Times New Roman" w:eastAsia="Times New Roman" w:hAnsi="Times New Roman"/>
          <w:sz w:val="14"/>
          <w:szCs w:val="14"/>
          <w:color w:val="auto"/>
        </w:rPr>
        <w:t>Our Market Services segment includes our equity derivative</w:t>
      </w:r>
    </w:p>
    <w:p>
      <w:pPr>
        <w:spacing w:after="0" w:line="203" w:lineRule="auto"/>
        <w:rPr>
          <w:sz w:val="20"/>
          <w:szCs w:val="20"/>
          <w:color w:val="auto"/>
        </w:rPr>
      </w:pPr>
      <w:r>
        <w:rPr>
          <w:rFonts w:ascii="Times New Roman" w:cs="Times New Roman" w:eastAsia="Times New Roman" w:hAnsi="Times New Roman"/>
          <w:sz w:val="16"/>
          <w:szCs w:val="16"/>
          <w:color w:val="auto"/>
        </w:rPr>
        <w:t>trading and clearing, cash equity trading, fixed income,</w:t>
      </w:r>
    </w:p>
    <w:p>
      <w:pPr>
        <w:spacing w:after="0" w:line="233" w:lineRule="auto"/>
        <w:rPr>
          <w:sz w:val="20"/>
          <w:szCs w:val="20"/>
          <w:color w:val="auto"/>
        </w:rPr>
      </w:pPr>
      <w:r>
        <w:rPr>
          <w:rFonts w:ascii="Times New Roman" w:cs="Times New Roman" w:eastAsia="Times New Roman" w:hAnsi="Times New Roman"/>
          <w:sz w:val="14"/>
          <w:szCs w:val="14"/>
          <w:color w:val="auto"/>
        </w:rPr>
        <w:t>currency and commodities trading. We operate 19 exchanges</w:t>
      </w:r>
    </w:p>
    <w:p>
      <w:pPr>
        <w:spacing w:after="0" w:line="204" w:lineRule="auto"/>
        <w:rPr>
          <w:sz w:val="20"/>
          <w:szCs w:val="20"/>
          <w:color w:val="auto"/>
        </w:rPr>
      </w:pPr>
      <w:r>
        <w:rPr>
          <w:rFonts w:ascii="Times New Roman" w:cs="Times New Roman" w:eastAsia="Times New Roman" w:hAnsi="Times New Roman"/>
          <w:sz w:val="16"/>
          <w:szCs w:val="16"/>
          <w:color w:val="auto"/>
        </w:rPr>
        <w:t>across several asset classes, including derivatives,</w:t>
      </w:r>
    </w:p>
    <w:p>
      <w:pPr>
        <w:spacing w:after="0" w:line="203" w:lineRule="auto"/>
        <w:rPr>
          <w:sz w:val="20"/>
          <w:szCs w:val="20"/>
          <w:color w:val="auto"/>
        </w:rPr>
      </w:pPr>
      <w:r>
        <w:rPr>
          <w:rFonts w:ascii="Times New Roman" w:cs="Times New Roman" w:eastAsia="Times New Roman" w:hAnsi="Times New Roman"/>
          <w:sz w:val="16"/>
          <w:szCs w:val="16"/>
          <w:color w:val="auto"/>
        </w:rPr>
        <w:t>commodities, cash equity, debt, structured products and</w:t>
      </w:r>
    </w:p>
    <w:p>
      <w:pPr>
        <w:spacing w:after="0" w:line="204" w:lineRule="auto"/>
        <w:rPr>
          <w:sz w:val="20"/>
          <w:szCs w:val="20"/>
          <w:color w:val="auto"/>
        </w:rPr>
      </w:pPr>
      <w:r>
        <w:rPr>
          <w:rFonts w:ascii="Times New Roman" w:cs="Times New Roman" w:eastAsia="Times New Roman" w:hAnsi="Times New Roman"/>
          <w:sz w:val="16"/>
          <w:szCs w:val="16"/>
          <w:color w:val="auto"/>
        </w:rPr>
        <w:t>ETPs.</w:t>
      </w:r>
    </w:p>
    <w:p>
      <w:pPr>
        <w:spacing w:after="0" w:line="232" w:lineRule="auto"/>
        <w:rPr>
          <w:sz w:val="20"/>
          <w:szCs w:val="20"/>
          <w:color w:val="auto"/>
        </w:rPr>
      </w:pPr>
      <w:r>
        <w:rPr>
          <w:rFonts w:ascii="Times New Roman" w:cs="Times New Roman" w:eastAsia="Times New Roman" w:hAnsi="Times New Roman"/>
          <w:sz w:val="14"/>
          <w:szCs w:val="14"/>
          <w:color w:val="auto"/>
        </w:rPr>
        <w:t>We provide trading services in North America and Europe. In</w:t>
      </w:r>
    </w:p>
    <w:p>
      <w:pPr>
        <w:spacing w:after="0" w:line="204" w:lineRule="auto"/>
        <w:rPr>
          <w:sz w:val="20"/>
          <w:szCs w:val="20"/>
          <w:color w:val="auto"/>
        </w:rPr>
      </w:pPr>
      <w:r>
        <w:rPr>
          <w:rFonts w:ascii="Times New Roman" w:cs="Times New Roman" w:eastAsia="Times New Roman" w:hAnsi="Times New Roman"/>
          <w:sz w:val="16"/>
          <w:szCs w:val="16"/>
          <w:color w:val="auto"/>
        </w:rPr>
        <w:t>the U.S., we operate six options exchanges: Nasdaq PHLX,</w:t>
      </w:r>
    </w:p>
    <w:p>
      <w:pPr>
        <w:spacing w:after="0" w:line="203" w:lineRule="auto"/>
        <w:rPr>
          <w:sz w:val="20"/>
          <w:szCs w:val="20"/>
          <w:color w:val="auto"/>
        </w:rPr>
      </w:pPr>
      <w:r>
        <w:rPr>
          <w:rFonts w:ascii="Times New Roman" w:cs="Times New Roman" w:eastAsia="Times New Roman" w:hAnsi="Times New Roman"/>
          <w:sz w:val="16"/>
          <w:szCs w:val="16"/>
          <w:color w:val="auto"/>
        </w:rPr>
        <w:t>The Nasdaq Options Market, Nasdaq BX Options, Nasdaq</w:t>
      </w:r>
    </w:p>
    <w:p>
      <w:pPr>
        <w:spacing w:after="0" w:line="204" w:lineRule="auto"/>
        <w:rPr>
          <w:sz w:val="20"/>
          <w:szCs w:val="20"/>
          <w:color w:val="auto"/>
        </w:rPr>
      </w:pPr>
      <w:r>
        <w:rPr>
          <w:rFonts w:ascii="Times New Roman" w:cs="Times New Roman" w:eastAsia="Times New Roman" w:hAnsi="Times New Roman"/>
          <w:sz w:val="16"/>
          <w:szCs w:val="16"/>
          <w:color w:val="auto"/>
        </w:rPr>
        <w:t>ISE, Nasdaq GEMX and Nasdaq MRX. These exchanges</w:t>
      </w:r>
    </w:p>
    <w:p>
      <w:pPr>
        <w:spacing w:after="0" w:line="203" w:lineRule="auto"/>
        <w:rPr>
          <w:sz w:val="20"/>
          <w:szCs w:val="20"/>
          <w:color w:val="auto"/>
        </w:rPr>
      </w:pPr>
      <w:r>
        <w:rPr>
          <w:rFonts w:ascii="Times New Roman" w:cs="Times New Roman" w:eastAsia="Times New Roman" w:hAnsi="Times New Roman"/>
          <w:sz w:val="16"/>
          <w:szCs w:val="16"/>
          <w:color w:val="auto"/>
        </w:rPr>
        <w:t>facilitate the trading of equity, ETF, index and foreign</w:t>
      </w:r>
    </w:p>
    <w:p>
      <w:pPr>
        <w:spacing w:after="0" w:line="204" w:lineRule="auto"/>
        <w:rPr>
          <w:sz w:val="20"/>
          <w:szCs w:val="20"/>
          <w:color w:val="auto"/>
        </w:rPr>
      </w:pPr>
      <w:r>
        <w:rPr>
          <w:rFonts w:ascii="Times New Roman" w:cs="Times New Roman" w:eastAsia="Times New Roman" w:hAnsi="Times New Roman"/>
          <w:sz w:val="16"/>
          <w:szCs w:val="16"/>
          <w:color w:val="auto"/>
        </w:rPr>
        <w:t>currency options. Our combined options market share in</w:t>
      </w:r>
    </w:p>
    <w:p>
      <w:pPr>
        <w:spacing w:after="0" w:line="203" w:lineRule="auto"/>
        <w:rPr>
          <w:sz w:val="20"/>
          <w:szCs w:val="20"/>
          <w:color w:val="auto"/>
        </w:rPr>
      </w:pPr>
      <w:r>
        <w:rPr>
          <w:rFonts w:ascii="Times New Roman" w:cs="Times New Roman" w:eastAsia="Times New Roman" w:hAnsi="Times New Roman"/>
          <w:sz w:val="16"/>
          <w:szCs w:val="16"/>
          <w:color w:val="auto"/>
        </w:rPr>
        <w:t>2025 represented the largest share of the U.S. market for</w:t>
      </w:r>
    </w:p>
    <w:p>
      <w:pPr>
        <w:spacing w:after="0" w:line="204" w:lineRule="auto"/>
        <w:rPr>
          <w:sz w:val="20"/>
          <w:szCs w:val="20"/>
          <w:color w:val="auto"/>
        </w:rPr>
      </w:pPr>
      <w:r>
        <w:rPr>
          <w:rFonts w:ascii="Times New Roman" w:cs="Times New Roman" w:eastAsia="Times New Roman" w:hAnsi="Times New Roman"/>
          <w:sz w:val="16"/>
          <w:szCs w:val="16"/>
          <w:color w:val="auto"/>
        </w:rPr>
        <w:t>multi-listed equity options. Our options trading platforms</w:t>
      </w:r>
    </w:p>
    <w:p>
      <w:pPr>
        <w:spacing w:after="0" w:line="204" w:lineRule="auto"/>
        <w:rPr>
          <w:sz w:val="20"/>
          <w:szCs w:val="20"/>
          <w:color w:val="auto"/>
        </w:rPr>
      </w:pPr>
      <w:r>
        <w:rPr>
          <w:rFonts w:ascii="Times New Roman" w:cs="Times New Roman" w:eastAsia="Times New Roman" w:hAnsi="Times New Roman"/>
          <w:sz w:val="16"/>
          <w:szCs w:val="16"/>
          <w:color w:val="auto"/>
        </w:rPr>
        <w:t>provide trading opportunities to retail investors, algorithmic</w:t>
      </w:r>
    </w:p>
    <w:p>
      <w:pPr>
        <w:spacing w:after="0" w:line="203" w:lineRule="auto"/>
        <w:rPr>
          <w:sz w:val="20"/>
          <w:szCs w:val="20"/>
          <w:color w:val="auto"/>
        </w:rPr>
      </w:pPr>
      <w:r>
        <w:rPr>
          <w:rFonts w:ascii="Times New Roman" w:cs="Times New Roman" w:eastAsia="Times New Roman" w:hAnsi="Times New Roman"/>
          <w:sz w:val="16"/>
          <w:szCs w:val="16"/>
          <w:color w:val="auto"/>
        </w:rPr>
        <w:t>trading firms and market makers, who tend to prefer</w:t>
      </w:r>
    </w:p>
    <w:p>
      <w:pPr>
        <w:spacing w:after="0" w:line="204" w:lineRule="auto"/>
        <w:rPr>
          <w:sz w:val="20"/>
          <w:szCs w:val="20"/>
          <w:color w:val="auto"/>
        </w:rPr>
      </w:pPr>
      <w:r>
        <w:rPr>
          <w:rFonts w:ascii="Times New Roman" w:cs="Times New Roman" w:eastAsia="Times New Roman" w:hAnsi="Times New Roman"/>
          <w:sz w:val="16"/>
          <w:szCs w:val="16"/>
          <w:color w:val="auto"/>
        </w:rPr>
        <w:t>electronic trading, and institutional investors, who typically</w:t>
      </w:r>
    </w:p>
    <w:p>
      <w:pPr>
        <w:spacing w:after="0" w:line="232" w:lineRule="auto"/>
        <w:rPr>
          <w:sz w:val="20"/>
          <w:szCs w:val="20"/>
          <w:color w:val="auto"/>
        </w:rPr>
      </w:pPr>
      <w:r>
        <w:rPr>
          <w:rFonts w:ascii="Times New Roman" w:cs="Times New Roman" w:eastAsia="Times New Roman" w:hAnsi="Times New Roman"/>
          <w:sz w:val="14"/>
          <w:szCs w:val="14"/>
          <w:color w:val="auto"/>
        </w:rPr>
        <w:t>require high touch services to execute their trades, which are</w:t>
      </w:r>
    </w:p>
    <w:p>
      <w:pPr>
        <w:spacing w:after="0" w:line="204" w:lineRule="auto"/>
        <w:rPr>
          <w:sz w:val="20"/>
          <w:szCs w:val="20"/>
          <w:color w:val="auto"/>
        </w:rPr>
      </w:pPr>
      <w:r>
        <w:rPr>
          <w:rFonts w:ascii="Times New Roman" w:cs="Times New Roman" w:eastAsia="Times New Roman" w:hAnsi="Times New Roman"/>
          <w:sz w:val="16"/>
          <w:szCs w:val="16"/>
          <w:color w:val="auto"/>
        </w:rPr>
        <w:t>often performed on our trading floor in Philadelphia.</w:t>
      </w:r>
    </w:p>
    <w:p>
      <w:pPr>
        <w:spacing w:after="0" w:line="203" w:lineRule="auto"/>
        <w:rPr>
          <w:sz w:val="20"/>
          <w:szCs w:val="20"/>
          <w:color w:val="auto"/>
        </w:rPr>
      </w:pPr>
      <w:r>
        <w:rPr>
          <w:rFonts w:ascii="Times New Roman" w:cs="Times New Roman" w:eastAsia="Times New Roman" w:hAnsi="Times New Roman"/>
          <w:sz w:val="16"/>
          <w:szCs w:val="16"/>
          <w:color w:val="auto"/>
        </w:rPr>
        <w:t>We also operate three cash equity exchanges: The Nasdaq</w:t>
      </w:r>
    </w:p>
    <w:p>
      <w:pPr>
        <w:spacing w:after="0" w:line="204" w:lineRule="auto"/>
        <w:rPr>
          <w:sz w:val="20"/>
          <w:szCs w:val="20"/>
          <w:color w:val="auto"/>
        </w:rPr>
      </w:pPr>
      <w:r>
        <w:rPr>
          <w:rFonts w:ascii="Times New Roman" w:cs="Times New Roman" w:eastAsia="Times New Roman" w:hAnsi="Times New Roman"/>
          <w:sz w:val="16"/>
          <w:szCs w:val="16"/>
          <w:color w:val="auto"/>
        </w:rPr>
        <w:t>Stock Market, Nasdaq BX and Nasdaq PSX. Our U.S. cash</w:t>
      </w:r>
    </w:p>
    <w:p>
      <w:pPr>
        <w:spacing w:after="0" w:line="203" w:lineRule="auto"/>
        <w:rPr>
          <w:sz w:val="20"/>
          <w:szCs w:val="20"/>
          <w:color w:val="auto"/>
        </w:rPr>
      </w:pPr>
      <w:r>
        <w:rPr>
          <w:rFonts w:ascii="Times New Roman" w:cs="Times New Roman" w:eastAsia="Times New Roman" w:hAnsi="Times New Roman"/>
          <w:sz w:val="16"/>
          <w:szCs w:val="16"/>
          <w:color w:val="auto"/>
        </w:rPr>
        <w:t>equity exchanges offer trading of both Nasdaq-listed and</w:t>
      </w:r>
    </w:p>
    <w:p>
      <w:pPr>
        <w:spacing w:after="0" w:line="233" w:lineRule="auto"/>
        <w:rPr>
          <w:sz w:val="20"/>
          <w:szCs w:val="20"/>
          <w:color w:val="auto"/>
        </w:rPr>
      </w:pPr>
      <w:r>
        <w:rPr>
          <w:rFonts w:ascii="Times New Roman" w:cs="Times New Roman" w:eastAsia="Times New Roman" w:hAnsi="Times New Roman"/>
          <w:sz w:val="14"/>
          <w:szCs w:val="14"/>
          <w:color w:val="auto"/>
        </w:rPr>
        <w:t>non-Nasdaq-listed securities. The Nasdaq Stock Market is the</w:t>
      </w:r>
    </w:p>
    <w:p>
      <w:pPr>
        <w:spacing w:after="0" w:line="204" w:lineRule="auto"/>
        <w:rPr>
          <w:sz w:val="20"/>
          <w:szCs w:val="20"/>
          <w:color w:val="auto"/>
        </w:rPr>
      </w:pPr>
      <w:r>
        <w:rPr>
          <w:rFonts w:ascii="Times New Roman" w:cs="Times New Roman" w:eastAsia="Times New Roman" w:hAnsi="Times New Roman"/>
          <w:sz w:val="16"/>
          <w:szCs w:val="16"/>
          <w:color w:val="auto"/>
        </w:rPr>
        <w:t>largest single venue of liquidity for trading U.S.-listed cash</w:t>
      </w:r>
    </w:p>
    <w:p>
      <w:pPr>
        <w:spacing w:after="0" w:line="232" w:lineRule="auto"/>
        <w:rPr>
          <w:sz w:val="20"/>
          <w:szCs w:val="20"/>
          <w:color w:val="auto"/>
        </w:rPr>
      </w:pPr>
      <w:r>
        <w:rPr>
          <w:rFonts w:ascii="Times New Roman" w:cs="Times New Roman" w:eastAsia="Times New Roman" w:hAnsi="Times New Roman"/>
          <w:sz w:val="14"/>
          <w:szCs w:val="14"/>
          <w:color w:val="auto"/>
        </w:rPr>
        <w:t>equities. Market participants include market makers, broker-</w:t>
      </w:r>
    </w:p>
    <w:p>
      <w:pPr>
        <w:spacing w:after="0" w:line="204" w:lineRule="auto"/>
        <w:rPr>
          <w:sz w:val="20"/>
          <w:szCs w:val="20"/>
          <w:color w:val="auto"/>
        </w:rPr>
      </w:pPr>
      <w:r>
        <w:rPr>
          <w:rFonts w:ascii="Times New Roman" w:cs="Times New Roman" w:eastAsia="Times New Roman" w:hAnsi="Times New Roman"/>
          <w:sz w:val="16"/>
          <w:szCs w:val="16"/>
          <w:color w:val="auto"/>
        </w:rPr>
        <w:t>dealers, ATSs, institutional investors, and registered</w:t>
      </w:r>
    </w:p>
    <w:p>
      <w:pPr>
        <w:spacing w:after="0" w:line="232" w:lineRule="auto"/>
        <w:rPr>
          <w:sz w:val="20"/>
          <w:szCs w:val="20"/>
          <w:color w:val="auto"/>
        </w:rPr>
      </w:pPr>
      <w:r>
        <w:rPr>
          <w:rFonts w:ascii="Times New Roman" w:cs="Times New Roman" w:eastAsia="Times New Roman" w:hAnsi="Times New Roman"/>
          <w:sz w:val="14"/>
          <w:szCs w:val="14"/>
          <w:color w:val="auto"/>
        </w:rPr>
        <w:t>securities exchanges. We also operate a U.S. corporate bond</w:t>
      </w:r>
    </w:p>
    <w:p>
      <w:pPr>
        <w:spacing w:after="0" w:line="204" w:lineRule="auto"/>
        <w:rPr>
          <w:sz w:val="20"/>
          <w:szCs w:val="20"/>
          <w:color w:val="auto"/>
        </w:rPr>
      </w:pPr>
      <w:r>
        <w:rPr>
          <w:rFonts w:ascii="Times New Roman" w:cs="Times New Roman" w:eastAsia="Times New Roman" w:hAnsi="Times New Roman"/>
          <w:sz w:val="16"/>
          <w:szCs w:val="16"/>
          <w:color w:val="auto"/>
        </w:rPr>
        <w:t>exchange for the listing of corporate bonds.</w:t>
      </w:r>
    </w:p>
    <w:p>
      <w:pPr>
        <w:spacing w:after="0" w:line="203" w:lineRule="auto"/>
        <w:rPr>
          <w:sz w:val="20"/>
          <w:szCs w:val="20"/>
          <w:color w:val="auto"/>
        </w:rPr>
      </w:pPr>
      <w:r>
        <w:rPr>
          <w:rFonts w:ascii="Times New Roman" w:cs="Times New Roman" w:eastAsia="Times New Roman" w:hAnsi="Times New Roman"/>
          <w:sz w:val="16"/>
          <w:szCs w:val="16"/>
          <w:color w:val="auto"/>
        </w:rPr>
        <w:t>Our Market Services segment also includes revenues from</w:t>
      </w:r>
    </w:p>
    <w:p>
      <w:pPr>
        <w:spacing w:after="0" w:line="204" w:lineRule="auto"/>
        <w:rPr>
          <w:sz w:val="20"/>
          <w:szCs w:val="20"/>
          <w:color w:val="auto"/>
        </w:rPr>
      </w:pPr>
      <w:r>
        <w:rPr>
          <w:rFonts w:ascii="Times New Roman" w:cs="Times New Roman" w:eastAsia="Times New Roman" w:hAnsi="Times New Roman"/>
          <w:sz w:val="16"/>
          <w:szCs w:val="16"/>
          <w:color w:val="auto"/>
        </w:rPr>
        <w:t>U.S. Tape plans. The plan administrators sell quotation and</w:t>
      </w:r>
    </w:p>
    <w:p>
      <w:pPr>
        <w:spacing w:after="0" w:line="204" w:lineRule="auto"/>
        <w:rPr>
          <w:sz w:val="20"/>
          <w:szCs w:val="20"/>
          <w:color w:val="auto"/>
        </w:rPr>
      </w:pPr>
      <w:r>
        <w:rPr>
          <w:rFonts w:ascii="Times New Roman" w:cs="Times New Roman" w:eastAsia="Times New Roman" w:hAnsi="Times New Roman"/>
          <w:sz w:val="16"/>
          <w:szCs w:val="16"/>
          <w:color w:val="auto"/>
        </w:rPr>
        <w:t>last sale information for all transactions, whether traded on</w:t>
      </w:r>
    </w:p>
    <w:p>
      <w:pPr>
        <w:spacing w:after="0" w:line="203" w:lineRule="auto"/>
        <w:rPr>
          <w:sz w:val="20"/>
          <w:szCs w:val="20"/>
          <w:color w:val="auto"/>
        </w:rPr>
      </w:pPr>
      <w:r>
        <w:rPr>
          <w:rFonts w:ascii="Times New Roman" w:cs="Times New Roman" w:eastAsia="Times New Roman" w:hAnsi="Times New Roman"/>
          <w:sz w:val="16"/>
          <w:szCs w:val="16"/>
          <w:color w:val="auto"/>
        </w:rPr>
        <w:t>The Nasdaq Stock Market or other exchanges, to market</w:t>
      </w:r>
    </w:p>
    <w:p>
      <w:pPr>
        <w:spacing w:after="0"/>
        <w:rPr>
          <w:sz w:val="20"/>
          <w:szCs w:val="20"/>
          <w:color w:val="auto"/>
        </w:rPr>
      </w:pPr>
      <w:r>
        <w:rPr>
          <w:rFonts w:ascii="Times New Roman" w:cs="Times New Roman" w:eastAsia="Times New Roman" w:hAnsi="Times New Roman"/>
          <w:sz w:val="16"/>
          <w:szCs w:val="16"/>
          <w:color w:val="auto"/>
        </w:rPr>
        <w:t>participants and to data distributors, who then provide the</w:t>
      </w:r>
    </w:p>
    <w:p>
      <w:pPr>
        <w:spacing w:after="0" w:line="229" w:lineRule="auto"/>
        <w:rPr>
          <w:sz w:val="20"/>
          <w:szCs w:val="20"/>
          <w:color w:val="auto"/>
        </w:rPr>
      </w:pPr>
      <w:r>
        <w:rPr>
          <w:rFonts w:ascii="Times New Roman" w:cs="Times New Roman" w:eastAsia="Times New Roman" w:hAnsi="Times New Roman"/>
          <w:sz w:val="16"/>
          <w:szCs w:val="16"/>
          <w:color w:val="auto"/>
        </w:rPr>
        <w:t>information to subscribers. After deducting costs, the plan</w:t>
      </w:r>
    </w:p>
    <w:p>
      <w:pPr>
        <w:spacing w:after="0" w:line="204" w:lineRule="auto"/>
        <w:rPr>
          <w:sz w:val="20"/>
          <w:szCs w:val="20"/>
          <w:color w:val="auto"/>
        </w:rPr>
      </w:pPr>
      <w:r>
        <w:rPr>
          <w:rFonts w:ascii="Times New Roman" w:cs="Times New Roman" w:eastAsia="Times New Roman" w:hAnsi="Times New Roman"/>
          <w:sz w:val="16"/>
          <w:szCs w:val="16"/>
          <w:color w:val="auto"/>
        </w:rPr>
        <w:t>administrators distribute the tape revenues to the respective</w:t>
      </w:r>
    </w:p>
    <w:p>
      <w:pPr>
        <w:spacing w:after="0" w:line="203" w:lineRule="auto"/>
        <w:rPr>
          <w:sz w:val="20"/>
          <w:szCs w:val="20"/>
          <w:color w:val="auto"/>
        </w:rPr>
      </w:pPr>
      <w:r>
        <w:rPr>
          <w:rFonts w:ascii="Times New Roman" w:cs="Times New Roman" w:eastAsia="Times New Roman" w:hAnsi="Times New Roman"/>
          <w:sz w:val="16"/>
          <w:szCs w:val="16"/>
          <w:color w:val="auto"/>
        </w:rPr>
        <w:t>plan participants based on a formula required by Regulation</w:t>
      </w:r>
    </w:p>
    <w:p>
      <w:pPr>
        <w:spacing w:after="0" w:line="204" w:lineRule="auto"/>
        <w:rPr>
          <w:sz w:val="20"/>
          <w:szCs w:val="20"/>
          <w:color w:val="auto"/>
        </w:rPr>
      </w:pPr>
      <w:r>
        <w:rPr>
          <w:rFonts w:ascii="Times New Roman" w:cs="Times New Roman" w:eastAsia="Times New Roman" w:hAnsi="Times New Roman"/>
          <w:sz w:val="16"/>
          <w:szCs w:val="16"/>
          <w:color w:val="auto"/>
        </w:rPr>
        <w:t>NMS that takes into account both trading and quoting</w:t>
      </w:r>
    </w:p>
    <w:p>
      <w:pPr>
        <w:spacing w:after="0" w:line="203" w:lineRule="auto"/>
        <w:rPr>
          <w:sz w:val="20"/>
          <w:szCs w:val="20"/>
          <w:color w:val="auto"/>
        </w:rPr>
      </w:pPr>
      <w:r>
        <w:rPr>
          <w:rFonts w:ascii="Times New Roman" w:cs="Times New Roman" w:eastAsia="Times New Roman" w:hAnsi="Times New Roman"/>
          <w:sz w:val="16"/>
          <w:szCs w:val="16"/>
          <w:color w:val="auto"/>
        </w:rPr>
        <w:t>activity.</w:t>
      </w:r>
    </w:p>
    <w:p>
      <w:pPr>
        <w:spacing w:after="0" w:line="204" w:lineRule="auto"/>
        <w:rPr>
          <w:sz w:val="20"/>
          <w:szCs w:val="20"/>
          <w:color w:val="auto"/>
        </w:rPr>
      </w:pPr>
      <w:r>
        <w:rPr>
          <w:rFonts w:ascii="Times New Roman" w:cs="Times New Roman" w:eastAsia="Times New Roman" w:hAnsi="Times New Roman"/>
          <w:sz w:val="16"/>
          <w:szCs w:val="16"/>
          <w:color w:val="auto"/>
        </w:rPr>
        <w:t>In Canada, we operate an exchange with three independent</w:t>
      </w:r>
    </w:p>
    <w:p>
      <w:pPr>
        <w:spacing w:after="0" w:line="233" w:lineRule="auto"/>
        <w:rPr>
          <w:sz w:val="20"/>
          <w:szCs w:val="20"/>
          <w:color w:val="auto"/>
        </w:rPr>
      </w:pPr>
      <w:r>
        <w:rPr>
          <w:rFonts w:ascii="Times New Roman" w:cs="Times New Roman" w:eastAsia="Times New Roman" w:hAnsi="Times New Roman"/>
          <w:sz w:val="14"/>
          <w:szCs w:val="14"/>
          <w:color w:val="auto"/>
        </w:rPr>
        <w:t>markets for the trading of Canadian-listed securities: Nasdaq</w:t>
      </w:r>
    </w:p>
    <w:p>
      <w:pPr>
        <w:spacing w:after="0" w:line="203" w:lineRule="auto"/>
        <w:rPr>
          <w:sz w:val="20"/>
          <w:szCs w:val="20"/>
          <w:color w:val="auto"/>
        </w:rPr>
      </w:pPr>
      <w:r>
        <w:rPr>
          <w:rFonts w:ascii="Times New Roman" w:cs="Times New Roman" w:eastAsia="Times New Roman" w:hAnsi="Times New Roman"/>
          <w:sz w:val="16"/>
          <w:szCs w:val="16"/>
          <w:color w:val="auto"/>
        </w:rPr>
        <w:t>Canada CXC, Nasdaq Canada CX2 and Nasdaq Canada</w:t>
      </w:r>
    </w:p>
    <w:p>
      <w:pPr>
        <w:spacing w:after="0" w:line="204" w:lineRule="auto"/>
        <w:rPr>
          <w:sz w:val="20"/>
          <w:szCs w:val="20"/>
          <w:color w:val="auto"/>
        </w:rPr>
      </w:pPr>
      <w:r>
        <w:rPr>
          <w:rFonts w:ascii="Times New Roman" w:cs="Times New Roman" w:eastAsia="Times New Roman" w:hAnsi="Times New Roman"/>
          <w:sz w:val="16"/>
          <w:szCs w:val="16"/>
          <w:color w:val="auto"/>
        </w:rPr>
        <w:t>CXD.</w:t>
      </w:r>
    </w:p>
    <w:p>
      <w:pPr>
        <w:spacing w:after="0" w:line="203" w:lineRule="auto"/>
        <w:rPr>
          <w:sz w:val="20"/>
          <w:szCs w:val="20"/>
          <w:color w:val="auto"/>
        </w:rPr>
      </w:pPr>
      <w:r>
        <w:rPr>
          <w:rFonts w:ascii="Times New Roman" w:cs="Times New Roman" w:eastAsia="Times New Roman" w:hAnsi="Times New Roman"/>
          <w:sz w:val="16"/>
          <w:szCs w:val="16"/>
          <w:color w:val="auto"/>
        </w:rPr>
        <w:t>In Europe, we operate exchanges in Tallinn (Estonia), Riga</w:t>
      </w:r>
    </w:p>
    <w:p>
      <w:pPr>
        <w:spacing w:after="0" w:line="204" w:lineRule="auto"/>
        <w:rPr>
          <w:sz w:val="20"/>
          <w:szCs w:val="20"/>
          <w:color w:val="auto"/>
        </w:rPr>
      </w:pPr>
      <w:r>
        <w:rPr>
          <w:rFonts w:ascii="Times New Roman" w:cs="Times New Roman" w:eastAsia="Times New Roman" w:hAnsi="Times New Roman"/>
          <w:sz w:val="16"/>
          <w:szCs w:val="16"/>
          <w:color w:val="auto"/>
        </w:rPr>
        <w:t>(Latvia) and Vilnius (Lithuania) as Nasdaq Baltic and</w:t>
      </w:r>
    </w:p>
    <w:p>
      <w:pPr>
        <w:spacing w:after="0" w:line="233" w:lineRule="auto"/>
        <w:rPr>
          <w:sz w:val="20"/>
          <w:szCs w:val="20"/>
          <w:color w:val="auto"/>
        </w:rPr>
      </w:pPr>
      <w:r>
        <w:rPr>
          <w:rFonts w:ascii="Times New Roman" w:cs="Times New Roman" w:eastAsia="Times New Roman" w:hAnsi="Times New Roman"/>
          <w:sz w:val="14"/>
          <w:szCs w:val="14"/>
          <w:color w:val="auto"/>
        </w:rPr>
        <w:t>exchanges in Stockholm (Sweden), Copenhagen (Denmark),</w:t>
      </w:r>
    </w:p>
    <w:p>
      <w:pPr>
        <w:spacing w:after="0" w:line="232" w:lineRule="auto"/>
        <w:rPr>
          <w:sz w:val="20"/>
          <w:szCs w:val="20"/>
          <w:color w:val="auto"/>
        </w:rPr>
      </w:pPr>
      <w:r>
        <w:rPr>
          <w:rFonts w:ascii="Times New Roman" w:cs="Times New Roman" w:eastAsia="Times New Roman" w:hAnsi="Times New Roman"/>
          <w:sz w:val="14"/>
          <w:szCs w:val="14"/>
          <w:color w:val="auto"/>
        </w:rPr>
        <w:t>Helsinki (Finland), and Reykjavik (Iceland) together with the</w:t>
      </w:r>
    </w:p>
    <w:p>
      <w:pPr>
        <w:spacing w:after="0" w:line="204" w:lineRule="auto"/>
        <w:rPr>
          <w:sz w:val="20"/>
          <w:szCs w:val="20"/>
          <w:color w:val="auto"/>
        </w:rPr>
      </w:pPr>
      <w:r>
        <w:rPr>
          <w:rFonts w:ascii="Times New Roman" w:cs="Times New Roman" w:eastAsia="Times New Roman" w:hAnsi="Times New Roman"/>
          <w:sz w:val="16"/>
          <w:szCs w:val="16"/>
          <w:color w:val="auto"/>
        </w:rPr>
        <w:t>clearing operations of Nasdaq Clearing, as Nasdaq Nordic.</w:t>
      </w:r>
    </w:p>
    <w:p>
      <w:pPr>
        <w:spacing w:after="0" w:line="203" w:lineRule="auto"/>
        <w:rPr>
          <w:sz w:val="20"/>
          <w:szCs w:val="20"/>
          <w:color w:val="auto"/>
        </w:rPr>
      </w:pPr>
      <w:r>
        <w:rPr>
          <w:rFonts w:ascii="Times New Roman" w:cs="Times New Roman" w:eastAsia="Times New Roman" w:hAnsi="Times New Roman"/>
          <w:sz w:val="16"/>
          <w:szCs w:val="16"/>
          <w:color w:val="auto"/>
        </w:rPr>
        <w:t>Collectively, the Nasdaq Nordic and Nasdaq Baltic</w:t>
      </w:r>
    </w:p>
    <w:p>
      <w:pPr>
        <w:spacing w:after="0" w:line="233" w:lineRule="auto"/>
        <w:rPr>
          <w:sz w:val="20"/>
          <w:szCs w:val="20"/>
          <w:color w:val="auto"/>
        </w:rPr>
      </w:pPr>
      <w:r>
        <w:rPr>
          <w:rFonts w:ascii="Times New Roman" w:cs="Times New Roman" w:eastAsia="Times New Roman" w:hAnsi="Times New Roman"/>
          <w:sz w:val="14"/>
          <w:szCs w:val="14"/>
          <w:color w:val="auto"/>
        </w:rPr>
        <w:t>exchanges offer trading in cash equities, depository receipts,</w:t>
      </w:r>
    </w:p>
    <w:p>
      <w:pPr>
        <w:spacing w:after="0" w:line="233" w:lineRule="auto"/>
        <w:rPr>
          <w:sz w:val="20"/>
          <w:szCs w:val="20"/>
          <w:color w:val="auto"/>
        </w:rPr>
      </w:pPr>
      <w:r>
        <w:rPr>
          <w:rFonts w:ascii="Times New Roman" w:cs="Times New Roman" w:eastAsia="Times New Roman" w:hAnsi="Times New Roman"/>
          <w:sz w:val="14"/>
          <w:szCs w:val="14"/>
          <w:color w:val="auto"/>
        </w:rPr>
        <w:t>warrants, convertibles, rights, fund units and ETFs, as well as</w:t>
      </w:r>
    </w:p>
    <w:p>
      <w:pPr>
        <w:spacing w:after="0" w:line="232" w:lineRule="auto"/>
        <w:rPr>
          <w:sz w:val="20"/>
          <w:szCs w:val="20"/>
          <w:color w:val="auto"/>
        </w:rPr>
      </w:pPr>
      <w:r>
        <w:rPr>
          <w:rFonts w:ascii="Times New Roman" w:cs="Times New Roman" w:eastAsia="Times New Roman" w:hAnsi="Times New Roman"/>
          <w:sz w:val="14"/>
          <w:szCs w:val="14"/>
          <w:color w:val="auto"/>
        </w:rPr>
        <w:t>trading and clearing of derivatives and clearing of resale and</w:t>
      </w:r>
    </w:p>
    <w:p>
      <w:pPr>
        <w:spacing w:after="0" w:line="233" w:lineRule="auto"/>
        <w:rPr>
          <w:sz w:val="20"/>
          <w:szCs w:val="20"/>
          <w:color w:val="auto"/>
        </w:rPr>
      </w:pPr>
      <w:r>
        <w:rPr>
          <w:rFonts w:ascii="Times New Roman" w:cs="Times New Roman" w:eastAsia="Times New Roman" w:hAnsi="Times New Roman"/>
          <w:sz w:val="14"/>
          <w:szCs w:val="14"/>
          <w:color w:val="auto"/>
        </w:rPr>
        <w:t>repurchase agreements. Our platform allows the exchanges to</w:t>
      </w:r>
    </w:p>
    <w:p>
      <w:pPr>
        <w:spacing w:after="0" w:line="232" w:lineRule="auto"/>
        <w:rPr>
          <w:sz w:val="20"/>
          <w:szCs w:val="20"/>
          <w:color w:val="auto"/>
        </w:rPr>
      </w:pPr>
      <w:r>
        <w:rPr>
          <w:rFonts w:ascii="Times New Roman" w:cs="Times New Roman" w:eastAsia="Times New Roman" w:hAnsi="Times New Roman"/>
          <w:sz w:val="14"/>
          <w:szCs w:val="14"/>
          <w:color w:val="auto"/>
        </w:rPr>
        <w:t>share the same trading system, which enables efficient cross-</w:t>
      </w:r>
    </w:p>
    <w:p>
      <w:pPr>
        <w:spacing w:after="0" w:line="204" w:lineRule="auto"/>
        <w:rPr>
          <w:sz w:val="20"/>
          <w:szCs w:val="20"/>
          <w:color w:val="auto"/>
        </w:rPr>
      </w:pPr>
      <w:r>
        <w:rPr>
          <w:rFonts w:ascii="Times New Roman" w:cs="Times New Roman" w:eastAsia="Times New Roman" w:hAnsi="Times New Roman"/>
          <w:sz w:val="16"/>
          <w:szCs w:val="16"/>
          <w:color w:val="auto"/>
        </w:rPr>
        <w:t>border trading and settlement, cross-exchange membership</w:t>
      </w:r>
    </w:p>
    <w:p>
      <w:pPr>
        <w:spacing w:after="0" w:line="233" w:lineRule="auto"/>
        <w:rPr>
          <w:sz w:val="20"/>
          <w:szCs w:val="20"/>
          <w:color w:val="auto"/>
        </w:rPr>
      </w:pPr>
      <w:r>
        <w:rPr>
          <w:rFonts w:ascii="Times New Roman" w:cs="Times New Roman" w:eastAsia="Times New Roman" w:hAnsi="Times New Roman"/>
          <w:sz w:val="14"/>
          <w:szCs w:val="14"/>
          <w:color w:val="auto"/>
        </w:rPr>
        <w:t>and a single source for Nordic data products. Settlement and</w:t>
      </w:r>
    </w:p>
    <w:p>
      <w:pPr>
        <w:spacing w:after="0" w:line="203" w:lineRule="auto"/>
        <w:rPr>
          <w:sz w:val="20"/>
          <w:szCs w:val="20"/>
          <w:color w:val="auto"/>
        </w:rPr>
      </w:pPr>
      <w:r>
        <w:rPr>
          <w:rFonts w:ascii="Times New Roman" w:cs="Times New Roman" w:eastAsia="Times New Roman" w:hAnsi="Times New Roman"/>
          <w:sz w:val="16"/>
          <w:szCs w:val="16"/>
          <w:color w:val="auto"/>
        </w:rPr>
        <w:t>registration of cash equity trading takes place in Sweden,</w:t>
      </w:r>
    </w:p>
    <w:p>
      <w:pPr>
        <w:spacing w:after="0" w:line="204" w:lineRule="auto"/>
        <w:rPr>
          <w:sz w:val="20"/>
          <w:szCs w:val="20"/>
          <w:color w:val="auto"/>
        </w:rPr>
      </w:pPr>
      <w:r>
        <w:rPr>
          <w:rFonts w:ascii="Times New Roman" w:cs="Times New Roman" w:eastAsia="Times New Roman" w:hAnsi="Times New Roman"/>
          <w:sz w:val="16"/>
          <w:szCs w:val="16"/>
          <w:color w:val="auto"/>
        </w:rPr>
        <w:t>Finland, and Denmark via the local central securities</w:t>
      </w:r>
    </w:p>
    <w:p>
      <w:pPr>
        <w:spacing w:after="0" w:line="203" w:lineRule="auto"/>
        <w:rPr>
          <w:sz w:val="20"/>
          <w:szCs w:val="20"/>
          <w:color w:val="auto"/>
        </w:rPr>
      </w:pPr>
      <w:r>
        <w:rPr>
          <w:rFonts w:ascii="Times New Roman" w:cs="Times New Roman" w:eastAsia="Times New Roman" w:hAnsi="Times New Roman"/>
          <w:sz w:val="16"/>
          <w:szCs w:val="16"/>
          <w:color w:val="auto"/>
        </w:rPr>
        <w:t>depositories. In addition, Nasdaq owns a central securities</w:t>
      </w:r>
    </w:p>
    <w:p>
      <w:pPr>
        <w:spacing w:after="0" w:line="204" w:lineRule="auto"/>
        <w:rPr>
          <w:sz w:val="20"/>
          <w:szCs w:val="20"/>
          <w:color w:val="auto"/>
        </w:rPr>
      </w:pPr>
      <w:r>
        <w:rPr>
          <w:rFonts w:ascii="Times New Roman" w:cs="Times New Roman" w:eastAsia="Times New Roman" w:hAnsi="Times New Roman"/>
          <w:sz w:val="16"/>
          <w:szCs w:val="16"/>
          <w:color w:val="auto"/>
        </w:rPr>
        <w:t>depository that provides notary, settlement, central</w:t>
      </w:r>
    </w:p>
    <w:p>
      <w:pPr>
        <w:spacing w:after="0" w:line="203" w:lineRule="auto"/>
        <w:rPr>
          <w:sz w:val="20"/>
          <w:szCs w:val="20"/>
          <w:color w:val="auto"/>
        </w:rPr>
      </w:pPr>
      <w:r>
        <w:rPr>
          <w:rFonts w:ascii="Times New Roman" w:cs="Times New Roman" w:eastAsia="Times New Roman" w:hAnsi="Times New Roman"/>
          <w:sz w:val="16"/>
          <w:szCs w:val="16"/>
          <w:color w:val="auto"/>
        </w:rPr>
        <w:t>maintenance and other services in the Baltic countries and</w:t>
      </w:r>
    </w:p>
    <w:p>
      <w:pPr>
        <w:spacing w:after="0" w:line="204" w:lineRule="auto"/>
        <w:rPr>
          <w:sz w:val="20"/>
          <w:szCs w:val="20"/>
          <w:color w:val="auto"/>
        </w:rPr>
      </w:pPr>
      <w:r>
        <w:rPr>
          <w:rFonts w:ascii="Times New Roman" w:cs="Times New Roman" w:eastAsia="Times New Roman" w:hAnsi="Times New Roman"/>
          <w:sz w:val="16"/>
          <w:szCs w:val="16"/>
          <w:color w:val="auto"/>
        </w:rPr>
        <w:t>Iceland.</w:t>
      </w:r>
    </w:p>
    <w:p>
      <w:pPr>
        <w:spacing w:after="0" w:line="233" w:lineRule="auto"/>
        <w:rPr>
          <w:sz w:val="20"/>
          <w:szCs w:val="20"/>
          <w:color w:val="auto"/>
        </w:rPr>
      </w:pPr>
      <w:r>
        <w:rPr>
          <w:rFonts w:ascii="Times New Roman" w:cs="Times New Roman" w:eastAsia="Times New Roman" w:hAnsi="Times New Roman"/>
          <w:sz w:val="14"/>
          <w:szCs w:val="14"/>
          <w:color w:val="auto"/>
        </w:rPr>
        <w:t>In Europe, Nasdaq Nordic offers trading in derivatives, such</w:t>
      </w:r>
    </w:p>
    <w:p>
      <w:pPr>
        <w:spacing w:after="0" w:line="203" w:lineRule="auto"/>
        <w:rPr>
          <w:sz w:val="20"/>
          <w:szCs w:val="20"/>
          <w:color w:val="auto"/>
        </w:rPr>
      </w:pPr>
      <w:r>
        <w:rPr>
          <w:rFonts w:ascii="Times New Roman" w:cs="Times New Roman" w:eastAsia="Times New Roman" w:hAnsi="Times New Roman"/>
          <w:sz w:val="16"/>
          <w:szCs w:val="16"/>
          <w:color w:val="auto"/>
        </w:rPr>
        <w:t>as stock options and futures and index options and futures.</w:t>
      </w:r>
    </w:p>
    <w:p>
      <w:pPr>
        <w:spacing w:after="0"/>
        <w:rPr>
          <w:sz w:val="20"/>
          <w:szCs w:val="20"/>
          <w:color w:val="auto"/>
        </w:rPr>
      </w:pPr>
      <w:r>
        <w:rPr>
          <w:rFonts w:ascii="Times New Roman" w:cs="Times New Roman" w:eastAsia="Times New Roman" w:hAnsi="Times New Roman"/>
          <w:sz w:val="16"/>
          <w:szCs w:val="16"/>
          <w:color w:val="auto"/>
        </w:rPr>
        <w:t>Nasdaq Clearing offers CCP clearing services for stock</w:t>
      </w:r>
    </w:p>
    <w:p>
      <w:pPr>
        <w:sectPr>
          <w:pgSz w:w="11900" w:h="16840" w:orient="portrait"/>
          <w:cols w:equalWidth="0" w:num="1">
            <w:col w:w="9400"/>
          </w:cols>
          <w:pgMar w:left="1060" w:top="557" w:right="1440" w:bottom="8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options and futures and index options and futures.</w:t>
      </w:r>
    </w:p>
    <w:p>
      <w:pPr>
        <w:spacing w:after="0" w:line="203" w:lineRule="auto"/>
        <w:rPr>
          <w:sz w:val="20"/>
          <w:szCs w:val="20"/>
          <w:color w:val="auto"/>
        </w:rPr>
      </w:pPr>
      <w:r>
        <w:rPr>
          <w:rFonts w:ascii="Times New Roman" w:cs="Times New Roman" w:eastAsia="Times New Roman" w:hAnsi="Times New Roman"/>
          <w:sz w:val="16"/>
          <w:szCs w:val="16"/>
          <w:color w:val="auto"/>
        </w:rPr>
        <w:t>Nasdaq Fixed Income, or NFI, provides a wide range of</w:t>
      </w:r>
    </w:p>
    <w:p>
      <w:pPr>
        <w:spacing w:after="0" w:line="233" w:lineRule="auto"/>
        <w:rPr>
          <w:sz w:val="20"/>
          <w:szCs w:val="20"/>
          <w:color w:val="auto"/>
        </w:rPr>
      </w:pPr>
      <w:r>
        <w:rPr>
          <w:rFonts w:ascii="Times New Roman" w:cs="Times New Roman" w:eastAsia="Times New Roman" w:hAnsi="Times New Roman"/>
          <w:sz w:val="14"/>
          <w:szCs w:val="14"/>
          <w:color w:val="auto"/>
        </w:rPr>
        <w:t>products and services, such as trading and clearing, for fixed</w:t>
      </w:r>
    </w:p>
    <w:p>
      <w:pPr>
        <w:spacing w:after="0" w:line="203" w:lineRule="auto"/>
        <w:rPr>
          <w:sz w:val="20"/>
          <w:szCs w:val="20"/>
          <w:color w:val="auto"/>
        </w:rPr>
      </w:pPr>
      <w:r>
        <w:rPr>
          <w:rFonts w:ascii="Times New Roman" w:cs="Times New Roman" w:eastAsia="Times New Roman" w:hAnsi="Times New Roman"/>
          <w:sz w:val="16"/>
          <w:szCs w:val="16"/>
          <w:color w:val="auto"/>
        </w:rPr>
        <w:t>income products in Sweden, Denmark, Finland, Iceland,</w:t>
      </w:r>
    </w:p>
    <w:p>
      <w:pPr>
        <w:spacing w:after="0" w:line="204" w:lineRule="auto"/>
        <w:rPr>
          <w:sz w:val="20"/>
          <w:szCs w:val="20"/>
          <w:color w:val="auto"/>
        </w:rPr>
      </w:pPr>
      <w:r>
        <w:rPr>
          <w:rFonts w:ascii="Times New Roman" w:cs="Times New Roman" w:eastAsia="Times New Roman" w:hAnsi="Times New Roman"/>
          <w:sz w:val="16"/>
          <w:szCs w:val="16"/>
          <w:color w:val="auto"/>
        </w:rPr>
        <w:t>Estonia, Lithuania and Latvia. Nasdaq is the largest bond</w:t>
      </w:r>
    </w:p>
    <w:p>
      <w:pPr>
        <w:spacing w:after="0" w:line="203" w:lineRule="auto"/>
        <w:rPr>
          <w:sz w:val="20"/>
          <w:szCs w:val="20"/>
          <w:color w:val="auto"/>
        </w:rPr>
      </w:pPr>
      <w:r>
        <w:rPr>
          <w:rFonts w:ascii="Times New Roman" w:cs="Times New Roman" w:eastAsia="Times New Roman" w:hAnsi="Times New Roman"/>
          <w:sz w:val="16"/>
          <w:szCs w:val="16"/>
          <w:color w:val="auto"/>
        </w:rPr>
        <w:t>listing venue in the Nordics, with more than 6,000 listed</w:t>
      </w:r>
    </w:p>
    <w:p>
      <w:pPr>
        <w:spacing w:after="0" w:line="204" w:lineRule="auto"/>
        <w:rPr>
          <w:sz w:val="20"/>
          <w:szCs w:val="20"/>
          <w:color w:val="auto"/>
        </w:rPr>
      </w:pPr>
      <w:r>
        <w:rPr>
          <w:rFonts w:ascii="Times New Roman" w:cs="Times New Roman" w:eastAsia="Times New Roman" w:hAnsi="Times New Roman"/>
          <w:sz w:val="16"/>
          <w:szCs w:val="16"/>
          <w:color w:val="auto"/>
        </w:rPr>
        <w:t>retail and institutional bonds. In addition, Nasdaq Nordic</w:t>
      </w:r>
    </w:p>
    <w:p>
      <w:pPr>
        <w:spacing w:after="0" w:line="203" w:lineRule="auto"/>
        <w:rPr>
          <w:sz w:val="20"/>
          <w:szCs w:val="20"/>
          <w:color w:val="auto"/>
        </w:rPr>
      </w:pPr>
      <w:r>
        <w:rPr>
          <w:rFonts w:ascii="Times New Roman" w:cs="Times New Roman" w:eastAsia="Times New Roman" w:hAnsi="Times New Roman"/>
          <w:sz w:val="16"/>
          <w:szCs w:val="16"/>
          <w:color w:val="auto"/>
        </w:rPr>
        <w:t>facilitates the trading and clearing of Nordic fixed income</w:t>
      </w:r>
    </w:p>
    <w:p>
      <w:pPr>
        <w:spacing w:after="0" w:line="204" w:lineRule="auto"/>
        <w:rPr>
          <w:sz w:val="20"/>
          <w:szCs w:val="20"/>
          <w:color w:val="auto"/>
        </w:rPr>
      </w:pPr>
      <w:r>
        <w:rPr>
          <w:rFonts w:ascii="Times New Roman" w:cs="Times New Roman" w:eastAsia="Times New Roman" w:hAnsi="Times New Roman"/>
          <w:sz w:val="16"/>
          <w:szCs w:val="16"/>
          <w:color w:val="auto"/>
        </w:rPr>
        <w:t>derivatives in a unique market structure. Buyers and sellers</w:t>
      </w:r>
    </w:p>
    <w:p>
      <w:pPr>
        <w:spacing w:after="0" w:line="204" w:lineRule="auto"/>
        <w:rPr>
          <w:sz w:val="20"/>
          <w:szCs w:val="20"/>
          <w:color w:val="auto"/>
        </w:rPr>
      </w:pPr>
      <w:r>
        <w:rPr>
          <w:rFonts w:ascii="Times New Roman" w:cs="Times New Roman" w:eastAsia="Times New Roman" w:hAnsi="Times New Roman"/>
          <w:sz w:val="16"/>
          <w:szCs w:val="16"/>
          <w:color w:val="auto"/>
        </w:rPr>
        <w:t>agree to trades in fixed income derivatives through bilateral</w:t>
      </w:r>
    </w:p>
    <w:p>
      <w:pPr>
        <w:spacing w:after="0" w:line="232" w:lineRule="auto"/>
        <w:rPr>
          <w:sz w:val="20"/>
          <w:szCs w:val="20"/>
          <w:color w:val="auto"/>
        </w:rPr>
      </w:pPr>
      <w:r>
        <w:rPr>
          <w:rFonts w:ascii="Times New Roman" w:cs="Times New Roman" w:eastAsia="Times New Roman" w:hAnsi="Times New Roman"/>
          <w:sz w:val="14"/>
          <w:szCs w:val="14"/>
          <w:color w:val="auto"/>
        </w:rPr>
        <w:t>negotiations and then report those trades to Nasdaq Clearing.</w:t>
      </w:r>
    </w:p>
    <w:p>
      <w:pPr>
        <w:spacing w:after="0" w:line="204" w:lineRule="auto"/>
        <w:rPr>
          <w:sz w:val="20"/>
          <w:szCs w:val="20"/>
          <w:color w:val="auto"/>
        </w:rPr>
      </w:pPr>
      <w:r>
        <w:rPr>
          <w:rFonts w:ascii="Times New Roman" w:cs="Times New Roman" w:eastAsia="Times New Roman" w:hAnsi="Times New Roman"/>
          <w:sz w:val="16"/>
          <w:szCs w:val="16"/>
          <w:color w:val="auto"/>
        </w:rPr>
        <w:t>Nasdaq Clearing offers CCP clearing services for fixed-</w:t>
      </w:r>
    </w:p>
    <w:p>
      <w:pPr>
        <w:spacing w:after="0" w:line="203" w:lineRule="auto"/>
        <w:rPr>
          <w:sz w:val="20"/>
          <w:szCs w:val="20"/>
          <w:color w:val="auto"/>
        </w:rPr>
      </w:pPr>
      <w:r>
        <w:rPr>
          <w:rFonts w:ascii="Times New Roman" w:cs="Times New Roman" w:eastAsia="Times New Roman" w:hAnsi="Times New Roman"/>
          <w:sz w:val="16"/>
          <w:szCs w:val="16"/>
          <w:color w:val="auto"/>
        </w:rPr>
        <w:t>income options and futures and interest rate swaps. Nasdaq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Clearing also operates a clearing service for the resale and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w:t>
      </w:r>
    </w:p>
    <w:p>
      <w:pPr>
        <w:spacing w:after="0" w:line="232" w:lineRule="auto"/>
        <w:rPr>
          <w:sz w:val="20"/>
          <w:szCs w:val="20"/>
          <w:color w:val="auto"/>
        </w:rPr>
      </w:pPr>
      <w:r>
        <w:rPr>
          <w:rFonts w:ascii="Times New Roman" w:cs="Times New Roman" w:eastAsia="Times New Roman" w:hAnsi="Times New Roman"/>
          <w:sz w:val="14"/>
          <w:szCs w:val="14"/>
          <w:color w:val="auto"/>
        </w:rPr>
        <w:t>We also own a majority stake in Puro.earth, a Finnish-based</w:t>
      </w:r>
    </w:p>
    <w:p>
      <w:pPr>
        <w:spacing w:after="0" w:line="204" w:lineRule="auto"/>
        <w:rPr>
          <w:sz w:val="20"/>
          <w:szCs w:val="20"/>
          <w:color w:val="auto"/>
        </w:rPr>
      </w:pPr>
      <w:r>
        <w:rPr>
          <w:rFonts w:ascii="Times New Roman" w:cs="Times New Roman" w:eastAsia="Times New Roman" w:hAnsi="Times New Roman"/>
          <w:sz w:val="16"/>
          <w:szCs w:val="16"/>
          <w:color w:val="auto"/>
        </w:rPr>
        <w:t>leading platform for carbon removal. Puro.earth offers</w:t>
      </w:r>
    </w:p>
    <w:p>
      <w:pPr>
        <w:spacing w:after="0" w:line="232" w:lineRule="auto"/>
        <w:rPr>
          <w:sz w:val="20"/>
          <w:szCs w:val="20"/>
          <w:color w:val="auto"/>
        </w:rPr>
      </w:pPr>
      <w:r>
        <w:rPr>
          <w:rFonts w:ascii="Times New Roman" w:cs="Times New Roman" w:eastAsia="Times New Roman" w:hAnsi="Times New Roman"/>
          <w:sz w:val="14"/>
          <w:szCs w:val="14"/>
          <w:color w:val="auto"/>
        </w:rPr>
        <w:t>engineered carbon removal instruments that are verified and</w:t>
      </w:r>
    </w:p>
    <w:p>
      <w:pPr>
        <w:spacing w:after="0" w:line="204" w:lineRule="auto"/>
        <w:rPr>
          <w:sz w:val="20"/>
          <w:szCs w:val="20"/>
          <w:color w:val="auto"/>
        </w:rPr>
      </w:pPr>
      <w:r>
        <w:rPr>
          <w:rFonts w:ascii="Times New Roman" w:cs="Times New Roman" w:eastAsia="Times New Roman" w:hAnsi="Times New Roman"/>
          <w:sz w:val="16"/>
          <w:szCs w:val="16"/>
          <w:color w:val="auto"/>
        </w:rPr>
        <w:t>tradable through an open, online platform. Puro.earth’s</w:t>
      </w:r>
    </w:p>
    <w:p>
      <w:pPr>
        <w:spacing w:after="0" w:line="203" w:lineRule="auto"/>
        <w:rPr>
          <w:sz w:val="20"/>
          <w:szCs w:val="20"/>
          <w:color w:val="auto"/>
        </w:rPr>
      </w:pPr>
      <w:r>
        <w:rPr>
          <w:rFonts w:ascii="Times New Roman" w:cs="Times New Roman" w:eastAsia="Times New Roman" w:hAnsi="Times New Roman"/>
          <w:sz w:val="16"/>
          <w:szCs w:val="16"/>
          <w:color w:val="auto"/>
        </w:rPr>
        <w:t>marketplace capabilities add to our suite of sustainability-</w:t>
      </w:r>
    </w:p>
    <w:p>
      <w:pPr>
        <w:spacing w:after="0" w:line="204" w:lineRule="auto"/>
        <w:rPr>
          <w:sz w:val="20"/>
          <w:szCs w:val="20"/>
          <w:color w:val="auto"/>
        </w:rPr>
      </w:pPr>
      <w:r>
        <w:rPr>
          <w:rFonts w:ascii="Times New Roman" w:cs="Times New Roman" w:eastAsia="Times New Roman" w:hAnsi="Times New Roman"/>
          <w:sz w:val="16"/>
          <w:szCs w:val="16"/>
          <w:color w:val="auto"/>
        </w:rPr>
        <w:t>focused technologies and workflow solutions and give our</w:t>
      </w:r>
    </w:p>
    <w:p>
      <w:pPr>
        <w:spacing w:after="0" w:line="203" w:lineRule="auto"/>
        <w:rPr>
          <w:sz w:val="20"/>
          <w:szCs w:val="20"/>
          <w:color w:val="auto"/>
        </w:rPr>
      </w:pPr>
      <w:r>
        <w:rPr>
          <w:rFonts w:ascii="Times New Roman" w:cs="Times New Roman" w:eastAsia="Times New Roman" w:hAnsi="Times New Roman"/>
          <w:sz w:val="16"/>
          <w:szCs w:val="16"/>
          <w:color w:val="auto"/>
        </w:rPr>
        <w:t>clients further resources to achieve their sustainability</w:t>
      </w:r>
    </w:p>
    <w:p>
      <w:pPr>
        <w:spacing w:after="0" w:line="204" w:lineRule="auto"/>
        <w:rPr>
          <w:sz w:val="20"/>
          <w:szCs w:val="20"/>
          <w:color w:val="auto"/>
        </w:rPr>
      </w:pPr>
      <w:r>
        <w:rPr>
          <w:rFonts w:ascii="Times New Roman" w:cs="Times New Roman" w:eastAsia="Times New Roman" w:hAnsi="Times New Roman"/>
          <w:sz w:val="16"/>
          <w:szCs w:val="16"/>
          <w:color w:val="auto"/>
        </w:rPr>
        <w:t>objectives.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Technology and technological strengths</w:t>
      </w:r>
    </w:p>
    <w:p>
      <w:pPr>
        <w:spacing w:after="0" w:line="204" w:lineRule="auto"/>
        <w:rPr>
          <w:sz w:val="20"/>
          <w:szCs w:val="20"/>
          <w:color w:val="auto"/>
        </w:rPr>
      </w:pPr>
      <w:r>
        <w:rPr>
          <w:rFonts w:ascii="Times New Roman" w:cs="Times New Roman" w:eastAsia="Times New Roman" w:hAnsi="Times New Roman"/>
          <w:sz w:val="16"/>
          <w:szCs w:val="16"/>
          <w:color w:val="auto"/>
        </w:rPr>
        <w:t>Technology plays a key role in ensuring the growth,</w:t>
      </w:r>
    </w:p>
    <w:p>
      <w:pPr>
        <w:spacing w:after="0" w:line="204" w:lineRule="auto"/>
        <w:rPr>
          <w:sz w:val="20"/>
          <w:szCs w:val="20"/>
          <w:color w:val="auto"/>
        </w:rPr>
      </w:pPr>
      <w:r>
        <w:rPr>
          <w:rFonts w:ascii="Times New Roman" w:cs="Times New Roman" w:eastAsia="Times New Roman" w:hAnsi="Times New Roman"/>
          <w:sz w:val="16"/>
          <w:szCs w:val="16"/>
          <w:color w:val="auto"/>
        </w:rPr>
        <w:t>reliability and regulation of financial markets. The strength</w:t>
      </w:r>
    </w:p>
    <w:p>
      <w:pPr>
        <w:spacing w:after="0" w:line="203" w:lineRule="auto"/>
        <w:rPr>
          <w:sz w:val="20"/>
          <w:szCs w:val="20"/>
          <w:color w:val="auto"/>
        </w:rPr>
      </w:pPr>
      <w:r>
        <w:rPr>
          <w:rFonts w:ascii="Times New Roman" w:cs="Times New Roman" w:eastAsia="Times New Roman" w:hAnsi="Times New Roman"/>
          <w:sz w:val="16"/>
          <w:szCs w:val="16"/>
          <w:color w:val="auto"/>
        </w:rPr>
        <w:t>and resiliency of our technology in meeting the advancing</w:t>
      </w:r>
    </w:p>
    <w:p>
      <w:pPr>
        <w:spacing w:after="0" w:line="233" w:lineRule="auto"/>
        <w:rPr>
          <w:sz w:val="20"/>
          <w:szCs w:val="20"/>
          <w:color w:val="auto"/>
        </w:rPr>
      </w:pPr>
      <w:r>
        <w:rPr>
          <w:rFonts w:ascii="Times New Roman" w:cs="Times New Roman" w:eastAsia="Times New Roman" w:hAnsi="Times New Roman"/>
          <w:sz w:val="14"/>
          <w:szCs w:val="14"/>
          <w:color w:val="auto"/>
        </w:rPr>
        <w:t>demands of our global customer base is vital to the continued</w:t>
      </w:r>
    </w:p>
    <w:p>
      <w:pPr>
        <w:spacing w:after="0" w:line="203" w:lineRule="auto"/>
        <w:rPr>
          <w:sz w:val="20"/>
          <w:szCs w:val="20"/>
          <w:color w:val="auto"/>
        </w:rPr>
      </w:pPr>
      <w:r>
        <w:rPr>
          <w:rFonts w:ascii="Times New Roman" w:cs="Times New Roman" w:eastAsia="Times New Roman" w:hAnsi="Times New Roman"/>
          <w:sz w:val="16"/>
          <w:szCs w:val="16"/>
          <w:color w:val="auto"/>
        </w:rPr>
        <w:t>success of our business and distinguishes us from our</w:t>
      </w:r>
    </w:p>
    <w:p>
      <w:pPr>
        <w:spacing w:after="0" w:line="204" w:lineRule="auto"/>
        <w:rPr>
          <w:sz w:val="20"/>
          <w:szCs w:val="20"/>
          <w:color w:val="auto"/>
        </w:rPr>
      </w:pPr>
      <w:r>
        <w:rPr>
          <w:rFonts w:ascii="Times New Roman" w:cs="Times New Roman" w:eastAsia="Times New Roman" w:hAnsi="Times New Roman"/>
          <w:sz w:val="16"/>
          <w:szCs w:val="16"/>
          <w:color w:val="auto"/>
        </w:rPr>
        <w:t>competitors. We strive to be a trusted partner to a diverse</w:t>
      </w:r>
    </w:p>
    <w:p>
      <w:pPr>
        <w:spacing w:after="0" w:line="203" w:lineRule="auto"/>
        <w:rPr>
          <w:sz w:val="20"/>
          <w:szCs w:val="20"/>
          <w:color w:val="auto"/>
        </w:rPr>
      </w:pPr>
      <w:r>
        <w:rPr>
          <w:rFonts w:ascii="Times New Roman" w:cs="Times New Roman" w:eastAsia="Times New Roman" w:hAnsi="Times New Roman"/>
          <w:sz w:val="16"/>
          <w:szCs w:val="16"/>
          <w:color w:val="auto"/>
        </w:rPr>
        <w:t>range of clients that participate across the global financial</w:t>
      </w:r>
    </w:p>
    <w:p>
      <w:pPr>
        <w:spacing w:after="0" w:line="204" w:lineRule="auto"/>
        <w:rPr>
          <w:sz w:val="20"/>
          <w:szCs w:val="20"/>
          <w:color w:val="auto"/>
        </w:rPr>
      </w:pPr>
      <w:r>
        <w:rPr>
          <w:rFonts w:ascii="Times New Roman" w:cs="Times New Roman" w:eastAsia="Times New Roman" w:hAnsi="Times New Roman"/>
          <w:sz w:val="16"/>
          <w:szCs w:val="16"/>
          <w:color w:val="auto"/>
        </w:rPr>
        <w:t>ecosystem.</w:t>
      </w:r>
    </w:p>
    <w:p>
      <w:pPr>
        <w:spacing w:after="0" w:line="204" w:lineRule="auto"/>
        <w:rPr>
          <w:sz w:val="20"/>
          <w:szCs w:val="20"/>
          <w:color w:val="auto"/>
        </w:rPr>
      </w:pPr>
      <w:r>
        <w:rPr>
          <w:rFonts w:ascii="Times New Roman" w:cs="Times New Roman" w:eastAsia="Times New Roman" w:hAnsi="Times New Roman"/>
          <w:sz w:val="16"/>
          <w:szCs w:val="16"/>
          <w:color w:val="auto"/>
        </w:rPr>
        <w:t>We have established a technology risk program to evaluate</w:t>
      </w:r>
    </w:p>
    <w:p>
      <w:pPr>
        <w:spacing w:after="0" w:line="203" w:lineRule="auto"/>
        <w:rPr>
          <w:sz w:val="20"/>
          <w:szCs w:val="20"/>
          <w:color w:val="auto"/>
        </w:rPr>
      </w:pPr>
      <w:r>
        <w:rPr>
          <w:rFonts w:ascii="Times New Roman" w:cs="Times New Roman" w:eastAsia="Times New Roman" w:hAnsi="Times New Roman"/>
          <w:sz w:val="16"/>
          <w:szCs w:val="16"/>
          <w:color w:val="auto"/>
        </w:rPr>
        <w:t>the resiliency of critical systems, including risks associated</w:t>
      </w:r>
    </w:p>
    <w:p>
      <w:pPr>
        <w:spacing w:after="0" w:line="204" w:lineRule="auto"/>
        <w:rPr>
          <w:sz w:val="20"/>
          <w:szCs w:val="20"/>
          <w:color w:val="auto"/>
        </w:rPr>
      </w:pPr>
      <w:r>
        <w:rPr>
          <w:rFonts w:ascii="Times New Roman" w:cs="Times New Roman" w:eastAsia="Times New Roman" w:hAnsi="Times New Roman"/>
          <w:sz w:val="16"/>
          <w:szCs w:val="16"/>
          <w:color w:val="auto"/>
        </w:rPr>
        <w:t>with cybersecurity. This program is focused on identifying</w:t>
      </w:r>
    </w:p>
    <w:p>
      <w:pPr>
        <w:spacing w:after="0" w:line="232" w:lineRule="auto"/>
        <w:rPr>
          <w:sz w:val="20"/>
          <w:szCs w:val="20"/>
          <w:color w:val="auto"/>
        </w:rPr>
      </w:pPr>
      <w:r>
        <w:rPr>
          <w:rFonts w:ascii="Times New Roman" w:cs="Times New Roman" w:eastAsia="Times New Roman" w:hAnsi="Times New Roman"/>
          <w:sz w:val="14"/>
          <w:szCs w:val="14"/>
          <w:color w:val="auto"/>
        </w:rPr>
        <w:t>areas for improvement in systems, and implementing changes</w:t>
      </w:r>
    </w:p>
    <w:p>
      <w:pPr>
        <w:spacing w:after="0" w:line="233" w:lineRule="auto"/>
        <w:rPr>
          <w:sz w:val="20"/>
          <w:szCs w:val="20"/>
          <w:color w:val="auto"/>
        </w:rPr>
      </w:pPr>
      <w:r>
        <w:rPr>
          <w:rFonts w:ascii="Times New Roman" w:cs="Times New Roman" w:eastAsia="Times New Roman" w:hAnsi="Times New Roman"/>
          <w:sz w:val="14"/>
          <w:szCs w:val="14"/>
          <w:color w:val="auto"/>
        </w:rPr>
        <w:t>and upgrades to technology and processes to minimize future</w:t>
      </w:r>
    </w:p>
    <w:p>
      <w:pPr>
        <w:spacing w:after="0" w:line="233" w:lineRule="auto"/>
        <w:rPr>
          <w:sz w:val="20"/>
          <w:szCs w:val="20"/>
          <w:color w:val="auto"/>
        </w:rPr>
      </w:pPr>
      <w:r>
        <w:rPr>
          <w:rFonts w:ascii="Times New Roman" w:cs="Times New Roman" w:eastAsia="Times New Roman" w:hAnsi="Times New Roman"/>
          <w:sz w:val="14"/>
          <w:szCs w:val="14"/>
          <w:color w:val="auto"/>
        </w:rPr>
        <w:t>risk. We have continued our focus on improving the security</w:t>
      </w:r>
    </w:p>
    <w:p>
      <w:pPr>
        <w:spacing w:after="0" w:line="232" w:lineRule="auto"/>
        <w:rPr>
          <w:sz w:val="20"/>
          <w:szCs w:val="20"/>
          <w:color w:val="auto"/>
        </w:rPr>
      </w:pPr>
      <w:r>
        <w:rPr>
          <w:rFonts w:ascii="Times New Roman" w:cs="Times New Roman" w:eastAsia="Times New Roman" w:hAnsi="Times New Roman"/>
          <w:sz w:val="14"/>
          <w:szCs w:val="14"/>
          <w:color w:val="auto"/>
        </w:rPr>
        <w:t>of our technology with an emphasis on new tool deployment</w:t>
      </w:r>
    </w:p>
    <w:p>
      <w:pPr>
        <w:spacing w:after="0" w:line="204" w:lineRule="auto"/>
        <w:rPr>
          <w:sz w:val="20"/>
          <w:szCs w:val="20"/>
          <w:color w:val="auto"/>
        </w:rPr>
      </w:pPr>
      <w:r>
        <w:rPr>
          <w:rFonts w:ascii="Times New Roman" w:cs="Times New Roman" w:eastAsia="Times New Roman" w:hAnsi="Times New Roman"/>
          <w:sz w:val="16"/>
          <w:szCs w:val="16"/>
          <w:color w:val="auto"/>
        </w:rPr>
        <w:t>for our securities operations team, targeted phishing</w:t>
      </w:r>
    </w:p>
    <w:p>
      <w:pPr>
        <w:spacing w:after="0" w:line="203" w:lineRule="auto"/>
        <w:rPr>
          <w:sz w:val="20"/>
          <w:szCs w:val="20"/>
          <w:color w:val="auto"/>
        </w:rPr>
      </w:pPr>
      <w:r>
        <w:rPr>
          <w:rFonts w:ascii="Times New Roman" w:cs="Times New Roman" w:eastAsia="Times New Roman" w:hAnsi="Times New Roman"/>
          <w:sz w:val="16"/>
          <w:szCs w:val="16"/>
          <w:color w:val="auto"/>
        </w:rPr>
        <w:t>campaigns and employee awareness. See “Item 1A. Risk</w:t>
      </w:r>
    </w:p>
    <w:p>
      <w:pPr>
        <w:spacing w:after="0" w:line="204" w:lineRule="auto"/>
        <w:rPr>
          <w:sz w:val="20"/>
          <w:szCs w:val="20"/>
          <w:color w:val="auto"/>
        </w:rPr>
      </w:pPr>
      <w:r>
        <w:rPr>
          <w:rFonts w:ascii="Times New Roman" w:cs="Times New Roman" w:eastAsia="Times New Roman" w:hAnsi="Times New Roman"/>
          <w:sz w:val="16"/>
          <w:szCs w:val="16"/>
          <w:color w:val="auto"/>
        </w:rPr>
        <w:t>Factors” in this Annual Report on Form 10-K for further</w:t>
      </w:r>
    </w:p>
    <w:p>
      <w:pPr>
        <w:spacing w:after="0" w:line="203" w:lineRule="auto"/>
        <w:rPr>
          <w:sz w:val="20"/>
          <w:szCs w:val="20"/>
          <w:color w:val="auto"/>
        </w:rPr>
      </w:pPr>
      <w:r>
        <w:rPr>
          <w:rFonts w:ascii="Times New Roman" w:cs="Times New Roman" w:eastAsia="Times New Roman" w:hAnsi="Times New Roman"/>
          <w:sz w:val="16"/>
          <w:szCs w:val="16"/>
          <w:color w:val="auto"/>
        </w:rPr>
        <w:t>discussion.</w:t>
      </w:r>
    </w:p>
    <w:p>
      <w:pPr>
        <w:spacing w:after="0" w:line="233" w:lineRule="auto"/>
        <w:rPr>
          <w:sz w:val="20"/>
          <w:szCs w:val="20"/>
          <w:color w:val="auto"/>
        </w:rPr>
      </w:pPr>
      <w:r>
        <w:rPr>
          <w:rFonts w:ascii="Times New Roman" w:cs="Times New Roman" w:eastAsia="Times New Roman" w:hAnsi="Times New Roman"/>
          <w:sz w:val="14"/>
          <w:szCs w:val="14"/>
          <w:color w:val="auto"/>
        </w:rPr>
        <w:t>We are committed to the ethical and responsible use of AI in</w:t>
      </w:r>
    </w:p>
    <w:p>
      <w:pPr>
        <w:spacing w:after="0" w:line="204" w:lineRule="auto"/>
        <w:rPr>
          <w:sz w:val="20"/>
          <w:szCs w:val="20"/>
          <w:color w:val="auto"/>
        </w:rPr>
      </w:pPr>
      <w:r>
        <w:rPr>
          <w:rFonts w:ascii="Times New Roman" w:cs="Times New Roman" w:eastAsia="Times New Roman" w:hAnsi="Times New Roman"/>
          <w:sz w:val="16"/>
          <w:szCs w:val="16"/>
          <w:color w:val="auto"/>
        </w:rPr>
        <w:t>our products, services and business operations. Our AI</w:t>
      </w:r>
    </w:p>
    <w:p>
      <w:pPr>
        <w:spacing w:after="0" w:line="203" w:lineRule="auto"/>
        <w:rPr>
          <w:sz w:val="20"/>
          <w:szCs w:val="20"/>
          <w:color w:val="auto"/>
        </w:rPr>
      </w:pPr>
      <w:r>
        <w:rPr>
          <w:rFonts w:ascii="Times New Roman" w:cs="Times New Roman" w:eastAsia="Times New Roman" w:hAnsi="Times New Roman"/>
          <w:sz w:val="16"/>
          <w:szCs w:val="16"/>
          <w:color w:val="auto"/>
        </w:rPr>
        <w:t>governance structure aligns the application of AI with our</w:t>
      </w:r>
    </w:p>
    <w:p>
      <w:pPr>
        <w:spacing w:after="0" w:line="233" w:lineRule="auto"/>
        <w:rPr>
          <w:sz w:val="20"/>
          <w:szCs w:val="20"/>
          <w:color w:val="auto"/>
        </w:rPr>
      </w:pPr>
      <w:r>
        <w:rPr>
          <w:rFonts w:ascii="Times New Roman" w:cs="Times New Roman" w:eastAsia="Times New Roman" w:hAnsi="Times New Roman"/>
          <w:sz w:val="14"/>
          <w:szCs w:val="14"/>
          <w:color w:val="auto"/>
        </w:rPr>
        <w:t>core values through a framework that addresses the new and</w:t>
      </w:r>
    </w:p>
    <w:p>
      <w:pPr>
        <w:spacing w:after="0" w:line="232" w:lineRule="auto"/>
        <w:rPr>
          <w:sz w:val="20"/>
          <w:szCs w:val="20"/>
          <w:color w:val="auto"/>
        </w:rPr>
      </w:pPr>
      <w:r>
        <w:rPr>
          <w:rFonts w:ascii="Times New Roman" w:cs="Times New Roman" w:eastAsia="Times New Roman" w:hAnsi="Times New Roman"/>
          <w:sz w:val="14"/>
          <w:szCs w:val="14"/>
          <w:color w:val="auto"/>
        </w:rPr>
        <w:t>unique risks that AI technology presents, while enabling us to</w:t>
      </w:r>
    </w:p>
    <w:p>
      <w:pPr>
        <w:spacing w:after="0" w:line="204" w:lineRule="auto"/>
        <w:rPr>
          <w:sz w:val="20"/>
          <w:szCs w:val="20"/>
          <w:color w:val="auto"/>
        </w:rPr>
      </w:pPr>
      <w:r>
        <w:rPr>
          <w:rFonts w:ascii="Times New Roman" w:cs="Times New Roman" w:eastAsia="Times New Roman" w:hAnsi="Times New Roman"/>
          <w:sz w:val="16"/>
          <w:szCs w:val="16"/>
          <w:color w:val="auto"/>
        </w:rPr>
        <w:t>explore innovation and take advantage of opportunities that</w:t>
      </w:r>
    </w:p>
    <w:p>
      <w:pPr>
        <w:spacing w:after="0" w:line="203" w:lineRule="auto"/>
        <w:rPr>
          <w:sz w:val="20"/>
          <w:szCs w:val="20"/>
          <w:color w:val="auto"/>
        </w:rPr>
      </w:pPr>
      <w:r>
        <w:rPr>
          <w:rFonts w:ascii="Times New Roman" w:cs="Times New Roman" w:eastAsia="Times New Roman" w:hAnsi="Times New Roman"/>
          <w:sz w:val="16"/>
          <w:szCs w:val="16"/>
          <w:color w:val="auto"/>
        </w:rPr>
        <w:t>AI presents to better serve our customers, advance our</w:t>
      </w:r>
    </w:p>
    <w:p>
      <w:pPr>
        <w:spacing w:after="0" w:line="233" w:lineRule="auto"/>
        <w:rPr>
          <w:sz w:val="20"/>
          <w:szCs w:val="20"/>
          <w:color w:val="auto"/>
        </w:rPr>
      </w:pPr>
      <w:r>
        <w:rPr>
          <w:rFonts w:ascii="Times New Roman" w:cs="Times New Roman" w:eastAsia="Times New Roman" w:hAnsi="Times New Roman"/>
          <w:sz w:val="14"/>
          <w:szCs w:val="14"/>
          <w:color w:val="auto"/>
        </w:rPr>
        <w:t>business objectives and bring value to our shareholders. Our</w:t>
      </w:r>
    </w:p>
    <w:p>
      <w:pPr>
        <w:spacing w:after="0" w:line="204" w:lineRule="auto"/>
        <w:rPr>
          <w:sz w:val="20"/>
          <w:szCs w:val="20"/>
          <w:color w:val="auto"/>
        </w:rPr>
      </w:pPr>
      <w:r>
        <w:rPr>
          <w:rFonts w:ascii="Times New Roman" w:cs="Times New Roman" w:eastAsia="Times New Roman" w:hAnsi="Times New Roman"/>
          <w:sz w:val="16"/>
          <w:szCs w:val="16"/>
          <w:color w:val="auto"/>
        </w:rPr>
        <w:t>AI governance framework applies risk management across</w:t>
      </w:r>
    </w:p>
    <w:p>
      <w:pPr>
        <w:spacing w:after="0" w:line="203" w:lineRule="auto"/>
        <w:rPr>
          <w:sz w:val="20"/>
          <w:szCs w:val="20"/>
          <w:color w:val="auto"/>
        </w:rPr>
      </w:pPr>
      <w:r>
        <w:rPr>
          <w:rFonts w:ascii="Times New Roman" w:cs="Times New Roman" w:eastAsia="Times New Roman" w:hAnsi="Times New Roman"/>
          <w:sz w:val="16"/>
          <w:szCs w:val="16"/>
          <w:color w:val="auto"/>
        </w:rPr>
        <w:t>AI-related product development and business usage in the</w:t>
      </w:r>
    </w:p>
    <w:p>
      <w:pPr>
        <w:spacing w:after="0" w:line="204" w:lineRule="auto"/>
        <w:rPr>
          <w:sz w:val="20"/>
          <w:szCs w:val="20"/>
          <w:color w:val="auto"/>
        </w:rPr>
      </w:pPr>
      <w:r>
        <w:rPr>
          <w:rFonts w:ascii="Times New Roman" w:cs="Times New Roman" w:eastAsia="Times New Roman" w:hAnsi="Times New Roman"/>
          <w:sz w:val="16"/>
          <w:szCs w:val="16"/>
          <w:color w:val="auto"/>
        </w:rPr>
        <w:t>company through a multi-disciplinary approach. The</w:t>
      </w:r>
    </w:p>
    <w:p>
      <w:pPr>
        <w:spacing w:after="0" w:line="232" w:lineRule="auto"/>
        <w:rPr>
          <w:sz w:val="20"/>
          <w:szCs w:val="20"/>
          <w:color w:val="auto"/>
        </w:rPr>
      </w:pPr>
      <w:r>
        <w:rPr>
          <w:rFonts w:ascii="Times New Roman" w:cs="Times New Roman" w:eastAsia="Times New Roman" w:hAnsi="Times New Roman"/>
          <w:sz w:val="14"/>
          <w:szCs w:val="14"/>
          <w:color w:val="auto"/>
        </w:rPr>
        <w:t>framework puts into practice Nasdaq’s responsible AI usage</w:t>
      </w:r>
    </w:p>
    <w:p>
      <w:pPr>
        <w:spacing w:after="0" w:line="204" w:lineRule="auto"/>
        <w:rPr>
          <w:sz w:val="20"/>
          <w:szCs w:val="20"/>
          <w:color w:val="auto"/>
        </w:rPr>
      </w:pPr>
      <w:r>
        <w:rPr>
          <w:rFonts w:ascii="Times New Roman" w:cs="Times New Roman" w:eastAsia="Times New Roman" w:hAnsi="Times New Roman"/>
          <w:sz w:val="16"/>
          <w:szCs w:val="16"/>
          <w:color w:val="auto"/>
        </w:rPr>
        <w:t>principles and considers the U.S. National Institute of</w:t>
      </w:r>
    </w:p>
    <w:p>
      <w:pPr>
        <w:spacing w:after="0" w:line="233" w:lineRule="auto"/>
        <w:rPr>
          <w:sz w:val="20"/>
          <w:szCs w:val="20"/>
          <w:color w:val="auto"/>
        </w:rPr>
      </w:pPr>
      <w:r>
        <w:rPr>
          <w:rFonts w:ascii="Times New Roman" w:cs="Times New Roman" w:eastAsia="Times New Roman" w:hAnsi="Times New Roman"/>
          <w:sz w:val="14"/>
          <w:szCs w:val="14"/>
          <w:color w:val="auto"/>
        </w:rPr>
        <w:t>Standards and Technology AI Risk Management Framework.</w:t>
      </w:r>
    </w:p>
    <w:p>
      <w:pPr>
        <w:spacing w:after="0" w:line="232" w:lineRule="auto"/>
        <w:rPr>
          <w:sz w:val="20"/>
          <w:szCs w:val="20"/>
          <w:color w:val="auto"/>
        </w:rPr>
      </w:pPr>
      <w:r>
        <w:rPr>
          <w:rFonts w:ascii="Times New Roman" w:cs="Times New Roman" w:eastAsia="Times New Roman" w:hAnsi="Times New Roman"/>
          <w:sz w:val="14"/>
          <w:szCs w:val="14"/>
          <w:color w:val="auto"/>
        </w:rPr>
        <w:t>It is administered through company-wide policies, procedures</w:t>
      </w:r>
    </w:p>
    <w:p>
      <w:pPr>
        <w:spacing w:after="0" w:line="204" w:lineRule="auto"/>
        <w:rPr>
          <w:sz w:val="20"/>
          <w:szCs w:val="20"/>
          <w:color w:val="auto"/>
        </w:rPr>
      </w:pPr>
      <w:r>
        <w:rPr>
          <w:rFonts w:ascii="Times New Roman" w:cs="Times New Roman" w:eastAsia="Times New Roman" w:hAnsi="Times New Roman"/>
          <w:sz w:val="16"/>
          <w:szCs w:val="16"/>
          <w:color w:val="auto"/>
        </w:rPr>
        <w:t>and supporting preventative and detective controls.</w:t>
      </w:r>
    </w:p>
    <w:p>
      <w:pPr>
        <w:spacing w:after="0" w:line="232" w:lineRule="auto"/>
        <w:rPr>
          <w:sz w:val="20"/>
          <w:szCs w:val="20"/>
          <w:color w:val="auto"/>
        </w:rPr>
      </w:pPr>
      <w:r>
        <w:rPr>
          <w:rFonts w:ascii="Times New Roman" w:cs="Times New Roman" w:eastAsia="Times New Roman" w:hAnsi="Times New Roman"/>
          <w:sz w:val="14"/>
          <w:szCs w:val="14"/>
          <w:color w:val="auto"/>
        </w:rPr>
        <w:t>We are focused on amplifying the impact that AI has on our</w:t>
      </w:r>
    </w:p>
    <w:p>
      <w:pPr>
        <w:spacing w:after="0" w:line="204" w:lineRule="auto"/>
        <w:rPr>
          <w:sz w:val="20"/>
          <w:szCs w:val="20"/>
          <w:color w:val="auto"/>
        </w:rPr>
      </w:pPr>
      <w:r>
        <w:rPr>
          <w:rFonts w:ascii="Times New Roman" w:cs="Times New Roman" w:eastAsia="Times New Roman" w:hAnsi="Times New Roman"/>
          <w:sz w:val="16"/>
          <w:szCs w:val="16"/>
          <w:color w:val="auto"/>
        </w:rPr>
        <w:t>business and in our products. We continue to develop</w:t>
      </w:r>
    </w:p>
    <w:p>
      <w:pPr>
        <w:spacing w:after="0" w:line="232" w:lineRule="auto"/>
        <w:rPr>
          <w:sz w:val="20"/>
          <w:szCs w:val="20"/>
          <w:color w:val="auto"/>
        </w:rPr>
      </w:pPr>
      <w:r>
        <w:rPr>
          <w:rFonts w:ascii="Times New Roman" w:cs="Times New Roman" w:eastAsia="Times New Roman" w:hAnsi="Times New Roman"/>
          <w:sz w:val="14"/>
          <w:szCs w:val="14"/>
          <w:color w:val="auto"/>
        </w:rPr>
        <w:t>products and services using AI, including generative AI, and</w:t>
      </w:r>
    </w:p>
    <w:p>
      <w:pPr>
        <w:spacing w:after="0" w:line="204" w:lineRule="auto"/>
        <w:rPr>
          <w:sz w:val="20"/>
          <w:szCs w:val="20"/>
          <w:color w:val="auto"/>
        </w:rPr>
      </w:pPr>
      <w:r>
        <w:rPr>
          <w:rFonts w:ascii="Times New Roman" w:cs="Times New Roman" w:eastAsia="Times New Roman" w:hAnsi="Times New Roman"/>
          <w:sz w:val="16"/>
          <w:szCs w:val="16"/>
          <w:color w:val="auto"/>
        </w:rPr>
        <w:t>the use of AI in product development remains a priority for</w:t>
      </w:r>
    </w:p>
    <w:p>
      <w:pPr>
        <w:spacing w:after="0" w:line="233" w:lineRule="auto"/>
        <w:rPr>
          <w:sz w:val="20"/>
          <w:szCs w:val="20"/>
          <w:color w:val="auto"/>
        </w:rPr>
      </w:pPr>
      <w:r>
        <w:rPr>
          <w:rFonts w:ascii="Times New Roman" w:cs="Times New Roman" w:eastAsia="Times New Roman" w:hAnsi="Times New Roman"/>
          <w:sz w:val="14"/>
          <w:szCs w:val="14"/>
          <w:color w:val="auto"/>
        </w:rPr>
        <w:t>us in 2026. We are currently leveraging AI to further develop</w:t>
      </w:r>
    </w:p>
    <w:p>
      <w:pPr>
        <w:spacing w:after="0" w:line="232" w:lineRule="auto"/>
        <w:rPr>
          <w:sz w:val="20"/>
          <w:szCs w:val="20"/>
          <w:color w:val="auto"/>
        </w:rPr>
      </w:pPr>
      <w:r>
        <w:rPr>
          <w:rFonts w:ascii="Times New Roman" w:cs="Times New Roman" w:eastAsia="Times New Roman" w:hAnsi="Times New Roman"/>
          <w:sz w:val="14"/>
          <w:szCs w:val="14"/>
          <w:color w:val="auto"/>
        </w:rPr>
        <w:t>products and solutions in areas such as investment analytics,</w:t>
      </w:r>
    </w:p>
    <w:p>
      <w:pPr>
        <w:spacing w:after="0" w:line="204" w:lineRule="auto"/>
        <w:rPr>
          <w:sz w:val="20"/>
          <w:szCs w:val="20"/>
          <w:color w:val="auto"/>
        </w:rPr>
      </w:pPr>
      <w:r>
        <w:rPr>
          <w:rFonts w:ascii="Times New Roman" w:cs="Times New Roman" w:eastAsia="Times New Roman" w:hAnsi="Times New Roman"/>
          <w:sz w:val="16"/>
          <w:szCs w:val="16"/>
          <w:color w:val="auto"/>
        </w:rPr>
        <w:t>investor relations and fraud and anti-money laundering, as</w:t>
      </w:r>
    </w:p>
    <w:p>
      <w:pPr>
        <w:spacing w:after="0" w:line="203" w:lineRule="auto"/>
        <w:rPr>
          <w:sz w:val="20"/>
          <w:szCs w:val="20"/>
          <w:color w:val="auto"/>
        </w:rPr>
      </w:pPr>
      <w:r>
        <w:rPr>
          <w:rFonts w:ascii="Times New Roman" w:cs="Times New Roman" w:eastAsia="Times New Roman" w:hAnsi="Times New Roman"/>
          <w:sz w:val="16"/>
          <w:szCs w:val="16"/>
          <w:color w:val="auto"/>
        </w:rPr>
        <w:t>well as to modernize markets with our AI-powered order</w:t>
      </w:r>
    </w:p>
    <w:p>
      <w:pPr>
        <w:spacing w:after="0" w:line="204" w:lineRule="auto"/>
        <w:rPr>
          <w:sz w:val="20"/>
          <w:szCs w:val="20"/>
          <w:color w:val="auto"/>
        </w:rPr>
      </w:pPr>
      <w:r>
        <w:rPr>
          <w:rFonts w:ascii="Times New Roman" w:cs="Times New Roman" w:eastAsia="Times New Roman" w:hAnsi="Times New Roman"/>
          <w:sz w:val="16"/>
          <w:szCs w:val="16"/>
          <w:color w:val="auto"/>
        </w:rPr>
        <w:t>type.</w:t>
      </w:r>
    </w:p>
    <w:p>
      <w:pPr>
        <w:spacing w:after="0" w:line="203" w:lineRule="auto"/>
        <w:rPr>
          <w:sz w:val="20"/>
          <w:szCs w:val="20"/>
          <w:color w:val="auto"/>
        </w:rPr>
      </w:pPr>
      <w:r>
        <w:rPr>
          <w:rFonts w:ascii="Times New Roman" w:cs="Times New Roman" w:eastAsia="Times New Roman" w:hAnsi="Times New Roman"/>
          <w:sz w:val="16"/>
          <w:szCs w:val="16"/>
          <w:color w:val="auto"/>
        </w:rPr>
        <w:t>Our Nasdaq Verafin solution leverages data analytics,</w:t>
      </w:r>
    </w:p>
    <w:p>
      <w:pPr>
        <w:spacing w:after="0" w:line="157" w:lineRule="exact"/>
        <w:rPr>
          <w:sz w:val="20"/>
          <w:szCs w:val="20"/>
          <w:color w:val="auto"/>
        </w:rPr>
      </w:pPr>
      <w:r>
        <w:rPr>
          <w:rFonts w:ascii="Times New Roman" w:cs="Times New Roman" w:eastAsia="Times New Roman" w:hAnsi="Times New Roman"/>
          <w:sz w:val="14"/>
          <w:szCs w:val="14"/>
          <w:color w:val="auto"/>
        </w:rPr>
        <w:t>machine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learning techniques and consortium data to support</w:t>
      </w:r>
    </w:p>
    <w:p>
      <w:pPr>
        <w:spacing w:after="0" w:line="204" w:lineRule="auto"/>
        <w:rPr>
          <w:sz w:val="20"/>
          <w:szCs w:val="20"/>
          <w:color w:val="auto"/>
        </w:rPr>
      </w:pPr>
      <w:r>
        <w:rPr>
          <w:rFonts w:ascii="Times New Roman" w:cs="Times New Roman" w:eastAsia="Times New Roman" w:hAnsi="Times New Roman"/>
          <w:sz w:val="16"/>
          <w:szCs w:val="16"/>
          <w:color w:val="auto"/>
        </w:rPr>
        <w:t>transaction monitoring, customer risk management and the</w:t>
      </w:r>
    </w:p>
    <w:p>
      <w:pPr>
        <w:spacing w:after="0" w:line="203" w:lineRule="auto"/>
        <w:rPr>
          <w:sz w:val="20"/>
          <w:szCs w:val="20"/>
          <w:color w:val="auto"/>
        </w:rPr>
      </w:pPr>
      <w:r>
        <w:rPr>
          <w:rFonts w:ascii="Times New Roman" w:cs="Times New Roman" w:eastAsia="Times New Roman" w:hAnsi="Times New Roman"/>
          <w:sz w:val="16"/>
          <w:szCs w:val="16"/>
          <w:color w:val="auto"/>
        </w:rPr>
        <w:t>identification of financial crime risks across multiple</w:t>
      </w:r>
    </w:p>
    <w:p>
      <w:pPr>
        <w:spacing w:after="0" w:line="204" w:lineRule="auto"/>
        <w:rPr>
          <w:sz w:val="20"/>
          <w:szCs w:val="20"/>
          <w:color w:val="auto"/>
        </w:rPr>
      </w:pPr>
      <w:r>
        <w:rPr>
          <w:rFonts w:ascii="Times New Roman" w:cs="Times New Roman" w:eastAsia="Times New Roman" w:hAnsi="Times New Roman"/>
          <w:sz w:val="16"/>
          <w:szCs w:val="16"/>
          <w:color w:val="auto"/>
        </w:rPr>
        <w:t>payment channels. Our solution is designed to support a</w:t>
      </w:r>
    </w:p>
    <w:p>
      <w:pPr>
        <w:spacing w:after="0" w:line="203" w:lineRule="auto"/>
        <w:rPr>
          <w:sz w:val="20"/>
          <w:szCs w:val="20"/>
          <w:color w:val="auto"/>
        </w:rPr>
      </w:pPr>
      <w:r>
        <w:rPr>
          <w:rFonts w:ascii="Times New Roman" w:cs="Times New Roman" w:eastAsia="Times New Roman" w:hAnsi="Times New Roman"/>
          <w:sz w:val="16"/>
          <w:szCs w:val="16"/>
          <w:color w:val="auto"/>
        </w:rPr>
        <w:t>range of client needs, from smaller financial institutions</w:t>
      </w:r>
    </w:p>
    <w:p>
      <w:pPr>
        <w:spacing w:after="0" w:line="204" w:lineRule="auto"/>
        <w:rPr>
          <w:sz w:val="20"/>
          <w:szCs w:val="20"/>
          <w:color w:val="auto"/>
        </w:rPr>
      </w:pPr>
      <w:r>
        <w:rPr>
          <w:rFonts w:ascii="Times New Roman" w:cs="Times New Roman" w:eastAsia="Times New Roman" w:hAnsi="Times New Roman"/>
          <w:sz w:val="16"/>
          <w:szCs w:val="16"/>
          <w:color w:val="auto"/>
        </w:rPr>
        <w:t>using integrated applications to larger institutions accessing</w:t>
      </w:r>
    </w:p>
    <w:p>
      <w:pPr>
        <w:spacing w:after="0" w:line="203" w:lineRule="auto"/>
        <w:rPr>
          <w:sz w:val="20"/>
          <w:szCs w:val="20"/>
          <w:color w:val="auto"/>
        </w:rPr>
      </w:pPr>
      <w:r>
        <w:rPr>
          <w:rFonts w:ascii="Times New Roman" w:cs="Times New Roman" w:eastAsia="Times New Roman" w:hAnsi="Times New Roman"/>
          <w:sz w:val="16"/>
          <w:szCs w:val="16"/>
          <w:color w:val="auto"/>
        </w:rPr>
        <w:t>specific capabilities through APIs. We continue to enhance</w:t>
      </w:r>
    </w:p>
    <w:p>
      <w:pPr>
        <w:spacing w:after="0" w:line="157" w:lineRule="exact"/>
        <w:rPr>
          <w:sz w:val="20"/>
          <w:szCs w:val="20"/>
          <w:color w:val="auto"/>
        </w:rPr>
      </w:pPr>
      <w:r>
        <w:rPr>
          <w:rFonts w:ascii="Times New Roman" w:cs="Times New Roman" w:eastAsia="Times New Roman" w:hAnsi="Times New Roman"/>
          <w:sz w:val="16"/>
          <w:szCs w:val="16"/>
          <w:color w:val="auto"/>
        </w:rPr>
        <w:t>the platform with additional automation and AI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w:t>
      </w:r>
    </w:p>
    <w:p>
      <w:pPr>
        <w:spacing w:after="0" w:line="232" w:lineRule="auto"/>
        <w:rPr>
          <w:sz w:val="20"/>
          <w:szCs w:val="20"/>
          <w:color w:val="auto"/>
        </w:rPr>
      </w:pPr>
      <w:r>
        <w:rPr>
          <w:rFonts w:ascii="Times New Roman" w:cs="Times New Roman" w:eastAsia="Times New Roman" w:hAnsi="Times New Roman"/>
          <w:sz w:val="14"/>
          <w:szCs w:val="14"/>
          <w:color w:val="auto"/>
        </w:rPr>
        <w:t>capabilities, including agentic AI, to help support operational</w:t>
      </w:r>
    </w:p>
    <w:p>
      <w:pPr>
        <w:spacing w:after="0" w:line="204" w:lineRule="auto"/>
        <w:rPr>
          <w:sz w:val="20"/>
          <w:szCs w:val="20"/>
          <w:color w:val="auto"/>
        </w:rPr>
      </w:pPr>
      <w:r>
        <w:rPr>
          <w:rFonts w:ascii="Times New Roman" w:cs="Times New Roman" w:eastAsia="Times New Roman" w:hAnsi="Times New Roman"/>
          <w:sz w:val="16"/>
          <w:szCs w:val="16"/>
          <w:color w:val="auto"/>
        </w:rPr>
        <w:t>efficiency and evolving regulatory and financial crime</w:t>
      </w:r>
    </w:p>
    <w:p>
      <w:pPr>
        <w:spacing w:after="0" w:line="203" w:lineRule="auto"/>
        <w:rPr>
          <w:sz w:val="20"/>
          <w:szCs w:val="20"/>
          <w:color w:val="auto"/>
        </w:rPr>
      </w:pPr>
      <w:r>
        <w:rPr>
          <w:rFonts w:ascii="Times New Roman" w:cs="Times New Roman" w:eastAsia="Times New Roman" w:hAnsi="Times New Roman"/>
          <w:sz w:val="16"/>
          <w:szCs w:val="16"/>
          <w:color w:val="auto"/>
        </w:rPr>
        <w:t>requirements.</w:t>
      </w:r>
    </w:p>
    <w:p>
      <w:pPr>
        <w:spacing w:after="0" w:line="233" w:lineRule="auto"/>
        <w:rPr>
          <w:sz w:val="20"/>
          <w:szCs w:val="20"/>
          <w:color w:val="auto"/>
        </w:rPr>
      </w:pPr>
      <w:r>
        <w:rPr>
          <w:rFonts w:ascii="Times New Roman" w:cs="Times New Roman" w:eastAsia="Times New Roman" w:hAnsi="Times New Roman"/>
          <w:sz w:val="14"/>
          <w:szCs w:val="14"/>
          <w:color w:val="auto"/>
        </w:rPr>
        <w:t>We also continue to invest in AI to strengthen our AxiomSL</w:t>
      </w:r>
    </w:p>
    <w:p>
      <w:pPr>
        <w:spacing w:after="0" w:line="204" w:lineRule="auto"/>
        <w:rPr>
          <w:sz w:val="20"/>
          <w:szCs w:val="20"/>
          <w:color w:val="auto"/>
        </w:rPr>
      </w:pPr>
      <w:r>
        <w:rPr>
          <w:rFonts w:ascii="Times New Roman" w:cs="Times New Roman" w:eastAsia="Times New Roman" w:hAnsi="Times New Roman"/>
          <w:sz w:val="16"/>
          <w:szCs w:val="16"/>
          <w:color w:val="auto"/>
        </w:rPr>
        <w:t>and Calypso solutions. For instance, in our AxiomSL</w:t>
      </w:r>
    </w:p>
    <w:p>
      <w:pPr>
        <w:spacing w:after="0" w:line="203" w:lineRule="auto"/>
        <w:rPr>
          <w:sz w:val="20"/>
          <w:szCs w:val="20"/>
          <w:color w:val="auto"/>
        </w:rPr>
      </w:pPr>
      <w:r>
        <w:rPr>
          <w:rFonts w:ascii="Times New Roman" w:cs="Times New Roman" w:eastAsia="Times New Roman" w:hAnsi="Times New Roman"/>
          <w:sz w:val="16"/>
          <w:szCs w:val="16"/>
          <w:color w:val="auto"/>
        </w:rPr>
        <w:t>offering we are embedding advanced AI capabilities, from</w:t>
      </w:r>
    </w:p>
    <w:p>
      <w:pPr>
        <w:spacing w:after="0" w:line="204" w:lineRule="auto"/>
        <w:rPr>
          <w:sz w:val="20"/>
          <w:szCs w:val="20"/>
          <w:color w:val="auto"/>
        </w:rPr>
      </w:pPr>
      <w:r>
        <w:rPr>
          <w:rFonts w:ascii="Times New Roman" w:cs="Times New Roman" w:eastAsia="Times New Roman" w:hAnsi="Times New Roman"/>
          <w:sz w:val="16"/>
          <w:szCs w:val="16"/>
          <w:color w:val="auto"/>
        </w:rPr>
        <w:t>generative AI assistants to machine-learning analytics to</w:t>
      </w:r>
    </w:p>
    <w:p>
      <w:pPr>
        <w:spacing w:after="0" w:line="203" w:lineRule="auto"/>
        <w:rPr>
          <w:sz w:val="20"/>
          <w:szCs w:val="20"/>
          <w:color w:val="auto"/>
        </w:rPr>
      </w:pPr>
      <w:r>
        <w:rPr>
          <w:rFonts w:ascii="Times New Roman" w:cs="Times New Roman" w:eastAsia="Times New Roman" w:hAnsi="Times New Roman"/>
          <w:sz w:val="16"/>
          <w:szCs w:val="16"/>
          <w:color w:val="auto"/>
        </w:rPr>
        <w:t>enhance user productivity, predictive insights and agility</w:t>
      </w:r>
    </w:p>
    <w:p>
      <w:pPr>
        <w:spacing w:after="0" w:line="204" w:lineRule="auto"/>
        <w:rPr>
          <w:sz w:val="20"/>
          <w:szCs w:val="20"/>
          <w:color w:val="auto"/>
        </w:rPr>
      </w:pPr>
      <w:r>
        <w:rPr>
          <w:rFonts w:ascii="Times New Roman" w:cs="Times New Roman" w:eastAsia="Times New Roman" w:hAnsi="Times New Roman"/>
          <w:sz w:val="16"/>
          <w:szCs w:val="16"/>
          <w:color w:val="auto"/>
        </w:rPr>
        <w:t>when handling new regulations. We are embedding AI</w:t>
      </w:r>
    </w:p>
    <w:p>
      <w:pPr>
        <w:spacing w:after="0" w:line="203" w:lineRule="auto"/>
        <w:rPr>
          <w:sz w:val="20"/>
          <w:szCs w:val="20"/>
          <w:color w:val="auto"/>
        </w:rPr>
      </w:pPr>
      <w:r>
        <w:rPr>
          <w:rFonts w:ascii="Times New Roman" w:cs="Times New Roman" w:eastAsia="Times New Roman" w:hAnsi="Times New Roman"/>
          <w:sz w:val="16"/>
          <w:szCs w:val="16"/>
          <w:color w:val="auto"/>
        </w:rPr>
        <w:t>capabilities into our Calypso solution that are expected to</w:t>
      </w:r>
    </w:p>
    <w:p>
      <w:pPr>
        <w:spacing w:after="0" w:line="204" w:lineRule="auto"/>
        <w:rPr>
          <w:sz w:val="20"/>
          <w:szCs w:val="20"/>
          <w:color w:val="auto"/>
        </w:rPr>
      </w:pPr>
      <w:r>
        <w:rPr>
          <w:rFonts w:ascii="Times New Roman" w:cs="Times New Roman" w:eastAsia="Times New Roman" w:hAnsi="Times New Roman"/>
          <w:sz w:val="16"/>
          <w:szCs w:val="16"/>
          <w:color w:val="auto"/>
        </w:rPr>
        <w:t>directly address the operational and analytical demands of</w:t>
      </w:r>
    </w:p>
    <w:p>
      <w:pPr>
        <w:spacing w:after="0" w:line="204" w:lineRule="auto"/>
        <w:rPr>
          <w:sz w:val="20"/>
          <w:szCs w:val="20"/>
          <w:color w:val="auto"/>
        </w:rPr>
      </w:pPr>
      <w:r>
        <w:rPr>
          <w:rFonts w:ascii="Times New Roman" w:cs="Times New Roman" w:eastAsia="Times New Roman" w:hAnsi="Times New Roman"/>
          <w:sz w:val="16"/>
          <w:szCs w:val="16"/>
          <w:color w:val="auto"/>
        </w:rPr>
        <w:t>modern financial institutions.</w:t>
      </w:r>
    </w:p>
    <w:p>
      <w:pPr>
        <w:spacing w:after="0" w:line="203" w:lineRule="auto"/>
        <w:rPr>
          <w:sz w:val="20"/>
          <w:szCs w:val="20"/>
          <w:color w:val="auto"/>
        </w:rPr>
      </w:pPr>
      <w:r>
        <w:rPr>
          <w:rFonts w:ascii="Times New Roman" w:cs="Times New Roman" w:eastAsia="Times New Roman" w:hAnsi="Times New Roman"/>
          <w:sz w:val="16"/>
          <w:szCs w:val="16"/>
          <w:color w:val="auto"/>
        </w:rPr>
        <w:t>In our market surveillance business, we currently use and</w:t>
      </w:r>
    </w:p>
    <w:p>
      <w:pPr>
        <w:spacing w:after="0" w:line="157" w:lineRule="exact"/>
        <w:rPr>
          <w:sz w:val="20"/>
          <w:szCs w:val="20"/>
          <w:color w:val="auto"/>
        </w:rPr>
      </w:pPr>
      <w:r>
        <w:rPr>
          <w:rFonts w:ascii="Times New Roman" w:cs="Times New Roman" w:eastAsia="Times New Roman" w:hAnsi="Times New Roman"/>
          <w:sz w:val="16"/>
          <w:szCs w:val="16"/>
          <w:color w:val="auto"/>
        </w:rPr>
        <w:t>continue to advance our AI features, machine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learning</w:t>
      </w:r>
    </w:p>
    <w:p>
      <w:pPr>
        <w:spacing w:after="0" w:line="203" w:lineRule="auto"/>
        <w:rPr>
          <w:sz w:val="20"/>
          <w:szCs w:val="20"/>
          <w:color w:val="auto"/>
        </w:rPr>
      </w:pPr>
      <w:r>
        <w:rPr>
          <w:rFonts w:ascii="Times New Roman" w:cs="Times New Roman" w:eastAsia="Times New Roman" w:hAnsi="Times New Roman"/>
          <w:sz w:val="16"/>
          <w:szCs w:val="16"/>
          <w:color w:val="auto"/>
        </w:rPr>
        <w:t>techniques and extensive market data to identify irregular</w:t>
      </w:r>
    </w:p>
    <w:p>
      <w:pPr>
        <w:spacing w:after="0" w:line="204" w:lineRule="auto"/>
        <w:rPr>
          <w:sz w:val="20"/>
          <w:szCs w:val="20"/>
          <w:color w:val="auto"/>
        </w:rPr>
      </w:pPr>
      <w:r>
        <w:rPr>
          <w:rFonts w:ascii="Times New Roman" w:cs="Times New Roman" w:eastAsia="Times New Roman" w:hAnsi="Times New Roman"/>
          <w:sz w:val="16"/>
          <w:szCs w:val="16"/>
          <w:color w:val="auto"/>
        </w:rPr>
        <w:t>trading behaviors and potential market abuse across global</w:t>
      </w:r>
    </w:p>
    <w:p>
      <w:pPr>
        <w:spacing w:after="0" w:line="232" w:lineRule="auto"/>
        <w:rPr>
          <w:sz w:val="20"/>
          <w:szCs w:val="20"/>
          <w:color w:val="auto"/>
        </w:rPr>
      </w:pPr>
      <w:r>
        <w:rPr>
          <w:rFonts w:ascii="Times New Roman" w:cs="Times New Roman" w:eastAsia="Times New Roman" w:hAnsi="Times New Roman"/>
          <w:sz w:val="14"/>
          <w:szCs w:val="14"/>
          <w:color w:val="auto"/>
        </w:rPr>
        <w:t>asset classes. New enhancements include generative AI tools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are designed to streamline alert triage and investigative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w:t>
      </w:r>
    </w:p>
    <w:p>
      <w:pPr>
        <w:spacing w:after="0" w:line="203" w:lineRule="auto"/>
        <w:rPr>
          <w:sz w:val="20"/>
          <w:szCs w:val="20"/>
          <w:color w:val="auto"/>
        </w:rPr>
      </w:pPr>
      <w:r>
        <w:rPr>
          <w:rFonts w:ascii="Times New Roman" w:cs="Times New Roman" w:eastAsia="Times New Roman" w:hAnsi="Times New Roman"/>
          <w:sz w:val="16"/>
          <w:szCs w:val="16"/>
          <w:color w:val="auto"/>
        </w:rPr>
        <w:t>To facilitate the exchange migration to AWS, Nasdaq</w:t>
      </w:r>
    </w:p>
    <w:p>
      <w:pPr>
        <w:spacing w:after="0"/>
        <w:rPr>
          <w:sz w:val="20"/>
          <w:szCs w:val="20"/>
          <w:color w:val="auto"/>
        </w:rPr>
      </w:pPr>
      <w:r>
        <w:rPr>
          <w:rFonts w:ascii="Times New Roman" w:cs="Times New Roman" w:eastAsia="Times New Roman" w:hAnsi="Times New Roman"/>
          <w:sz w:val="14"/>
          <w:szCs w:val="14"/>
          <w:color w:val="auto"/>
        </w:rPr>
        <w:t>continues to leverage its Fusion technology platform. Fusion</w:t>
      </w:r>
    </w:p>
    <w:p>
      <w:pPr>
        <w:sectPr>
          <w:pgSz w:w="11900" w:h="16840" w:orient="portrait"/>
          <w:cols w:equalWidth="0" w:num="1">
            <w:col w:w="9400"/>
          </w:cols>
          <w:pgMar w:left="1060" w:top="547" w:right="1440" w:bottom="91"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positions Nasdaq’s North American and European</w:t>
      </w:r>
    </w:p>
    <w:p>
      <w:pPr>
        <w:spacing w:after="0" w:line="232" w:lineRule="auto"/>
        <w:rPr>
          <w:sz w:val="20"/>
          <w:szCs w:val="20"/>
          <w:color w:val="auto"/>
        </w:rPr>
      </w:pPr>
      <w:r>
        <w:rPr>
          <w:rFonts w:ascii="Times New Roman" w:cs="Times New Roman" w:eastAsia="Times New Roman" w:hAnsi="Times New Roman"/>
          <w:sz w:val="14"/>
          <w:szCs w:val="14"/>
          <w:color w:val="auto"/>
        </w:rPr>
        <w:t>derivatives markets to manage, operate and deploy a common</w:t>
      </w:r>
    </w:p>
    <w:p>
      <w:pPr>
        <w:spacing w:after="0" w:line="188" w:lineRule="auto"/>
        <w:rPr>
          <w:sz w:val="20"/>
          <w:szCs w:val="20"/>
          <w:color w:val="auto"/>
        </w:rPr>
      </w:pPr>
      <w:r>
        <w:rPr>
          <w:rFonts w:ascii="Times New Roman" w:cs="Times New Roman" w:eastAsia="Times New Roman" w:hAnsi="Times New Roman"/>
          <w:sz w:val="16"/>
          <w:szCs w:val="16"/>
          <w:color w:val="auto"/>
        </w:rPr>
        <w:t>platform that can be used across our nine Nasdaq derivative</w:t>
      </w:r>
    </w:p>
    <w:p>
      <w:pPr>
        <w:spacing w:after="0" w:line="208" w:lineRule="auto"/>
        <w:rPr>
          <w:sz w:val="20"/>
          <w:szCs w:val="20"/>
          <w:color w:val="auto"/>
        </w:rPr>
      </w:pPr>
      <w:r>
        <w:rPr>
          <w:rFonts w:ascii="Times New Roman" w:cs="Times New Roman" w:eastAsia="Times New Roman" w:hAnsi="Times New Roman"/>
          <w:sz w:val="16"/>
          <w:szCs w:val="16"/>
          <w:color w:val="auto"/>
        </w:rPr>
        <w:t>markets, while enabling our markets for cloud deployment</w:t>
      </w:r>
      <w:r>
        <w:rPr>
          <w:rFonts w:ascii="Arial" w:cs="Arial" w:eastAsia="Arial" w:hAnsi="Arial"/>
          <w:sz w:val="18"/>
          <w:szCs w:val="18"/>
          <w:color w:val="auto"/>
        </w:rPr>
        <w:t>.</w:t>
      </w:r>
    </w:p>
    <w:p>
      <w:pPr>
        <w:spacing w:after="0" w:line="203" w:lineRule="auto"/>
        <w:rPr>
          <w:sz w:val="20"/>
          <w:szCs w:val="20"/>
          <w:color w:val="auto"/>
        </w:rPr>
      </w:pPr>
      <w:r>
        <w:rPr>
          <w:rFonts w:ascii="Times New Roman" w:cs="Times New Roman" w:eastAsia="Times New Roman" w:hAnsi="Times New Roman"/>
          <w:sz w:val="16"/>
          <w:szCs w:val="16"/>
          <w:color w:val="auto"/>
        </w:rPr>
        <w:t>We also expect to continue to leverage the cloud-based</w:t>
      </w:r>
    </w:p>
    <w:p>
      <w:pPr>
        <w:spacing w:after="0" w:line="204" w:lineRule="auto"/>
        <w:rPr>
          <w:sz w:val="20"/>
          <w:szCs w:val="20"/>
          <w:color w:val="auto"/>
        </w:rPr>
      </w:pPr>
      <w:r>
        <w:rPr>
          <w:rFonts w:ascii="Times New Roman" w:cs="Times New Roman" w:eastAsia="Times New Roman" w:hAnsi="Times New Roman"/>
          <w:sz w:val="16"/>
          <w:szCs w:val="16"/>
          <w:color w:val="auto"/>
        </w:rPr>
        <w:t>infrastructure for our market technology clients, assisting</w:t>
      </w:r>
    </w:p>
    <w:p>
      <w:pPr>
        <w:spacing w:after="0" w:line="204" w:lineRule="auto"/>
        <w:rPr>
          <w:sz w:val="20"/>
          <w:szCs w:val="20"/>
          <w:color w:val="auto"/>
        </w:rPr>
      </w:pPr>
      <w:r>
        <w:rPr>
          <w:rFonts w:ascii="Times New Roman" w:cs="Times New Roman" w:eastAsia="Times New Roman" w:hAnsi="Times New Roman"/>
          <w:sz w:val="16"/>
          <w:szCs w:val="16"/>
          <w:color w:val="auto"/>
        </w:rPr>
        <w:t>such clients in developing their own platforms and</w:t>
      </w:r>
    </w:p>
    <w:p>
      <w:pPr>
        <w:spacing w:after="0" w:line="203" w:lineRule="auto"/>
        <w:rPr>
          <w:sz w:val="20"/>
          <w:szCs w:val="20"/>
          <w:color w:val="auto"/>
        </w:rPr>
      </w:pPr>
      <w:r>
        <w:rPr>
          <w:rFonts w:ascii="Times New Roman" w:cs="Times New Roman" w:eastAsia="Times New Roman" w:hAnsi="Times New Roman"/>
          <w:sz w:val="16"/>
          <w:szCs w:val="16"/>
          <w:color w:val="auto"/>
        </w:rPr>
        <w:t>customizing their offerings for their local, rapidly changing</w:t>
      </w:r>
    </w:p>
    <w:p>
      <w:pPr>
        <w:spacing w:after="0" w:line="204" w:lineRule="auto"/>
        <w:rPr>
          <w:sz w:val="20"/>
          <w:szCs w:val="20"/>
          <w:color w:val="auto"/>
        </w:rPr>
      </w:pPr>
      <w:r>
        <w:rPr>
          <w:rFonts w:ascii="Times New Roman" w:cs="Times New Roman" w:eastAsia="Times New Roman" w:hAnsi="Times New Roman"/>
          <w:sz w:val="16"/>
          <w:szCs w:val="16"/>
          <w:color w:val="auto"/>
        </w:rPr>
        <w:t>industry dynamics. In 2025, we advanced our partnership</w:t>
      </w:r>
    </w:p>
    <w:p>
      <w:pPr>
        <w:spacing w:after="0" w:line="203" w:lineRule="auto"/>
        <w:rPr>
          <w:sz w:val="20"/>
          <w:szCs w:val="20"/>
          <w:color w:val="auto"/>
        </w:rPr>
      </w:pPr>
      <w:r>
        <w:rPr>
          <w:rFonts w:ascii="Times New Roman" w:cs="Times New Roman" w:eastAsia="Times New Roman" w:hAnsi="Times New Roman"/>
          <w:sz w:val="16"/>
          <w:szCs w:val="16"/>
          <w:color w:val="auto"/>
        </w:rPr>
        <w:t>with AWS by introducing a new suite of solutions that are</w:t>
      </w:r>
    </w:p>
    <w:p>
      <w:pPr>
        <w:spacing w:after="0" w:line="204" w:lineRule="auto"/>
        <w:rPr>
          <w:sz w:val="20"/>
          <w:szCs w:val="20"/>
          <w:color w:val="auto"/>
        </w:rPr>
      </w:pPr>
      <w:r>
        <w:rPr>
          <w:rFonts w:ascii="Times New Roman" w:cs="Times New Roman" w:eastAsia="Times New Roman" w:hAnsi="Times New Roman"/>
          <w:sz w:val="16"/>
          <w:szCs w:val="16"/>
          <w:color w:val="auto"/>
        </w:rPr>
        <w:t>designed to empower market operators to enhance liquidity,</w:t>
      </w:r>
    </w:p>
    <w:p>
      <w:pPr>
        <w:spacing w:after="0" w:line="232" w:lineRule="auto"/>
        <w:rPr>
          <w:sz w:val="20"/>
          <w:szCs w:val="20"/>
          <w:color w:val="auto"/>
        </w:rPr>
      </w:pPr>
      <w:r>
        <w:rPr>
          <w:rFonts w:ascii="Times New Roman" w:cs="Times New Roman" w:eastAsia="Times New Roman" w:hAnsi="Times New Roman"/>
          <w:sz w:val="14"/>
          <w:szCs w:val="14"/>
          <w:color w:val="auto"/>
        </w:rPr>
        <w:t>facilitate capital flows, and drive growth, while upholding the</w:t>
      </w:r>
    </w:p>
    <w:p>
      <w:pPr>
        <w:spacing w:after="0" w:line="204" w:lineRule="auto"/>
        <w:rPr>
          <w:sz w:val="20"/>
          <w:szCs w:val="20"/>
          <w:color w:val="auto"/>
        </w:rPr>
      </w:pPr>
      <w:r>
        <w:rPr>
          <w:rFonts w:ascii="Times New Roman" w:cs="Times New Roman" w:eastAsia="Times New Roman" w:hAnsi="Times New Roman"/>
          <w:sz w:val="16"/>
          <w:szCs w:val="16"/>
          <w:color w:val="auto"/>
        </w:rPr>
        <w:t>highest level of performance, security and resilience. The</w:t>
      </w:r>
    </w:p>
    <w:p>
      <w:pPr>
        <w:spacing w:after="0" w:line="203" w:lineRule="auto"/>
        <w:rPr>
          <w:sz w:val="20"/>
          <w:szCs w:val="20"/>
          <w:color w:val="auto"/>
        </w:rPr>
      </w:pPr>
      <w:r>
        <w:rPr>
          <w:rFonts w:ascii="Times New Roman" w:cs="Times New Roman" w:eastAsia="Times New Roman" w:hAnsi="Times New Roman"/>
          <w:sz w:val="16"/>
          <w:szCs w:val="16"/>
          <w:color w:val="auto"/>
        </w:rPr>
        <w:t>new blueprint includes infrastructure that places AWS</w:t>
      </w:r>
    </w:p>
    <w:p>
      <w:pPr>
        <w:spacing w:after="0" w:line="233" w:lineRule="auto"/>
        <w:rPr>
          <w:sz w:val="20"/>
          <w:szCs w:val="20"/>
          <w:color w:val="auto"/>
        </w:rPr>
      </w:pPr>
      <w:r>
        <w:rPr>
          <w:rFonts w:ascii="Times New Roman" w:cs="Times New Roman" w:eastAsia="Times New Roman" w:hAnsi="Times New Roman"/>
          <w:sz w:val="14"/>
          <w:szCs w:val="14"/>
          <w:color w:val="auto"/>
        </w:rPr>
        <w:t>compute services in close proximity to exchange and trading</w:t>
      </w:r>
    </w:p>
    <w:p>
      <w:pPr>
        <w:spacing w:after="0" w:line="233" w:lineRule="auto"/>
        <w:rPr>
          <w:sz w:val="20"/>
          <w:szCs w:val="20"/>
          <w:color w:val="auto"/>
        </w:rPr>
      </w:pPr>
      <w:r>
        <w:rPr>
          <w:rFonts w:ascii="Times New Roman" w:cs="Times New Roman" w:eastAsia="Times New Roman" w:hAnsi="Times New Roman"/>
          <w:sz w:val="14"/>
          <w:szCs w:val="14"/>
          <w:color w:val="auto"/>
        </w:rPr>
        <w:t>systems, with connectivity to AWS Global Regions through</w:t>
      </w:r>
    </w:p>
    <w:p>
      <w:pPr>
        <w:spacing w:after="0" w:line="232" w:lineRule="auto"/>
        <w:rPr>
          <w:sz w:val="20"/>
          <w:szCs w:val="20"/>
          <w:color w:val="auto"/>
        </w:rPr>
      </w:pPr>
      <w:r>
        <w:rPr>
          <w:rFonts w:ascii="Times New Roman" w:cs="Times New Roman" w:eastAsia="Times New Roman" w:hAnsi="Times New Roman"/>
          <w:sz w:val="14"/>
          <w:szCs w:val="14"/>
          <w:color w:val="auto"/>
        </w:rPr>
        <w:t>AWS Direct Connect and the AWS global network. We also</w:t>
      </w:r>
    </w:p>
    <w:p>
      <w:pPr>
        <w:spacing w:after="0" w:line="204" w:lineRule="auto"/>
        <w:rPr>
          <w:sz w:val="20"/>
          <w:szCs w:val="20"/>
          <w:color w:val="auto"/>
        </w:rPr>
      </w:pPr>
      <w:r>
        <w:rPr>
          <w:rFonts w:ascii="Times New Roman" w:cs="Times New Roman" w:eastAsia="Times New Roman" w:hAnsi="Times New Roman"/>
          <w:sz w:val="16"/>
          <w:szCs w:val="16"/>
          <w:color w:val="auto"/>
        </w:rPr>
        <w:t>introduced, through Nasdaq Eqlipse, an updated suite of</w:t>
      </w:r>
    </w:p>
    <w:p>
      <w:pPr>
        <w:spacing w:after="0" w:line="156" w:lineRule="exact"/>
        <w:rPr>
          <w:sz w:val="20"/>
          <w:szCs w:val="20"/>
          <w:color w:val="auto"/>
        </w:rPr>
      </w:pPr>
      <w:r>
        <w:rPr>
          <w:rFonts w:ascii="Times New Roman" w:cs="Times New Roman" w:eastAsia="Times New Roman" w:hAnsi="Times New Roman"/>
          <w:sz w:val="16"/>
          <w:szCs w:val="16"/>
          <w:color w:val="auto"/>
        </w:rPr>
        <w:t>cloud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ready market technology solutions with standardized</w:t>
      </w:r>
    </w:p>
    <w:p>
      <w:pPr>
        <w:spacing w:after="0" w:line="204" w:lineRule="auto"/>
        <w:rPr>
          <w:sz w:val="20"/>
          <w:szCs w:val="20"/>
          <w:color w:val="auto"/>
        </w:rPr>
      </w:pPr>
      <w:r>
        <w:rPr>
          <w:rFonts w:ascii="Times New Roman" w:cs="Times New Roman" w:eastAsia="Times New Roman" w:hAnsi="Times New Roman"/>
          <w:sz w:val="16"/>
          <w:szCs w:val="16"/>
          <w:color w:val="auto"/>
        </w:rPr>
        <w:t>APIs with proven interoperability across the full trade</w:t>
      </w:r>
    </w:p>
    <w:p>
      <w:pPr>
        <w:spacing w:after="0" w:line="204" w:lineRule="auto"/>
        <w:rPr>
          <w:sz w:val="20"/>
          <w:szCs w:val="20"/>
          <w:color w:val="auto"/>
        </w:rPr>
      </w:pPr>
      <w:r>
        <w:rPr>
          <w:rFonts w:ascii="Times New Roman" w:cs="Times New Roman" w:eastAsia="Times New Roman" w:hAnsi="Times New Roman"/>
          <w:sz w:val="16"/>
          <w:szCs w:val="16"/>
          <w:color w:val="auto"/>
        </w:rPr>
        <w:t>lifecycle. Nasdaq Eqlipse will also include a new solution,</w:t>
      </w:r>
    </w:p>
    <w:p>
      <w:pPr>
        <w:spacing w:after="0" w:line="203" w:lineRule="auto"/>
        <w:rPr>
          <w:sz w:val="20"/>
          <w:szCs w:val="20"/>
          <w:color w:val="auto"/>
        </w:rPr>
      </w:pPr>
      <w:r>
        <w:rPr>
          <w:rFonts w:ascii="Times New Roman" w:cs="Times New Roman" w:eastAsia="Times New Roman" w:hAnsi="Times New Roman"/>
          <w:sz w:val="16"/>
          <w:szCs w:val="16"/>
          <w:color w:val="auto"/>
        </w:rPr>
        <w:t>Nasdaq Eqlipse Intelligence, that includes enhanced data</w:t>
      </w:r>
    </w:p>
    <w:p>
      <w:pPr>
        <w:spacing w:after="0" w:line="204" w:lineRule="auto"/>
        <w:rPr>
          <w:sz w:val="20"/>
          <w:szCs w:val="20"/>
          <w:color w:val="auto"/>
        </w:rPr>
      </w:pPr>
      <w:r>
        <w:rPr>
          <w:rFonts w:ascii="Times New Roman" w:cs="Times New Roman" w:eastAsia="Times New Roman" w:hAnsi="Times New Roman"/>
          <w:sz w:val="16"/>
          <w:szCs w:val="16"/>
          <w:color w:val="auto"/>
        </w:rPr>
        <w:t>management, analytics and reporting capabilities that are</w:t>
      </w:r>
    </w:p>
    <w:p>
      <w:pPr>
        <w:spacing w:after="0" w:line="203" w:lineRule="auto"/>
        <w:rPr>
          <w:sz w:val="20"/>
          <w:szCs w:val="20"/>
          <w:color w:val="auto"/>
        </w:rPr>
      </w:pPr>
      <w:r>
        <w:rPr>
          <w:rFonts w:ascii="Times New Roman" w:cs="Times New Roman" w:eastAsia="Times New Roman" w:hAnsi="Times New Roman"/>
          <w:sz w:val="16"/>
          <w:szCs w:val="16"/>
          <w:color w:val="auto"/>
        </w:rPr>
        <w:t>specific to market operators’ workflows, and that are</w:t>
      </w:r>
    </w:p>
    <w:p>
      <w:pPr>
        <w:spacing w:after="0" w:line="204" w:lineRule="auto"/>
        <w:rPr>
          <w:sz w:val="20"/>
          <w:szCs w:val="20"/>
          <w:color w:val="auto"/>
        </w:rPr>
      </w:pPr>
      <w:r>
        <w:rPr>
          <w:rFonts w:ascii="Times New Roman" w:cs="Times New Roman" w:eastAsia="Times New Roman" w:hAnsi="Times New Roman"/>
          <w:sz w:val="16"/>
          <w:szCs w:val="16"/>
          <w:color w:val="auto"/>
        </w:rPr>
        <w:t>intended to support a broader use of AI and transform how</w:t>
      </w:r>
    </w:p>
    <w:p>
      <w:pPr>
        <w:spacing w:after="0" w:line="203" w:lineRule="auto"/>
        <w:rPr>
          <w:sz w:val="20"/>
          <w:szCs w:val="20"/>
          <w:color w:val="auto"/>
        </w:rPr>
      </w:pPr>
      <w:r>
        <w:rPr>
          <w:rFonts w:ascii="Times New Roman" w:cs="Times New Roman" w:eastAsia="Times New Roman" w:hAnsi="Times New Roman"/>
          <w:sz w:val="16"/>
          <w:szCs w:val="16"/>
          <w:color w:val="auto"/>
        </w:rPr>
        <w:t>marketplaces operate.</w:t>
      </w:r>
    </w:p>
    <w:p>
      <w:pPr>
        <w:spacing w:after="0" w:line="204" w:lineRule="auto"/>
        <w:rPr>
          <w:sz w:val="20"/>
          <w:szCs w:val="20"/>
          <w:color w:val="auto"/>
        </w:rPr>
      </w:pPr>
      <w:r>
        <w:rPr>
          <w:rFonts w:ascii="Times New Roman" w:cs="Times New Roman" w:eastAsia="Times New Roman" w:hAnsi="Times New Roman"/>
          <w:sz w:val="16"/>
          <w:szCs w:val="16"/>
          <w:color w:val="auto"/>
        </w:rPr>
        <w:t>Additionally, we completed another expansion of our</w:t>
      </w:r>
    </w:p>
    <w:p>
      <w:pPr>
        <w:spacing w:after="0" w:line="203" w:lineRule="auto"/>
        <w:rPr>
          <w:sz w:val="20"/>
          <w:szCs w:val="20"/>
          <w:color w:val="auto"/>
        </w:rPr>
      </w:pPr>
      <w:r>
        <w:rPr>
          <w:rFonts w:ascii="Times New Roman" w:cs="Times New Roman" w:eastAsia="Times New Roman" w:hAnsi="Times New Roman"/>
          <w:sz w:val="16"/>
          <w:szCs w:val="16"/>
          <w:color w:val="auto"/>
        </w:rPr>
        <w:t>existing colocation facility to meet the growing demand of</w:t>
      </w:r>
    </w:p>
    <w:p>
      <w:pPr>
        <w:spacing w:after="0" w:line="233" w:lineRule="auto"/>
        <w:rPr>
          <w:sz w:val="20"/>
          <w:szCs w:val="20"/>
          <w:color w:val="auto"/>
        </w:rPr>
      </w:pPr>
      <w:r>
        <w:rPr>
          <w:rFonts w:ascii="Times New Roman" w:cs="Times New Roman" w:eastAsia="Times New Roman" w:hAnsi="Times New Roman"/>
          <w:sz w:val="14"/>
          <w:szCs w:val="14"/>
          <w:color w:val="auto"/>
        </w:rPr>
        <w:t>market participants that seek proximity to the Nasdaq trading</w:t>
      </w:r>
    </w:p>
    <w:p>
      <w:pPr>
        <w:spacing w:after="0" w:line="204" w:lineRule="auto"/>
        <w:rPr>
          <w:sz w:val="20"/>
          <w:szCs w:val="20"/>
          <w:color w:val="auto"/>
        </w:rPr>
      </w:pPr>
      <w:r>
        <w:rPr>
          <w:rFonts w:ascii="Times New Roman" w:cs="Times New Roman" w:eastAsia="Times New Roman" w:hAnsi="Times New Roman"/>
          <w:sz w:val="16"/>
          <w:szCs w:val="16"/>
          <w:color w:val="auto"/>
        </w:rPr>
        <w:t>systems. Our expanded and enhanced facility is designed to</w:t>
      </w:r>
    </w:p>
    <w:p>
      <w:pPr>
        <w:spacing w:after="0" w:line="203" w:lineRule="auto"/>
        <w:rPr>
          <w:sz w:val="20"/>
          <w:szCs w:val="20"/>
          <w:color w:val="auto"/>
        </w:rPr>
      </w:pPr>
      <w:r>
        <w:rPr>
          <w:rFonts w:ascii="Times New Roman" w:cs="Times New Roman" w:eastAsia="Times New Roman" w:hAnsi="Times New Roman"/>
          <w:sz w:val="16"/>
          <w:szCs w:val="16"/>
          <w:color w:val="auto"/>
        </w:rPr>
        <w:t>provide the optimal environment for the next generation of</w:t>
      </w:r>
    </w:p>
    <w:p>
      <w:pPr>
        <w:spacing w:after="0" w:line="233" w:lineRule="auto"/>
        <w:rPr>
          <w:sz w:val="20"/>
          <w:szCs w:val="20"/>
          <w:color w:val="auto"/>
        </w:rPr>
      </w:pPr>
      <w:r>
        <w:rPr>
          <w:rFonts w:ascii="Times New Roman" w:cs="Times New Roman" w:eastAsia="Times New Roman" w:hAnsi="Times New Roman"/>
          <w:sz w:val="14"/>
          <w:szCs w:val="14"/>
          <w:color w:val="auto"/>
        </w:rPr>
        <w:t>compute workloads and offer clients access to a wider range</w:t>
      </w:r>
    </w:p>
    <w:p>
      <w:pPr>
        <w:spacing w:after="0" w:line="203" w:lineRule="auto"/>
        <w:rPr>
          <w:sz w:val="20"/>
          <w:szCs w:val="20"/>
          <w:color w:val="auto"/>
        </w:rPr>
      </w:pPr>
      <w:r>
        <w:rPr>
          <w:rFonts w:ascii="Times New Roman" w:cs="Times New Roman" w:eastAsia="Times New Roman" w:hAnsi="Times New Roman"/>
          <w:sz w:val="16"/>
          <w:szCs w:val="16"/>
          <w:color w:val="auto"/>
        </w:rPr>
        <w:t>of services and capabilities including liquid cooling.</w:t>
      </w:r>
    </w:p>
    <w:p>
      <w:pPr>
        <w:spacing w:after="0" w:line="204" w:lineRule="auto"/>
        <w:rPr>
          <w:sz w:val="20"/>
          <w:szCs w:val="20"/>
          <w:color w:val="auto"/>
        </w:rPr>
      </w:pPr>
      <w:r>
        <w:rPr>
          <w:rFonts w:ascii="Times New Roman" w:cs="Times New Roman" w:eastAsia="Times New Roman" w:hAnsi="Times New Roman"/>
          <w:sz w:val="16"/>
          <w:szCs w:val="16"/>
          <w:color w:val="auto"/>
        </w:rPr>
        <w:t>In 2025, we also expanded our strategic technology</w:t>
      </w:r>
    </w:p>
    <w:p>
      <w:pPr>
        <w:spacing w:after="0" w:line="204" w:lineRule="auto"/>
        <w:rPr>
          <w:sz w:val="20"/>
          <w:szCs w:val="20"/>
          <w:color w:val="auto"/>
        </w:rPr>
      </w:pPr>
      <w:r>
        <w:rPr>
          <w:rFonts w:ascii="Times New Roman" w:cs="Times New Roman" w:eastAsia="Times New Roman" w:hAnsi="Times New Roman"/>
          <w:sz w:val="16"/>
          <w:szCs w:val="16"/>
          <w:color w:val="auto"/>
        </w:rPr>
        <w:t>partnership with AWS by providing financial institutions</w:t>
      </w:r>
    </w:p>
    <w:p>
      <w:pPr>
        <w:spacing w:after="0" w:line="232" w:lineRule="auto"/>
        <w:rPr>
          <w:sz w:val="20"/>
          <w:szCs w:val="20"/>
          <w:color w:val="auto"/>
        </w:rPr>
      </w:pPr>
      <w:r>
        <w:rPr>
          <w:rFonts w:ascii="Times New Roman" w:cs="Times New Roman" w:eastAsia="Times New Roman" w:hAnsi="Times New Roman"/>
          <w:sz w:val="14"/>
          <w:szCs w:val="14"/>
          <w:color w:val="auto"/>
        </w:rPr>
        <w:t>with the option to deploy Nasdaq Calypso as a fully managed</w:t>
      </w:r>
    </w:p>
    <w:p>
      <w:pPr>
        <w:spacing w:after="0" w:line="233" w:lineRule="auto"/>
        <w:rPr>
          <w:sz w:val="20"/>
          <w:szCs w:val="20"/>
          <w:color w:val="auto"/>
        </w:rPr>
      </w:pPr>
      <w:r>
        <w:rPr>
          <w:rFonts w:ascii="Times New Roman" w:cs="Times New Roman" w:eastAsia="Times New Roman" w:hAnsi="Times New Roman"/>
          <w:sz w:val="14"/>
          <w:szCs w:val="14"/>
          <w:color w:val="auto"/>
        </w:rPr>
        <w:t>service on AWS. This deployment model allows institutions</w:t>
      </w:r>
    </w:p>
    <w:p>
      <w:pPr>
        <w:spacing w:after="0" w:line="203" w:lineRule="auto"/>
        <w:rPr>
          <w:sz w:val="20"/>
          <w:szCs w:val="20"/>
          <w:color w:val="auto"/>
        </w:rPr>
      </w:pPr>
      <w:r>
        <w:rPr>
          <w:rFonts w:ascii="Times New Roman" w:cs="Times New Roman" w:eastAsia="Times New Roman" w:hAnsi="Times New Roman"/>
          <w:sz w:val="16"/>
          <w:szCs w:val="16"/>
          <w:color w:val="auto"/>
        </w:rPr>
        <w:t>to operate Calypso without maintaining underlying</w:t>
      </w:r>
    </w:p>
    <w:p>
      <w:pPr>
        <w:spacing w:after="0" w:line="233" w:lineRule="auto"/>
        <w:rPr>
          <w:sz w:val="20"/>
          <w:szCs w:val="20"/>
          <w:color w:val="auto"/>
        </w:rPr>
      </w:pPr>
      <w:r>
        <w:rPr>
          <w:rFonts w:ascii="Times New Roman" w:cs="Times New Roman" w:eastAsia="Times New Roman" w:hAnsi="Times New Roman"/>
          <w:sz w:val="14"/>
          <w:szCs w:val="14"/>
          <w:color w:val="auto"/>
        </w:rPr>
        <w:t>infrastructure, supports more consistent upgrades, and offers</w:t>
      </w:r>
    </w:p>
    <w:p>
      <w:pPr>
        <w:spacing w:after="0" w:line="204" w:lineRule="auto"/>
        <w:rPr>
          <w:sz w:val="20"/>
          <w:szCs w:val="20"/>
          <w:color w:val="auto"/>
        </w:rPr>
      </w:pPr>
      <w:r>
        <w:rPr>
          <w:rFonts w:ascii="Times New Roman" w:cs="Times New Roman" w:eastAsia="Times New Roman" w:hAnsi="Times New Roman"/>
          <w:sz w:val="16"/>
          <w:szCs w:val="16"/>
          <w:color w:val="auto"/>
        </w:rPr>
        <w:t>a unified environment for trading, risk, margin, collateral</w:t>
      </w:r>
    </w:p>
    <w:p>
      <w:pPr>
        <w:spacing w:after="0" w:line="203" w:lineRule="auto"/>
        <w:rPr>
          <w:sz w:val="20"/>
          <w:szCs w:val="20"/>
          <w:color w:val="auto"/>
        </w:rPr>
      </w:pPr>
      <w:r>
        <w:rPr>
          <w:rFonts w:ascii="Times New Roman" w:cs="Times New Roman" w:eastAsia="Times New Roman" w:hAnsi="Times New Roman"/>
          <w:sz w:val="16"/>
          <w:szCs w:val="16"/>
          <w:color w:val="auto"/>
        </w:rPr>
        <w:t>management, and related data workflows. The model is</w:t>
      </w:r>
    </w:p>
    <w:p>
      <w:pPr>
        <w:spacing w:after="0" w:line="233" w:lineRule="auto"/>
        <w:rPr>
          <w:sz w:val="20"/>
          <w:szCs w:val="20"/>
          <w:color w:val="auto"/>
        </w:rPr>
      </w:pPr>
      <w:r>
        <w:rPr>
          <w:rFonts w:ascii="Times New Roman" w:cs="Times New Roman" w:eastAsia="Times New Roman" w:hAnsi="Times New Roman"/>
          <w:sz w:val="14"/>
          <w:szCs w:val="14"/>
          <w:color w:val="auto"/>
        </w:rPr>
        <w:t>intended to help institutions address evolving regulatory and</w:t>
      </w:r>
    </w:p>
    <w:p>
      <w:pPr>
        <w:spacing w:after="0" w:line="232" w:lineRule="auto"/>
        <w:rPr>
          <w:sz w:val="20"/>
          <w:szCs w:val="20"/>
          <w:color w:val="auto"/>
        </w:rPr>
      </w:pPr>
      <w:r>
        <w:rPr>
          <w:rFonts w:ascii="Times New Roman" w:cs="Times New Roman" w:eastAsia="Times New Roman" w:hAnsi="Times New Roman"/>
          <w:sz w:val="14"/>
          <w:szCs w:val="14"/>
          <w:color w:val="auto"/>
        </w:rPr>
        <w:t>operational requirements, streamline technology architecture,</w:t>
      </w:r>
    </w:p>
    <w:p>
      <w:pPr>
        <w:spacing w:after="0" w:line="157" w:lineRule="exact"/>
        <w:rPr>
          <w:sz w:val="20"/>
          <w:szCs w:val="20"/>
          <w:color w:val="auto"/>
        </w:rPr>
      </w:pPr>
      <w:r>
        <w:rPr>
          <w:rFonts w:ascii="Times New Roman" w:cs="Times New Roman" w:eastAsia="Times New Roman" w:hAnsi="Times New Roman"/>
          <w:sz w:val="16"/>
          <w:szCs w:val="16"/>
          <w:color w:val="auto"/>
        </w:rPr>
        <w:t>and improve the efficiency of real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data processing and</w:t>
      </w:r>
    </w:p>
    <w:p>
      <w:pPr>
        <w:spacing w:after="0" w:line="203" w:lineRule="auto"/>
        <w:rPr>
          <w:sz w:val="20"/>
          <w:szCs w:val="20"/>
          <w:color w:val="auto"/>
        </w:rPr>
      </w:pPr>
      <w:r>
        <w:rPr>
          <w:rFonts w:ascii="Times New Roman" w:cs="Times New Roman" w:eastAsia="Times New Roman" w:hAnsi="Times New Roman"/>
          <w:sz w:val="16"/>
          <w:szCs w:val="16"/>
          <w:color w:val="auto"/>
        </w:rPr>
        <w:t>analytics, including the use of AI.</w:t>
      </w:r>
    </w:p>
    <w:p>
      <w:pPr>
        <w:spacing w:after="0" w:line="204" w:lineRule="auto"/>
        <w:rPr>
          <w:sz w:val="20"/>
          <w:szCs w:val="20"/>
          <w:color w:val="auto"/>
        </w:rPr>
      </w:pPr>
      <w:r>
        <w:rPr>
          <w:rFonts w:ascii="Times New Roman" w:cs="Times New Roman" w:eastAsia="Times New Roman" w:hAnsi="Times New Roman"/>
          <w:sz w:val="16"/>
          <w:szCs w:val="16"/>
          <w:color w:val="auto"/>
        </w:rPr>
        <w:t>With a continued focus on modernization of our markets,</w:t>
      </w:r>
    </w:p>
    <w:p>
      <w:pPr>
        <w:spacing w:after="0" w:line="204" w:lineRule="auto"/>
        <w:rPr>
          <w:sz w:val="20"/>
          <w:szCs w:val="20"/>
          <w:color w:val="auto"/>
        </w:rPr>
      </w:pPr>
      <w:r>
        <w:rPr>
          <w:rFonts w:ascii="Times New Roman" w:cs="Times New Roman" w:eastAsia="Times New Roman" w:hAnsi="Times New Roman"/>
          <w:sz w:val="16"/>
          <w:szCs w:val="16"/>
          <w:color w:val="auto"/>
        </w:rPr>
        <w:t>technology, and in meeting the advancing demands of our</w:t>
      </w:r>
    </w:p>
    <w:p>
      <w:pPr>
        <w:spacing w:after="0" w:line="203" w:lineRule="auto"/>
        <w:rPr>
          <w:sz w:val="20"/>
          <w:szCs w:val="20"/>
          <w:color w:val="auto"/>
        </w:rPr>
      </w:pPr>
      <w:r>
        <w:rPr>
          <w:rFonts w:ascii="Times New Roman" w:cs="Times New Roman" w:eastAsia="Times New Roman" w:hAnsi="Times New Roman"/>
          <w:sz w:val="16"/>
          <w:szCs w:val="16"/>
          <w:color w:val="auto"/>
        </w:rPr>
        <w:t>global customer base, in 2025, Nasdaq announced plans to</w:t>
      </w:r>
    </w:p>
    <w:p>
      <w:pPr>
        <w:spacing w:after="0" w:line="204" w:lineRule="auto"/>
        <w:rPr>
          <w:sz w:val="20"/>
          <w:szCs w:val="20"/>
          <w:color w:val="auto"/>
        </w:rPr>
      </w:pPr>
      <w:r>
        <w:rPr>
          <w:rFonts w:ascii="Times New Roman" w:cs="Times New Roman" w:eastAsia="Times New Roman" w:hAnsi="Times New Roman"/>
          <w:sz w:val="16"/>
          <w:szCs w:val="16"/>
          <w:color w:val="auto"/>
        </w:rPr>
        <w:t>introduce extended trading hours on the Nasdaq Stock</w:t>
      </w:r>
    </w:p>
    <w:p>
      <w:pPr>
        <w:spacing w:after="0" w:line="232" w:lineRule="auto"/>
        <w:rPr>
          <w:sz w:val="20"/>
          <w:szCs w:val="20"/>
          <w:color w:val="auto"/>
        </w:rPr>
      </w:pPr>
      <w:r>
        <w:rPr>
          <w:rFonts w:ascii="Times New Roman" w:cs="Times New Roman" w:eastAsia="Times New Roman" w:hAnsi="Times New Roman"/>
          <w:sz w:val="14"/>
          <w:szCs w:val="14"/>
          <w:color w:val="auto"/>
        </w:rPr>
        <w:t>Market. This initiative, known as Global Trading Hours, will</w:t>
      </w:r>
    </w:p>
    <w:p>
      <w:pPr>
        <w:spacing w:after="0" w:line="204" w:lineRule="auto"/>
        <w:rPr>
          <w:sz w:val="20"/>
          <w:szCs w:val="20"/>
          <w:color w:val="auto"/>
        </w:rPr>
      </w:pPr>
      <w:r>
        <w:rPr>
          <w:rFonts w:ascii="Times New Roman" w:cs="Times New Roman" w:eastAsia="Times New Roman" w:hAnsi="Times New Roman"/>
          <w:sz w:val="16"/>
          <w:szCs w:val="16"/>
          <w:color w:val="auto"/>
        </w:rPr>
        <w:t>create a 23-hour trading day, five days a week and is</w:t>
      </w:r>
    </w:p>
    <w:p>
      <w:pPr>
        <w:spacing w:after="0" w:line="203" w:lineRule="auto"/>
        <w:rPr>
          <w:sz w:val="20"/>
          <w:szCs w:val="20"/>
          <w:color w:val="auto"/>
        </w:rPr>
      </w:pPr>
      <w:r>
        <w:rPr>
          <w:rFonts w:ascii="Times New Roman" w:cs="Times New Roman" w:eastAsia="Times New Roman" w:hAnsi="Times New Roman"/>
          <w:sz w:val="16"/>
          <w:szCs w:val="16"/>
          <w:color w:val="auto"/>
        </w:rPr>
        <w:t>designed to meet the realities of a connected world while</w:t>
      </w:r>
    </w:p>
    <w:p>
      <w:pPr>
        <w:spacing w:after="0" w:line="204" w:lineRule="auto"/>
        <w:rPr>
          <w:sz w:val="20"/>
          <w:szCs w:val="20"/>
          <w:color w:val="auto"/>
        </w:rPr>
      </w:pPr>
      <w:r>
        <w:rPr>
          <w:rFonts w:ascii="Times New Roman" w:cs="Times New Roman" w:eastAsia="Times New Roman" w:hAnsi="Times New Roman"/>
          <w:sz w:val="16"/>
          <w:szCs w:val="16"/>
          <w:color w:val="auto"/>
        </w:rPr>
        <w:t>safeguarding the principles that underpin U.S. markets.</w:t>
      </w:r>
    </w:p>
    <w:p>
      <w:pPr>
        <w:spacing w:after="0" w:line="203" w:lineRule="auto"/>
        <w:rPr>
          <w:sz w:val="20"/>
          <w:szCs w:val="20"/>
          <w:color w:val="auto"/>
        </w:rPr>
      </w:pPr>
      <w:r>
        <w:rPr>
          <w:rFonts w:ascii="Times New Roman" w:cs="Times New Roman" w:eastAsia="Times New Roman" w:hAnsi="Times New Roman"/>
          <w:sz w:val="16"/>
          <w:szCs w:val="16"/>
          <w:color w:val="auto"/>
        </w:rPr>
        <w:t>Nasdaq plans to launch this capability in the second half of</w:t>
      </w:r>
    </w:p>
    <w:p>
      <w:pPr>
        <w:spacing w:after="0" w:line="204" w:lineRule="auto"/>
        <w:rPr>
          <w:sz w:val="20"/>
          <w:szCs w:val="20"/>
          <w:color w:val="auto"/>
        </w:rPr>
      </w:pPr>
      <w:r>
        <w:rPr>
          <w:rFonts w:ascii="Times New Roman" w:cs="Times New Roman" w:eastAsia="Times New Roman" w:hAnsi="Times New Roman"/>
          <w:sz w:val="16"/>
          <w:szCs w:val="16"/>
          <w:color w:val="auto"/>
        </w:rPr>
        <w:t>2026, subject to regulatory approval. Moreover, in the third</w:t>
      </w:r>
    </w:p>
    <w:p>
      <w:pPr>
        <w:spacing w:after="0" w:line="233" w:lineRule="auto"/>
        <w:rPr>
          <w:sz w:val="20"/>
          <w:szCs w:val="20"/>
          <w:color w:val="auto"/>
        </w:rPr>
      </w:pPr>
      <w:r>
        <w:rPr>
          <w:rFonts w:ascii="Times New Roman" w:cs="Times New Roman" w:eastAsia="Times New Roman" w:hAnsi="Times New Roman"/>
          <w:sz w:val="14"/>
          <w:szCs w:val="14"/>
          <w:color w:val="auto"/>
        </w:rPr>
        <w:t>quarter of 2025, Nasdaq filed a proposed rule change with the</w:t>
      </w:r>
    </w:p>
    <w:p>
      <w:pPr>
        <w:spacing w:after="0" w:line="203" w:lineRule="auto"/>
        <w:rPr>
          <w:sz w:val="20"/>
          <w:szCs w:val="20"/>
          <w:color w:val="auto"/>
        </w:rPr>
      </w:pPr>
      <w:r>
        <w:rPr>
          <w:rFonts w:ascii="Times New Roman" w:cs="Times New Roman" w:eastAsia="Times New Roman" w:hAnsi="Times New Roman"/>
          <w:sz w:val="16"/>
          <w:szCs w:val="16"/>
          <w:color w:val="auto"/>
        </w:rPr>
        <w:t>SEC to enable the trading of tokenized equity securities and</w:t>
      </w:r>
    </w:p>
    <w:p>
      <w:pPr>
        <w:spacing w:after="0" w:line="204" w:lineRule="auto"/>
        <w:rPr>
          <w:sz w:val="20"/>
          <w:szCs w:val="20"/>
          <w:color w:val="auto"/>
        </w:rPr>
      </w:pPr>
      <w:r>
        <w:rPr>
          <w:rFonts w:ascii="Times New Roman" w:cs="Times New Roman" w:eastAsia="Times New Roman" w:hAnsi="Times New Roman"/>
          <w:sz w:val="16"/>
          <w:szCs w:val="16"/>
          <w:color w:val="auto"/>
        </w:rPr>
        <w:t>ETPs on its platform. The proposal represents a step toward</w:t>
      </w:r>
    </w:p>
    <w:p>
      <w:pPr>
        <w:spacing w:after="0" w:line="203" w:lineRule="auto"/>
        <w:rPr>
          <w:sz w:val="20"/>
          <w:szCs w:val="20"/>
          <w:color w:val="auto"/>
        </w:rPr>
      </w:pPr>
      <w:r>
        <w:rPr>
          <w:rFonts w:ascii="Times New Roman" w:cs="Times New Roman" w:eastAsia="Times New Roman" w:hAnsi="Times New Roman"/>
          <w:sz w:val="16"/>
          <w:szCs w:val="16"/>
          <w:color w:val="auto"/>
        </w:rPr>
        <w:t>integrating blockchain-based assets into the existing U.S.</w:t>
      </w:r>
    </w:p>
    <w:p>
      <w:pPr>
        <w:spacing w:after="0" w:line="204" w:lineRule="auto"/>
        <w:rPr>
          <w:sz w:val="20"/>
          <w:szCs w:val="20"/>
          <w:color w:val="auto"/>
        </w:rPr>
      </w:pPr>
      <w:r>
        <w:rPr>
          <w:rFonts w:ascii="Times New Roman" w:cs="Times New Roman" w:eastAsia="Times New Roman" w:hAnsi="Times New Roman"/>
          <w:sz w:val="16"/>
          <w:szCs w:val="16"/>
          <w:color w:val="auto"/>
        </w:rPr>
        <w:t>equities market infrastructure.</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Competition</w:t>
      </w:r>
    </w:p>
    <w:p>
      <w:pPr>
        <w:spacing w:after="0" w:line="204" w:lineRule="auto"/>
        <w:rPr>
          <w:sz w:val="20"/>
          <w:szCs w:val="20"/>
          <w:color w:val="auto"/>
        </w:rPr>
      </w:pPr>
      <w:r>
        <w:rPr>
          <w:rFonts w:ascii="Times New Roman" w:cs="Times New Roman" w:eastAsia="Times New Roman" w:hAnsi="Times New Roman"/>
          <w:sz w:val="16"/>
          <w:szCs w:val="16"/>
          <w:color w:val="auto"/>
        </w:rPr>
        <w:t>We are a global, client-focused technology company with</w:t>
      </w:r>
    </w:p>
    <w:p>
      <w:pPr>
        <w:spacing w:after="0" w:line="203" w:lineRule="auto"/>
        <w:rPr>
          <w:sz w:val="20"/>
          <w:szCs w:val="20"/>
          <w:color w:val="auto"/>
        </w:rPr>
      </w:pPr>
      <w:r>
        <w:rPr>
          <w:rFonts w:ascii="Times New Roman" w:cs="Times New Roman" w:eastAsia="Times New Roman" w:hAnsi="Times New Roman"/>
          <w:sz w:val="16"/>
          <w:szCs w:val="16"/>
          <w:color w:val="auto"/>
        </w:rPr>
        <w:t>expertise in markets and financial technology. We deploy</w:t>
      </w:r>
    </w:p>
    <w:p>
      <w:pPr>
        <w:spacing w:after="0" w:line="233" w:lineRule="auto"/>
        <w:rPr>
          <w:sz w:val="20"/>
          <w:szCs w:val="20"/>
          <w:color w:val="auto"/>
        </w:rPr>
      </w:pPr>
      <w:r>
        <w:rPr>
          <w:rFonts w:ascii="Times New Roman" w:cs="Times New Roman" w:eastAsia="Times New Roman" w:hAnsi="Times New Roman"/>
          <w:sz w:val="14"/>
          <w:szCs w:val="14"/>
          <w:color w:val="auto"/>
        </w:rPr>
        <w:t>robust technology capabilities and have developed innovative</w:t>
      </w:r>
    </w:p>
    <w:p>
      <w:pPr>
        <w:spacing w:after="0" w:line="204" w:lineRule="auto"/>
        <w:rPr>
          <w:sz w:val="20"/>
          <w:szCs w:val="20"/>
          <w:color w:val="auto"/>
        </w:rPr>
      </w:pPr>
      <w:r>
        <w:rPr>
          <w:rFonts w:ascii="Times New Roman" w:cs="Times New Roman" w:eastAsia="Times New Roman" w:hAnsi="Times New Roman"/>
          <w:sz w:val="16"/>
          <w:szCs w:val="16"/>
          <w:color w:val="auto"/>
        </w:rPr>
        <w:t>solutions to further address client needs across the financial</w:t>
      </w:r>
    </w:p>
    <w:p>
      <w:pPr>
        <w:spacing w:after="0" w:line="203" w:lineRule="auto"/>
        <w:rPr>
          <w:sz w:val="20"/>
          <w:szCs w:val="20"/>
          <w:color w:val="auto"/>
        </w:rPr>
      </w:pPr>
      <w:r>
        <w:rPr>
          <w:rFonts w:ascii="Times New Roman" w:cs="Times New Roman" w:eastAsia="Times New Roman" w:hAnsi="Times New Roman"/>
          <w:sz w:val="16"/>
          <w:szCs w:val="16"/>
          <w:color w:val="auto"/>
        </w:rPr>
        <w:t>ecosystem. Our business segments complement each other</w:t>
      </w:r>
    </w:p>
    <w:p>
      <w:pPr>
        <w:spacing w:after="0" w:line="233" w:lineRule="auto"/>
        <w:rPr>
          <w:sz w:val="20"/>
          <w:szCs w:val="20"/>
          <w:color w:val="auto"/>
        </w:rPr>
      </w:pPr>
      <w:r>
        <w:rPr>
          <w:rFonts w:ascii="Times New Roman" w:cs="Times New Roman" w:eastAsia="Times New Roman" w:hAnsi="Times New Roman"/>
          <w:sz w:val="14"/>
          <w:szCs w:val="14"/>
          <w:color w:val="auto"/>
        </w:rPr>
        <w:t>and we believe that our strong competitive position in large,</w:t>
      </w:r>
    </w:p>
    <w:p>
      <w:pPr>
        <w:spacing w:after="0" w:line="203" w:lineRule="auto"/>
        <w:rPr>
          <w:sz w:val="20"/>
          <w:szCs w:val="20"/>
          <w:color w:val="auto"/>
        </w:rPr>
      </w:pPr>
      <w:r>
        <w:rPr>
          <w:rFonts w:ascii="Times New Roman" w:cs="Times New Roman" w:eastAsia="Times New Roman" w:hAnsi="Times New Roman"/>
          <w:sz w:val="16"/>
          <w:szCs w:val="16"/>
          <w:color w:val="auto"/>
        </w:rPr>
        <w:t>high-growth markets positions us for sustained growth.</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Our Value Proposition</w:t>
      </w:r>
    </w:p>
    <w:p>
      <w:pPr>
        <w:spacing w:after="0" w:line="233" w:lineRule="auto"/>
        <w:rPr>
          <w:sz w:val="20"/>
          <w:szCs w:val="20"/>
          <w:color w:val="auto"/>
        </w:rPr>
      </w:pPr>
      <w:r>
        <w:rPr>
          <w:rFonts w:ascii="Times New Roman" w:cs="Times New Roman" w:eastAsia="Times New Roman" w:hAnsi="Times New Roman"/>
          <w:sz w:val="14"/>
          <w:szCs w:val="14"/>
          <w:color w:val="auto"/>
        </w:rPr>
        <w:t>We operate leading platforms that can improve the liquidity,</w:t>
      </w:r>
    </w:p>
    <w:p>
      <w:pPr>
        <w:spacing w:after="0" w:line="232" w:lineRule="auto"/>
        <w:rPr>
          <w:sz w:val="20"/>
          <w:szCs w:val="20"/>
          <w:color w:val="auto"/>
        </w:rPr>
      </w:pPr>
      <w:r>
        <w:rPr>
          <w:rFonts w:ascii="Times New Roman" w:cs="Times New Roman" w:eastAsia="Times New Roman" w:hAnsi="Times New Roman"/>
          <w:sz w:val="14"/>
          <w:szCs w:val="14"/>
          <w:color w:val="auto"/>
        </w:rPr>
        <w:t>transparency, and integrity of the global financial ecosystem,</w:t>
      </w:r>
    </w:p>
    <w:p>
      <w:pPr>
        <w:spacing w:after="0" w:line="204" w:lineRule="auto"/>
        <w:rPr>
          <w:sz w:val="20"/>
          <w:szCs w:val="20"/>
          <w:color w:val="auto"/>
        </w:rPr>
      </w:pPr>
      <w:r>
        <w:rPr>
          <w:rFonts w:ascii="Times New Roman" w:cs="Times New Roman" w:eastAsia="Times New Roman" w:hAnsi="Times New Roman"/>
          <w:sz w:val="16"/>
          <w:szCs w:val="16"/>
          <w:color w:val="auto"/>
        </w:rPr>
        <w:t>allowing us to:</w:t>
      </w:r>
    </w:p>
    <w:p>
      <w:pPr>
        <w:spacing w:after="0" w:line="232" w:lineRule="auto"/>
        <w:rPr>
          <w:sz w:val="20"/>
          <w:szCs w:val="20"/>
          <w:color w:val="auto"/>
        </w:rPr>
      </w:pPr>
      <w:r>
        <w:rPr>
          <w:rFonts w:ascii="Times New Roman" w:cs="Times New Roman" w:eastAsia="Times New Roman" w:hAnsi="Times New Roman"/>
          <w:sz w:val="14"/>
          <w:szCs w:val="14"/>
          <w:color w:val="auto"/>
        </w:rPr>
        <w:t>•Develop efficient and reliable technologies to facilitate and</w:t>
      </w:r>
    </w:p>
    <w:p>
      <w:pPr>
        <w:spacing w:after="0" w:line="204" w:lineRule="auto"/>
        <w:rPr>
          <w:sz w:val="20"/>
          <w:szCs w:val="20"/>
          <w:color w:val="auto"/>
        </w:rPr>
      </w:pPr>
      <w:r>
        <w:rPr>
          <w:rFonts w:ascii="Times New Roman" w:cs="Times New Roman" w:eastAsia="Times New Roman" w:hAnsi="Times New Roman"/>
          <w:sz w:val="16"/>
          <w:szCs w:val="16"/>
          <w:color w:val="auto"/>
        </w:rPr>
        <w:t>protect the financial system across asset classes;</w:t>
      </w:r>
    </w:p>
    <w:p>
      <w:pPr>
        <w:spacing w:after="0" w:line="203" w:lineRule="auto"/>
        <w:rPr>
          <w:sz w:val="20"/>
          <w:szCs w:val="20"/>
          <w:color w:val="auto"/>
        </w:rPr>
      </w:pPr>
      <w:r>
        <w:rPr>
          <w:rFonts w:ascii="Times New Roman" w:cs="Times New Roman" w:eastAsia="Times New Roman" w:hAnsi="Times New Roman"/>
          <w:sz w:val="16"/>
          <w:szCs w:val="16"/>
          <w:color w:val="auto"/>
        </w:rPr>
        <w:t>•Empower our clients to effectively navigate the capital</w:t>
      </w:r>
    </w:p>
    <w:p>
      <w:pPr>
        <w:spacing w:after="0" w:line="204" w:lineRule="auto"/>
        <w:rPr>
          <w:sz w:val="20"/>
          <w:szCs w:val="20"/>
          <w:color w:val="auto"/>
        </w:rPr>
      </w:pPr>
      <w:r>
        <w:rPr>
          <w:rFonts w:ascii="Times New Roman" w:cs="Times New Roman" w:eastAsia="Times New Roman" w:hAnsi="Times New Roman"/>
          <w:sz w:val="16"/>
          <w:szCs w:val="16"/>
          <w:color w:val="auto"/>
        </w:rPr>
        <w:t>markets, achieve their sustainability goals, and maintain</w:t>
      </w:r>
    </w:p>
    <w:p>
      <w:pPr>
        <w:spacing w:after="0" w:line="204" w:lineRule="auto"/>
        <w:rPr>
          <w:sz w:val="20"/>
          <w:szCs w:val="20"/>
          <w:color w:val="auto"/>
        </w:rPr>
      </w:pPr>
      <w:r>
        <w:rPr>
          <w:rFonts w:ascii="Times New Roman" w:cs="Times New Roman" w:eastAsia="Times New Roman" w:hAnsi="Times New Roman"/>
          <w:sz w:val="16"/>
          <w:szCs w:val="16"/>
          <w:color w:val="auto"/>
        </w:rPr>
        <w:t>corporate governance excellence; and</w:t>
      </w:r>
    </w:p>
    <w:p>
      <w:pPr>
        <w:spacing w:after="0"/>
        <w:rPr>
          <w:sz w:val="20"/>
          <w:szCs w:val="20"/>
          <w:color w:val="auto"/>
        </w:rPr>
      </w:pPr>
      <w:r>
        <w:rPr>
          <w:rFonts w:ascii="Times New Roman" w:cs="Times New Roman" w:eastAsia="Times New Roman" w:hAnsi="Times New Roman"/>
          <w:sz w:val="16"/>
          <w:szCs w:val="16"/>
          <w:color w:val="auto"/>
        </w:rPr>
        <w:t>•Provide data, tools and insights that drive sound decision</w:t>
      </w:r>
    </w:p>
    <w:p>
      <w:pPr>
        <w:spacing w:after="0" w:line="229" w:lineRule="auto"/>
        <w:rPr>
          <w:sz w:val="20"/>
          <w:szCs w:val="20"/>
          <w:color w:val="auto"/>
        </w:rPr>
      </w:pPr>
      <w:r>
        <w:rPr>
          <w:rFonts w:ascii="Times New Roman" w:cs="Times New Roman" w:eastAsia="Times New Roman" w:hAnsi="Times New Roman"/>
          <w:sz w:val="16"/>
          <w:szCs w:val="16"/>
          <w:color w:val="auto"/>
        </w:rPr>
        <w:t>8</w:t>
      </w:r>
    </w:p>
    <w:p>
      <w:pPr>
        <w:spacing w:after="0" w:line="233" w:lineRule="auto"/>
        <w:rPr>
          <w:sz w:val="20"/>
          <w:szCs w:val="20"/>
          <w:color w:val="auto"/>
        </w:rPr>
      </w:pPr>
      <w:r>
        <w:rPr>
          <w:rFonts w:ascii="Times New Roman" w:cs="Times New Roman" w:eastAsia="Times New Roman" w:hAnsi="Times New Roman"/>
          <w:sz w:val="14"/>
          <w:szCs w:val="14"/>
          <w:color w:val="auto"/>
        </w:rPr>
        <w:t>The Listings Services business in Europe is characterized by</w:t>
      </w:r>
    </w:p>
    <w:p>
      <w:pPr>
        <w:spacing w:after="0" w:line="233" w:lineRule="auto"/>
        <w:rPr>
          <w:sz w:val="20"/>
          <w:szCs w:val="20"/>
          <w:color w:val="auto"/>
        </w:rPr>
      </w:pPr>
      <w:r>
        <w:rPr>
          <w:rFonts w:ascii="Times New Roman" w:cs="Times New Roman" w:eastAsia="Times New Roman" w:hAnsi="Times New Roman"/>
          <w:sz w:val="14"/>
          <w:szCs w:val="14"/>
          <w:color w:val="auto"/>
        </w:rPr>
        <w:t>a large number of exchanges competing for new or secondary</w:t>
      </w:r>
    </w:p>
    <w:p>
      <w:pPr>
        <w:spacing w:after="0" w:line="203" w:lineRule="auto"/>
        <w:rPr>
          <w:sz w:val="20"/>
          <w:szCs w:val="20"/>
          <w:color w:val="auto"/>
        </w:rPr>
      </w:pPr>
      <w:r>
        <w:rPr>
          <w:rFonts w:ascii="Times New Roman" w:cs="Times New Roman" w:eastAsia="Times New Roman" w:hAnsi="Times New Roman"/>
          <w:sz w:val="16"/>
          <w:szCs w:val="16"/>
          <w:color w:val="auto"/>
        </w:rPr>
        <w:t>listings. Each country has one or more national exchanges,</w:t>
      </w:r>
    </w:p>
    <w:p>
      <w:pPr>
        <w:spacing w:after="0" w:line="204" w:lineRule="auto"/>
        <w:rPr>
          <w:sz w:val="20"/>
          <w:szCs w:val="20"/>
          <w:color w:val="auto"/>
        </w:rPr>
      </w:pPr>
      <w:r>
        <w:rPr>
          <w:rFonts w:ascii="Times New Roman" w:cs="Times New Roman" w:eastAsia="Times New Roman" w:hAnsi="Times New Roman"/>
          <w:sz w:val="16"/>
          <w:szCs w:val="16"/>
          <w:color w:val="auto"/>
        </w:rPr>
        <w:t>which are often the first choice of companies in each</w:t>
      </w:r>
    </w:p>
    <w:p>
      <w:pPr>
        <w:spacing w:after="0" w:line="203" w:lineRule="auto"/>
        <w:rPr>
          <w:sz w:val="20"/>
          <w:szCs w:val="20"/>
          <w:color w:val="auto"/>
        </w:rPr>
      </w:pPr>
      <w:r>
        <w:rPr>
          <w:rFonts w:ascii="Times New Roman" w:cs="Times New Roman" w:eastAsia="Times New Roman" w:hAnsi="Times New Roman"/>
          <w:sz w:val="16"/>
          <w:szCs w:val="16"/>
          <w:color w:val="auto"/>
        </w:rPr>
        <w:t>respective country. For those considering an alternative,</w:t>
      </w:r>
    </w:p>
    <w:p>
      <w:pPr>
        <w:spacing w:after="0" w:line="233" w:lineRule="auto"/>
        <w:rPr>
          <w:sz w:val="20"/>
          <w:szCs w:val="20"/>
          <w:color w:val="auto"/>
        </w:rPr>
      </w:pPr>
      <w:r>
        <w:rPr>
          <w:rFonts w:ascii="Times New Roman" w:cs="Times New Roman" w:eastAsia="Times New Roman" w:hAnsi="Times New Roman"/>
          <w:sz w:val="14"/>
          <w:szCs w:val="14"/>
          <w:color w:val="auto"/>
        </w:rPr>
        <w:t>competing European exchanges that frequently attract many</w:t>
      </w:r>
    </w:p>
    <w:p>
      <w:pPr>
        <w:spacing w:after="0" w:line="233" w:lineRule="auto"/>
        <w:rPr>
          <w:sz w:val="20"/>
          <w:szCs w:val="20"/>
          <w:color w:val="auto"/>
        </w:rPr>
      </w:pPr>
      <w:r>
        <w:rPr>
          <w:rFonts w:ascii="Times New Roman" w:cs="Times New Roman" w:eastAsia="Times New Roman" w:hAnsi="Times New Roman"/>
          <w:sz w:val="14"/>
          <w:szCs w:val="14"/>
          <w:color w:val="auto"/>
        </w:rPr>
        <w:t>listings from outside their respective home countries include</w:t>
      </w:r>
    </w:p>
    <w:p>
      <w:pPr>
        <w:spacing w:after="0" w:line="203" w:lineRule="auto"/>
        <w:rPr>
          <w:sz w:val="20"/>
          <w:szCs w:val="20"/>
          <w:color w:val="auto"/>
        </w:rPr>
      </w:pPr>
      <w:r>
        <w:rPr>
          <w:rFonts w:ascii="Times New Roman" w:cs="Times New Roman" w:eastAsia="Times New Roman" w:hAnsi="Times New Roman"/>
          <w:sz w:val="16"/>
          <w:szCs w:val="16"/>
          <w:color w:val="auto"/>
        </w:rPr>
        <w:t>LSE, Euronext N.V. and Deutsche Börse AG. In addition to</w:t>
      </w:r>
    </w:p>
    <w:p>
      <w:pPr>
        <w:spacing w:after="0" w:line="204" w:lineRule="auto"/>
        <w:rPr>
          <w:sz w:val="20"/>
          <w:szCs w:val="20"/>
          <w:color w:val="auto"/>
        </w:rPr>
      </w:pPr>
      <w:r>
        <w:rPr>
          <w:rFonts w:ascii="Times New Roman" w:cs="Times New Roman" w:eastAsia="Times New Roman" w:hAnsi="Times New Roman"/>
          <w:sz w:val="16"/>
          <w:szCs w:val="16"/>
          <w:color w:val="auto"/>
        </w:rPr>
        <w:t>the larger exchanges, companies seeking capital or liquidity</w:t>
      </w:r>
    </w:p>
    <w:p>
      <w:pPr>
        <w:spacing w:after="0" w:line="232" w:lineRule="auto"/>
        <w:rPr>
          <w:sz w:val="20"/>
          <w:szCs w:val="20"/>
          <w:color w:val="auto"/>
        </w:rPr>
      </w:pPr>
      <w:r>
        <w:rPr>
          <w:rFonts w:ascii="Times New Roman" w:cs="Times New Roman" w:eastAsia="Times New Roman" w:hAnsi="Times New Roman"/>
          <w:sz w:val="14"/>
          <w:szCs w:val="14"/>
          <w:color w:val="auto"/>
        </w:rPr>
        <w:t>from public capital markets are able to raise capital without a</w:t>
      </w:r>
    </w:p>
    <w:p>
      <w:pPr>
        <w:spacing w:after="0" w:line="233" w:lineRule="auto"/>
        <w:rPr>
          <w:sz w:val="20"/>
          <w:szCs w:val="20"/>
          <w:color w:val="auto"/>
        </w:rPr>
      </w:pPr>
      <w:r>
        <w:rPr>
          <w:rFonts w:ascii="Times New Roman" w:cs="Times New Roman" w:eastAsia="Times New Roman" w:hAnsi="Times New Roman"/>
          <w:sz w:val="14"/>
          <w:szCs w:val="14"/>
          <w:color w:val="auto"/>
        </w:rPr>
        <w:t>regulated market listing and can consider trading their shares</w:t>
      </w:r>
    </w:p>
    <w:p>
      <w:pPr>
        <w:spacing w:after="0" w:line="203" w:lineRule="auto"/>
        <w:rPr>
          <w:sz w:val="20"/>
          <w:szCs w:val="20"/>
          <w:color w:val="auto"/>
        </w:rPr>
      </w:pPr>
      <w:r>
        <w:rPr>
          <w:rFonts w:ascii="Times New Roman" w:cs="Times New Roman" w:eastAsia="Times New Roman" w:hAnsi="Times New Roman"/>
          <w:sz w:val="16"/>
          <w:szCs w:val="16"/>
          <w:color w:val="auto"/>
        </w:rPr>
        <w:t>on smaller markets and quoting facilities.</w:t>
      </w:r>
    </w:p>
    <w:p>
      <w:pPr>
        <w:spacing w:after="0" w:line="204" w:lineRule="auto"/>
        <w:rPr>
          <w:sz w:val="20"/>
          <w:szCs w:val="20"/>
          <w:color w:val="auto"/>
        </w:rPr>
      </w:pPr>
      <w:r>
        <w:rPr>
          <w:rFonts w:ascii="Times New Roman" w:cs="Times New Roman" w:eastAsia="Times New Roman" w:hAnsi="Times New Roman"/>
          <w:sz w:val="16"/>
          <w:szCs w:val="16"/>
          <w:color w:val="auto"/>
        </w:rPr>
        <w:t>Our Index business offers Nasdaq-branded indices and</w:t>
      </w:r>
    </w:p>
    <w:p>
      <w:pPr>
        <w:spacing w:after="0" w:line="204" w:lineRule="auto"/>
        <w:rPr>
          <w:sz w:val="20"/>
          <w:szCs w:val="20"/>
          <w:color w:val="auto"/>
        </w:rPr>
      </w:pPr>
      <w:r>
        <w:rPr>
          <w:rFonts w:ascii="Times New Roman" w:cs="Times New Roman" w:eastAsia="Times New Roman" w:hAnsi="Times New Roman"/>
          <w:sz w:val="16"/>
          <w:szCs w:val="16"/>
          <w:color w:val="auto"/>
        </w:rPr>
        <w:t>financial products and faces competition from providers of</w:t>
      </w:r>
    </w:p>
    <w:p>
      <w:pPr>
        <w:spacing w:after="0" w:line="232" w:lineRule="auto"/>
        <w:rPr>
          <w:sz w:val="20"/>
          <w:szCs w:val="20"/>
          <w:color w:val="auto"/>
        </w:rPr>
      </w:pPr>
      <w:r>
        <w:rPr>
          <w:rFonts w:ascii="Times New Roman" w:cs="Times New Roman" w:eastAsia="Times New Roman" w:hAnsi="Times New Roman"/>
          <w:sz w:val="14"/>
          <w:szCs w:val="14"/>
          <w:color w:val="auto"/>
        </w:rPr>
        <w:t>various competing financial indices. For example, there are a</w:t>
      </w:r>
    </w:p>
    <w:p>
      <w:pPr>
        <w:spacing w:after="0" w:line="233" w:lineRule="auto"/>
        <w:rPr>
          <w:sz w:val="20"/>
          <w:szCs w:val="20"/>
          <w:color w:val="auto"/>
        </w:rPr>
      </w:pPr>
      <w:r>
        <w:rPr>
          <w:rFonts w:ascii="Times New Roman" w:cs="Times New Roman" w:eastAsia="Times New Roman" w:hAnsi="Times New Roman"/>
          <w:sz w:val="14"/>
          <w:szCs w:val="14"/>
          <w:color w:val="auto"/>
        </w:rPr>
        <w:t>number of indices that aim to track the technology sector and</w:t>
      </w:r>
    </w:p>
    <w:p>
      <w:pPr>
        <w:spacing w:after="0" w:line="232" w:lineRule="auto"/>
        <w:rPr>
          <w:sz w:val="20"/>
          <w:szCs w:val="20"/>
          <w:color w:val="auto"/>
        </w:rPr>
      </w:pPr>
      <w:r>
        <w:rPr>
          <w:rFonts w:ascii="Times New Roman" w:cs="Times New Roman" w:eastAsia="Times New Roman" w:hAnsi="Times New Roman"/>
          <w:sz w:val="14"/>
          <w:szCs w:val="14"/>
          <w:color w:val="auto"/>
        </w:rPr>
        <w:t>thereby compete with the Nasdaq-100 Index and the Nasdaq</w:t>
      </w:r>
    </w:p>
    <w:p>
      <w:pPr>
        <w:spacing w:after="0" w:line="204" w:lineRule="auto"/>
        <w:rPr>
          <w:sz w:val="20"/>
          <w:szCs w:val="20"/>
          <w:color w:val="auto"/>
        </w:rPr>
      </w:pPr>
      <w:r>
        <w:rPr>
          <w:rFonts w:ascii="Times New Roman" w:cs="Times New Roman" w:eastAsia="Times New Roman" w:hAnsi="Times New Roman"/>
          <w:sz w:val="16"/>
          <w:szCs w:val="16"/>
          <w:color w:val="auto"/>
        </w:rPr>
        <w:t>Composite Index. We face competition from investment</w:t>
      </w:r>
    </w:p>
    <w:p>
      <w:pPr>
        <w:spacing w:after="0" w:line="233" w:lineRule="auto"/>
        <w:rPr>
          <w:sz w:val="20"/>
          <w:szCs w:val="20"/>
          <w:color w:val="auto"/>
        </w:rPr>
      </w:pPr>
      <w:r>
        <w:rPr>
          <w:rFonts w:ascii="Times New Roman" w:cs="Times New Roman" w:eastAsia="Times New Roman" w:hAnsi="Times New Roman"/>
          <w:sz w:val="14"/>
          <w:szCs w:val="14"/>
          <w:color w:val="auto"/>
        </w:rPr>
        <w:t>banks, dedicated index providers, markets and other product</w:t>
      </w:r>
    </w:p>
    <w:p>
      <w:pPr>
        <w:spacing w:after="0" w:line="203" w:lineRule="auto"/>
        <w:rPr>
          <w:sz w:val="20"/>
          <w:szCs w:val="20"/>
          <w:color w:val="auto"/>
        </w:rPr>
      </w:pPr>
      <w:r>
        <w:rPr>
          <w:rFonts w:ascii="Times New Roman" w:cs="Times New Roman" w:eastAsia="Times New Roman" w:hAnsi="Times New Roman"/>
          <w:sz w:val="16"/>
          <w:szCs w:val="16"/>
          <w:color w:val="auto"/>
        </w:rPr>
        <w:t>developers, including S&amp;P Dow Jones Indices, MSCI and</w:t>
      </w:r>
    </w:p>
    <w:p>
      <w:pPr>
        <w:spacing w:after="0"/>
        <w:rPr>
          <w:sz w:val="20"/>
          <w:szCs w:val="20"/>
          <w:color w:val="auto"/>
        </w:rPr>
      </w:pPr>
      <w:r>
        <w:rPr>
          <w:rFonts w:ascii="Times New Roman" w:cs="Times New Roman" w:eastAsia="Times New Roman" w:hAnsi="Times New Roman"/>
          <w:sz w:val="16"/>
          <w:szCs w:val="16"/>
          <w:color w:val="auto"/>
        </w:rPr>
        <w:t>FTSE Russell.</w:t>
      </w:r>
    </w:p>
    <w:p>
      <w:pPr>
        <w:sectPr>
          <w:pgSz w:w="11900" w:h="16840" w:orient="portrait"/>
          <w:cols w:equalWidth="0" w:num="1">
            <w:col w:w="9400"/>
          </w:cols>
          <w:pgMar w:left="1060" w:top="547" w:right="1440" w:bottom="8"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Workflow &amp; Insights includes our analytics and corporate</w:t>
      </w:r>
    </w:p>
    <w:p>
      <w:pPr>
        <w:spacing w:after="0" w:line="203" w:lineRule="auto"/>
        <w:rPr>
          <w:sz w:val="20"/>
          <w:szCs w:val="20"/>
          <w:color w:val="auto"/>
        </w:rPr>
      </w:pPr>
      <w:r>
        <w:rPr>
          <w:rFonts w:ascii="Times New Roman" w:cs="Times New Roman" w:eastAsia="Times New Roman" w:hAnsi="Times New Roman"/>
          <w:sz w:val="16"/>
          <w:szCs w:val="16"/>
          <w:color w:val="auto"/>
        </w:rPr>
        <w:t>solutions businesses. Our analytics business faces</w:t>
      </w:r>
    </w:p>
    <w:p>
      <w:pPr>
        <w:spacing w:after="0" w:line="204" w:lineRule="auto"/>
        <w:rPr>
          <w:sz w:val="20"/>
          <w:szCs w:val="20"/>
          <w:color w:val="auto"/>
        </w:rPr>
      </w:pPr>
      <w:r>
        <w:rPr>
          <w:rFonts w:ascii="Times New Roman" w:cs="Times New Roman" w:eastAsia="Times New Roman" w:hAnsi="Times New Roman"/>
          <w:sz w:val="16"/>
          <w:szCs w:val="16"/>
          <w:color w:val="auto"/>
        </w:rPr>
        <w:t>competition from a broad array of data and analytics</w:t>
      </w:r>
    </w:p>
    <w:p>
      <w:pPr>
        <w:spacing w:after="0" w:line="203" w:lineRule="auto"/>
        <w:rPr>
          <w:sz w:val="20"/>
          <w:szCs w:val="20"/>
          <w:color w:val="auto"/>
        </w:rPr>
      </w:pPr>
      <w:r>
        <w:rPr>
          <w:rFonts w:ascii="Times New Roman" w:cs="Times New Roman" w:eastAsia="Times New Roman" w:hAnsi="Times New Roman"/>
          <w:sz w:val="16"/>
          <w:szCs w:val="16"/>
          <w:color w:val="auto"/>
        </w:rPr>
        <w:t>suppliers, both established firms and small start-ups.</w:t>
      </w:r>
    </w:p>
    <w:p>
      <w:pPr>
        <w:spacing w:after="0" w:line="204" w:lineRule="auto"/>
        <w:rPr>
          <w:sz w:val="20"/>
          <w:szCs w:val="20"/>
          <w:color w:val="auto"/>
        </w:rPr>
      </w:pPr>
      <w:r>
        <w:rPr>
          <w:rFonts w:ascii="Times New Roman" w:cs="Times New Roman" w:eastAsia="Times New Roman" w:hAnsi="Times New Roman"/>
          <w:sz w:val="16"/>
          <w:szCs w:val="16"/>
          <w:color w:val="auto"/>
        </w:rPr>
        <w:t>Our corporate solutions business operates in a fragmented</w:t>
      </w:r>
    </w:p>
    <w:p>
      <w:pPr>
        <w:spacing w:after="0" w:line="203" w:lineRule="auto"/>
        <w:rPr>
          <w:sz w:val="20"/>
          <w:szCs w:val="20"/>
          <w:color w:val="auto"/>
        </w:rPr>
      </w:pPr>
      <w:r>
        <w:rPr>
          <w:rFonts w:ascii="Times New Roman" w:cs="Times New Roman" w:eastAsia="Times New Roman" w:hAnsi="Times New Roman"/>
          <w:sz w:val="16"/>
          <w:szCs w:val="16"/>
          <w:color w:val="auto"/>
        </w:rPr>
        <w:t>competitive landscape. Exchange operators are expanding</w:t>
      </w:r>
    </w:p>
    <w:p>
      <w:pPr>
        <w:spacing w:after="0" w:line="204" w:lineRule="auto"/>
        <w:rPr>
          <w:sz w:val="20"/>
          <w:szCs w:val="20"/>
          <w:color w:val="auto"/>
        </w:rPr>
      </w:pPr>
      <w:r>
        <w:rPr>
          <w:rFonts w:ascii="Times New Roman" w:cs="Times New Roman" w:eastAsia="Times New Roman" w:hAnsi="Times New Roman"/>
          <w:sz w:val="16"/>
          <w:szCs w:val="16"/>
          <w:color w:val="auto"/>
        </w:rPr>
        <w:t>their reach into investor relations, while our Sustainability</w:t>
      </w:r>
    </w:p>
    <w:p>
      <w:pPr>
        <w:spacing w:after="0" w:line="232" w:lineRule="auto"/>
        <w:rPr>
          <w:sz w:val="20"/>
          <w:szCs w:val="20"/>
          <w:color w:val="auto"/>
        </w:rPr>
      </w:pPr>
      <w:r>
        <w:rPr>
          <w:rFonts w:ascii="Times New Roman" w:cs="Times New Roman" w:eastAsia="Times New Roman" w:hAnsi="Times New Roman"/>
          <w:sz w:val="14"/>
          <w:szCs w:val="14"/>
          <w:color w:val="auto"/>
        </w:rPr>
        <w:t>and Governance Solutions compete with diverse providers of</w:t>
      </w:r>
    </w:p>
    <w:p>
      <w:pPr>
        <w:spacing w:after="0" w:line="204" w:lineRule="auto"/>
        <w:rPr>
          <w:sz w:val="20"/>
          <w:szCs w:val="20"/>
          <w:color w:val="auto"/>
        </w:rPr>
      </w:pPr>
      <w:r>
        <w:rPr>
          <w:rFonts w:ascii="Times New Roman" w:cs="Times New Roman" w:eastAsia="Times New Roman" w:hAnsi="Times New Roman"/>
          <w:sz w:val="16"/>
          <w:szCs w:val="16"/>
          <w:color w:val="auto"/>
        </w:rPr>
        <w:t>software, data, and consulting across evolving markets and</w:t>
      </w:r>
    </w:p>
    <w:p>
      <w:pPr>
        <w:spacing w:after="0" w:line="203" w:lineRule="auto"/>
        <w:rPr>
          <w:sz w:val="20"/>
          <w:szCs w:val="20"/>
          <w:color w:val="auto"/>
        </w:rPr>
      </w:pPr>
      <w:r>
        <w:rPr>
          <w:rFonts w:ascii="Times New Roman" w:cs="Times New Roman" w:eastAsia="Times New Roman" w:hAnsi="Times New Roman"/>
          <w:sz w:val="16"/>
          <w:szCs w:val="16"/>
          <w:color w:val="auto"/>
        </w:rPr>
        <w:t>customer segments.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Financial Technology</w:t>
      </w:r>
    </w:p>
    <w:p>
      <w:pPr>
        <w:spacing w:after="0" w:line="233" w:lineRule="auto"/>
        <w:rPr>
          <w:sz w:val="20"/>
          <w:szCs w:val="20"/>
          <w:color w:val="auto"/>
        </w:rPr>
      </w:pPr>
      <w:r>
        <w:rPr>
          <w:rFonts w:ascii="Times New Roman" w:cs="Times New Roman" w:eastAsia="Times New Roman" w:hAnsi="Times New Roman"/>
          <w:sz w:val="14"/>
          <w:szCs w:val="14"/>
          <w:color w:val="auto"/>
        </w:rPr>
        <w:t>For our Financial Crime Management Technology and trade</w:t>
      </w:r>
    </w:p>
    <w:p>
      <w:pPr>
        <w:spacing w:after="0" w:line="232" w:lineRule="auto"/>
        <w:rPr>
          <w:sz w:val="20"/>
          <w:szCs w:val="20"/>
          <w:color w:val="auto"/>
        </w:rPr>
      </w:pPr>
      <w:r>
        <w:rPr>
          <w:rFonts w:ascii="Times New Roman" w:cs="Times New Roman" w:eastAsia="Times New Roman" w:hAnsi="Times New Roman"/>
          <w:sz w:val="14"/>
          <w:szCs w:val="14"/>
          <w:color w:val="auto"/>
        </w:rPr>
        <w:t>and market surveillance businesses, competitors include core</w:t>
      </w:r>
    </w:p>
    <w:p>
      <w:pPr>
        <w:spacing w:after="0" w:line="204" w:lineRule="auto"/>
        <w:rPr>
          <w:sz w:val="20"/>
          <w:szCs w:val="20"/>
          <w:color w:val="auto"/>
        </w:rPr>
      </w:pPr>
      <w:r>
        <w:rPr>
          <w:rFonts w:ascii="Times New Roman" w:cs="Times New Roman" w:eastAsia="Times New Roman" w:hAnsi="Times New Roman"/>
          <w:sz w:val="16"/>
          <w:szCs w:val="16"/>
          <w:color w:val="auto"/>
        </w:rPr>
        <w:t>banking solution providers ranging from small to large,</w:t>
      </w:r>
    </w:p>
    <w:p>
      <w:pPr>
        <w:spacing w:after="0" w:line="203" w:lineRule="auto"/>
        <w:rPr>
          <w:sz w:val="20"/>
          <w:szCs w:val="20"/>
          <w:color w:val="auto"/>
        </w:rPr>
      </w:pPr>
      <w:r>
        <w:rPr>
          <w:rFonts w:ascii="Times New Roman" w:cs="Times New Roman" w:eastAsia="Times New Roman" w:hAnsi="Times New Roman"/>
          <w:sz w:val="16"/>
          <w:szCs w:val="16"/>
          <w:color w:val="auto"/>
        </w:rPr>
        <w:t>independent solution providers, FinTech start-ups and in-</w:t>
      </w:r>
    </w:p>
    <w:p>
      <w:pPr>
        <w:spacing w:after="0" w:line="233" w:lineRule="auto"/>
        <w:rPr>
          <w:sz w:val="20"/>
          <w:szCs w:val="20"/>
          <w:color w:val="auto"/>
        </w:rPr>
      </w:pPr>
      <w:r>
        <w:rPr>
          <w:rFonts w:ascii="Times New Roman" w:cs="Times New Roman" w:eastAsia="Times New Roman" w:hAnsi="Times New Roman"/>
          <w:sz w:val="14"/>
          <w:szCs w:val="14"/>
          <w:color w:val="auto"/>
        </w:rPr>
        <w:t>house custom builds. We compete against enterprise solution</w:t>
      </w:r>
    </w:p>
    <w:p>
      <w:pPr>
        <w:spacing w:after="0" w:line="204" w:lineRule="auto"/>
        <w:rPr>
          <w:sz w:val="20"/>
          <w:szCs w:val="20"/>
          <w:color w:val="auto"/>
        </w:rPr>
      </w:pPr>
      <w:r>
        <w:rPr>
          <w:rFonts w:ascii="Times New Roman" w:cs="Times New Roman" w:eastAsia="Times New Roman" w:hAnsi="Times New Roman"/>
          <w:sz w:val="16"/>
          <w:szCs w:val="16"/>
          <w:color w:val="auto"/>
        </w:rPr>
        <w:t>providers and point solutions for clients with larger AUM.</w:t>
      </w:r>
    </w:p>
    <w:p>
      <w:pPr>
        <w:spacing w:after="0" w:line="203" w:lineRule="auto"/>
        <w:rPr>
          <w:sz w:val="20"/>
          <w:szCs w:val="20"/>
          <w:color w:val="auto"/>
        </w:rPr>
      </w:pPr>
      <w:r>
        <w:rPr>
          <w:rFonts w:ascii="Times New Roman" w:cs="Times New Roman" w:eastAsia="Times New Roman" w:hAnsi="Times New Roman"/>
          <w:sz w:val="16"/>
          <w:szCs w:val="16"/>
          <w:color w:val="auto"/>
        </w:rPr>
        <w:t>Competitors also include companies that serve multiple</w:t>
      </w:r>
    </w:p>
    <w:p>
      <w:pPr>
        <w:spacing w:after="0" w:line="204" w:lineRule="auto"/>
        <w:rPr>
          <w:sz w:val="20"/>
          <w:szCs w:val="20"/>
          <w:color w:val="auto"/>
        </w:rPr>
      </w:pPr>
      <w:r>
        <w:rPr>
          <w:rFonts w:ascii="Times New Roman" w:cs="Times New Roman" w:eastAsia="Times New Roman" w:hAnsi="Times New Roman"/>
          <w:sz w:val="16"/>
          <w:szCs w:val="16"/>
          <w:color w:val="auto"/>
        </w:rPr>
        <w:t>industries in addition to financial services with generalized</w:t>
      </w:r>
    </w:p>
    <w:p>
      <w:pPr>
        <w:spacing w:after="0" w:line="232" w:lineRule="auto"/>
        <w:rPr>
          <w:sz w:val="20"/>
          <w:szCs w:val="20"/>
          <w:color w:val="auto"/>
        </w:rPr>
      </w:pPr>
      <w:r>
        <w:rPr>
          <w:rFonts w:ascii="Times New Roman" w:cs="Times New Roman" w:eastAsia="Times New Roman" w:hAnsi="Times New Roman"/>
          <w:sz w:val="14"/>
          <w:szCs w:val="14"/>
          <w:color w:val="auto"/>
        </w:rPr>
        <w:t>solutions, such as business intelligence tools, data integrators,</w:t>
      </w:r>
    </w:p>
    <w:p>
      <w:pPr>
        <w:spacing w:after="0" w:line="204" w:lineRule="auto"/>
        <w:rPr>
          <w:sz w:val="20"/>
          <w:szCs w:val="20"/>
          <w:color w:val="auto"/>
        </w:rPr>
      </w:pPr>
      <w:r>
        <w:rPr>
          <w:rFonts w:ascii="Times New Roman" w:cs="Times New Roman" w:eastAsia="Times New Roman" w:hAnsi="Times New Roman"/>
          <w:sz w:val="16"/>
          <w:szCs w:val="16"/>
          <w:color w:val="auto"/>
        </w:rPr>
        <w:t>investigation platforms and software covering the broader</w:t>
      </w:r>
    </w:p>
    <w:p>
      <w:pPr>
        <w:spacing w:after="0"/>
        <w:rPr>
          <w:sz w:val="20"/>
          <w:szCs w:val="20"/>
          <w:color w:val="auto"/>
        </w:rPr>
      </w:pPr>
      <w:r>
        <w:rPr>
          <w:rFonts w:ascii="Times New Roman" w:cs="Times New Roman" w:eastAsia="Times New Roman" w:hAnsi="Times New Roman"/>
          <w:sz w:val="16"/>
          <w:szCs w:val="16"/>
          <w:color w:val="auto"/>
        </w:rPr>
        <w:t>compliance lifecycle. Moreover, established technology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companies have expanded into financial crime management</w:t>
      </w:r>
    </w:p>
    <w:p>
      <w:pPr>
        <w:spacing w:after="0" w:line="237" w:lineRule="auto"/>
        <w:rPr>
          <w:sz w:val="20"/>
          <w:szCs w:val="20"/>
          <w:color w:val="auto"/>
        </w:rPr>
      </w:pPr>
      <w:r>
        <w:rPr>
          <w:rFonts w:ascii="Times New Roman" w:cs="Times New Roman" w:eastAsia="Times New Roman" w:hAnsi="Times New Roman"/>
          <w:sz w:val="14"/>
          <w:szCs w:val="14"/>
          <w:color w:val="auto"/>
        </w:rPr>
        <w:t>by offering specialized solutions incorporating advanced data</w:t>
      </w:r>
    </w:p>
    <w:p>
      <w:pPr>
        <w:spacing w:after="0" w:line="203" w:lineRule="auto"/>
        <w:rPr>
          <w:sz w:val="20"/>
          <w:szCs w:val="20"/>
          <w:color w:val="auto"/>
        </w:rPr>
      </w:pPr>
      <w:r>
        <w:rPr>
          <w:rFonts w:ascii="Times New Roman" w:cs="Times New Roman" w:eastAsia="Times New Roman" w:hAnsi="Times New Roman"/>
          <w:sz w:val="16"/>
          <w:szCs w:val="16"/>
          <w:color w:val="auto"/>
        </w:rPr>
        <w:t>analytics, AI and machine learning technologies. The</w:t>
      </w:r>
    </w:p>
    <w:p>
      <w:pPr>
        <w:spacing w:after="0" w:line="204" w:lineRule="auto"/>
        <w:rPr>
          <w:sz w:val="20"/>
          <w:szCs w:val="20"/>
          <w:color w:val="auto"/>
        </w:rPr>
      </w:pPr>
      <w:r>
        <w:rPr>
          <w:rFonts w:ascii="Times New Roman" w:cs="Times New Roman" w:eastAsia="Times New Roman" w:hAnsi="Times New Roman"/>
          <w:sz w:val="16"/>
          <w:szCs w:val="16"/>
          <w:color w:val="auto"/>
        </w:rPr>
        <w:t>Financial Crime Management Technology and surveillance</w:t>
      </w:r>
    </w:p>
    <w:p>
      <w:pPr>
        <w:spacing w:after="0" w:line="203" w:lineRule="auto"/>
        <w:rPr>
          <w:sz w:val="20"/>
          <w:szCs w:val="20"/>
          <w:color w:val="auto"/>
        </w:rPr>
      </w:pPr>
      <w:r>
        <w:rPr>
          <w:rFonts w:ascii="Times New Roman" w:cs="Times New Roman" w:eastAsia="Times New Roman" w:hAnsi="Times New Roman"/>
          <w:sz w:val="16"/>
          <w:szCs w:val="16"/>
          <w:color w:val="auto"/>
        </w:rPr>
        <w:t>offerings compete on a number of factors, including but not</w:t>
      </w:r>
    </w:p>
    <w:p>
      <w:pPr>
        <w:spacing w:after="0" w:line="233" w:lineRule="auto"/>
        <w:rPr>
          <w:sz w:val="20"/>
          <w:szCs w:val="20"/>
          <w:color w:val="auto"/>
        </w:rPr>
      </w:pPr>
      <w:r>
        <w:rPr>
          <w:rFonts w:ascii="Times New Roman" w:cs="Times New Roman" w:eastAsia="Times New Roman" w:hAnsi="Times New Roman"/>
          <w:sz w:val="14"/>
          <w:szCs w:val="14"/>
          <w:color w:val="auto"/>
        </w:rPr>
        <w:t>limited to, increased workflow efficiency, quality of the data,</w:t>
      </w:r>
    </w:p>
    <w:p>
      <w:pPr>
        <w:spacing w:after="0" w:line="204" w:lineRule="auto"/>
        <w:rPr>
          <w:sz w:val="20"/>
          <w:szCs w:val="20"/>
          <w:color w:val="auto"/>
        </w:rPr>
      </w:pPr>
      <w:r>
        <w:rPr>
          <w:rFonts w:ascii="Times New Roman" w:cs="Times New Roman" w:eastAsia="Times New Roman" w:hAnsi="Times New Roman"/>
          <w:sz w:val="16"/>
          <w:szCs w:val="16"/>
          <w:color w:val="auto"/>
        </w:rPr>
        <w:t>quality of alerts and pricing.</w:t>
      </w:r>
    </w:p>
    <w:p>
      <w:pPr>
        <w:spacing w:after="0" w:line="203" w:lineRule="auto"/>
        <w:rPr>
          <w:sz w:val="20"/>
          <w:szCs w:val="20"/>
          <w:color w:val="auto"/>
        </w:rPr>
      </w:pPr>
      <w:r>
        <w:rPr>
          <w:rFonts w:ascii="Times New Roman" w:cs="Times New Roman" w:eastAsia="Times New Roman" w:hAnsi="Times New Roman"/>
          <w:sz w:val="16"/>
          <w:szCs w:val="16"/>
          <w:color w:val="auto"/>
        </w:rPr>
        <w:t>Competitors to our AxiomSL solutions, which support</w:t>
      </w:r>
    </w:p>
    <w:p>
      <w:pPr>
        <w:spacing w:after="0" w:line="204" w:lineRule="auto"/>
        <w:rPr>
          <w:sz w:val="20"/>
          <w:szCs w:val="20"/>
          <w:color w:val="auto"/>
        </w:rPr>
      </w:pPr>
      <w:r>
        <w:rPr>
          <w:rFonts w:ascii="Times New Roman" w:cs="Times New Roman" w:eastAsia="Times New Roman" w:hAnsi="Times New Roman"/>
          <w:sz w:val="16"/>
          <w:szCs w:val="16"/>
          <w:color w:val="auto"/>
        </w:rPr>
        <w:t>financial, statistical and prudential reporting as well as</w:t>
      </w:r>
    </w:p>
    <w:p>
      <w:pPr>
        <w:spacing w:after="0" w:line="203" w:lineRule="auto"/>
        <w:rPr>
          <w:sz w:val="20"/>
          <w:szCs w:val="20"/>
          <w:color w:val="auto"/>
        </w:rPr>
      </w:pPr>
      <w:r>
        <w:rPr>
          <w:rFonts w:ascii="Times New Roman" w:cs="Times New Roman" w:eastAsia="Times New Roman" w:hAnsi="Times New Roman"/>
          <w:sz w:val="16"/>
          <w:szCs w:val="16"/>
          <w:color w:val="auto"/>
        </w:rPr>
        <w:t>shareholder disclosures, trade reporting and ESG reporting,</w:t>
      </w:r>
    </w:p>
    <w:p>
      <w:pPr>
        <w:spacing w:after="0" w:line="157" w:lineRule="exact"/>
        <w:rPr>
          <w:sz w:val="20"/>
          <w:szCs w:val="20"/>
          <w:color w:val="auto"/>
        </w:rPr>
      </w:pPr>
      <w:r>
        <w:rPr>
          <w:rFonts w:ascii="Times New Roman" w:cs="Times New Roman" w:eastAsia="Times New Roman" w:hAnsi="Times New Roman"/>
          <w:sz w:val="16"/>
          <w:szCs w:val="16"/>
          <w:color w:val="auto"/>
        </w:rPr>
        <w:t>include large independent solution providers,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house</w:t>
      </w:r>
    </w:p>
    <w:p>
      <w:pPr>
        <w:spacing w:after="0" w:line="203" w:lineRule="auto"/>
        <w:rPr>
          <w:sz w:val="20"/>
          <w:szCs w:val="20"/>
          <w:color w:val="auto"/>
        </w:rPr>
      </w:pPr>
      <w:r>
        <w:rPr>
          <w:rFonts w:ascii="Times New Roman" w:cs="Times New Roman" w:eastAsia="Times New Roman" w:hAnsi="Times New Roman"/>
          <w:sz w:val="16"/>
          <w:szCs w:val="16"/>
          <w:color w:val="auto"/>
        </w:rPr>
        <w:t>solutions at financial institutions and smaller independent</w:t>
      </w:r>
    </w:p>
    <w:p>
      <w:pPr>
        <w:spacing w:after="0" w:line="204" w:lineRule="auto"/>
        <w:rPr>
          <w:sz w:val="20"/>
          <w:szCs w:val="20"/>
          <w:color w:val="auto"/>
        </w:rPr>
      </w:pPr>
      <w:r>
        <w:rPr>
          <w:rFonts w:ascii="Times New Roman" w:cs="Times New Roman" w:eastAsia="Times New Roman" w:hAnsi="Times New Roman"/>
          <w:sz w:val="16"/>
          <w:szCs w:val="16"/>
          <w:color w:val="auto"/>
        </w:rPr>
        <w:t>point solution providers. As regulatory reporting becomes</w:t>
      </w:r>
    </w:p>
    <w:p>
      <w:pPr>
        <w:spacing w:after="0" w:line="157" w:lineRule="exact"/>
        <w:rPr>
          <w:sz w:val="20"/>
          <w:szCs w:val="20"/>
          <w:color w:val="auto"/>
        </w:rPr>
      </w:pPr>
      <w:r>
        <w:rPr>
          <w:rFonts w:ascii="Times New Roman" w:cs="Times New Roman" w:eastAsia="Times New Roman" w:hAnsi="Times New Roman"/>
          <w:sz w:val="14"/>
          <w:szCs w:val="14"/>
          <w:color w:val="auto"/>
        </w:rPr>
        <w:t>more granular and time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sensitive, AxiomSL is differentiated</w:t>
      </w:r>
    </w:p>
    <w:p>
      <w:pPr>
        <w:spacing w:after="0" w:line="232" w:lineRule="auto"/>
        <w:rPr>
          <w:sz w:val="20"/>
          <w:szCs w:val="20"/>
          <w:color w:val="auto"/>
        </w:rPr>
      </w:pPr>
      <w:r>
        <w:rPr>
          <w:rFonts w:ascii="Times New Roman" w:cs="Times New Roman" w:eastAsia="Times New Roman" w:hAnsi="Times New Roman"/>
          <w:sz w:val="14"/>
          <w:szCs w:val="14"/>
          <w:color w:val="auto"/>
        </w:rPr>
        <w:t>by its ability to operate at speed and scale while maintaining</w:t>
      </w:r>
    </w:p>
    <w:p>
      <w:pPr>
        <w:spacing w:after="0" w:line="233" w:lineRule="auto"/>
        <w:rPr>
          <w:sz w:val="20"/>
          <w:szCs w:val="20"/>
          <w:color w:val="auto"/>
        </w:rPr>
      </w:pPr>
      <w:r>
        <w:rPr>
          <w:rFonts w:ascii="Times New Roman" w:cs="Times New Roman" w:eastAsia="Times New Roman" w:hAnsi="Times New Roman"/>
          <w:sz w:val="14"/>
          <w:szCs w:val="14"/>
          <w:color w:val="auto"/>
        </w:rPr>
        <w:t>consistency across functional business domains. In addition,</w:t>
      </w:r>
    </w:p>
    <w:p>
      <w:pPr>
        <w:spacing w:after="0" w:line="156" w:lineRule="exact"/>
        <w:rPr>
          <w:sz w:val="20"/>
          <w:szCs w:val="20"/>
          <w:color w:val="auto"/>
        </w:rPr>
      </w:pPr>
      <w:r>
        <w:rPr>
          <w:rFonts w:ascii="Times New Roman" w:cs="Times New Roman" w:eastAsia="Times New Roman" w:hAnsi="Times New Roman"/>
          <w:sz w:val="16"/>
          <w:szCs w:val="16"/>
          <w:color w:val="auto"/>
        </w:rPr>
        <w:t>Nasdaq’s deep,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platform AI integration provides</w:t>
      </w:r>
    </w:p>
    <w:p>
      <w:pPr>
        <w:spacing w:after="0" w:line="157" w:lineRule="exact"/>
        <w:rPr>
          <w:sz w:val="20"/>
          <w:szCs w:val="20"/>
          <w:color w:val="auto"/>
        </w:rPr>
      </w:pPr>
      <w:r>
        <w:rPr>
          <w:rFonts w:ascii="Times New Roman" w:cs="Times New Roman" w:eastAsia="Times New Roman" w:hAnsi="Times New Roman"/>
          <w:sz w:val="14"/>
          <w:szCs w:val="14"/>
          <w:color w:val="auto"/>
        </w:rPr>
        <w:t>proprietary, domain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focused capabilities, such as automated</w:t>
      </w:r>
    </w:p>
    <w:p>
      <w:pPr>
        <w:spacing w:after="0" w:line="233" w:lineRule="auto"/>
        <w:rPr>
          <w:sz w:val="20"/>
          <w:szCs w:val="20"/>
          <w:color w:val="auto"/>
        </w:rPr>
      </w:pPr>
      <w:r>
        <w:rPr>
          <w:rFonts w:ascii="Times New Roman" w:cs="Times New Roman" w:eastAsia="Times New Roman" w:hAnsi="Times New Roman"/>
          <w:sz w:val="14"/>
          <w:szCs w:val="14"/>
          <w:color w:val="auto"/>
        </w:rPr>
        <w:t>regulatory coding and intelligent anomaly detection, that are</w:t>
      </w:r>
    </w:p>
    <w:p>
      <w:pPr>
        <w:spacing w:after="0" w:line="203" w:lineRule="auto"/>
        <w:rPr>
          <w:sz w:val="20"/>
          <w:szCs w:val="20"/>
          <w:color w:val="auto"/>
        </w:rPr>
      </w:pPr>
      <w:r>
        <w:rPr>
          <w:rFonts w:ascii="Times New Roman" w:cs="Times New Roman" w:eastAsia="Times New Roman" w:hAnsi="Times New Roman"/>
          <w:sz w:val="16"/>
          <w:szCs w:val="16"/>
          <w:color w:val="auto"/>
        </w:rPr>
        <w:t>difficult to replicate and support AxiomSL’s competitive</w:t>
      </w:r>
    </w:p>
    <w:p>
      <w:pPr>
        <w:spacing w:after="0" w:line="204" w:lineRule="auto"/>
        <w:rPr>
          <w:sz w:val="20"/>
          <w:szCs w:val="20"/>
          <w:color w:val="auto"/>
        </w:rPr>
      </w:pPr>
      <w:r>
        <w:rPr>
          <w:rFonts w:ascii="Times New Roman" w:cs="Times New Roman" w:eastAsia="Times New Roman" w:hAnsi="Times New Roman"/>
          <w:sz w:val="16"/>
          <w:szCs w:val="16"/>
          <w:color w:val="auto"/>
        </w:rPr>
        <w:t>position.</w:t>
      </w:r>
    </w:p>
    <w:p>
      <w:pPr>
        <w:spacing w:after="0" w:line="196" w:lineRule="auto"/>
        <w:rPr>
          <w:sz w:val="20"/>
          <w:szCs w:val="20"/>
          <w:color w:val="auto"/>
        </w:rPr>
      </w:pPr>
      <w:r>
        <w:rPr>
          <w:rFonts w:ascii="Times New Roman" w:cs="Times New Roman" w:eastAsia="Times New Roman" w:hAnsi="Times New Roman"/>
          <w:sz w:val="16"/>
          <w:szCs w:val="16"/>
          <w:color w:val="auto"/>
        </w:rPr>
        <w:t>Competitors to our Calypso product, which provides</w:t>
      </w:r>
    </w:p>
    <w:p>
      <w:pPr>
        <w:spacing w:after="0" w:line="161" w:lineRule="exact"/>
        <w:rPr>
          <w:sz w:val="20"/>
          <w:szCs w:val="20"/>
          <w:color w:val="auto"/>
        </w:rPr>
      </w:pPr>
      <w:r>
        <w:rPr>
          <w:rFonts w:ascii="Times New Roman" w:cs="Times New Roman" w:eastAsia="Times New Roman" w:hAnsi="Times New Roman"/>
          <w:sz w:val="14"/>
          <w:szCs w:val="14"/>
          <w:color w:val="auto"/>
        </w:rPr>
        <w:t>cross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asset, front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back trading, treasury, risk and collateral</w:t>
      </w:r>
    </w:p>
    <w:p>
      <w:pPr>
        <w:spacing w:after="0" w:line="233" w:lineRule="auto"/>
        <w:rPr>
          <w:sz w:val="20"/>
          <w:szCs w:val="20"/>
          <w:color w:val="auto"/>
        </w:rPr>
      </w:pPr>
      <w:r>
        <w:rPr>
          <w:rFonts w:ascii="Times New Roman" w:cs="Times New Roman" w:eastAsia="Times New Roman" w:hAnsi="Times New Roman"/>
          <w:sz w:val="14"/>
          <w:szCs w:val="14"/>
          <w:color w:val="auto"/>
        </w:rPr>
        <w:t>management solutions, include enterprise solution providers,</w:t>
      </w:r>
    </w:p>
    <w:p>
      <w:pPr>
        <w:spacing w:after="0" w:line="204" w:lineRule="auto"/>
        <w:rPr>
          <w:sz w:val="20"/>
          <w:szCs w:val="20"/>
          <w:color w:val="auto"/>
        </w:rPr>
      </w:pPr>
      <w:r>
        <w:rPr>
          <w:rFonts w:ascii="Times New Roman" w:cs="Times New Roman" w:eastAsia="Times New Roman" w:hAnsi="Times New Roman"/>
          <w:sz w:val="16"/>
          <w:szCs w:val="16"/>
          <w:color w:val="auto"/>
        </w:rPr>
        <w:t>local and regional providers focused on smaller clients, and</w:t>
      </w:r>
    </w:p>
    <w:p>
      <w:pPr>
        <w:spacing w:after="0" w:line="203" w:lineRule="auto"/>
        <w:rPr>
          <w:sz w:val="20"/>
          <w:szCs w:val="20"/>
          <w:color w:val="auto"/>
        </w:rPr>
      </w:pPr>
      <w:r>
        <w:rPr>
          <w:rFonts w:ascii="Times New Roman" w:cs="Times New Roman" w:eastAsia="Times New Roman" w:hAnsi="Times New Roman"/>
          <w:sz w:val="16"/>
          <w:szCs w:val="16"/>
          <w:color w:val="auto"/>
        </w:rPr>
        <w:t>point solution providers, such as pricing libraries and</w:t>
      </w:r>
    </w:p>
    <w:p>
      <w:pPr>
        <w:spacing w:after="0" w:line="157" w:lineRule="exact"/>
        <w:rPr>
          <w:sz w:val="20"/>
          <w:szCs w:val="20"/>
          <w:color w:val="auto"/>
        </w:rPr>
      </w:pPr>
      <w:r>
        <w:rPr>
          <w:rFonts w:ascii="Times New Roman" w:cs="Times New Roman" w:eastAsia="Times New Roman" w:hAnsi="Times New Roman"/>
          <w:sz w:val="16"/>
          <w:szCs w:val="16"/>
          <w:color w:val="auto"/>
        </w:rPr>
        <w:t>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trade service providers. For larger clients, including</w:t>
      </w:r>
    </w:p>
    <w:p>
      <w:pPr>
        <w:spacing w:after="0" w:line="233" w:lineRule="auto"/>
        <w:rPr>
          <w:sz w:val="20"/>
          <w:szCs w:val="20"/>
          <w:color w:val="auto"/>
        </w:rPr>
      </w:pPr>
      <w:r>
        <w:rPr>
          <w:rFonts w:ascii="Times New Roman" w:cs="Times New Roman" w:eastAsia="Times New Roman" w:hAnsi="Times New Roman"/>
          <w:sz w:val="14"/>
          <w:szCs w:val="14"/>
          <w:color w:val="auto"/>
        </w:rPr>
        <w:t>global banks, competition also includes internally developed</w:t>
      </w:r>
    </w:p>
    <w:p>
      <w:pPr>
        <w:spacing w:after="0" w:line="203" w:lineRule="auto"/>
        <w:rPr>
          <w:sz w:val="20"/>
          <w:szCs w:val="20"/>
          <w:color w:val="auto"/>
        </w:rPr>
      </w:pPr>
      <w:r>
        <w:rPr>
          <w:rFonts w:ascii="Times New Roman" w:cs="Times New Roman" w:eastAsia="Times New Roman" w:hAnsi="Times New Roman"/>
          <w:sz w:val="16"/>
          <w:szCs w:val="16"/>
          <w:color w:val="auto"/>
        </w:rPr>
        <w:t>solutions. Calypso is differentiated by Nasdaq’s</w:t>
      </w:r>
    </w:p>
    <w:p>
      <w:pPr>
        <w:spacing w:after="0" w:line="157" w:lineRule="exact"/>
        <w:rPr>
          <w:sz w:val="20"/>
          <w:szCs w:val="20"/>
          <w:color w:val="auto"/>
        </w:rPr>
      </w:pPr>
      <w:r>
        <w:rPr>
          <w:rFonts w:ascii="Times New Roman" w:cs="Times New Roman" w:eastAsia="Times New Roman" w:hAnsi="Times New Roman"/>
          <w:sz w:val="14"/>
          <w:szCs w:val="14"/>
          <w:color w:val="auto"/>
        </w:rPr>
        <w:t>domain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specific intelligence, proprietary algorithms and deep</w:t>
      </w:r>
    </w:p>
    <w:p>
      <w:pPr>
        <w:spacing w:after="0" w:line="233" w:lineRule="auto"/>
        <w:rPr>
          <w:sz w:val="20"/>
          <w:szCs w:val="20"/>
          <w:color w:val="auto"/>
        </w:rPr>
      </w:pPr>
      <w:r>
        <w:rPr>
          <w:rFonts w:ascii="Times New Roman" w:cs="Times New Roman" w:eastAsia="Times New Roman" w:hAnsi="Times New Roman"/>
          <w:sz w:val="14"/>
          <w:szCs w:val="14"/>
          <w:color w:val="auto"/>
        </w:rPr>
        <w:t>product integration, which are designed to support scalability</w:t>
      </w:r>
    </w:p>
    <w:p>
      <w:pPr>
        <w:spacing w:after="0" w:line="203" w:lineRule="auto"/>
        <w:rPr>
          <w:sz w:val="20"/>
          <w:szCs w:val="20"/>
          <w:color w:val="auto"/>
        </w:rPr>
      </w:pPr>
      <w:r>
        <w:rPr>
          <w:rFonts w:ascii="Times New Roman" w:cs="Times New Roman" w:eastAsia="Times New Roman" w:hAnsi="Times New Roman"/>
          <w:sz w:val="16"/>
          <w:szCs w:val="16"/>
          <w:color w:val="auto"/>
        </w:rPr>
        <w:t>and continued relevance as competitors increasingly adopt</w:t>
      </w:r>
    </w:p>
    <w:p>
      <w:pPr>
        <w:spacing w:after="0" w:line="157" w:lineRule="exact"/>
        <w:rPr>
          <w:sz w:val="20"/>
          <w:szCs w:val="20"/>
          <w:color w:val="auto"/>
        </w:rPr>
      </w:pPr>
      <w:r>
        <w:rPr>
          <w:rFonts w:ascii="Times New Roman" w:cs="Times New Roman" w:eastAsia="Times New Roman" w:hAnsi="Times New Roman"/>
          <w:sz w:val="16"/>
          <w:szCs w:val="16"/>
          <w:color w:val="auto"/>
        </w:rPr>
        <w:t>generic large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language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model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approaches.</w:t>
      </w:r>
    </w:p>
    <w:p>
      <w:pPr>
        <w:spacing w:after="0" w:line="203" w:lineRule="auto"/>
        <w:rPr>
          <w:sz w:val="20"/>
          <w:szCs w:val="20"/>
          <w:color w:val="auto"/>
        </w:rPr>
      </w:pPr>
      <w:r>
        <w:rPr>
          <w:rFonts w:ascii="Times New Roman" w:cs="Times New Roman" w:eastAsia="Times New Roman" w:hAnsi="Times New Roman"/>
          <w:sz w:val="16"/>
          <w:szCs w:val="16"/>
          <w:color w:val="auto"/>
        </w:rPr>
        <w:t>Our market technology business competes with exchange</w:t>
      </w:r>
    </w:p>
    <w:p>
      <w:pPr>
        <w:spacing w:after="0" w:line="204" w:lineRule="auto"/>
        <w:rPr>
          <w:sz w:val="20"/>
          <w:szCs w:val="20"/>
          <w:color w:val="auto"/>
        </w:rPr>
      </w:pPr>
      <w:r>
        <w:rPr>
          <w:rFonts w:ascii="Times New Roman" w:cs="Times New Roman" w:eastAsia="Times New Roman" w:hAnsi="Times New Roman"/>
          <w:sz w:val="16"/>
          <w:szCs w:val="16"/>
          <w:color w:val="auto"/>
        </w:rPr>
        <w:t>operators that develop their own technology as well as with</w:t>
      </w:r>
    </w:p>
    <w:p>
      <w:pPr>
        <w:spacing w:after="0" w:line="203" w:lineRule="auto"/>
        <w:rPr>
          <w:sz w:val="20"/>
          <w:szCs w:val="20"/>
          <w:color w:val="auto"/>
        </w:rPr>
      </w:pPr>
      <w:r>
        <w:rPr>
          <w:rFonts w:ascii="Times New Roman" w:cs="Times New Roman" w:eastAsia="Times New Roman" w:hAnsi="Times New Roman"/>
          <w:sz w:val="16"/>
          <w:szCs w:val="16"/>
          <w:color w:val="auto"/>
        </w:rPr>
        <w:t>technology providers unaffiliated with exchanges. While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many operators historically relied on internally developed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w:t>
      </w:r>
    </w:p>
    <w:p>
      <w:pPr>
        <w:spacing w:after="0" w:line="232" w:lineRule="auto"/>
        <w:rPr>
          <w:sz w:val="20"/>
          <w:szCs w:val="20"/>
          <w:color w:val="auto"/>
        </w:rPr>
      </w:pPr>
      <w:r>
        <w:rPr>
          <w:rFonts w:ascii="Times New Roman" w:cs="Times New Roman" w:eastAsia="Times New Roman" w:hAnsi="Times New Roman"/>
          <w:sz w:val="14"/>
          <w:szCs w:val="14"/>
          <w:color w:val="auto"/>
        </w:rPr>
        <w:t>compete with exchanges operated by Cboe, ICE, MIAX, the</w:t>
      </w:r>
    </w:p>
    <w:p>
      <w:pPr>
        <w:spacing w:after="0" w:line="204" w:lineRule="auto"/>
        <w:rPr>
          <w:sz w:val="20"/>
          <w:szCs w:val="20"/>
          <w:color w:val="auto"/>
        </w:rPr>
      </w:pPr>
      <w:r>
        <w:rPr>
          <w:rFonts w:ascii="Times New Roman" w:cs="Times New Roman" w:eastAsia="Times New Roman" w:hAnsi="Times New Roman"/>
          <w:sz w:val="16"/>
          <w:szCs w:val="16"/>
          <w:color w:val="auto"/>
        </w:rPr>
        <w:t>TXSE Group, The Investors Exchange, MEMX and Long</w:t>
      </w:r>
    </w:p>
    <w:p>
      <w:pPr>
        <w:spacing w:after="0" w:line="232" w:lineRule="auto"/>
        <w:rPr>
          <w:sz w:val="20"/>
          <w:szCs w:val="20"/>
          <w:color w:val="auto"/>
        </w:rPr>
      </w:pPr>
      <w:r>
        <w:rPr>
          <w:rFonts w:ascii="Times New Roman" w:cs="Times New Roman" w:eastAsia="Times New Roman" w:hAnsi="Times New Roman"/>
          <w:sz w:val="14"/>
          <w:szCs w:val="14"/>
          <w:color w:val="auto"/>
        </w:rPr>
        <w:t>Term Stock Exchange. We also face competition from ATSs,</w:t>
      </w:r>
    </w:p>
    <w:p>
      <w:pPr>
        <w:spacing w:after="0" w:line="204" w:lineRule="auto"/>
        <w:rPr>
          <w:sz w:val="20"/>
          <w:szCs w:val="20"/>
          <w:color w:val="auto"/>
        </w:rPr>
      </w:pPr>
      <w:r>
        <w:rPr>
          <w:rFonts w:ascii="Times New Roman" w:cs="Times New Roman" w:eastAsia="Times New Roman" w:hAnsi="Times New Roman"/>
          <w:sz w:val="16"/>
          <w:szCs w:val="16"/>
          <w:color w:val="auto"/>
        </w:rPr>
        <w:t>known as “dark pools,” and other less-heavily regulated</w:t>
      </w:r>
    </w:p>
    <w:p>
      <w:pPr>
        <w:spacing w:after="0" w:line="232" w:lineRule="auto"/>
        <w:rPr>
          <w:sz w:val="20"/>
          <w:szCs w:val="20"/>
          <w:color w:val="auto"/>
        </w:rPr>
      </w:pPr>
      <w:r>
        <w:rPr>
          <w:rFonts w:ascii="Times New Roman" w:cs="Times New Roman" w:eastAsia="Times New Roman" w:hAnsi="Times New Roman"/>
          <w:sz w:val="14"/>
          <w:szCs w:val="14"/>
          <w:color w:val="auto"/>
        </w:rPr>
        <w:t>broker-owned trade facilitation systems, as well as from other</w:t>
      </w:r>
    </w:p>
    <w:p>
      <w:pPr>
        <w:spacing w:after="0" w:line="233" w:lineRule="auto"/>
        <w:rPr>
          <w:sz w:val="20"/>
          <w:szCs w:val="20"/>
          <w:color w:val="auto"/>
        </w:rPr>
      </w:pPr>
      <w:r>
        <w:rPr>
          <w:rFonts w:ascii="Times New Roman" w:cs="Times New Roman" w:eastAsia="Times New Roman" w:hAnsi="Times New Roman"/>
          <w:sz w:val="14"/>
          <w:szCs w:val="14"/>
          <w:color w:val="auto"/>
        </w:rPr>
        <w:t>types of OTC trading. In Canada, our cash equities exchange</w:t>
      </w:r>
    </w:p>
    <w:p>
      <w:pPr>
        <w:spacing w:after="0" w:line="203" w:lineRule="auto"/>
        <w:rPr>
          <w:sz w:val="20"/>
          <w:szCs w:val="20"/>
          <w:color w:val="auto"/>
        </w:rPr>
      </w:pPr>
      <w:r>
        <w:rPr>
          <w:rFonts w:ascii="Times New Roman" w:cs="Times New Roman" w:eastAsia="Times New Roman" w:hAnsi="Times New Roman"/>
          <w:sz w:val="16"/>
          <w:szCs w:val="16"/>
          <w:color w:val="auto"/>
        </w:rPr>
        <w:t>competes principally with exchanges such as the Toronto</w:t>
      </w:r>
    </w:p>
    <w:p>
      <w:pPr>
        <w:spacing w:after="0" w:line="204" w:lineRule="auto"/>
        <w:rPr>
          <w:sz w:val="20"/>
          <w:szCs w:val="20"/>
          <w:color w:val="auto"/>
        </w:rPr>
      </w:pPr>
      <w:r>
        <w:rPr>
          <w:rFonts w:ascii="Times New Roman" w:cs="Times New Roman" w:eastAsia="Times New Roman" w:hAnsi="Times New Roman"/>
          <w:sz w:val="16"/>
          <w:szCs w:val="16"/>
          <w:color w:val="auto"/>
        </w:rPr>
        <w:t>Stock Exchange, or TSX.</w:t>
      </w:r>
    </w:p>
    <w:p>
      <w:pPr>
        <w:spacing w:after="0" w:line="204" w:lineRule="auto"/>
        <w:rPr>
          <w:sz w:val="20"/>
          <w:szCs w:val="20"/>
          <w:color w:val="auto"/>
        </w:rPr>
      </w:pPr>
      <w:r>
        <w:rPr>
          <w:rFonts w:ascii="Times New Roman" w:cs="Times New Roman" w:eastAsia="Times New Roman" w:hAnsi="Times New Roman"/>
          <w:sz w:val="16"/>
          <w:szCs w:val="16"/>
          <w:color w:val="auto"/>
        </w:rPr>
        <w:t>Our U.S. Tape plans earn revenue from consolidated data</w:t>
      </w:r>
    </w:p>
    <w:p>
      <w:pPr>
        <w:spacing w:after="0" w:line="203" w:lineRule="auto"/>
        <w:rPr>
          <w:sz w:val="20"/>
          <w:szCs w:val="20"/>
          <w:color w:val="auto"/>
        </w:rPr>
      </w:pPr>
      <w:r>
        <w:rPr>
          <w:rFonts w:ascii="Times New Roman" w:cs="Times New Roman" w:eastAsia="Times New Roman" w:hAnsi="Times New Roman"/>
          <w:sz w:val="16"/>
          <w:szCs w:val="16"/>
          <w:color w:val="auto"/>
        </w:rPr>
        <w:t>products which are distributed by SEC-mandated</w:t>
      </w:r>
    </w:p>
    <w:p>
      <w:pPr>
        <w:spacing w:after="0" w:line="204" w:lineRule="auto"/>
        <w:rPr>
          <w:sz w:val="20"/>
          <w:szCs w:val="20"/>
          <w:color w:val="auto"/>
        </w:rPr>
      </w:pPr>
      <w:r>
        <w:rPr>
          <w:rFonts w:ascii="Times New Roman" w:cs="Times New Roman" w:eastAsia="Times New Roman" w:hAnsi="Times New Roman"/>
          <w:sz w:val="16"/>
          <w:szCs w:val="16"/>
          <w:color w:val="auto"/>
        </w:rPr>
        <w:t>consolidators (one for Nasdaq-listed stocks and another for</w:t>
      </w:r>
    </w:p>
    <w:p>
      <w:pPr>
        <w:spacing w:after="0" w:line="232" w:lineRule="auto"/>
        <w:rPr>
          <w:sz w:val="20"/>
          <w:szCs w:val="20"/>
          <w:color w:val="auto"/>
        </w:rPr>
      </w:pPr>
      <w:r>
        <w:rPr>
          <w:rFonts w:ascii="Times New Roman" w:cs="Times New Roman" w:eastAsia="Times New Roman" w:hAnsi="Times New Roman"/>
          <w:sz w:val="14"/>
          <w:szCs w:val="14"/>
          <w:color w:val="auto"/>
        </w:rPr>
        <w:t>NYSE and other-listed stocks) that share the revenue among</w:t>
      </w:r>
    </w:p>
    <w:p>
      <w:pPr>
        <w:spacing w:after="0" w:line="204" w:lineRule="auto"/>
        <w:rPr>
          <w:sz w:val="20"/>
          <w:szCs w:val="20"/>
          <w:color w:val="auto"/>
        </w:rPr>
      </w:pPr>
      <w:r>
        <w:rPr>
          <w:rFonts w:ascii="Times New Roman" w:cs="Times New Roman" w:eastAsia="Times New Roman" w:hAnsi="Times New Roman"/>
          <w:sz w:val="16"/>
          <w:szCs w:val="16"/>
          <w:color w:val="auto"/>
        </w:rPr>
        <w:t>the exchanges that contribute data. The consolidated data</w:t>
      </w:r>
    </w:p>
    <w:p>
      <w:pPr>
        <w:spacing w:after="0" w:line="203" w:lineRule="auto"/>
        <w:rPr>
          <w:sz w:val="20"/>
          <w:szCs w:val="20"/>
          <w:color w:val="auto"/>
        </w:rPr>
      </w:pPr>
      <w:r>
        <w:rPr>
          <w:rFonts w:ascii="Times New Roman" w:cs="Times New Roman" w:eastAsia="Times New Roman" w:hAnsi="Times New Roman"/>
          <w:sz w:val="16"/>
          <w:szCs w:val="16"/>
          <w:color w:val="auto"/>
        </w:rPr>
        <w:t>business is under competitive pressure from other securities</w:t>
      </w:r>
    </w:p>
    <w:p>
      <w:pPr>
        <w:spacing w:after="0" w:line="204" w:lineRule="auto"/>
        <w:rPr>
          <w:sz w:val="20"/>
          <w:szCs w:val="20"/>
          <w:color w:val="auto"/>
        </w:rPr>
      </w:pPr>
      <w:r>
        <w:rPr>
          <w:rFonts w:ascii="Times New Roman" w:cs="Times New Roman" w:eastAsia="Times New Roman" w:hAnsi="Times New Roman"/>
          <w:sz w:val="16"/>
          <w:szCs w:val="16"/>
          <w:color w:val="auto"/>
        </w:rPr>
        <w:t>exchanges that trade Nasdaq-listed securities. In addition,</w:t>
      </w:r>
    </w:p>
    <w:p>
      <w:pPr>
        <w:spacing w:after="0" w:line="203" w:lineRule="auto"/>
        <w:rPr>
          <w:sz w:val="20"/>
          <w:szCs w:val="20"/>
          <w:color w:val="auto"/>
        </w:rPr>
      </w:pPr>
      <w:r>
        <w:rPr>
          <w:rFonts w:ascii="Times New Roman" w:cs="Times New Roman" w:eastAsia="Times New Roman" w:hAnsi="Times New Roman"/>
          <w:sz w:val="16"/>
          <w:szCs w:val="16"/>
          <w:color w:val="auto"/>
        </w:rPr>
        <w:t>The Nasdaq Stock Market similarly competes for the tape</w:t>
      </w:r>
    </w:p>
    <w:p>
      <w:pPr>
        <w:spacing w:after="0" w:line="233" w:lineRule="auto"/>
        <w:rPr>
          <w:sz w:val="20"/>
          <w:szCs w:val="20"/>
          <w:color w:val="auto"/>
        </w:rPr>
      </w:pPr>
      <w:r>
        <w:rPr>
          <w:rFonts w:ascii="Times New Roman" w:cs="Times New Roman" w:eastAsia="Times New Roman" w:hAnsi="Times New Roman"/>
          <w:sz w:val="14"/>
          <w:szCs w:val="14"/>
          <w:color w:val="auto"/>
        </w:rPr>
        <w:t>fees from the sale of information on securities listed on other</w:t>
      </w:r>
    </w:p>
    <w:p>
      <w:pPr>
        <w:spacing w:after="0" w:line="204" w:lineRule="auto"/>
        <w:rPr>
          <w:sz w:val="20"/>
          <w:szCs w:val="20"/>
          <w:color w:val="auto"/>
        </w:rPr>
      </w:pPr>
      <w:r>
        <w:rPr>
          <w:rFonts w:ascii="Times New Roman" w:cs="Times New Roman" w:eastAsia="Times New Roman" w:hAnsi="Times New Roman"/>
          <w:sz w:val="16"/>
          <w:szCs w:val="16"/>
          <w:color w:val="auto"/>
        </w:rPr>
        <w:t>markets.</w:t>
      </w:r>
    </w:p>
    <w:p>
      <w:pPr>
        <w:spacing w:after="0" w:line="232" w:lineRule="auto"/>
        <w:rPr>
          <w:sz w:val="20"/>
          <w:szCs w:val="20"/>
          <w:color w:val="auto"/>
        </w:rPr>
      </w:pPr>
      <w:r>
        <w:rPr>
          <w:rFonts w:ascii="Times New Roman" w:cs="Times New Roman" w:eastAsia="Times New Roman" w:hAnsi="Times New Roman"/>
          <w:sz w:val="14"/>
          <w:szCs w:val="14"/>
          <w:color w:val="auto"/>
        </w:rPr>
        <w:t>In Europe, our cash equities markets compete with exchanges</w:t>
      </w:r>
    </w:p>
    <w:p>
      <w:pPr>
        <w:spacing w:after="0" w:line="204" w:lineRule="auto"/>
        <w:rPr>
          <w:sz w:val="20"/>
          <w:szCs w:val="20"/>
          <w:color w:val="auto"/>
        </w:rPr>
      </w:pPr>
      <w:r>
        <w:rPr>
          <w:rFonts w:ascii="Times New Roman" w:cs="Times New Roman" w:eastAsia="Times New Roman" w:hAnsi="Times New Roman"/>
          <w:sz w:val="16"/>
          <w:szCs w:val="16"/>
          <w:color w:val="auto"/>
        </w:rPr>
        <w:t>such as Euronext N.V., Deutsche Börse AG, London Stock</w:t>
      </w:r>
    </w:p>
    <w:p>
      <w:pPr>
        <w:spacing w:after="0" w:line="232" w:lineRule="auto"/>
        <w:rPr>
          <w:sz w:val="20"/>
          <w:szCs w:val="20"/>
          <w:color w:val="auto"/>
        </w:rPr>
      </w:pPr>
      <w:r>
        <w:rPr>
          <w:rFonts w:ascii="Times New Roman" w:cs="Times New Roman" w:eastAsia="Times New Roman" w:hAnsi="Times New Roman"/>
          <w:sz w:val="14"/>
          <w:szCs w:val="14"/>
          <w:color w:val="auto"/>
        </w:rPr>
        <w:t>Exchange Group plc, or LSE, and many Multilateral Trading</w:t>
      </w:r>
    </w:p>
    <w:p>
      <w:pPr>
        <w:spacing w:after="0" w:line="233" w:lineRule="auto"/>
        <w:rPr>
          <w:sz w:val="20"/>
          <w:szCs w:val="20"/>
          <w:color w:val="auto"/>
        </w:rPr>
      </w:pPr>
      <w:r>
        <w:rPr>
          <w:rFonts w:ascii="Times New Roman" w:cs="Times New Roman" w:eastAsia="Times New Roman" w:hAnsi="Times New Roman"/>
          <w:sz w:val="14"/>
          <w:szCs w:val="14"/>
          <w:color w:val="auto"/>
        </w:rPr>
        <w:t>Facilities, or MTFs, such as Cboe, Turquoise and Aquis. Our</w:t>
      </w:r>
    </w:p>
    <w:p>
      <w:pPr>
        <w:spacing w:after="0" w:line="233" w:lineRule="auto"/>
        <w:rPr>
          <w:sz w:val="20"/>
          <w:szCs w:val="20"/>
          <w:color w:val="auto"/>
        </w:rPr>
      </w:pPr>
      <w:r>
        <w:rPr>
          <w:rFonts w:ascii="Times New Roman" w:cs="Times New Roman" w:eastAsia="Times New Roman" w:hAnsi="Times New Roman"/>
          <w:sz w:val="14"/>
          <w:szCs w:val="14"/>
          <w:color w:val="auto"/>
        </w:rPr>
        <w:t>competitors in the trading and clearing of options and futures</w:t>
      </w:r>
    </w:p>
    <w:p>
      <w:pPr>
        <w:spacing w:after="0" w:line="203" w:lineRule="auto"/>
        <w:rPr>
          <w:sz w:val="20"/>
          <w:szCs w:val="20"/>
          <w:color w:val="auto"/>
        </w:rPr>
      </w:pPr>
      <w:r>
        <w:rPr>
          <w:rFonts w:ascii="Times New Roman" w:cs="Times New Roman" w:eastAsia="Times New Roman" w:hAnsi="Times New Roman"/>
          <w:sz w:val="16"/>
          <w:szCs w:val="16"/>
          <w:color w:val="auto"/>
        </w:rPr>
        <w:t>on European equities include Eurex, Cboe, ICE Futures</w:t>
      </w:r>
    </w:p>
    <w:p>
      <w:pPr>
        <w:spacing w:after="0" w:line="233" w:lineRule="auto"/>
        <w:rPr>
          <w:sz w:val="20"/>
          <w:szCs w:val="20"/>
          <w:color w:val="auto"/>
        </w:rPr>
      </w:pPr>
      <w:r>
        <w:rPr>
          <w:rFonts w:ascii="Times New Roman" w:cs="Times New Roman" w:eastAsia="Times New Roman" w:hAnsi="Times New Roman"/>
          <w:sz w:val="14"/>
          <w:szCs w:val="14"/>
          <w:color w:val="auto"/>
        </w:rPr>
        <w:t>Europe and London Clearing House, or LCH. In addition, in</w:t>
      </w:r>
    </w:p>
    <w:p>
      <w:pPr>
        <w:spacing w:after="0" w:line="203" w:lineRule="auto"/>
        <w:rPr>
          <w:sz w:val="20"/>
          <w:szCs w:val="20"/>
          <w:color w:val="auto"/>
        </w:rPr>
      </w:pPr>
      <w:r>
        <w:rPr>
          <w:rFonts w:ascii="Times New Roman" w:cs="Times New Roman" w:eastAsia="Times New Roman" w:hAnsi="Times New Roman"/>
          <w:sz w:val="16"/>
          <w:szCs w:val="16"/>
          <w:color w:val="auto"/>
        </w:rPr>
        <w:t>equities markets in Europe, we face competition from other</w:t>
      </w:r>
    </w:p>
    <w:p>
      <w:pPr>
        <w:spacing w:after="0" w:line="233" w:lineRule="auto"/>
        <w:rPr>
          <w:sz w:val="20"/>
          <w:szCs w:val="20"/>
          <w:color w:val="auto"/>
        </w:rPr>
      </w:pPr>
      <w:r>
        <w:rPr>
          <w:rFonts w:ascii="Times New Roman" w:cs="Times New Roman" w:eastAsia="Times New Roman" w:hAnsi="Times New Roman"/>
          <w:sz w:val="14"/>
          <w:szCs w:val="14"/>
          <w:color w:val="auto"/>
        </w:rPr>
        <w:t>broker-owned systems, dark pools, Systematic Internalizers,</w:t>
      </w:r>
    </w:p>
    <w:p>
      <w:pPr>
        <w:spacing w:after="0" w:line="204" w:lineRule="auto"/>
        <w:rPr>
          <w:sz w:val="20"/>
          <w:szCs w:val="20"/>
          <w:color w:val="auto"/>
        </w:rPr>
      </w:pPr>
      <w:r>
        <w:rPr>
          <w:rFonts w:ascii="Times New Roman" w:cs="Times New Roman" w:eastAsia="Times New Roman" w:hAnsi="Times New Roman"/>
          <w:sz w:val="16"/>
          <w:szCs w:val="16"/>
          <w:color w:val="auto"/>
        </w:rPr>
        <w:t>or SIs, and other types of OTC trading. Competition among</w:t>
      </w:r>
    </w:p>
    <w:p>
      <w:pPr>
        <w:spacing w:after="0" w:line="203" w:lineRule="auto"/>
        <w:rPr>
          <w:sz w:val="20"/>
          <w:szCs w:val="20"/>
          <w:color w:val="auto"/>
        </w:rPr>
      </w:pPr>
      <w:r>
        <w:rPr>
          <w:rFonts w:ascii="Times New Roman" w:cs="Times New Roman" w:eastAsia="Times New Roman" w:hAnsi="Times New Roman"/>
          <w:sz w:val="16"/>
          <w:szCs w:val="16"/>
          <w:color w:val="auto"/>
        </w:rPr>
        <w:t>exchanges for trading European equity derivatives tends to</w:t>
      </w:r>
    </w:p>
    <w:p>
      <w:pPr>
        <w:spacing w:after="0" w:line="204" w:lineRule="auto"/>
        <w:rPr>
          <w:sz w:val="20"/>
          <w:szCs w:val="20"/>
          <w:color w:val="auto"/>
        </w:rPr>
      </w:pPr>
      <w:r>
        <w:rPr>
          <w:rFonts w:ascii="Times New Roman" w:cs="Times New Roman" w:eastAsia="Times New Roman" w:hAnsi="Times New Roman"/>
          <w:sz w:val="16"/>
          <w:szCs w:val="16"/>
          <w:color w:val="auto"/>
        </w:rPr>
        <w:t>occur where there is competition in the trading of the</w:t>
      </w:r>
    </w:p>
    <w:p>
      <w:pPr>
        <w:spacing w:after="0" w:line="203" w:lineRule="auto"/>
        <w:rPr>
          <w:sz w:val="20"/>
          <w:szCs w:val="20"/>
          <w:color w:val="auto"/>
        </w:rPr>
      </w:pPr>
      <w:r>
        <w:rPr>
          <w:rFonts w:ascii="Times New Roman" w:cs="Times New Roman" w:eastAsia="Times New Roman" w:hAnsi="Times New Roman"/>
          <w:sz w:val="16"/>
          <w:szCs w:val="16"/>
          <w:color w:val="auto"/>
        </w:rPr>
        <w:t>underlying equities. In addition to exchange-based</w:t>
      </w:r>
    </w:p>
    <w:p>
      <w:pPr>
        <w:spacing w:after="0" w:line="204" w:lineRule="auto"/>
        <w:rPr>
          <w:sz w:val="20"/>
          <w:szCs w:val="20"/>
          <w:color w:val="auto"/>
        </w:rPr>
      </w:pPr>
      <w:r>
        <w:rPr>
          <w:rFonts w:ascii="Times New Roman" w:cs="Times New Roman" w:eastAsia="Times New Roman" w:hAnsi="Times New Roman"/>
          <w:sz w:val="16"/>
          <w:szCs w:val="16"/>
          <w:color w:val="auto"/>
        </w:rPr>
        <w:t>competition, we face competition from OTC derivative</w:t>
      </w:r>
    </w:p>
    <w:p>
      <w:pPr>
        <w:spacing w:after="0" w:line="203" w:lineRule="auto"/>
        <w:rPr>
          <w:sz w:val="20"/>
          <w:szCs w:val="20"/>
          <w:color w:val="auto"/>
        </w:rPr>
      </w:pPr>
      <w:r>
        <w:rPr>
          <w:rFonts w:ascii="Times New Roman" w:cs="Times New Roman" w:eastAsia="Times New Roman" w:hAnsi="Times New Roman"/>
          <w:sz w:val="16"/>
          <w:szCs w:val="16"/>
          <w:color w:val="auto"/>
        </w:rPr>
        <w:t>markets.</w:t>
      </w:r>
    </w:p>
    <w:p>
      <w:pPr>
        <w:spacing w:after="0" w:line="204" w:lineRule="auto"/>
        <w:rPr>
          <w:sz w:val="20"/>
          <w:szCs w:val="20"/>
          <w:color w:val="auto"/>
        </w:rPr>
      </w:pPr>
      <w:r>
        <w:rPr>
          <w:rFonts w:ascii="Times New Roman" w:cs="Times New Roman" w:eastAsia="Times New Roman" w:hAnsi="Times New Roman"/>
          <w:sz w:val="16"/>
          <w:szCs w:val="16"/>
          <w:color w:val="auto"/>
        </w:rPr>
        <w:t>MiFID II and MiFIR have resulted in further competitive</w:t>
      </w:r>
    </w:p>
    <w:p>
      <w:pPr>
        <w:spacing w:after="0" w:line="233" w:lineRule="auto"/>
        <w:rPr>
          <w:sz w:val="20"/>
          <w:szCs w:val="20"/>
          <w:color w:val="auto"/>
        </w:rPr>
      </w:pPr>
      <w:r>
        <w:rPr>
          <w:rFonts w:ascii="Times New Roman" w:cs="Times New Roman" w:eastAsia="Times New Roman" w:hAnsi="Times New Roman"/>
          <w:sz w:val="14"/>
          <w:szCs w:val="14"/>
          <w:color w:val="auto"/>
        </w:rPr>
        <w:t>pressure on our European trading business. SIs are attracting</w:t>
      </w:r>
    </w:p>
    <w:p>
      <w:pPr>
        <w:spacing w:after="0" w:line="203" w:lineRule="auto"/>
        <w:rPr>
          <w:sz w:val="20"/>
          <w:szCs w:val="20"/>
          <w:color w:val="auto"/>
        </w:rPr>
      </w:pPr>
      <w:r>
        <w:rPr>
          <w:rFonts w:ascii="Times New Roman" w:cs="Times New Roman" w:eastAsia="Times New Roman" w:hAnsi="Times New Roman"/>
          <w:sz w:val="16"/>
          <w:szCs w:val="16"/>
          <w:color w:val="auto"/>
        </w:rPr>
        <w:t>a significant share of electronically matched volume and</w:t>
      </w:r>
    </w:p>
    <w:p>
      <w:pPr>
        <w:spacing w:after="0" w:line="204" w:lineRule="auto"/>
        <w:rPr>
          <w:sz w:val="20"/>
          <w:szCs w:val="20"/>
          <w:color w:val="auto"/>
        </w:rPr>
      </w:pPr>
      <w:r>
        <w:rPr>
          <w:rFonts w:ascii="Times New Roman" w:cs="Times New Roman" w:eastAsia="Times New Roman" w:hAnsi="Times New Roman"/>
          <w:sz w:val="16"/>
          <w:szCs w:val="16"/>
          <w:color w:val="auto"/>
        </w:rPr>
        <w:t>compete aggressively for the trading of equity securities</w:t>
      </w:r>
    </w:p>
    <w:p>
      <w:pPr>
        <w:spacing w:after="0" w:line="203" w:lineRule="auto"/>
        <w:rPr>
          <w:sz w:val="20"/>
          <w:szCs w:val="20"/>
          <w:color w:val="auto"/>
        </w:rPr>
      </w:pPr>
      <w:r>
        <w:rPr>
          <w:rFonts w:ascii="Times New Roman" w:cs="Times New Roman" w:eastAsia="Times New Roman" w:hAnsi="Times New Roman"/>
          <w:sz w:val="16"/>
          <w:szCs w:val="16"/>
          <w:color w:val="auto"/>
        </w:rPr>
        <w:t>listed on our Nordic exchanges. Different bilateral trading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systems pursuing block business also remain active in</w:t>
      </w:r>
    </w:p>
    <w:p>
      <w:pPr>
        <w:sectPr>
          <w:pgSz w:w="11900" w:h="16840" w:orient="portrait"/>
          <w:cols w:equalWidth="0" w:num="1">
            <w:col w:w="9400"/>
          </w:cols>
          <w:pgMar w:left="1060" w:top="547" w:right="1440" w:bottom="104"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Europe.</w:t>
      </w:r>
    </w:p>
    <w:p>
      <w:pPr>
        <w:spacing w:after="0"/>
        <w:rPr>
          <w:sz w:val="20"/>
          <w:szCs w:val="20"/>
          <w:color w:val="auto"/>
        </w:rPr>
      </w:pPr>
      <w:r>
        <w:rPr>
          <w:rFonts w:ascii="Times New Roman" w:cs="Times New Roman" w:eastAsia="Times New Roman" w:hAnsi="Times New Roman"/>
          <w:sz w:val="16"/>
          <w:szCs w:val="16"/>
          <w:color w:val="auto"/>
        </w:rPr>
        <w:t>Our European fixed income and commodities products and</w:t>
      </w:r>
    </w:p>
    <w:p>
      <w:pPr>
        <w:spacing w:after="0" w:line="229" w:lineRule="auto"/>
        <w:rPr>
          <w:sz w:val="20"/>
          <w:szCs w:val="20"/>
          <w:color w:val="auto"/>
        </w:rPr>
      </w:pPr>
      <w:r>
        <w:rPr>
          <w:rFonts w:ascii="Times New Roman" w:cs="Times New Roman" w:eastAsia="Times New Roman" w:hAnsi="Times New Roman"/>
          <w:sz w:val="16"/>
          <w:szCs w:val="16"/>
          <w:color w:val="auto"/>
        </w:rPr>
        <w:t>services are subject to competitive pressure from European</w:t>
      </w:r>
    </w:p>
    <w:p>
      <w:pPr>
        <w:spacing w:after="0" w:line="204" w:lineRule="auto"/>
        <w:rPr>
          <w:sz w:val="20"/>
          <w:szCs w:val="20"/>
          <w:color w:val="auto"/>
        </w:rPr>
      </w:pPr>
      <w:r>
        <w:rPr>
          <w:rFonts w:ascii="Times New Roman" w:cs="Times New Roman" w:eastAsia="Times New Roman" w:hAnsi="Times New Roman"/>
          <w:sz w:val="16"/>
          <w:szCs w:val="16"/>
          <w:color w:val="auto"/>
        </w:rPr>
        <w:t>exchanges and clearinghouses.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04" w:lineRule="auto"/>
        <w:rPr>
          <w:sz w:val="20"/>
          <w:szCs w:val="20"/>
          <w:color w:val="auto"/>
        </w:rPr>
      </w:pPr>
      <w:r>
        <w:rPr>
          <w:rFonts w:ascii="Times New Roman" w:cs="Times New Roman" w:eastAsia="Times New Roman" w:hAnsi="Times New Roman"/>
          <w:sz w:val="16"/>
          <w:szCs w:val="16"/>
          <w:color w:val="auto"/>
        </w:rPr>
        <w:t>We believe that our IP assets are important for maintaining</w:t>
      </w:r>
    </w:p>
    <w:p>
      <w:pPr>
        <w:spacing w:after="0" w:line="203" w:lineRule="auto"/>
        <w:rPr>
          <w:sz w:val="20"/>
          <w:szCs w:val="20"/>
          <w:color w:val="auto"/>
        </w:rPr>
      </w:pPr>
      <w:r>
        <w:rPr>
          <w:rFonts w:ascii="Times New Roman" w:cs="Times New Roman" w:eastAsia="Times New Roman" w:hAnsi="Times New Roman"/>
          <w:sz w:val="16"/>
          <w:szCs w:val="16"/>
          <w:color w:val="auto"/>
        </w:rPr>
        <w:t>the competitive differentiation of our products, systems,</w:t>
      </w:r>
    </w:p>
    <w:p>
      <w:pPr>
        <w:spacing w:after="0" w:line="204" w:lineRule="auto"/>
        <w:rPr>
          <w:sz w:val="20"/>
          <w:szCs w:val="20"/>
          <w:color w:val="auto"/>
        </w:rPr>
      </w:pPr>
      <w:r>
        <w:rPr>
          <w:rFonts w:ascii="Times New Roman" w:cs="Times New Roman" w:eastAsia="Times New Roman" w:hAnsi="Times New Roman"/>
          <w:sz w:val="16"/>
          <w:szCs w:val="16"/>
          <w:color w:val="auto"/>
        </w:rPr>
        <w:t>software and services, enhancing our ability to access</w:t>
      </w:r>
    </w:p>
    <w:p>
      <w:pPr>
        <w:spacing w:after="0" w:line="204" w:lineRule="auto"/>
        <w:rPr>
          <w:sz w:val="20"/>
          <w:szCs w:val="20"/>
          <w:color w:val="auto"/>
        </w:rPr>
      </w:pPr>
      <w:r>
        <w:rPr>
          <w:rFonts w:ascii="Times New Roman" w:cs="Times New Roman" w:eastAsia="Times New Roman" w:hAnsi="Times New Roman"/>
          <w:sz w:val="16"/>
          <w:szCs w:val="16"/>
          <w:color w:val="auto"/>
        </w:rPr>
        <w:t>technology of third parties and maximizing our return on</w:t>
      </w:r>
    </w:p>
    <w:p>
      <w:pPr>
        <w:spacing w:after="0" w:line="203" w:lineRule="auto"/>
        <w:rPr>
          <w:sz w:val="20"/>
          <w:szCs w:val="20"/>
          <w:color w:val="auto"/>
        </w:rPr>
      </w:pPr>
      <w:r>
        <w:rPr>
          <w:rFonts w:ascii="Times New Roman" w:cs="Times New Roman" w:eastAsia="Times New Roman" w:hAnsi="Times New Roman"/>
          <w:sz w:val="16"/>
          <w:szCs w:val="16"/>
          <w:color w:val="auto"/>
        </w:rPr>
        <w:t>research and development investments.</w:t>
      </w:r>
    </w:p>
    <w:p>
      <w:pPr>
        <w:spacing w:after="0" w:line="204" w:lineRule="auto"/>
        <w:rPr>
          <w:sz w:val="20"/>
          <w:szCs w:val="20"/>
          <w:color w:val="auto"/>
        </w:rPr>
      </w:pPr>
      <w:r>
        <w:rPr>
          <w:rFonts w:ascii="Times New Roman" w:cs="Times New Roman" w:eastAsia="Times New Roman" w:hAnsi="Times New Roman"/>
          <w:sz w:val="16"/>
          <w:szCs w:val="16"/>
          <w:color w:val="auto"/>
        </w:rPr>
        <w:t>To support our business objectives and benefit from our</w:t>
      </w:r>
    </w:p>
    <w:p>
      <w:pPr>
        <w:spacing w:after="0" w:line="232" w:lineRule="auto"/>
        <w:rPr>
          <w:sz w:val="20"/>
          <w:szCs w:val="20"/>
          <w:color w:val="auto"/>
        </w:rPr>
      </w:pPr>
      <w:r>
        <w:rPr>
          <w:rFonts w:ascii="Times New Roman" w:cs="Times New Roman" w:eastAsia="Times New Roman" w:hAnsi="Times New Roman"/>
          <w:sz w:val="14"/>
          <w:szCs w:val="14"/>
          <w:color w:val="auto"/>
        </w:rPr>
        <w:t>investments in research and development, we actively create</w:t>
      </w:r>
    </w:p>
    <w:p>
      <w:pPr>
        <w:spacing w:after="0" w:line="233" w:lineRule="auto"/>
        <w:rPr>
          <w:sz w:val="20"/>
          <w:szCs w:val="20"/>
          <w:color w:val="auto"/>
        </w:rPr>
      </w:pPr>
      <w:r>
        <w:rPr>
          <w:rFonts w:ascii="Times New Roman" w:cs="Times New Roman" w:eastAsia="Times New Roman" w:hAnsi="Times New Roman"/>
          <w:sz w:val="14"/>
          <w:szCs w:val="14"/>
          <w:color w:val="auto"/>
        </w:rPr>
        <w:t>and maintain a wide array of IP assets, including patents and</w:t>
      </w:r>
    </w:p>
    <w:p>
      <w:pPr>
        <w:spacing w:after="0" w:line="203" w:lineRule="auto"/>
        <w:rPr>
          <w:sz w:val="20"/>
          <w:szCs w:val="20"/>
          <w:color w:val="auto"/>
        </w:rPr>
      </w:pPr>
      <w:r>
        <w:rPr>
          <w:rFonts w:ascii="Times New Roman" w:cs="Times New Roman" w:eastAsia="Times New Roman" w:hAnsi="Times New Roman"/>
          <w:sz w:val="16"/>
          <w:szCs w:val="16"/>
          <w:color w:val="auto"/>
        </w:rPr>
        <w:t>patent applications related to our innovations, products and</w:t>
      </w:r>
    </w:p>
    <w:p>
      <w:pPr>
        <w:spacing w:after="0" w:line="204" w:lineRule="auto"/>
        <w:rPr>
          <w:sz w:val="20"/>
          <w:szCs w:val="20"/>
          <w:color w:val="auto"/>
        </w:rPr>
      </w:pPr>
      <w:r>
        <w:rPr>
          <w:rFonts w:ascii="Times New Roman" w:cs="Times New Roman" w:eastAsia="Times New Roman" w:hAnsi="Times New Roman"/>
          <w:sz w:val="16"/>
          <w:szCs w:val="16"/>
          <w:color w:val="auto"/>
        </w:rPr>
        <w:t>services; trademarks related to our brands, products and</w:t>
      </w:r>
    </w:p>
    <w:p>
      <w:pPr>
        <w:spacing w:after="0" w:line="204" w:lineRule="auto"/>
        <w:rPr>
          <w:sz w:val="20"/>
          <w:szCs w:val="20"/>
          <w:color w:val="auto"/>
        </w:rPr>
      </w:pPr>
      <w:r>
        <w:rPr>
          <w:rFonts w:ascii="Times New Roman" w:cs="Times New Roman" w:eastAsia="Times New Roman" w:hAnsi="Times New Roman"/>
          <w:sz w:val="16"/>
          <w:szCs w:val="16"/>
          <w:color w:val="auto"/>
        </w:rPr>
        <w:t>services; copyrights in software and creative content; trade</w:t>
      </w:r>
    </w:p>
    <w:p>
      <w:pPr>
        <w:spacing w:after="0" w:line="232" w:lineRule="auto"/>
        <w:rPr>
          <w:sz w:val="20"/>
          <w:szCs w:val="20"/>
          <w:color w:val="auto"/>
        </w:rPr>
      </w:pPr>
      <w:r>
        <w:rPr>
          <w:rFonts w:ascii="Times New Roman" w:cs="Times New Roman" w:eastAsia="Times New Roman" w:hAnsi="Times New Roman"/>
          <w:sz w:val="14"/>
          <w:szCs w:val="14"/>
          <w:color w:val="auto"/>
        </w:rPr>
        <w:t>secrets; and through other IP rights, licenses of various kinds</w:t>
      </w:r>
    </w:p>
    <w:p>
      <w:pPr>
        <w:spacing w:after="0" w:line="233" w:lineRule="auto"/>
        <w:rPr>
          <w:sz w:val="20"/>
          <w:szCs w:val="20"/>
          <w:color w:val="auto"/>
        </w:rPr>
      </w:pPr>
      <w:r>
        <w:rPr>
          <w:rFonts w:ascii="Times New Roman" w:cs="Times New Roman" w:eastAsia="Times New Roman" w:hAnsi="Times New Roman"/>
          <w:sz w:val="14"/>
          <w:szCs w:val="14"/>
          <w:color w:val="auto"/>
        </w:rPr>
        <w:t>and contractual provisions. We enter into confidentiality and</w:t>
      </w:r>
    </w:p>
    <w:p>
      <w:pPr>
        <w:spacing w:after="0" w:line="203" w:lineRule="auto"/>
        <w:rPr>
          <w:sz w:val="20"/>
          <w:szCs w:val="20"/>
          <w:color w:val="auto"/>
        </w:rPr>
      </w:pPr>
      <w:r>
        <w:rPr>
          <w:rFonts w:ascii="Times New Roman" w:cs="Times New Roman" w:eastAsia="Times New Roman" w:hAnsi="Times New Roman"/>
          <w:sz w:val="16"/>
          <w:szCs w:val="16"/>
          <w:color w:val="auto"/>
        </w:rPr>
        <w:t>invention assignment agreements with our employees and</w:t>
      </w:r>
    </w:p>
    <w:p>
      <w:pPr>
        <w:spacing w:after="0" w:line="233" w:lineRule="auto"/>
        <w:rPr>
          <w:sz w:val="20"/>
          <w:szCs w:val="20"/>
          <w:color w:val="auto"/>
        </w:rPr>
      </w:pPr>
      <w:r>
        <w:rPr>
          <w:rFonts w:ascii="Times New Roman" w:cs="Times New Roman" w:eastAsia="Times New Roman" w:hAnsi="Times New Roman"/>
          <w:sz w:val="14"/>
          <w:szCs w:val="14"/>
          <w:color w:val="auto"/>
        </w:rPr>
        <w:t>contractors, and utilize non-disclosure agreements with third</w:t>
      </w:r>
    </w:p>
    <w:p>
      <w:pPr>
        <w:spacing w:after="0" w:line="204" w:lineRule="auto"/>
        <w:rPr>
          <w:sz w:val="20"/>
          <w:szCs w:val="20"/>
          <w:color w:val="auto"/>
        </w:rPr>
      </w:pPr>
      <w:r>
        <w:rPr>
          <w:rFonts w:ascii="Times New Roman" w:cs="Times New Roman" w:eastAsia="Times New Roman" w:hAnsi="Times New Roman"/>
          <w:sz w:val="16"/>
          <w:szCs w:val="16"/>
          <w:color w:val="auto"/>
        </w:rPr>
        <w:t>parties with whom we conduct business in order to secure</w:t>
      </w:r>
    </w:p>
    <w:p>
      <w:pPr>
        <w:spacing w:after="0" w:line="203" w:lineRule="auto"/>
        <w:rPr>
          <w:sz w:val="20"/>
          <w:szCs w:val="20"/>
          <w:color w:val="auto"/>
        </w:rPr>
      </w:pPr>
      <w:r>
        <w:rPr>
          <w:rFonts w:ascii="Times New Roman" w:cs="Times New Roman" w:eastAsia="Times New Roman" w:hAnsi="Times New Roman"/>
          <w:sz w:val="16"/>
          <w:szCs w:val="16"/>
          <w:color w:val="auto"/>
        </w:rPr>
        <w:t>and protect our proprietary rights and to limit access to, and</w:t>
      </w:r>
    </w:p>
    <w:p>
      <w:pPr>
        <w:spacing w:after="0" w:line="204" w:lineRule="auto"/>
        <w:rPr>
          <w:sz w:val="20"/>
          <w:szCs w:val="20"/>
          <w:color w:val="auto"/>
        </w:rPr>
      </w:pPr>
      <w:r>
        <w:rPr>
          <w:rFonts w:ascii="Times New Roman" w:cs="Times New Roman" w:eastAsia="Times New Roman" w:hAnsi="Times New Roman"/>
          <w:sz w:val="16"/>
          <w:szCs w:val="16"/>
          <w:color w:val="auto"/>
        </w:rPr>
        <w:t>disclosure of, our proprietary information.</w:t>
      </w:r>
    </w:p>
    <w:p>
      <w:pPr>
        <w:spacing w:after="0" w:line="232" w:lineRule="auto"/>
        <w:rPr>
          <w:sz w:val="20"/>
          <w:szCs w:val="20"/>
          <w:color w:val="auto"/>
        </w:rPr>
      </w:pPr>
      <w:r>
        <w:rPr>
          <w:rFonts w:ascii="Times New Roman" w:cs="Times New Roman" w:eastAsia="Times New Roman" w:hAnsi="Times New Roman"/>
          <w:sz w:val="14"/>
          <w:szCs w:val="14"/>
          <w:color w:val="auto"/>
        </w:rPr>
        <w:t>We own, or have licensed, rights to trade names, trademarks,</w:t>
      </w:r>
    </w:p>
    <w:p>
      <w:pPr>
        <w:spacing w:after="0" w:line="233" w:lineRule="auto"/>
        <w:rPr>
          <w:sz w:val="20"/>
          <w:szCs w:val="20"/>
          <w:color w:val="auto"/>
        </w:rPr>
      </w:pPr>
      <w:r>
        <w:rPr>
          <w:rFonts w:ascii="Times New Roman" w:cs="Times New Roman" w:eastAsia="Times New Roman" w:hAnsi="Times New Roman"/>
          <w:sz w:val="14"/>
          <w:szCs w:val="14"/>
          <w:color w:val="auto"/>
        </w:rPr>
        <w:t>domain names and service marks that we use in conjunction</w:t>
      </w:r>
    </w:p>
    <w:p>
      <w:pPr>
        <w:spacing w:after="0" w:line="233" w:lineRule="auto"/>
        <w:rPr>
          <w:sz w:val="20"/>
          <w:szCs w:val="20"/>
          <w:color w:val="auto"/>
        </w:rPr>
      </w:pPr>
      <w:r>
        <w:rPr>
          <w:rFonts w:ascii="Times New Roman" w:cs="Times New Roman" w:eastAsia="Times New Roman" w:hAnsi="Times New Roman"/>
          <w:sz w:val="14"/>
          <w:szCs w:val="14"/>
          <w:color w:val="auto"/>
        </w:rPr>
        <w:t>with our operations and services. We have registered many of</w:t>
      </w:r>
    </w:p>
    <w:p>
      <w:pPr>
        <w:spacing w:after="0" w:line="203" w:lineRule="auto"/>
        <w:rPr>
          <w:sz w:val="20"/>
          <w:szCs w:val="20"/>
          <w:color w:val="auto"/>
        </w:rPr>
      </w:pPr>
      <w:r>
        <w:rPr>
          <w:rFonts w:ascii="Times New Roman" w:cs="Times New Roman" w:eastAsia="Times New Roman" w:hAnsi="Times New Roman"/>
          <w:sz w:val="16"/>
          <w:szCs w:val="16"/>
          <w:color w:val="auto"/>
        </w:rPr>
        <w:t>our most important trademarks in the U.S. and in foreign</w:t>
      </w:r>
    </w:p>
    <w:p>
      <w:pPr>
        <w:spacing w:after="0" w:line="204" w:lineRule="auto"/>
        <w:rPr>
          <w:sz w:val="20"/>
          <w:szCs w:val="20"/>
          <w:color w:val="auto"/>
        </w:rPr>
      </w:pPr>
      <w:r>
        <w:rPr>
          <w:rFonts w:ascii="Times New Roman" w:cs="Times New Roman" w:eastAsia="Times New Roman" w:hAnsi="Times New Roman"/>
          <w:sz w:val="16"/>
          <w:szCs w:val="16"/>
          <w:color w:val="auto"/>
        </w:rPr>
        <w:t>countries. For example, our primary “Nasdaq” mark is a</w:t>
      </w:r>
    </w:p>
    <w:p>
      <w:pPr>
        <w:spacing w:after="0" w:line="203" w:lineRule="auto"/>
        <w:rPr>
          <w:sz w:val="20"/>
          <w:szCs w:val="20"/>
          <w:color w:val="auto"/>
        </w:rPr>
      </w:pPr>
      <w:r>
        <w:rPr>
          <w:rFonts w:ascii="Times New Roman" w:cs="Times New Roman" w:eastAsia="Times New Roman" w:hAnsi="Times New Roman"/>
          <w:sz w:val="16"/>
          <w:szCs w:val="16"/>
          <w:color w:val="auto"/>
        </w:rPr>
        <w:t>registered trademark that we actively seek to protect in the</w:t>
      </w:r>
    </w:p>
    <w:p>
      <w:pPr>
        <w:spacing w:after="0" w:line="204" w:lineRule="auto"/>
        <w:rPr>
          <w:sz w:val="20"/>
          <w:szCs w:val="20"/>
          <w:color w:val="auto"/>
        </w:rPr>
      </w:pPr>
      <w:r>
        <w:rPr>
          <w:rFonts w:ascii="Times New Roman" w:cs="Times New Roman" w:eastAsia="Times New Roman" w:hAnsi="Times New Roman"/>
          <w:sz w:val="16"/>
          <w:szCs w:val="16"/>
          <w:color w:val="auto"/>
        </w:rPr>
        <w:t>U.S. and in over 50 other jurisdictions worldwide.</w:t>
      </w:r>
    </w:p>
    <w:p>
      <w:pPr>
        <w:spacing w:after="0" w:line="232" w:lineRule="auto"/>
        <w:rPr>
          <w:sz w:val="20"/>
          <w:szCs w:val="20"/>
          <w:color w:val="auto"/>
        </w:rPr>
      </w:pPr>
      <w:r>
        <w:rPr>
          <w:rFonts w:ascii="Times New Roman" w:cs="Times New Roman" w:eastAsia="Times New Roman" w:hAnsi="Times New Roman"/>
          <w:sz w:val="14"/>
          <w:szCs w:val="14"/>
          <w:color w:val="auto"/>
        </w:rPr>
        <w:t>Over time, we have accumulated a robust portfolio of issued</w:t>
      </w:r>
    </w:p>
    <w:p>
      <w:pPr>
        <w:spacing w:after="0" w:line="233" w:lineRule="auto"/>
        <w:rPr>
          <w:sz w:val="20"/>
          <w:szCs w:val="20"/>
          <w:color w:val="auto"/>
        </w:rPr>
      </w:pPr>
      <w:r>
        <w:rPr>
          <w:rFonts w:ascii="Times New Roman" w:cs="Times New Roman" w:eastAsia="Times New Roman" w:hAnsi="Times New Roman"/>
          <w:sz w:val="14"/>
          <w:szCs w:val="14"/>
          <w:color w:val="auto"/>
        </w:rPr>
        <w:t>patents in the U.S. and in many other jurisdictions across the</w:t>
      </w:r>
    </w:p>
    <w:p>
      <w:pPr>
        <w:spacing w:after="0" w:line="233" w:lineRule="auto"/>
        <w:rPr>
          <w:sz w:val="20"/>
          <w:szCs w:val="20"/>
          <w:color w:val="auto"/>
        </w:rPr>
      </w:pPr>
      <w:r>
        <w:rPr>
          <w:rFonts w:ascii="Times New Roman" w:cs="Times New Roman" w:eastAsia="Times New Roman" w:hAnsi="Times New Roman"/>
          <w:sz w:val="14"/>
          <w:szCs w:val="14"/>
          <w:color w:val="auto"/>
        </w:rPr>
        <w:t>world. We currently hold rights to patents relating to certain</w:t>
      </w:r>
    </w:p>
    <w:p>
      <w:pPr>
        <w:spacing w:after="0" w:line="203" w:lineRule="auto"/>
        <w:rPr>
          <w:sz w:val="20"/>
          <w:szCs w:val="20"/>
          <w:color w:val="auto"/>
        </w:rPr>
      </w:pPr>
      <w:r>
        <w:rPr>
          <w:rFonts w:ascii="Times New Roman" w:cs="Times New Roman" w:eastAsia="Times New Roman" w:hAnsi="Times New Roman"/>
          <w:sz w:val="16"/>
          <w:szCs w:val="16"/>
          <w:color w:val="auto"/>
        </w:rPr>
        <w:t>aspects of our products, systems, software and services, but</w:t>
      </w:r>
    </w:p>
    <w:p>
      <w:pPr>
        <w:spacing w:after="0" w:line="204" w:lineRule="auto"/>
        <w:rPr>
          <w:sz w:val="20"/>
          <w:szCs w:val="20"/>
          <w:color w:val="auto"/>
        </w:rPr>
      </w:pPr>
      <w:r>
        <w:rPr>
          <w:rFonts w:ascii="Times New Roman" w:cs="Times New Roman" w:eastAsia="Times New Roman" w:hAnsi="Times New Roman"/>
          <w:sz w:val="16"/>
          <w:szCs w:val="16"/>
          <w:color w:val="auto"/>
        </w:rPr>
        <w:t>we primarily rely on the innovative skills, technical</w:t>
      </w:r>
    </w:p>
    <w:p>
      <w:pPr>
        <w:spacing w:after="0" w:line="203" w:lineRule="auto"/>
        <w:rPr>
          <w:sz w:val="20"/>
          <w:szCs w:val="20"/>
          <w:color w:val="auto"/>
        </w:rPr>
      </w:pPr>
      <w:r>
        <w:rPr>
          <w:rFonts w:ascii="Times New Roman" w:cs="Times New Roman" w:eastAsia="Times New Roman" w:hAnsi="Times New Roman"/>
          <w:sz w:val="16"/>
          <w:szCs w:val="16"/>
          <w:color w:val="auto"/>
        </w:rPr>
        <w:t>competence and marketing abilities of our personnel. No</w:t>
      </w:r>
    </w:p>
    <w:p>
      <w:pPr>
        <w:spacing w:after="0" w:line="204" w:lineRule="auto"/>
        <w:rPr>
          <w:sz w:val="20"/>
          <w:szCs w:val="20"/>
          <w:color w:val="auto"/>
        </w:rPr>
      </w:pPr>
      <w:r>
        <w:rPr>
          <w:rFonts w:ascii="Times New Roman" w:cs="Times New Roman" w:eastAsia="Times New Roman" w:hAnsi="Times New Roman"/>
          <w:sz w:val="16"/>
          <w:szCs w:val="16"/>
          <w:color w:val="auto"/>
        </w:rPr>
        <w:t>single patent is in itself core to the operations of Nasdaq or</w:t>
      </w:r>
    </w:p>
    <w:p>
      <w:pPr>
        <w:spacing w:after="0" w:line="203" w:lineRule="auto"/>
        <w:rPr>
          <w:sz w:val="20"/>
          <w:szCs w:val="20"/>
          <w:color w:val="auto"/>
        </w:rPr>
      </w:pPr>
      <w:r>
        <w:rPr>
          <w:rFonts w:ascii="Times New Roman" w:cs="Times New Roman" w:eastAsia="Times New Roman" w:hAnsi="Times New Roman"/>
          <w:sz w:val="16"/>
          <w:szCs w:val="16"/>
          <w:color w:val="auto"/>
        </w:rPr>
        <w:t>any of its principal business areas.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CORPORATE VENTURE PROGRAM</w:t>
      </w:r>
    </w:p>
    <w:p>
      <w:pPr>
        <w:spacing w:after="0"/>
        <w:rPr>
          <w:sz w:val="20"/>
          <w:szCs w:val="20"/>
          <w:color w:val="auto"/>
        </w:rPr>
      </w:pPr>
      <w:r>
        <w:rPr>
          <w:rFonts w:ascii="Times New Roman" w:cs="Times New Roman" w:eastAsia="Times New Roman" w:hAnsi="Times New Roman"/>
          <w:sz w:val="16"/>
          <w:szCs w:val="16"/>
          <w:color w:val="auto"/>
        </w:rPr>
        <w:t>We operate a corporate venture program to make minority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w:t>
      </w:r>
    </w:p>
    <w:p>
      <w:pPr>
        <w:spacing w:after="0" w:line="203" w:lineRule="auto"/>
        <w:rPr>
          <w:sz w:val="20"/>
          <w:szCs w:val="20"/>
          <w:color w:val="auto"/>
        </w:rPr>
      </w:pPr>
      <w:r>
        <w:rPr>
          <w:rFonts w:ascii="Times New Roman" w:cs="Times New Roman" w:eastAsia="Times New Roman" w:hAnsi="Times New Roman"/>
          <w:sz w:val="16"/>
          <w:szCs w:val="16"/>
          <w:color w:val="auto"/>
        </w:rPr>
        <w:t>The Nominating &amp; Governance Committee has formal</w:t>
      </w:r>
    </w:p>
    <w:p>
      <w:pPr>
        <w:spacing w:after="0" w:line="204" w:lineRule="auto"/>
        <w:rPr>
          <w:sz w:val="20"/>
          <w:szCs w:val="20"/>
          <w:color w:val="auto"/>
        </w:rPr>
      </w:pPr>
      <w:r>
        <w:rPr>
          <w:rFonts w:ascii="Times New Roman" w:cs="Times New Roman" w:eastAsia="Times New Roman" w:hAnsi="Times New Roman"/>
          <w:sz w:val="16"/>
          <w:szCs w:val="16"/>
          <w:color w:val="auto"/>
        </w:rPr>
        <w:t>responsibility and oversight for corporate sustainability</w:t>
      </w:r>
    </w:p>
    <w:p>
      <w:pPr>
        <w:spacing w:after="0" w:line="203" w:lineRule="auto"/>
        <w:rPr>
          <w:sz w:val="20"/>
          <w:szCs w:val="20"/>
          <w:color w:val="auto"/>
        </w:rPr>
      </w:pPr>
      <w:r>
        <w:rPr>
          <w:rFonts w:ascii="Times New Roman" w:cs="Times New Roman" w:eastAsia="Times New Roman" w:hAnsi="Times New Roman"/>
          <w:sz w:val="16"/>
          <w:szCs w:val="16"/>
          <w:color w:val="auto"/>
        </w:rPr>
        <w:t>policies and programs and receives regular reports on key</w:t>
      </w:r>
    </w:p>
    <w:p>
      <w:pPr>
        <w:spacing w:after="0" w:line="204" w:lineRule="auto"/>
        <w:rPr>
          <w:sz w:val="20"/>
          <w:szCs w:val="20"/>
          <w:color w:val="auto"/>
        </w:rPr>
      </w:pPr>
      <w:r>
        <w:rPr>
          <w:rFonts w:ascii="Times New Roman" w:cs="Times New Roman" w:eastAsia="Times New Roman" w:hAnsi="Times New Roman"/>
          <w:sz w:val="16"/>
          <w:szCs w:val="16"/>
          <w:color w:val="auto"/>
        </w:rPr>
        <w:t>sustainability matters and initiatives. Our Corporate</w:t>
      </w:r>
    </w:p>
    <w:p>
      <w:pPr>
        <w:spacing w:after="0" w:line="203" w:lineRule="auto"/>
        <w:rPr>
          <w:sz w:val="20"/>
          <w:szCs w:val="20"/>
          <w:color w:val="auto"/>
        </w:rPr>
      </w:pPr>
      <w:r>
        <w:rPr>
          <w:rFonts w:ascii="Times New Roman" w:cs="Times New Roman" w:eastAsia="Times New Roman" w:hAnsi="Times New Roman"/>
          <w:sz w:val="16"/>
          <w:szCs w:val="16"/>
          <w:color w:val="auto"/>
        </w:rPr>
        <w:t>Sustainability Steering Committee serves as the central</w:t>
      </w:r>
    </w:p>
    <w:p>
      <w:pPr>
        <w:spacing w:after="0" w:line="204" w:lineRule="auto"/>
        <w:rPr>
          <w:sz w:val="20"/>
          <w:szCs w:val="20"/>
          <w:color w:val="auto"/>
        </w:rPr>
      </w:pPr>
      <w:r>
        <w:rPr>
          <w:rFonts w:ascii="Times New Roman" w:cs="Times New Roman" w:eastAsia="Times New Roman" w:hAnsi="Times New Roman"/>
          <w:sz w:val="16"/>
          <w:szCs w:val="16"/>
          <w:color w:val="auto"/>
        </w:rPr>
        <w:t>coordinating body for our sustainability strategy; it is co-</w:t>
      </w:r>
    </w:p>
    <w:p>
      <w:pPr>
        <w:spacing w:after="0" w:line="203" w:lineRule="auto"/>
        <w:rPr>
          <w:sz w:val="20"/>
          <w:szCs w:val="20"/>
          <w:color w:val="auto"/>
        </w:rPr>
      </w:pPr>
      <w:r>
        <w:rPr>
          <w:rFonts w:ascii="Times New Roman" w:cs="Times New Roman" w:eastAsia="Times New Roman" w:hAnsi="Times New Roman"/>
          <w:sz w:val="16"/>
          <w:szCs w:val="16"/>
          <w:color w:val="auto"/>
        </w:rPr>
        <w:t>chaired by executive leaders and comprised of a cross-</w:t>
      </w:r>
    </w:p>
    <w:p>
      <w:pPr>
        <w:spacing w:after="0" w:line="204" w:lineRule="auto"/>
        <w:rPr>
          <w:sz w:val="20"/>
          <w:szCs w:val="20"/>
          <w:color w:val="auto"/>
        </w:rPr>
      </w:pPr>
      <w:r>
        <w:rPr>
          <w:rFonts w:ascii="Times New Roman" w:cs="Times New Roman" w:eastAsia="Times New Roman" w:hAnsi="Times New Roman"/>
          <w:sz w:val="16"/>
          <w:szCs w:val="16"/>
          <w:color w:val="auto"/>
        </w:rPr>
        <w:t>functional group of Nasdaq senior executives.</w:t>
      </w:r>
    </w:p>
    <w:p>
      <w:pPr>
        <w:spacing w:after="0" w:line="203" w:lineRule="auto"/>
        <w:rPr>
          <w:sz w:val="20"/>
          <w:szCs w:val="20"/>
          <w:color w:val="auto"/>
        </w:rPr>
      </w:pPr>
      <w:r>
        <w:rPr>
          <w:rFonts w:ascii="Times New Roman" w:cs="Times New Roman" w:eastAsia="Times New Roman" w:hAnsi="Times New Roman"/>
          <w:sz w:val="16"/>
          <w:szCs w:val="16"/>
          <w:color w:val="auto"/>
        </w:rPr>
        <w:t>We continue to be committed to our decarbonization and</w:t>
      </w:r>
    </w:p>
    <w:p>
      <w:pPr>
        <w:spacing w:after="0" w:line="204" w:lineRule="auto"/>
        <w:rPr>
          <w:sz w:val="20"/>
          <w:szCs w:val="20"/>
          <w:color w:val="auto"/>
        </w:rPr>
      </w:pPr>
      <w:r>
        <w:rPr>
          <w:rFonts w:ascii="Times New Roman" w:cs="Times New Roman" w:eastAsia="Times New Roman" w:hAnsi="Times New Roman"/>
          <w:sz w:val="16"/>
          <w:szCs w:val="16"/>
          <w:color w:val="auto"/>
        </w:rPr>
        <w:t>climate strategy. We are working towards our short- and</w:t>
      </w:r>
    </w:p>
    <w:p>
      <w:pPr>
        <w:spacing w:after="0" w:line="204" w:lineRule="auto"/>
        <w:rPr>
          <w:sz w:val="20"/>
          <w:szCs w:val="20"/>
          <w:color w:val="auto"/>
        </w:rPr>
      </w:pPr>
      <w:r>
        <w:rPr>
          <w:rFonts w:ascii="Times New Roman" w:cs="Times New Roman" w:eastAsia="Times New Roman" w:hAnsi="Times New Roman"/>
          <w:sz w:val="16"/>
          <w:szCs w:val="16"/>
          <w:color w:val="auto"/>
        </w:rPr>
        <w:t>long-term net-zero science-based targets, which were</w:t>
      </w:r>
    </w:p>
    <w:p>
      <w:pPr>
        <w:spacing w:after="0" w:line="203" w:lineRule="auto"/>
        <w:rPr>
          <w:sz w:val="20"/>
          <w:szCs w:val="20"/>
          <w:color w:val="auto"/>
        </w:rPr>
      </w:pPr>
      <w:r>
        <w:rPr>
          <w:rFonts w:ascii="Times New Roman" w:cs="Times New Roman" w:eastAsia="Times New Roman" w:hAnsi="Times New Roman"/>
          <w:sz w:val="16"/>
          <w:szCs w:val="16"/>
          <w:color w:val="auto"/>
        </w:rPr>
        <w:t>originally set and validated by the Science Based Targets</w:t>
      </w:r>
    </w:p>
    <w:p>
      <w:pPr>
        <w:spacing w:after="0" w:line="204" w:lineRule="auto"/>
        <w:rPr>
          <w:sz w:val="20"/>
          <w:szCs w:val="20"/>
          <w:color w:val="auto"/>
        </w:rPr>
      </w:pPr>
      <w:r>
        <w:rPr>
          <w:rFonts w:ascii="Times New Roman" w:cs="Times New Roman" w:eastAsia="Times New Roman" w:hAnsi="Times New Roman"/>
          <w:sz w:val="16"/>
          <w:szCs w:val="16"/>
          <w:color w:val="auto"/>
        </w:rPr>
        <w:t>initiative in 2022, and updated and validated in 2025 to</w:t>
      </w:r>
    </w:p>
    <w:p>
      <w:pPr>
        <w:spacing w:after="0" w:line="203" w:lineRule="auto"/>
        <w:rPr>
          <w:sz w:val="20"/>
          <w:szCs w:val="20"/>
          <w:color w:val="auto"/>
        </w:rPr>
      </w:pPr>
      <w:r>
        <w:rPr>
          <w:rFonts w:ascii="Times New Roman" w:cs="Times New Roman" w:eastAsia="Times New Roman" w:hAnsi="Times New Roman"/>
          <w:sz w:val="16"/>
          <w:szCs w:val="16"/>
          <w:color w:val="auto"/>
        </w:rPr>
        <w:t>reflect Nasdaq's 2023 acquisition of Adenza and the</w:t>
      </w:r>
    </w:p>
    <w:p>
      <w:pPr>
        <w:spacing w:after="0" w:line="204" w:lineRule="auto"/>
        <w:rPr>
          <w:sz w:val="20"/>
          <w:szCs w:val="20"/>
          <w:color w:val="auto"/>
        </w:rPr>
      </w:pPr>
      <w:r>
        <w:rPr>
          <w:rFonts w:ascii="Times New Roman" w:cs="Times New Roman" w:eastAsia="Times New Roman" w:hAnsi="Times New Roman"/>
          <w:sz w:val="16"/>
          <w:szCs w:val="16"/>
          <w:color w:val="auto"/>
        </w:rPr>
        <w:t>integration of Adenza's operations into Nasdaq's</w:t>
      </w:r>
    </w:p>
    <w:p>
      <w:pPr>
        <w:spacing w:after="0" w:line="203" w:lineRule="auto"/>
        <w:rPr>
          <w:sz w:val="20"/>
          <w:szCs w:val="20"/>
          <w:color w:val="auto"/>
        </w:rPr>
      </w:pPr>
      <w:r>
        <w:rPr>
          <w:rFonts w:ascii="Times New Roman" w:cs="Times New Roman" w:eastAsia="Times New Roman" w:hAnsi="Times New Roman"/>
          <w:sz w:val="16"/>
          <w:szCs w:val="16"/>
          <w:color w:val="auto"/>
        </w:rPr>
        <w:t>environmental program and climate strategy. In 2025, we</w:t>
      </w:r>
    </w:p>
    <w:p>
      <w:pPr>
        <w:spacing w:after="0" w:line="204" w:lineRule="auto"/>
        <w:rPr>
          <w:sz w:val="20"/>
          <w:szCs w:val="20"/>
          <w:color w:val="auto"/>
        </w:rPr>
      </w:pPr>
      <w:r>
        <w:rPr>
          <w:rFonts w:ascii="Times New Roman" w:cs="Times New Roman" w:eastAsia="Times New Roman" w:hAnsi="Times New Roman"/>
          <w:sz w:val="16"/>
          <w:szCs w:val="16"/>
          <w:color w:val="auto"/>
        </w:rPr>
        <w:t>were named a CDP A List company for our environmental</w:t>
      </w:r>
    </w:p>
    <w:p>
      <w:pPr>
        <w:spacing w:after="0" w:line="203" w:lineRule="auto"/>
        <w:rPr>
          <w:sz w:val="20"/>
          <w:szCs w:val="20"/>
          <w:color w:val="auto"/>
        </w:rPr>
      </w:pPr>
      <w:r>
        <w:rPr>
          <w:rFonts w:ascii="Times New Roman" w:cs="Times New Roman" w:eastAsia="Times New Roman" w:hAnsi="Times New Roman"/>
          <w:sz w:val="16"/>
          <w:szCs w:val="16"/>
          <w:color w:val="auto"/>
        </w:rPr>
        <w:t>programs and transparency. In addition, Nasdaq maintained</w:t>
      </w:r>
    </w:p>
    <w:p>
      <w:pPr>
        <w:spacing w:after="0" w:line="233" w:lineRule="auto"/>
        <w:rPr>
          <w:sz w:val="20"/>
          <w:szCs w:val="20"/>
          <w:color w:val="auto"/>
        </w:rPr>
      </w:pPr>
      <w:r>
        <w:rPr>
          <w:rFonts w:ascii="Times New Roman" w:cs="Times New Roman" w:eastAsia="Times New Roman" w:hAnsi="Times New Roman"/>
          <w:sz w:val="14"/>
          <w:szCs w:val="14"/>
          <w:color w:val="auto"/>
        </w:rPr>
        <w:t>industry leading scores from ESG rating agencies, including</w:t>
      </w:r>
    </w:p>
    <w:p>
      <w:pPr>
        <w:spacing w:after="0" w:line="204" w:lineRule="auto"/>
        <w:rPr>
          <w:sz w:val="20"/>
          <w:szCs w:val="20"/>
          <w:color w:val="auto"/>
        </w:rPr>
      </w:pPr>
      <w:r>
        <w:rPr>
          <w:rFonts w:ascii="Times New Roman" w:cs="Times New Roman" w:eastAsia="Times New Roman" w:hAnsi="Times New Roman"/>
          <w:sz w:val="16"/>
          <w:szCs w:val="16"/>
          <w:color w:val="auto"/>
        </w:rPr>
        <w:t>a rating of “AA,” from MSCI placing Nasdaq in MSCI’s</w:t>
      </w:r>
    </w:p>
    <w:p>
      <w:pPr>
        <w:spacing w:after="0" w:line="203" w:lineRule="auto"/>
        <w:rPr>
          <w:sz w:val="20"/>
          <w:szCs w:val="20"/>
          <w:color w:val="auto"/>
        </w:rPr>
      </w:pPr>
      <w:r>
        <w:rPr>
          <w:rFonts w:ascii="Times New Roman" w:cs="Times New Roman" w:eastAsia="Times New Roman" w:hAnsi="Times New Roman"/>
          <w:sz w:val="16"/>
          <w:szCs w:val="16"/>
          <w:color w:val="auto"/>
        </w:rPr>
        <w:t>“Leaders” category.</w:t>
      </w:r>
    </w:p>
    <w:p>
      <w:pPr>
        <w:spacing w:after="0" w:line="204" w:lineRule="auto"/>
        <w:rPr>
          <w:sz w:val="20"/>
          <w:szCs w:val="20"/>
          <w:color w:val="auto"/>
        </w:rPr>
      </w:pPr>
      <w:r>
        <w:rPr>
          <w:rFonts w:ascii="Times New Roman" w:cs="Times New Roman" w:eastAsia="Times New Roman" w:hAnsi="Times New Roman"/>
          <w:sz w:val="16"/>
          <w:szCs w:val="16"/>
          <w:color w:val="auto"/>
        </w:rPr>
        <w:t>Our environmental footprint is relatively small due to the</w:t>
      </w:r>
    </w:p>
    <w:p>
      <w:pPr>
        <w:spacing w:after="0" w:line="203" w:lineRule="auto"/>
        <w:rPr>
          <w:sz w:val="20"/>
          <w:szCs w:val="20"/>
          <w:color w:val="auto"/>
        </w:rPr>
      </w:pPr>
      <w:r>
        <w:rPr>
          <w:rFonts w:ascii="Times New Roman" w:cs="Times New Roman" w:eastAsia="Times New Roman" w:hAnsi="Times New Roman"/>
          <w:sz w:val="16"/>
          <w:szCs w:val="16"/>
          <w:color w:val="auto"/>
        </w:rPr>
        <w:t>nature of our business operations. We remain committed to</w:t>
      </w:r>
    </w:p>
    <w:p>
      <w:pPr>
        <w:spacing w:after="0" w:line="233" w:lineRule="auto"/>
        <w:rPr>
          <w:sz w:val="20"/>
          <w:szCs w:val="20"/>
          <w:color w:val="auto"/>
        </w:rPr>
      </w:pPr>
      <w:r>
        <w:rPr>
          <w:rFonts w:ascii="Times New Roman" w:cs="Times New Roman" w:eastAsia="Times New Roman" w:hAnsi="Times New Roman"/>
          <w:sz w:val="14"/>
          <w:szCs w:val="14"/>
          <w:color w:val="auto"/>
        </w:rPr>
        <w:t>reducing our environmental impact, focusing on several key</w:t>
      </w:r>
    </w:p>
    <w:p>
      <w:pPr>
        <w:spacing w:after="0" w:line="204" w:lineRule="auto"/>
        <w:rPr>
          <w:sz w:val="20"/>
          <w:szCs w:val="20"/>
          <w:color w:val="auto"/>
        </w:rPr>
      </w:pPr>
      <w:r>
        <w:rPr>
          <w:rFonts w:ascii="Times New Roman" w:cs="Times New Roman" w:eastAsia="Times New Roman" w:hAnsi="Times New Roman"/>
          <w:sz w:val="16"/>
          <w:szCs w:val="16"/>
          <w:color w:val="auto"/>
        </w:rPr>
        <w:t>areas, including our energy use, the management of our</w:t>
      </w:r>
    </w:p>
    <w:p>
      <w:pPr>
        <w:spacing w:after="0" w:line="203" w:lineRule="auto"/>
        <w:rPr>
          <w:sz w:val="20"/>
          <w:szCs w:val="20"/>
          <w:color w:val="auto"/>
        </w:rPr>
      </w:pPr>
      <w:r>
        <w:rPr>
          <w:rFonts w:ascii="Times New Roman" w:cs="Times New Roman" w:eastAsia="Times New Roman" w:hAnsi="Times New Roman"/>
          <w:sz w:val="16"/>
          <w:szCs w:val="16"/>
          <w:color w:val="auto"/>
        </w:rPr>
        <w:t>workspaces and how we conduct business travel, and</w:t>
      </w:r>
    </w:p>
    <w:p>
      <w:pPr>
        <w:spacing w:after="0" w:line="204" w:lineRule="auto"/>
        <w:rPr>
          <w:sz w:val="20"/>
          <w:szCs w:val="20"/>
          <w:color w:val="auto"/>
        </w:rPr>
      </w:pPr>
      <w:r>
        <w:rPr>
          <w:rFonts w:ascii="Times New Roman" w:cs="Times New Roman" w:eastAsia="Times New Roman" w:hAnsi="Times New Roman"/>
          <w:sz w:val="16"/>
          <w:szCs w:val="16"/>
          <w:color w:val="auto"/>
        </w:rPr>
        <w:t>engagement with our value chain. We seek to reduce our</w:t>
      </w:r>
    </w:p>
    <w:p>
      <w:pPr>
        <w:spacing w:after="0" w:line="232" w:lineRule="auto"/>
        <w:rPr>
          <w:sz w:val="20"/>
          <w:szCs w:val="20"/>
          <w:color w:val="auto"/>
        </w:rPr>
      </w:pPr>
      <w:r>
        <w:rPr>
          <w:rFonts w:ascii="Times New Roman" w:cs="Times New Roman" w:eastAsia="Times New Roman" w:hAnsi="Times New Roman"/>
          <w:sz w:val="14"/>
          <w:szCs w:val="14"/>
          <w:color w:val="auto"/>
        </w:rPr>
        <w:t>atmospheric carbon emissions and we manage our water use</w:t>
      </w:r>
    </w:p>
    <w:p>
      <w:pPr>
        <w:spacing w:after="0" w:line="204" w:lineRule="auto"/>
        <w:rPr>
          <w:sz w:val="20"/>
          <w:szCs w:val="20"/>
          <w:color w:val="auto"/>
        </w:rPr>
      </w:pPr>
      <w:r>
        <w:rPr>
          <w:rFonts w:ascii="Times New Roman" w:cs="Times New Roman" w:eastAsia="Times New Roman" w:hAnsi="Times New Roman"/>
          <w:sz w:val="16"/>
          <w:szCs w:val="16"/>
          <w:color w:val="auto"/>
        </w:rPr>
        <w:t>and the waste associated with our business operations.</w:t>
      </w:r>
    </w:p>
    <w:p>
      <w:pPr>
        <w:spacing w:after="0" w:line="232" w:lineRule="auto"/>
        <w:rPr>
          <w:sz w:val="20"/>
          <w:szCs w:val="20"/>
          <w:color w:val="auto"/>
        </w:rPr>
      </w:pPr>
      <w:r>
        <w:rPr>
          <w:rFonts w:ascii="Times New Roman" w:cs="Times New Roman" w:eastAsia="Times New Roman" w:hAnsi="Times New Roman"/>
          <w:sz w:val="14"/>
          <w:szCs w:val="14"/>
          <w:color w:val="auto"/>
        </w:rPr>
        <w:t>We help companies of all maturity levels through our robust</w:t>
      </w:r>
    </w:p>
    <w:p>
      <w:pPr>
        <w:spacing w:after="0" w:line="204" w:lineRule="auto"/>
        <w:rPr>
          <w:sz w:val="20"/>
          <w:szCs w:val="20"/>
          <w:color w:val="auto"/>
        </w:rPr>
      </w:pPr>
      <w:r>
        <w:rPr>
          <w:rFonts w:ascii="Times New Roman" w:cs="Times New Roman" w:eastAsia="Times New Roman" w:hAnsi="Times New Roman"/>
          <w:sz w:val="16"/>
          <w:szCs w:val="16"/>
          <w:color w:val="auto"/>
        </w:rPr>
        <w:t>combination of technology, tools, data, insights and capital</w:t>
      </w:r>
    </w:p>
    <w:p>
      <w:pPr>
        <w:spacing w:after="0" w:line="203" w:lineRule="auto"/>
        <w:rPr>
          <w:sz w:val="20"/>
          <w:szCs w:val="20"/>
          <w:color w:val="auto"/>
        </w:rPr>
      </w:pPr>
      <w:r>
        <w:rPr>
          <w:rFonts w:ascii="Times New Roman" w:cs="Times New Roman" w:eastAsia="Times New Roman" w:hAnsi="Times New Roman"/>
          <w:sz w:val="16"/>
          <w:szCs w:val="16"/>
          <w:color w:val="auto"/>
        </w:rPr>
        <w:t>market solutions.</w:t>
      </w:r>
    </w:p>
    <w:p>
      <w:pPr>
        <w:spacing w:after="0" w:line="204" w:lineRule="auto"/>
        <w:rPr>
          <w:sz w:val="20"/>
          <w:szCs w:val="20"/>
          <w:color w:val="auto"/>
        </w:rPr>
      </w:pPr>
      <w:r>
        <w:rPr>
          <w:rFonts w:ascii="Times New Roman" w:cs="Times New Roman" w:eastAsia="Times New Roman" w:hAnsi="Times New Roman"/>
          <w:sz w:val="16"/>
          <w:szCs w:val="16"/>
          <w:color w:val="auto"/>
        </w:rPr>
        <w:t>Our sustainability-focused solutions are centered around</w:t>
      </w:r>
    </w:p>
    <w:p>
      <w:pPr>
        <w:spacing w:after="0" w:line="203" w:lineRule="auto"/>
        <w:rPr>
          <w:sz w:val="20"/>
          <w:szCs w:val="20"/>
          <w:color w:val="auto"/>
        </w:rPr>
      </w:pPr>
      <w:r>
        <w:rPr>
          <w:rFonts w:ascii="Times New Roman" w:cs="Times New Roman" w:eastAsia="Times New Roman" w:hAnsi="Times New Roman"/>
          <w:sz w:val="16"/>
          <w:szCs w:val="16"/>
          <w:color w:val="auto"/>
        </w:rPr>
        <w:t>three strategic pillars to meet our client’s needs in a rapidly</w:t>
      </w:r>
    </w:p>
    <w:p>
      <w:pPr>
        <w:spacing w:after="0" w:line="204" w:lineRule="auto"/>
        <w:rPr>
          <w:sz w:val="20"/>
          <w:szCs w:val="20"/>
          <w:color w:val="auto"/>
        </w:rPr>
      </w:pPr>
      <w:r>
        <w:rPr>
          <w:rFonts w:ascii="Times New Roman" w:cs="Times New Roman" w:eastAsia="Times New Roman" w:hAnsi="Times New Roman"/>
          <w:sz w:val="16"/>
          <w:szCs w:val="16"/>
          <w:color w:val="auto"/>
        </w:rPr>
        <w:t>evolving market:</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Regulatory and climate focused Workflows:</w:t>
      </w:r>
      <w:r>
        <w:rPr>
          <w:rFonts w:ascii="Times New Roman" w:cs="Times New Roman" w:eastAsia="Times New Roman" w:hAnsi="Times New Roman"/>
          <w:sz w:val="16"/>
          <w:szCs w:val="16"/>
          <w:color w:val="auto"/>
        </w:rPr>
        <w:t xml:space="preserve"> A powerful,</w:t>
      </w:r>
    </w:p>
    <w:p>
      <w:pPr>
        <w:spacing w:after="0" w:line="203" w:lineRule="auto"/>
        <w:rPr>
          <w:sz w:val="20"/>
          <w:szCs w:val="20"/>
          <w:color w:val="auto"/>
        </w:rPr>
      </w:pPr>
      <w:r>
        <w:rPr>
          <w:rFonts w:ascii="Times New Roman" w:cs="Times New Roman" w:eastAsia="Times New Roman" w:hAnsi="Times New Roman"/>
          <w:sz w:val="16"/>
          <w:szCs w:val="16"/>
          <w:color w:val="auto"/>
        </w:rPr>
        <w:t>built-for-purpose sustainability data management platform</w:t>
      </w:r>
    </w:p>
    <w:p>
      <w:pPr>
        <w:spacing w:after="0" w:line="204" w:lineRule="auto"/>
        <w:rPr>
          <w:sz w:val="20"/>
          <w:szCs w:val="20"/>
          <w:color w:val="auto"/>
        </w:rPr>
      </w:pPr>
      <w:r>
        <w:rPr>
          <w:rFonts w:ascii="Times New Roman" w:cs="Times New Roman" w:eastAsia="Times New Roman" w:hAnsi="Times New Roman"/>
          <w:sz w:val="16"/>
          <w:szCs w:val="16"/>
          <w:color w:val="auto"/>
        </w:rPr>
        <w:t>with user-friendly workflows for regulation and climate</w:t>
      </w:r>
    </w:p>
    <w:p>
      <w:pPr>
        <w:spacing w:after="0" w:line="203" w:lineRule="auto"/>
        <w:rPr>
          <w:sz w:val="20"/>
          <w:szCs w:val="20"/>
          <w:color w:val="auto"/>
        </w:rPr>
      </w:pPr>
      <w:r>
        <w:rPr>
          <w:rFonts w:ascii="Times New Roman" w:cs="Times New Roman" w:eastAsia="Times New Roman" w:hAnsi="Times New Roman"/>
          <w:sz w:val="16"/>
          <w:szCs w:val="16"/>
          <w:color w:val="auto"/>
        </w:rPr>
        <w:t>strategy needs.</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AI-powered Insights:</w:t>
      </w:r>
      <w:r>
        <w:rPr>
          <w:rFonts w:ascii="Times New Roman" w:cs="Times New Roman" w:eastAsia="Times New Roman" w:hAnsi="Times New Roman"/>
          <w:sz w:val="16"/>
          <w:szCs w:val="16"/>
          <w:color w:val="auto"/>
        </w:rPr>
        <w:t xml:space="preserve"> Proprietary insights powered by</w:t>
      </w:r>
    </w:p>
    <w:p>
      <w:pPr>
        <w:spacing w:after="0" w:line="203" w:lineRule="auto"/>
        <w:rPr>
          <w:sz w:val="20"/>
          <w:szCs w:val="20"/>
          <w:color w:val="auto"/>
        </w:rPr>
      </w:pPr>
      <w:r>
        <w:rPr>
          <w:rFonts w:ascii="Times New Roman" w:cs="Times New Roman" w:eastAsia="Times New Roman" w:hAnsi="Times New Roman"/>
          <w:sz w:val="16"/>
          <w:szCs w:val="16"/>
          <w:color w:val="auto"/>
        </w:rPr>
        <w:t>trusted data sources and generative AI to provide our users</w:t>
      </w:r>
    </w:p>
    <w:p>
      <w:pPr>
        <w:spacing w:after="0" w:line="204" w:lineRule="auto"/>
        <w:rPr>
          <w:sz w:val="20"/>
          <w:szCs w:val="20"/>
          <w:color w:val="auto"/>
        </w:rPr>
      </w:pPr>
      <w:r>
        <w:rPr>
          <w:rFonts w:ascii="Times New Roman" w:cs="Times New Roman" w:eastAsia="Times New Roman" w:hAnsi="Times New Roman"/>
          <w:sz w:val="16"/>
          <w:szCs w:val="16"/>
          <w:color w:val="auto"/>
        </w:rPr>
        <w:t>with a better lens to make faster sustainability decisions.</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In-house Expertise:</w:t>
      </w:r>
      <w:r>
        <w:rPr>
          <w:rFonts w:ascii="Times New Roman" w:cs="Times New Roman" w:eastAsia="Times New Roman" w:hAnsi="Times New Roman"/>
          <w:sz w:val="16"/>
          <w:szCs w:val="16"/>
          <w:color w:val="auto"/>
        </w:rPr>
        <w:t xml:space="preserve"> In-house sustainability expertise</w:t>
      </w:r>
    </w:p>
    <w:p>
      <w:pPr>
        <w:spacing w:after="0" w:line="204" w:lineRule="auto"/>
        <w:rPr>
          <w:sz w:val="20"/>
          <w:szCs w:val="20"/>
          <w:color w:val="auto"/>
        </w:rPr>
      </w:pPr>
      <w:r>
        <w:rPr>
          <w:rFonts w:ascii="Times New Roman" w:cs="Times New Roman" w:eastAsia="Times New Roman" w:hAnsi="Times New Roman"/>
          <w:sz w:val="16"/>
          <w:szCs w:val="16"/>
          <w:color w:val="auto"/>
        </w:rPr>
        <w:t>combined with technology to provide full-service support</w:t>
      </w:r>
    </w:p>
    <w:p>
      <w:pPr>
        <w:spacing w:after="0" w:line="204" w:lineRule="auto"/>
        <w:rPr>
          <w:sz w:val="20"/>
          <w:szCs w:val="20"/>
          <w:color w:val="auto"/>
        </w:rPr>
      </w:pPr>
      <w:r>
        <w:rPr>
          <w:rFonts w:ascii="Times New Roman" w:cs="Times New Roman" w:eastAsia="Times New Roman" w:hAnsi="Times New Roman"/>
          <w:sz w:val="16"/>
          <w:szCs w:val="16"/>
          <w:color w:val="auto"/>
        </w:rPr>
        <w:t>to organizations navigating global compliance</w:t>
      </w:r>
    </w:p>
    <w:p>
      <w:pPr>
        <w:spacing w:after="0" w:line="203" w:lineRule="auto"/>
        <w:rPr>
          <w:sz w:val="20"/>
          <w:szCs w:val="20"/>
          <w:color w:val="auto"/>
        </w:rPr>
      </w:pPr>
      <w:r>
        <w:rPr>
          <w:rFonts w:ascii="Times New Roman" w:cs="Times New Roman" w:eastAsia="Times New Roman" w:hAnsi="Times New Roman"/>
          <w:sz w:val="16"/>
          <w:szCs w:val="16"/>
          <w:color w:val="auto"/>
        </w:rPr>
        <w:t>requirements, while also monitoring the capital markets.</w:t>
      </w:r>
    </w:p>
    <w:p>
      <w:pPr>
        <w:spacing w:after="0" w:line="204" w:lineRule="auto"/>
        <w:rPr>
          <w:sz w:val="20"/>
          <w:szCs w:val="20"/>
          <w:color w:val="auto"/>
        </w:rPr>
      </w:pPr>
      <w:r>
        <w:rPr>
          <w:rFonts w:ascii="Times New Roman" w:cs="Times New Roman" w:eastAsia="Times New Roman" w:hAnsi="Times New Roman"/>
          <w:sz w:val="16"/>
          <w:szCs w:val="16"/>
          <w:color w:val="auto"/>
        </w:rPr>
        <w:t>During 2025, we maintained and enhanced our portfolio of</w:t>
      </w:r>
    </w:p>
    <w:p>
      <w:pPr>
        <w:spacing w:after="0" w:line="203" w:lineRule="auto"/>
        <w:rPr>
          <w:sz w:val="20"/>
          <w:szCs w:val="20"/>
          <w:color w:val="auto"/>
        </w:rPr>
      </w:pPr>
      <w:r>
        <w:rPr>
          <w:rFonts w:ascii="Times New Roman" w:cs="Times New Roman" w:eastAsia="Times New Roman" w:hAnsi="Times New Roman"/>
          <w:sz w:val="16"/>
          <w:szCs w:val="16"/>
          <w:color w:val="auto"/>
        </w:rPr>
        <w:t>sustainability services and solutions for our clients and</w:t>
      </w:r>
    </w:p>
    <w:p>
      <w:pPr>
        <w:spacing w:after="0" w:line="204" w:lineRule="auto"/>
        <w:rPr>
          <w:sz w:val="20"/>
          <w:szCs w:val="20"/>
          <w:color w:val="auto"/>
        </w:rPr>
      </w:pPr>
      <w:r>
        <w:rPr>
          <w:rFonts w:ascii="Times New Roman" w:cs="Times New Roman" w:eastAsia="Times New Roman" w:hAnsi="Times New Roman"/>
          <w:sz w:val="16"/>
          <w:szCs w:val="16"/>
          <w:color w:val="auto"/>
        </w:rPr>
        <w:t>stakeholders.</w:t>
      </w:r>
    </w:p>
    <w:p>
      <w:pPr>
        <w:spacing w:after="0" w:line="232" w:lineRule="auto"/>
        <w:rPr>
          <w:sz w:val="20"/>
          <w:szCs w:val="20"/>
          <w:color w:val="auto"/>
        </w:rPr>
      </w:pPr>
      <w:r>
        <w:rPr>
          <w:rFonts w:ascii="Times New Roman" w:cs="Times New Roman" w:eastAsia="Times New Roman" w:hAnsi="Times New Roman"/>
          <w:sz w:val="14"/>
          <w:szCs w:val="14"/>
          <w:color w:val="auto"/>
        </w:rPr>
        <w:t>In 2025, we again requested our existing leading suppliers by</w:t>
      </w:r>
    </w:p>
    <w:p>
      <w:pPr>
        <w:spacing w:after="0" w:line="204" w:lineRule="auto"/>
        <w:rPr>
          <w:sz w:val="20"/>
          <w:szCs w:val="20"/>
          <w:color w:val="auto"/>
        </w:rPr>
      </w:pPr>
      <w:r>
        <w:rPr>
          <w:rFonts w:ascii="Times New Roman" w:cs="Times New Roman" w:eastAsia="Times New Roman" w:hAnsi="Times New Roman"/>
          <w:sz w:val="16"/>
          <w:szCs w:val="16"/>
          <w:color w:val="auto"/>
        </w:rPr>
        <w:t>spend to attest to our Supplier Code of Ethics. The Supplier</w:t>
      </w:r>
    </w:p>
    <w:p>
      <w:pPr>
        <w:spacing w:after="0" w:line="203" w:lineRule="auto"/>
        <w:rPr>
          <w:sz w:val="20"/>
          <w:szCs w:val="20"/>
          <w:color w:val="auto"/>
        </w:rPr>
      </w:pPr>
      <w:r>
        <w:rPr>
          <w:rFonts w:ascii="Times New Roman" w:cs="Times New Roman" w:eastAsia="Times New Roman" w:hAnsi="Times New Roman"/>
          <w:sz w:val="16"/>
          <w:szCs w:val="16"/>
          <w:color w:val="auto"/>
        </w:rPr>
        <w:t>Code of Ethics, which is available on our website,</w:t>
      </w:r>
    </w:p>
    <w:p>
      <w:pPr>
        <w:spacing w:after="0" w:line="233" w:lineRule="auto"/>
        <w:rPr>
          <w:sz w:val="20"/>
          <w:szCs w:val="20"/>
          <w:color w:val="auto"/>
        </w:rPr>
      </w:pPr>
      <w:r>
        <w:rPr>
          <w:rFonts w:ascii="Times New Roman" w:cs="Times New Roman" w:eastAsia="Times New Roman" w:hAnsi="Times New Roman"/>
          <w:sz w:val="14"/>
          <w:szCs w:val="14"/>
          <w:color w:val="auto"/>
        </w:rPr>
        <w:t>encourages our suppliers and vendors to adopt sustainability</w:t>
      </w:r>
    </w:p>
    <w:p>
      <w:pPr>
        <w:spacing w:after="0" w:line="204" w:lineRule="auto"/>
        <w:rPr>
          <w:sz w:val="20"/>
          <w:szCs w:val="20"/>
          <w:color w:val="auto"/>
        </w:rPr>
      </w:pPr>
      <w:r>
        <w:rPr>
          <w:rFonts w:ascii="Times New Roman" w:cs="Times New Roman" w:eastAsia="Times New Roman" w:hAnsi="Times New Roman"/>
          <w:sz w:val="16"/>
          <w:szCs w:val="16"/>
          <w:color w:val="auto"/>
        </w:rPr>
        <w:t>and environmental practices in line with our published</w:t>
      </w:r>
    </w:p>
    <w:p>
      <w:pPr>
        <w:spacing w:after="0" w:line="203" w:lineRule="auto"/>
        <w:rPr>
          <w:sz w:val="20"/>
          <w:szCs w:val="20"/>
          <w:color w:val="auto"/>
        </w:rPr>
      </w:pPr>
      <w:r>
        <w:rPr>
          <w:rFonts w:ascii="Times New Roman" w:cs="Times New Roman" w:eastAsia="Times New Roman" w:hAnsi="Times New Roman"/>
          <w:sz w:val="16"/>
          <w:szCs w:val="16"/>
          <w:color w:val="auto"/>
        </w:rPr>
        <w:t>Environmental Practices Statement. Additionally, our new</w:t>
      </w:r>
    </w:p>
    <w:p>
      <w:pPr>
        <w:spacing w:after="0" w:line="233" w:lineRule="auto"/>
        <w:rPr>
          <w:sz w:val="20"/>
          <w:szCs w:val="20"/>
          <w:color w:val="auto"/>
        </w:rPr>
      </w:pPr>
      <w:r>
        <w:rPr>
          <w:rFonts w:ascii="Times New Roman" w:cs="Times New Roman" w:eastAsia="Times New Roman" w:hAnsi="Times New Roman"/>
          <w:sz w:val="14"/>
          <w:szCs w:val="14"/>
          <w:color w:val="auto"/>
        </w:rPr>
        <w:t>suppliers are required to attest to the Supplier Code of Ethics</w:t>
      </w:r>
    </w:p>
    <w:p>
      <w:pPr>
        <w:spacing w:after="0" w:line="203" w:lineRule="auto"/>
        <w:rPr>
          <w:sz w:val="20"/>
          <w:szCs w:val="20"/>
          <w:color w:val="auto"/>
        </w:rPr>
      </w:pPr>
      <w:r>
        <w:rPr>
          <w:rFonts w:ascii="Times New Roman" w:cs="Times New Roman" w:eastAsia="Times New Roman" w:hAnsi="Times New Roman"/>
          <w:sz w:val="16"/>
          <w:szCs w:val="16"/>
          <w:color w:val="auto"/>
        </w:rPr>
        <w:t>in connection with the commencement of their engagement.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ectPr>
          <w:pgSz w:w="11900" w:h="16840" w:orient="portrait"/>
          <w:cols w:equalWidth="0" w:num="1">
            <w:col w:w="9400"/>
          </w:cols>
          <w:pgMar w:left="1060" w:top="547" w:right="1440" w:bottom="44"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We are subject to extensive regulation in the U.S., Canada</w:t>
      </w:r>
    </w:p>
    <w:p>
      <w:pPr>
        <w:spacing w:after="0" w:line="203" w:lineRule="auto"/>
        <w:rPr>
          <w:sz w:val="20"/>
          <w:szCs w:val="20"/>
          <w:color w:val="auto"/>
        </w:rPr>
      </w:pPr>
      <w:r>
        <w:rPr>
          <w:rFonts w:ascii="Times New Roman" w:cs="Times New Roman" w:eastAsia="Times New Roman" w:hAnsi="Times New Roman"/>
          <w:sz w:val="16"/>
          <w:szCs w:val="16"/>
          <w:color w:val="auto"/>
        </w:rPr>
        <w:t>and Europe.</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U.S. Regulation</w:t>
      </w:r>
    </w:p>
    <w:p>
      <w:pPr>
        <w:spacing w:after="0" w:line="232" w:lineRule="auto"/>
        <w:rPr>
          <w:sz w:val="20"/>
          <w:szCs w:val="20"/>
          <w:color w:val="auto"/>
        </w:rPr>
      </w:pPr>
      <w:r>
        <w:rPr>
          <w:rFonts w:ascii="Times New Roman" w:cs="Times New Roman" w:eastAsia="Times New Roman" w:hAnsi="Times New Roman"/>
          <w:sz w:val="14"/>
          <w:szCs w:val="14"/>
          <w:color w:val="auto"/>
        </w:rPr>
        <w:t>U.S. federal securities laws establish a system of cooperative</w:t>
      </w:r>
    </w:p>
    <w:p>
      <w:pPr>
        <w:spacing w:after="0" w:line="204" w:lineRule="auto"/>
        <w:rPr>
          <w:sz w:val="20"/>
          <w:szCs w:val="20"/>
          <w:color w:val="auto"/>
        </w:rPr>
      </w:pPr>
      <w:r>
        <w:rPr>
          <w:rFonts w:ascii="Times New Roman" w:cs="Times New Roman" w:eastAsia="Times New Roman" w:hAnsi="Times New Roman"/>
          <w:sz w:val="16"/>
          <w:szCs w:val="16"/>
          <w:color w:val="auto"/>
        </w:rPr>
        <w:t>regulation of securities markets, market participants and</w:t>
      </w:r>
    </w:p>
    <w:p>
      <w:pPr>
        <w:spacing w:after="0" w:line="203" w:lineRule="auto"/>
        <w:rPr>
          <w:sz w:val="20"/>
          <w:szCs w:val="20"/>
          <w:color w:val="auto"/>
        </w:rPr>
      </w:pPr>
      <w:r>
        <w:rPr>
          <w:rFonts w:ascii="Times New Roman" w:cs="Times New Roman" w:eastAsia="Times New Roman" w:hAnsi="Times New Roman"/>
          <w:sz w:val="16"/>
          <w:szCs w:val="16"/>
          <w:color w:val="auto"/>
        </w:rPr>
        <w:t>listed companies. SROs conduct the day-to-day</w:t>
      </w:r>
    </w:p>
    <w:p>
      <w:pPr>
        <w:spacing w:after="0" w:line="204" w:lineRule="auto"/>
        <w:rPr>
          <w:sz w:val="20"/>
          <w:szCs w:val="20"/>
          <w:color w:val="auto"/>
        </w:rPr>
      </w:pPr>
      <w:r>
        <w:rPr>
          <w:rFonts w:ascii="Times New Roman" w:cs="Times New Roman" w:eastAsia="Times New Roman" w:hAnsi="Times New Roman"/>
          <w:sz w:val="16"/>
          <w:szCs w:val="16"/>
          <w:color w:val="auto"/>
        </w:rPr>
        <w:t>administration and regulation of the nation’s securities</w:t>
      </w:r>
    </w:p>
    <w:p>
      <w:pPr>
        <w:spacing w:after="0" w:line="203" w:lineRule="auto"/>
        <w:rPr>
          <w:sz w:val="20"/>
          <w:szCs w:val="20"/>
          <w:color w:val="auto"/>
        </w:rPr>
      </w:pPr>
      <w:r>
        <w:rPr>
          <w:rFonts w:ascii="Times New Roman" w:cs="Times New Roman" w:eastAsia="Times New Roman" w:hAnsi="Times New Roman"/>
          <w:sz w:val="16"/>
          <w:szCs w:val="16"/>
          <w:color w:val="auto"/>
        </w:rPr>
        <w:t>markets under the close supervision of, and subject to</w:t>
      </w:r>
    </w:p>
    <w:p>
      <w:pPr>
        <w:spacing w:after="0" w:line="233" w:lineRule="auto"/>
        <w:rPr>
          <w:sz w:val="20"/>
          <w:szCs w:val="20"/>
          <w:color w:val="auto"/>
        </w:rPr>
      </w:pPr>
      <w:r>
        <w:rPr>
          <w:rFonts w:ascii="Times New Roman" w:cs="Times New Roman" w:eastAsia="Times New Roman" w:hAnsi="Times New Roman"/>
          <w:sz w:val="14"/>
          <w:szCs w:val="14"/>
          <w:color w:val="auto"/>
        </w:rPr>
        <w:t>extensive regulation, oversight and enforcement by, the SEC.</w:t>
      </w:r>
    </w:p>
    <w:p>
      <w:pPr>
        <w:spacing w:after="0" w:line="204" w:lineRule="auto"/>
        <w:rPr>
          <w:sz w:val="20"/>
          <w:szCs w:val="20"/>
          <w:color w:val="auto"/>
        </w:rPr>
      </w:pPr>
      <w:r>
        <w:rPr>
          <w:rFonts w:ascii="Times New Roman" w:cs="Times New Roman" w:eastAsia="Times New Roman" w:hAnsi="Times New Roman"/>
          <w:sz w:val="16"/>
          <w:szCs w:val="16"/>
          <w:color w:val="auto"/>
        </w:rPr>
        <w:t>SROs, such as national securities exchanges, are registered</w:t>
      </w:r>
    </w:p>
    <w:p>
      <w:pPr>
        <w:spacing w:after="0" w:line="203" w:lineRule="auto"/>
        <w:rPr>
          <w:sz w:val="20"/>
          <w:szCs w:val="20"/>
          <w:color w:val="auto"/>
        </w:rPr>
      </w:pPr>
      <w:r>
        <w:rPr>
          <w:rFonts w:ascii="Times New Roman" w:cs="Times New Roman" w:eastAsia="Times New Roman" w:hAnsi="Times New Roman"/>
          <w:sz w:val="16"/>
          <w:szCs w:val="16"/>
          <w:color w:val="auto"/>
        </w:rPr>
        <w:t>with the SEC.</w:t>
      </w:r>
    </w:p>
    <w:p>
      <w:pPr>
        <w:spacing w:after="0" w:line="233" w:lineRule="auto"/>
        <w:rPr>
          <w:sz w:val="20"/>
          <w:szCs w:val="20"/>
          <w:color w:val="auto"/>
        </w:rPr>
      </w:pPr>
      <w:r>
        <w:rPr>
          <w:rFonts w:ascii="Times New Roman" w:cs="Times New Roman" w:eastAsia="Times New Roman" w:hAnsi="Times New Roman"/>
          <w:sz w:val="14"/>
          <w:szCs w:val="14"/>
          <w:color w:val="auto"/>
        </w:rPr>
        <w:t>This regulatory framework applies to our U.S. business in the</w:t>
      </w:r>
    </w:p>
    <w:p>
      <w:pPr>
        <w:spacing w:after="0" w:line="203" w:lineRule="auto"/>
        <w:rPr>
          <w:sz w:val="20"/>
          <w:szCs w:val="20"/>
          <w:color w:val="auto"/>
        </w:rPr>
      </w:pPr>
      <w:r>
        <w:rPr>
          <w:rFonts w:ascii="Times New Roman" w:cs="Times New Roman" w:eastAsia="Times New Roman" w:hAnsi="Times New Roman"/>
          <w:sz w:val="16"/>
          <w:szCs w:val="16"/>
          <w:color w:val="auto"/>
        </w:rPr>
        <w:t>following ways: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National Securities Exchanges. </w:t>
      </w:r>
      <w:r>
        <w:rPr>
          <w:rFonts w:ascii="Times New Roman" w:cs="Times New Roman" w:eastAsia="Times New Roman" w:hAnsi="Times New Roman"/>
          <w:sz w:val="16"/>
          <w:szCs w:val="16"/>
          <w:color w:val="auto"/>
        </w:rPr>
        <w:t>SROs in the securities</w:t>
      </w:r>
    </w:p>
    <w:p>
      <w:pPr>
        <w:spacing w:after="0" w:line="233" w:lineRule="auto"/>
        <w:rPr>
          <w:sz w:val="20"/>
          <w:szCs w:val="20"/>
          <w:color w:val="auto"/>
        </w:rPr>
      </w:pPr>
      <w:r>
        <w:rPr>
          <w:rFonts w:ascii="Times New Roman" w:cs="Times New Roman" w:eastAsia="Times New Roman" w:hAnsi="Times New Roman"/>
          <w:sz w:val="14"/>
          <w:szCs w:val="14"/>
          <w:color w:val="auto"/>
        </w:rPr>
        <w:t>industry are an essential component of the regulatory scheme</w:t>
      </w:r>
    </w:p>
    <w:p>
      <w:pPr>
        <w:spacing w:after="0" w:line="203" w:lineRule="auto"/>
        <w:rPr>
          <w:sz w:val="20"/>
          <w:szCs w:val="20"/>
          <w:color w:val="auto"/>
        </w:rPr>
      </w:pPr>
      <w:r>
        <w:rPr>
          <w:rFonts w:ascii="Times New Roman" w:cs="Times New Roman" w:eastAsia="Times New Roman" w:hAnsi="Times New Roman"/>
          <w:sz w:val="16"/>
          <w:szCs w:val="16"/>
          <w:color w:val="auto"/>
        </w:rPr>
        <w:t>of the Exchange Act responsible for providing fair and</w:t>
      </w:r>
    </w:p>
    <w:p>
      <w:pPr>
        <w:spacing w:after="0" w:line="233" w:lineRule="auto"/>
        <w:rPr>
          <w:sz w:val="20"/>
          <w:szCs w:val="20"/>
          <w:color w:val="auto"/>
        </w:rPr>
      </w:pPr>
      <w:r>
        <w:rPr>
          <w:rFonts w:ascii="Times New Roman" w:cs="Times New Roman" w:eastAsia="Times New Roman" w:hAnsi="Times New Roman"/>
          <w:sz w:val="14"/>
          <w:szCs w:val="14"/>
          <w:color w:val="auto"/>
        </w:rPr>
        <w:t>orderly markets and protecting investors. The Exchange Act</w:t>
      </w:r>
    </w:p>
    <w:p>
      <w:pPr>
        <w:spacing w:after="0" w:line="203" w:lineRule="auto"/>
        <w:rPr>
          <w:sz w:val="20"/>
          <w:szCs w:val="20"/>
          <w:color w:val="auto"/>
        </w:rPr>
      </w:pPr>
      <w:r>
        <w:rPr>
          <w:rFonts w:ascii="Times New Roman" w:cs="Times New Roman" w:eastAsia="Times New Roman" w:hAnsi="Times New Roman"/>
          <w:sz w:val="16"/>
          <w:szCs w:val="16"/>
          <w:color w:val="auto"/>
        </w:rPr>
        <w:t>and the rules thereunder, as well as each SRO’s own rules,</w:t>
      </w:r>
    </w:p>
    <w:p>
      <w:pPr>
        <w:spacing w:after="0" w:line="204" w:lineRule="auto"/>
        <w:rPr>
          <w:sz w:val="20"/>
          <w:szCs w:val="20"/>
          <w:color w:val="auto"/>
        </w:rPr>
      </w:pPr>
      <w:r>
        <w:rPr>
          <w:rFonts w:ascii="Times New Roman" w:cs="Times New Roman" w:eastAsia="Times New Roman" w:hAnsi="Times New Roman"/>
          <w:sz w:val="16"/>
          <w:szCs w:val="16"/>
          <w:color w:val="auto"/>
        </w:rPr>
        <w:t>impose many regulatory and operational responsibilities on</w:t>
      </w:r>
    </w:p>
    <w:p>
      <w:pPr>
        <w:spacing w:after="0" w:line="203" w:lineRule="auto"/>
        <w:rPr>
          <w:sz w:val="20"/>
          <w:szCs w:val="20"/>
          <w:color w:val="auto"/>
        </w:rPr>
      </w:pPr>
      <w:r>
        <w:rPr>
          <w:rFonts w:ascii="Times New Roman" w:cs="Times New Roman" w:eastAsia="Times New Roman" w:hAnsi="Times New Roman"/>
          <w:sz w:val="16"/>
          <w:szCs w:val="16"/>
          <w:color w:val="auto"/>
        </w:rPr>
        <w:t>SROs, including the day-to-day responsibilities for market</w:t>
      </w:r>
    </w:p>
    <w:p>
      <w:pPr>
        <w:spacing w:after="0" w:line="204" w:lineRule="auto"/>
        <w:rPr>
          <w:sz w:val="20"/>
          <w:szCs w:val="20"/>
          <w:color w:val="auto"/>
        </w:rPr>
      </w:pPr>
      <w:r>
        <w:rPr>
          <w:rFonts w:ascii="Times New Roman" w:cs="Times New Roman" w:eastAsia="Times New Roman" w:hAnsi="Times New Roman"/>
          <w:sz w:val="16"/>
          <w:szCs w:val="16"/>
          <w:color w:val="auto"/>
        </w:rPr>
        <w:t>and broker-dealer oversight. Moreover, an SRO is</w:t>
      </w:r>
    </w:p>
    <w:p>
      <w:pPr>
        <w:spacing w:after="0"/>
        <w:rPr>
          <w:sz w:val="20"/>
          <w:szCs w:val="20"/>
          <w:color w:val="auto"/>
        </w:rPr>
      </w:pPr>
      <w:r>
        <w:rPr>
          <w:rFonts w:ascii="Times New Roman" w:cs="Times New Roman" w:eastAsia="Times New Roman" w:hAnsi="Times New Roman"/>
          <w:sz w:val="16"/>
          <w:szCs w:val="16"/>
          <w:color w:val="auto"/>
        </w:rPr>
        <w:t>responsible for enforcing compliance by its members,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w:t>
      </w:r>
    </w:p>
    <w:p>
      <w:pPr>
        <w:spacing w:after="0" w:line="203" w:lineRule="auto"/>
        <w:rPr>
          <w:sz w:val="20"/>
          <w:szCs w:val="20"/>
          <w:color w:val="auto"/>
        </w:rPr>
      </w:pPr>
      <w:r>
        <w:rPr>
          <w:rFonts w:ascii="Times New Roman" w:cs="Times New Roman" w:eastAsia="Times New Roman" w:hAnsi="Times New Roman"/>
          <w:sz w:val="16"/>
          <w:szCs w:val="16"/>
          <w:color w:val="auto"/>
        </w:rPr>
        <w:t>routine reviews and inspections by the SEC or external</w:t>
      </w:r>
    </w:p>
    <w:p>
      <w:pPr>
        <w:spacing w:after="0" w:line="233" w:lineRule="auto"/>
        <w:rPr>
          <w:sz w:val="20"/>
          <w:szCs w:val="20"/>
          <w:color w:val="auto"/>
        </w:rPr>
      </w:pPr>
      <w:r>
        <w:rPr>
          <w:rFonts w:ascii="Times New Roman" w:cs="Times New Roman" w:eastAsia="Times New Roman" w:hAnsi="Times New Roman"/>
          <w:sz w:val="14"/>
          <w:szCs w:val="14"/>
          <w:color w:val="auto"/>
        </w:rPr>
        <w:t>auditors in the ordinary course, and we have been and may in</w:t>
      </w:r>
    </w:p>
    <w:p>
      <w:pPr>
        <w:spacing w:after="0" w:line="232" w:lineRule="auto"/>
        <w:rPr>
          <w:sz w:val="20"/>
          <w:szCs w:val="20"/>
          <w:color w:val="auto"/>
        </w:rPr>
      </w:pPr>
      <w:r>
        <w:rPr>
          <w:rFonts w:ascii="Times New Roman" w:cs="Times New Roman" w:eastAsia="Times New Roman" w:hAnsi="Times New Roman"/>
          <w:sz w:val="14"/>
          <w:szCs w:val="14"/>
          <w:color w:val="auto"/>
        </w:rPr>
        <w:t>the future be subject to SEC enforcement proceedings. To the</w:t>
      </w:r>
    </w:p>
    <w:p>
      <w:pPr>
        <w:spacing w:after="0" w:line="204" w:lineRule="auto"/>
        <w:rPr>
          <w:sz w:val="20"/>
          <w:szCs w:val="20"/>
          <w:color w:val="auto"/>
        </w:rPr>
      </w:pPr>
      <w:r>
        <w:rPr>
          <w:rFonts w:ascii="Times New Roman" w:cs="Times New Roman" w:eastAsia="Times New Roman" w:hAnsi="Times New Roman"/>
          <w:sz w:val="16"/>
          <w:szCs w:val="16"/>
          <w:color w:val="auto"/>
        </w:rPr>
        <w:t>extent such actions or reviews and inspections result in</w:t>
      </w:r>
    </w:p>
    <w:p>
      <w:pPr>
        <w:spacing w:after="0" w:line="203" w:lineRule="auto"/>
        <w:rPr>
          <w:sz w:val="20"/>
          <w:szCs w:val="20"/>
          <w:color w:val="auto"/>
        </w:rPr>
      </w:pPr>
      <w:r>
        <w:rPr>
          <w:rFonts w:ascii="Times New Roman" w:cs="Times New Roman" w:eastAsia="Times New Roman" w:hAnsi="Times New Roman"/>
          <w:sz w:val="16"/>
          <w:szCs w:val="16"/>
          <w:color w:val="auto"/>
        </w:rPr>
        <w:t>regulatory or other changes, we may be required to modify</w:t>
      </w:r>
    </w:p>
    <w:p>
      <w:pPr>
        <w:spacing w:after="0" w:line="204" w:lineRule="auto"/>
        <w:rPr>
          <w:sz w:val="20"/>
          <w:szCs w:val="20"/>
          <w:color w:val="auto"/>
        </w:rPr>
      </w:pPr>
      <w:r>
        <w:rPr>
          <w:rFonts w:ascii="Times New Roman" w:cs="Times New Roman" w:eastAsia="Times New Roman" w:hAnsi="Times New Roman"/>
          <w:sz w:val="16"/>
          <w:szCs w:val="16"/>
          <w:color w:val="auto"/>
        </w:rPr>
        <w:t>the manner in which we conduct our business, which may</w:t>
      </w:r>
    </w:p>
    <w:p>
      <w:pPr>
        <w:spacing w:after="0" w:line="233" w:lineRule="auto"/>
        <w:rPr>
          <w:sz w:val="20"/>
          <w:szCs w:val="20"/>
          <w:color w:val="auto"/>
        </w:rPr>
      </w:pPr>
      <w:r>
        <w:rPr>
          <w:rFonts w:ascii="Times New Roman" w:cs="Times New Roman" w:eastAsia="Times New Roman" w:hAnsi="Times New Roman"/>
          <w:sz w:val="14"/>
          <w:szCs w:val="14"/>
          <w:color w:val="auto"/>
        </w:rPr>
        <w:t>adversely affect our business, operating results and financial</w:t>
      </w:r>
    </w:p>
    <w:p>
      <w:pPr>
        <w:spacing w:after="0" w:line="203" w:lineRule="auto"/>
        <w:rPr>
          <w:sz w:val="20"/>
          <w:szCs w:val="20"/>
          <w:color w:val="auto"/>
        </w:rPr>
      </w:pPr>
      <w:r>
        <w:rPr>
          <w:rFonts w:ascii="Times New Roman" w:cs="Times New Roman" w:eastAsia="Times New Roman" w:hAnsi="Times New Roman"/>
          <w:sz w:val="16"/>
          <w:szCs w:val="16"/>
          <w:color w:val="auto"/>
        </w:rPr>
        <w:t>condition.</w:t>
      </w:r>
    </w:p>
    <w:p>
      <w:pPr>
        <w:spacing w:after="0" w:line="233" w:lineRule="auto"/>
        <w:rPr>
          <w:sz w:val="20"/>
          <w:szCs w:val="20"/>
          <w:color w:val="auto"/>
        </w:rPr>
      </w:pPr>
      <w:r>
        <w:rPr>
          <w:rFonts w:ascii="Times New Roman" w:cs="Times New Roman" w:eastAsia="Times New Roman" w:hAnsi="Times New Roman"/>
          <w:sz w:val="14"/>
          <w:szCs w:val="14"/>
          <w:color w:val="auto"/>
        </w:rPr>
        <w:t>Section 19 of the Exchange Act provides that our exchanges</w:t>
      </w:r>
    </w:p>
    <w:p>
      <w:pPr>
        <w:spacing w:after="0" w:line="203" w:lineRule="auto"/>
        <w:rPr>
          <w:sz w:val="20"/>
          <w:szCs w:val="20"/>
          <w:color w:val="auto"/>
        </w:rPr>
      </w:pPr>
      <w:r>
        <w:rPr>
          <w:rFonts w:ascii="Times New Roman" w:cs="Times New Roman" w:eastAsia="Times New Roman" w:hAnsi="Times New Roman"/>
          <w:sz w:val="16"/>
          <w:szCs w:val="16"/>
          <w:color w:val="auto"/>
        </w:rPr>
        <w:t>must submit to the SEC proposed changes to any of the</w:t>
      </w:r>
    </w:p>
    <w:p>
      <w:pPr>
        <w:spacing w:after="0" w:line="233" w:lineRule="auto"/>
        <w:rPr>
          <w:sz w:val="20"/>
          <w:szCs w:val="20"/>
          <w:color w:val="auto"/>
        </w:rPr>
      </w:pPr>
      <w:r>
        <w:rPr>
          <w:rFonts w:ascii="Times New Roman" w:cs="Times New Roman" w:eastAsia="Times New Roman" w:hAnsi="Times New Roman"/>
          <w:sz w:val="14"/>
          <w:szCs w:val="14"/>
          <w:color w:val="auto"/>
        </w:rPr>
        <w:t>SROs’ rules, practices and procedures, including revisions to</w:t>
      </w:r>
    </w:p>
    <w:p>
      <w:pPr>
        <w:spacing w:after="0" w:line="233" w:lineRule="auto"/>
        <w:rPr>
          <w:sz w:val="20"/>
          <w:szCs w:val="20"/>
          <w:color w:val="auto"/>
        </w:rPr>
      </w:pPr>
      <w:r>
        <w:rPr>
          <w:rFonts w:ascii="Times New Roman" w:cs="Times New Roman" w:eastAsia="Times New Roman" w:hAnsi="Times New Roman"/>
          <w:sz w:val="14"/>
          <w:szCs w:val="14"/>
          <w:color w:val="auto"/>
        </w:rPr>
        <w:t>provisions of our certificate of incorporation and by-laws that</w:t>
      </w:r>
    </w:p>
    <w:p>
      <w:pPr>
        <w:spacing w:after="0" w:line="203" w:lineRule="auto"/>
        <w:rPr>
          <w:sz w:val="20"/>
          <w:szCs w:val="20"/>
          <w:color w:val="auto"/>
        </w:rPr>
      </w:pPr>
      <w:r>
        <w:rPr>
          <w:rFonts w:ascii="Times New Roman" w:cs="Times New Roman" w:eastAsia="Times New Roman" w:hAnsi="Times New Roman"/>
          <w:sz w:val="16"/>
          <w:szCs w:val="16"/>
          <w:color w:val="auto"/>
        </w:rPr>
        <w:t>constitute SRO rules. The SEC will typically publish such</w:t>
      </w:r>
    </w:p>
    <w:p>
      <w:pPr>
        <w:spacing w:after="0" w:line="204" w:lineRule="auto"/>
        <w:rPr>
          <w:sz w:val="20"/>
          <w:szCs w:val="20"/>
          <w:color w:val="auto"/>
        </w:rPr>
      </w:pPr>
      <w:r>
        <w:rPr>
          <w:rFonts w:ascii="Times New Roman" w:cs="Times New Roman" w:eastAsia="Times New Roman" w:hAnsi="Times New Roman"/>
          <w:sz w:val="16"/>
          <w:szCs w:val="16"/>
          <w:color w:val="auto"/>
        </w:rPr>
        <w:t>proposed changes for public comment, after which the SEC</w:t>
      </w:r>
    </w:p>
    <w:p>
      <w:pPr>
        <w:spacing w:after="0" w:line="203" w:lineRule="auto"/>
        <w:rPr>
          <w:sz w:val="20"/>
          <w:szCs w:val="20"/>
          <w:color w:val="auto"/>
        </w:rPr>
      </w:pPr>
      <w:r>
        <w:rPr>
          <w:rFonts w:ascii="Times New Roman" w:cs="Times New Roman" w:eastAsia="Times New Roman" w:hAnsi="Times New Roman"/>
          <w:sz w:val="16"/>
          <w:szCs w:val="16"/>
          <w:color w:val="auto"/>
        </w:rPr>
        <w:t>may approve or disapprove the proposal, as it deems</w:t>
      </w:r>
    </w:p>
    <w:p>
      <w:pPr>
        <w:spacing w:after="0" w:line="233" w:lineRule="auto"/>
        <w:rPr>
          <w:sz w:val="20"/>
          <w:szCs w:val="20"/>
          <w:color w:val="auto"/>
        </w:rPr>
      </w:pPr>
      <w:r>
        <w:rPr>
          <w:rFonts w:ascii="Times New Roman" w:cs="Times New Roman" w:eastAsia="Times New Roman" w:hAnsi="Times New Roman"/>
          <w:sz w:val="14"/>
          <w:szCs w:val="14"/>
          <w:color w:val="auto"/>
        </w:rPr>
        <w:t>appropriate. SEC approval requires a finding by the SEC that</w:t>
      </w:r>
    </w:p>
    <w:p>
      <w:pPr>
        <w:spacing w:after="0" w:line="204" w:lineRule="auto"/>
        <w:rPr>
          <w:sz w:val="20"/>
          <w:szCs w:val="20"/>
          <w:color w:val="auto"/>
        </w:rPr>
      </w:pPr>
      <w:r>
        <w:rPr>
          <w:rFonts w:ascii="Times New Roman" w:cs="Times New Roman" w:eastAsia="Times New Roman" w:hAnsi="Times New Roman"/>
          <w:sz w:val="16"/>
          <w:szCs w:val="16"/>
          <w:color w:val="auto"/>
        </w:rPr>
        <w:t>the proposal is consistent with the requirements of the</w:t>
      </w:r>
    </w:p>
    <w:p>
      <w:pPr>
        <w:spacing w:after="0" w:line="203" w:lineRule="auto"/>
        <w:rPr>
          <w:sz w:val="20"/>
          <w:szCs w:val="20"/>
          <w:color w:val="auto"/>
        </w:rPr>
      </w:pPr>
      <w:r>
        <w:rPr>
          <w:rFonts w:ascii="Times New Roman" w:cs="Times New Roman" w:eastAsia="Times New Roman" w:hAnsi="Times New Roman"/>
          <w:sz w:val="16"/>
          <w:szCs w:val="16"/>
          <w:color w:val="auto"/>
        </w:rPr>
        <w:t>Exchange Act and the rules and regulations thereunder.</w:t>
      </w:r>
    </w:p>
    <w:p>
      <w:pPr>
        <w:spacing w:after="0" w:line="204" w:lineRule="auto"/>
        <w:rPr>
          <w:sz w:val="20"/>
          <w:szCs w:val="20"/>
          <w:color w:val="auto"/>
        </w:rPr>
      </w:pPr>
      <w:r>
        <w:rPr>
          <w:rFonts w:ascii="Times New Roman" w:cs="Times New Roman" w:eastAsia="Times New Roman" w:hAnsi="Times New Roman"/>
          <w:sz w:val="16"/>
          <w:szCs w:val="16"/>
          <w:color w:val="auto"/>
        </w:rPr>
        <w:t>Pursuant to the requirements of the Exchange Act, our</w:t>
      </w:r>
    </w:p>
    <w:p>
      <w:pPr>
        <w:spacing w:after="0" w:line="203" w:lineRule="auto"/>
        <w:rPr>
          <w:sz w:val="20"/>
          <w:szCs w:val="20"/>
          <w:color w:val="auto"/>
        </w:rPr>
      </w:pPr>
      <w:r>
        <w:rPr>
          <w:rFonts w:ascii="Times New Roman" w:cs="Times New Roman" w:eastAsia="Times New Roman" w:hAnsi="Times New Roman"/>
          <w:sz w:val="16"/>
          <w:szCs w:val="16"/>
          <w:color w:val="auto"/>
        </w:rPr>
        <w:t>exchanges must file with and seek approval from the SEC</w:t>
      </w:r>
    </w:p>
    <w:p>
      <w:pPr>
        <w:spacing w:after="0" w:line="233" w:lineRule="auto"/>
        <w:rPr>
          <w:sz w:val="20"/>
          <w:szCs w:val="20"/>
          <w:color w:val="auto"/>
        </w:rPr>
      </w:pPr>
      <w:r>
        <w:rPr>
          <w:rFonts w:ascii="Times New Roman" w:cs="Times New Roman" w:eastAsia="Times New Roman" w:hAnsi="Times New Roman"/>
          <w:sz w:val="14"/>
          <w:szCs w:val="14"/>
          <w:color w:val="auto"/>
        </w:rPr>
        <w:t>for, among other things, all proposals to change their pricing</w:t>
      </w:r>
    </w:p>
    <w:p>
      <w:pPr>
        <w:spacing w:after="0" w:line="204" w:lineRule="auto"/>
        <w:rPr>
          <w:sz w:val="20"/>
          <w:szCs w:val="20"/>
          <w:color w:val="auto"/>
        </w:rPr>
      </w:pPr>
      <w:r>
        <w:rPr>
          <w:rFonts w:ascii="Times New Roman" w:cs="Times New Roman" w:eastAsia="Times New Roman" w:hAnsi="Times New Roman"/>
          <w:sz w:val="16"/>
          <w:szCs w:val="16"/>
          <w:color w:val="auto"/>
        </w:rPr>
        <w:t>structure.</w:t>
      </w:r>
    </w:p>
    <w:p>
      <w:pPr>
        <w:spacing w:after="0" w:line="232" w:lineRule="auto"/>
        <w:rPr>
          <w:sz w:val="20"/>
          <w:szCs w:val="20"/>
          <w:color w:val="auto"/>
        </w:rPr>
      </w:pPr>
      <w:r>
        <w:rPr>
          <w:rFonts w:ascii="Times New Roman" w:cs="Times New Roman" w:eastAsia="Times New Roman" w:hAnsi="Times New Roman"/>
          <w:sz w:val="14"/>
          <w:szCs w:val="14"/>
          <w:color w:val="auto"/>
        </w:rPr>
        <w:t>Nasdaq conducts real-time market monitoring, certain equity</w:t>
      </w:r>
    </w:p>
    <w:p>
      <w:pPr>
        <w:spacing w:after="0" w:line="233" w:lineRule="auto"/>
        <w:rPr>
          <w:sz w:val="20"/>
          <w:szCs w:val="20"/>
          <w:color w:val="auto"/>
        </w:rPr>
      </w:pPr>
      <w:r>
        <w:rPr>
          <w:rFonts w:ascii="Times New Roman" w:cs="Times New Roman" w:eastAsia="Times New Roman" w:hAnsi="Times New Roman"/>
          <w:sz w:val="14"/>
          <w:szCs w:val="14"/>
          <w:color w:val="auto"/>
        </w:rPr>
        <w:t>surveillance not involving cross-market activity, most options</w:t>
      </w:r>
    </w:p>
    <w:p>
      <w:pPr>
        <w:spacing w:after="0" w:line="203" w:lineRule="auto"/>
        <w:rPr>
          <w:sz w:val="20"/>
          <w:szCs w:val="20"/>
          <w:color w:val="auto"/>
        </w:rPr>
      </w:pPr>
      <w:r>
        <w:rPr>
          <w:rFonts w:ascii="Times New Roman" w:cs="Times New Roman" w:eastAsia="Times New Roman" w:hAnsi="Times New Roman"/>
          <w:sz w:val="16"/>
          <w:szCs w:val="16"/>
          <w:color w:val="auto"/>
        </w:rPr>
        <w:t>surveillance, rulemaking, enforcement and membership</w:t>
      </w:r>
    </w:p>
    <w:p>
      <w:pPr>
        <w:spacing w:after="0" w:line="204" w:lineRule="auto"/>
        <w:rPr>
          <w:sz w:val="20"/>
          <w:szCs w:val="20"/>
          <w:color w:val="auto"/>
        </w:rPr>
      </w:pPr>
      <w:r>
        <w:rPr>
          <w:rFonts w:ascii="Times New Roman" w:cs="Times New Roman" w:eastAsia="Times New Roman" w:hAnsi="Times New Roman"/>
          <w:sz w:val="16"/>
          <w:szCs w:val="16"/>
          <w:color w:val="auto"/>
        </w:rPr>
        <w:t>functions through our Nasdaq Regulation department. We</w:t>
      </w:r>
    </w:p>
    <w:p>
      <w:pPr>
        <w:spacing w:after="0" w:line="203" w:lineRule="auto"/>
        <w:rPr>
          <w:sz w:val="20"/>
          <w:szCs w:val="20"/>
          <w:color w:val="auto"/>
        </w:rPr>
      </w:pPr>
      <w:r>
        <w:rPr>
          <w:rFonts w:ascii="Times New Roman" w:cs="Times New Roman" w:eastAsia="Times New Roman" w:hAnsi="Times New Roman"/>
          <w:sz w:val="16"/>
          <w:szCs w:val="16"/>
          <w:color w:val="auto"/>
        </w:rPr>
        <w:t>review suspicious trading behavior discovered by our</w:t>
      </w:r>
    </w:p>
    <w:p>
      <w:pPr>
        <w:spacing w:after="0" w:line="233" w:lineRule="auto"/>
        <w:rPr>
          <w:sz w:val="20"/>
          <w:szCs w:val="20"/>
          <w:color w:val="auto"/>
        </w:rPr>
      </w:pPr>
      <w:r>
        <w:rPr>
          <w:rFonts w:ascii="Times New Roman" w:cs="Times New Roman" w:eastAsia="Times New Roman" w:hAnsi="Times New Roman"/>
          <w:sz w:val="14"/>
          <w:szCs w:val="14"/>
          <w:color w:val="auto"/>
        </w:rPr>
        <w:t>regulatory staff, and depending on the nature of the activity,</w:t>
      </w:r>
    </w:p>
    <w:p>
      <w:pPr>
        <w:spacing w:after="0" w:line="204" w:lineRule="auto"/>
        <w:rPr>
          <w:sz w:val="20"/>
          <w:szCs w:val="20"/>
          <w:color w:val="auto"/>
        </w:rPr>
      </w:pPr>
      <w:r>
        <w:rPr>
          <w:rFonts w:ascii="Times New Roman" w:cs="Times New Roman" w:eastAsia="Times New Roman" w:hAnsi="Times New Roman"/>
          <w:sz w:val="16"/>
          <w:szCs w:val="16"/>
          <w:color w:val="auto"/>
        </w:rPr>
        <w:t>may refer the activity to FINRA for further investigation.</w:t>
      </w:r>
    </w:p>
    <w:p>
      <w:pPr>
        <w:spacing w:after="0" w:line="203" w:lineRule="auto"/>
        <w:rPr>
          <w:sz w:val="20"/>
          <w:szCs w:val="20"/>
          <w:color w:val="auto"/>
        </w:rPr>
      </w:pPr>
      <w:r>
        <w:rPr>
          <w:rFonts w:ascii="Times New Roman" w:cs="Times New Roman" w:eastAsia="Times New Roman" w:hAnsi="Times New Roman"/>
          <w:sz w:val="16"/>
          <w:szCs w:val="16"/>
          <w:color w:val="auto"/>
        </w:rPr>
        <w:t>Pursuant to regulatory services agreements between FINRA</w:t>
      </w:r>
    </w:p>
    <w:p>
      <w:pPr>
        <w:spacing w:after="0" w:line="233" w:lineRule="auto"/>
        <w:rPr>
          <w:sz w:val="20"/>
          <w:szCs w:val="20"/>
          <w:color w:val="auto"/>
        </w:rPr>
      </w:pPr>
      <w:r>
        <w:rPr>
          <w:rFonts w:ascii="Times New Roman" w:cs="Times New Roman" w:eastAsia="Times New Roman" w:hAnsi="Times New Roman"/>
          <w:sz w:val="14"/>
          <w:szCs w:val="14"/>
          <w:color w:val="auto"/>
        </w:rPr>
        <w:t>and our SROs, FINRA provides certain regulatory services to</w:t>
      </w:r>
    </w:p>
    <w:p>
      <w:pPr>
        <w:spacing w:after="0" w:line="203" w:lineRule="auto"/>
        <w:rPr>
          <w:sz w:val="20"/>
          <w:szCs w:val="20"/>
          <w:color w:val="auto"/>
        </w:rPr>
      </w:pPr>
      <w:r>
        <w:rPr>
          <w:rFonts w:ascii="Times New Roman" w:cs="Times New Roman" w:eastAsia="Times New Roman" w:hAnsi="Times New Roman"/>
          <w:sz w:val="16"/>
          <w:szCs w:val="16"/>
          <w:color w:val="auto"/>
        </w:rPr>
        <w:t>our markets, including some regulation of trading activity</w:t>
      </w:r>
    </w:p>
    <w:p>
      <w:pPr>
        <w:spacing w:after="0" w:line="233" w:lineRule="auto"/>
        <w:rPr>
          <w:sz w:val="20"/>
          <w:szCs w:val="20"/>
          <w:color w:val="auto"/>
        </w:rPr>
      </w:pPr>
      <w:r>
        <w:rPr>
          <w:rFonts w:ascii="Times New Roman" w:cs="Times New Roman" w:eastAsia="Times New Roman" w:hAnsi="Times New Roman"/>
          <w:sz w:val="14"/>
          <w:szCs w:val="14"/>
          <w:color w:val="auto"/>
        </w:rPr>
        <w:t>and surveillance and investigative functions. Our SROs retain</w:t>
      </w:r>
    </w:p>
    <w:p>
      <w:pPr>
        <w:spacing w:after="0" w:line="233" w:lineRule="auto"/>
        <w:rPr>
          <w:sz w:val="20"/>
          <w:szCs w:val="20"/>
          <w:color w:val="auto"/>
        </w:rPr>
      </w:pPr>
      <w:r>
        <w:rPr>
          <w:rFonts w:ascii="Times New Roman" w:cs="Times New Roman" w:eastAsia="Times New Roman" w:hAnsi="Times New Roman"/>
          <w:sz w:val="14"/>
          <w:szCs w:val="14"/>
          <w:color w:val="auto"/>
        </w:rPr>
        <w:t>ultimate regulatory responsibility for all regulatory activities</w:t>
      </w:r>
    </w:p>
    <w:p>
      <w:pPr>
        <w:spacing w:after="0" w:line="203" w:lineRule="auto"/>
        <w:rPr>
          <w:sz w:val="20"/>
          <w:szCs w:val="20"/>
          <w:color w:val="auto"/>
        </w:rPr>
      </w:pPr>
      <w:r>
        <w:rPr>
          <w:rFonts w:ascii="Times New Roman" w:cs="Times New Roman" w:eastAsia="Times New Roman" w:hAnsi="Times New Roman"/>
          <w:sz w:val="16"/>
          <w:szCs w:val="16"/>
          <w:color w:val="auto"/>
        </w:rPr>
        <w:t>performed under regulatory agreements by FINRA, and for</w:t>
      </w:r>
    </w:p>
    <w:p>
      <w:pPr>
        <w:spacing w:after="0" w:line="204" w:lineRule="auto"/>
        <w:rPr>
          <w:sz w:val="20"/>
          <w:szCs w:val="20"/>
          <w:color w:val="auto"/>
        </w:rPr>
      </w:pPr>
      <w:r>
        <w:rPr>
          <w:rFonts w:ascii="Times New Roman" w:cs="Times New Roman" w:eastAsia="Times New Roman" w:hAnsi="Times New Roman"/>
          <w:sz w:val="16"/>
          <w:szCs w:val="16"/>
          <w:color w:val="auto"/>
        </w:rPr>
        <w:t>fulfilling all regulatory obligations for which FINRA does</w:t>
      </w:r>
    </w:p>
    <w:p>
      <w:pPr>
        <w:spacing w:after="0" w:line="203" w:lineRule="auto"/>
        <w:rPr>
          <w:sz w:val="20"/>
          <w:szCs w:val="20"/>
          <w:color w:val="auto"/>
        </w:rPr>
      </w:pPr>
      <w:r>
        <w:rPr>
          <w:rFonts w:ascii="Times New Roman" w:cs="Times New Roman" w:eastAsia="Times New Roman" w:hAnsi="Times New Roman"/>
          <w:sz w:val="16"/>
          <w:szCs w:val="16"/>
          <w:color w:val="auto"/>
        </w:rPr>
        <w:t>not have responsibility under the regulatory services</w:t>
      </w:r>
    </w:p>
    <w:p>
      <w:pPr>
        <w:spacing w:after="0" w:line="204" w:lineRule="auto"/>
        <w:rPr>
          <w:sz w:val="20"/>
          <w:szCs w:val="20"/>
          <w:color w:val="auto"/>
        </w:rPr>
      </w:pPr>
      <w:r>
        <w:rPr>
          <w:rFonts w:ascii="Times New Roman" w:cs="Times New Roman" w:eastAsia="Times New Roman" w:hAnsi="Times New Roman"/>
          <w:sz w:val="16"/>
          <w:szCs w:val="16"/>
          <w:color w:val="auto"/>
        </w:rPr>
        <w:t>agreements.</w:t>
      </w:r>
    </w:p>
    <w:p>
      <w:pPr>
        <w:spacing w:after="0" w:line="204" w:lineRule="auto"/>
        <w:rPr>
          <w:sz w:val="20"/>
          <w:szCs w:val="20"/>
          <w:color w:val="auto"/>
        </w:rPr>
      </w:pPr>
      <w:r>
        <w:rPr>
          <w:rFonts w:ascii="Times New Roman" w:cs="Times New Roman" w:eastAsia="Times New Roman" w:hAnsi="Times New Roman"/>
          <w:sz w:val="16"/>
          <w:szCs w:val="16"/>
          <w:color w:val="auto"/>
        </w:rPr>
        <w:t>In addition to its other SRO responsibilities, The Nasdaq</w:t>
      </w:r>
    </w:p>
    <w:p>
      <w:pPr>
        <w:spacing w:after="0" w:line="203" w:lineRule="auto"/>
        <w:rPr>
          <w:sz w:val="20"/>
          <w:szCs w:val="20"/>
          <w:color w:val="auto"/>
        </w:rPr>
      </w:pPr>
      <w:r>
        <w:rPr>
          <w:rFonts w:ascii="Times New Roman" w:cs="Times New Roman" w:eastAsia="Times New Roman" w:hAnsi="Times New Roman"/>
          <w:sz w:val="16"/>
          <w:szCs w:val="16"/>
          <w:color w:val="auto"/>
        </w:rPr>
        <w:t>Stock Market, as a listing market, also is responsible for</w:t>
      </w:r>
    </w:p>
    <w:p>
      <w:pPr>
        <w:spacing w:after="0" w:line="204" w:lineRule="auto"/>
        <w:rPr>
          <w:sz w:val="20"/>
          <w:szCs w:val="20"/>
          <w:color w:val="auto"/>
        </w:rPr>
      </w:pPr>
      <w:r>
        <w:rPr>
          <w:rFonts w:ascii="Times New Roman" w:cs="Times New Roman" w:eastAsia="Times New Roman" w:hAnsi="Times New Roman"/>
          <w:sz w:val="16"/>
          <w:szCs w:val="16"/>
          <w:color w:val="auto"/>
        </w:rPr>
        <w:t>overseeing each listed company’s compliance with The</w:t>
      </w:r>
    </w:p>
    <w:p>
      <w:pPr>
        <w:spacing w:after="0" w:line="203" w:lineRule="auto"/>
        <w:rPr>
          <w:sz w:val="20"/>
          <w:szCs w:val="20"/>
          <w:color w:val="auto"/>
        </w:rPr>
      </w:pPr>
      <w:r>
        <w:rPr>
          <w:rFonts w:ascii="Times New Roman" w:cs="Times New Roman" w:eastAsia="Times New Roman" w:hAnsi="Times New Roman"/>
          <w:sz w:val="16"/>
          <w:szCs w:val="16"/>
          <w:color w:val="auto"/>
        </w:rPr>
        <w:t>Nasdaq Stock Market’s financial and corporate governance</w:t>
      </w:r>
    </w:p>
    <w:p>
      <w:pPr>
        <w:spacing w:after="0" w:line="204" w:lineRule="auto"/>
        <w:rPr>
          <w:sz w:val="20"/>
          <w:szCs w:val="20"/>
          <w:color w:val="auto"/>
        </w:rPr>
      </w:pPr>
      <w:r>
        <w:rPr>
          <w:rFonts w:ascii="Times New Roman" w:cs="Times New Roman" w:eastAsia="Times New Roman" w:hAnsi="Times New Roman"/>
          <w:sz w:val="16"/>
          <w:szCs w:val="16"/>
          <w:color w:val="auto"/>
        </w:rPr>
        <w:t>standards. Our listing qualifications department evaluates</w:t>
      </w:r>
    </w:p>
    <w:p>
      <w:pPr>
        <w:spacing w:after="0" w:line="203" w:lineRule="auto"/>
        <w:rPr>
          <w:sz w:val="20"/>
          <w:szCs w:val="20"/>
          <w:color w:val="auto"/>
        </w:rPr>
      </w:pPr>
      <w:r>
        <w:rPr>
          <w:rFonts w:ascii="Times New Roman" w:cs="Times New Roman" w:eastAsia="Times New Roman" w:hAnsi="Times New Roman"/>
          <w:sz w:val="16"/>
          <w:szCs w:val="16"/>
          <w:color w:val="auto"/>
        </w:rPr>
        <w:t>applications submitted by issuers seeking to list their</w:t>
      </w:r>
    </w:p>
    <w:p>
      <w:pPr>
        <w:spacing w:after="0" w:line="233" w:lineRule="auto"/>
        <w:rPr>
          <w:sz w:val="20"/>
          <w:szCs w:val="20"/>
          <w:color w:val="auto"/>
        </w:rPr>
      </w:pPr>
      <w:r>
        <w:rPr>
          <w:rFonts w:ascii="Times New Roman" w:cs="Times New Roman" w:eastAsia="Times New Roman" w:hAnsi="Times New Roman"/>
          <w:sz w:val="14"/>
          <w:szCs w:val="14"/>
          <w:color w:val="auto"/>
        </w:rPr>
        <w:t>securities on The Nasdaq Stock Market to determine whether</w:t>
      </w:r>
    </w:p>
    <w:p>
      <w:pPr>
        <w:spacing w:after="0" w:line="203" w:lineRule="auto"/>
        <w:rPr>
          <w:sz w:val="20"/>
          <w:szCs w:val="20"/>
          <w:color w:val="auto"/>
        </w:rPr>
      </w:pPr>
      <w:r>
        <w:rPr>
          <w:rFonts w:ascii="Times New Roman" w:cs="Times New Roman" w:eastAsia="Times New Roman" w:hAnsi="Times New Roman"/>
          <w:sz w:val="16"/>
          <w:szCs w:val="16"/>
          <w:color w:val="auto"/>
        </w:rPr>
        <w:t>the quantitative and qualitative listing standards have been</w:t>
      </w:r>
    </w:p>
    <w:p>
      <w:pPr>
        <w:spacing w:after="0" w:line="233" w:lineRule="auto"/>
        <w:rPr>
          <w:sz w:val="20"/>
          <w:szCs w:val="20"/>
          <w:color w:val="auto"/>
        </w:rPr>
      </w:pPr>
      <w:r>
        <w:rPr>
          <w:rFonts w:ascii="Times New Roman" w:cs="Times New Roman" w:eastAsia="Times New Roman" w:hAnsi="Times New Roman"/>
          <w:sz w:val="14"/>
          <w:szCs w:val="14"/>
          <w:color w:val="auto"/>
        </w:rPr>
        <w:t>satisfied. Once securities are listed, the listing qualifications</w:t>
      </w:r>
    </w:p>
    <w:p>
      <w:pPr>
        <w:spacing w:after="0" w:line="233" w:lineRule="auto"/>
        <w:rPr>
          <w:sz w:val="20"/>
          <w:szCs w:val="20"/>
          <w:color w:val="auto"/>
        </w:rPr>
      </w:pPr>
      <w:r>
        <w:rPr>
          <w:rFonts w:ascii="Times New Roman" w:cs="Times New Roman" w:eastAsia="Times New Roman" w:hAnsi="Times New Roman"/>
          <w:sz w:val="14"/>
          <w:szCs w:val="14"/>
          <w:color w:val="auto"/>
        </w:rPr>
        <w:t>department monitors each issuer’s on-going compliance with</w:t>
      </w:r>
    </w:p>
    <w:p>
      <w:pPr>
        <w:spacing w:after="0" w:line="203" w:lineRule="auto"/>
        <w:rPr>
          <w:sz w:val="20"/>
          <w:szCs w:val="20"/>
          <w:color w:val="auto"/>
        </w:rPr>
      </w:pPr>
      <w:r>
        <w:rPr>
          <w:rFonts w:ascii="Times New Roman" w:cs="Times New Roman" w:eastAsia="Times New Roman" w:hAnsi="Times New Roman"/>
          <w:sz w:val="16"/>
          <w:szCs w:val="16"/>
          <w:color w:val="auto"/>
        </w:rPr>
        <w:t>The Nasdaq Stock Market’s continued listing standards.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Broker-dealer regulation. </w:t>
      </w:r>
      <w:r>
        <w:rPr>
          <w:rFonts w:ascii="Times New Roman" w:cs="Times New Roman" w:eastAsia="Times New Roman" w:hAnsi="Times New Roman"/>
          <w:sz w:val="16"/>
          <w:szCs w:val="16"/>
          <w:color w:val="auto"/>
        </w:rPr>
        <w:t>Nasdaq’s broker-dealer</w:t>
      </w:r>
    </w:p>
    <w:p>
      <w:pPr>
        <w:spacing w:after="0" w:line="204" w:lineRule="auto"/>
        <w:rPr>
          <w:sz w:val="20"/>
          <w:szCs w:val="20"/>
          <w:color w:val="auto"/>
        </w:rPr>
      </w:pPr>
      <w:r>
        <w:rPr>
          <w:rFonts w:ascii="Times New Roman" w:cs="Times New Roman" w:eastAsia="Times New Roman" w:hAnsi="Times New Roman"/>
          <w:sz w:val="16"/>
          <w:szCs w:val="16"/>
          <w:color w:val="auto"/>
        </w:rPr>
        <w:t>subsidiaries are subject to regulation by the SEC, the SROs</w:t>
      </w:r>
    </w:p>
    <w:p>
      <w:pPr>
        <w:spacing w:after="0" w:line="232" w:lineRule="auto"/>
        <w:rPr>
          <w:sz w:val="20"/>
          <w:szCs w:val="20"/>
          <w:color w:val="auto"/>
        </w:rPr>
      </w:pPr>
      <w:r>
        <w:rPr>
          <w:rFonts w:ascii="Times New Roman" w:cs="Times New Roman" w:eastAsia="Times New Roman" w:hAnsi="Times New Roman"/>
          <w:sz w:val="14"/>
          <w:szCs w:val="14"/>
          <w:color w:val="auto"/>
        </w:rPr>
        <w:t>and various state securities regulators. Nasdaq operates three</w:t>
      </w:r>
    </w:p>
    <w:p>
      <w:pPr>
        <w:spacing w:after="0" w:line="204" w:lineRule="auto"/>
        <w:rPr>
          <w:sz w:val="20"/>
          <w:szCs w:val="20"/>
          <w:color w:val="auto"/>
        </w:rPr>
      </w:pPr>
      <w:r>
        <w:rPr>
          <w:rFonts w:ascii="Times New Roman" w:cs="Times New Roman" w:eastAsia="Times New Roman" w:hAnsi="Times New Roman"/>
          <w:sz w:val="16"/>
          <w:szCs w:val="16"/>
          <w:color w:val="auto"/>
        </w:rPr>
        <w:t>broker-dealers: Nasdaq Execution Services, LLC, NFSTX,</w:t>
      </w:r>
    </w:p>
    <w:p>
      <w:pPr>
        <w:spacing w:after="0" w:line="203" w:lineRule="auto"/>
        <w:rPr>
          <w:sz w:val="20"/>
          <w:szCs w:val="20"/>
          <w:color w:val="auto"/>
        </w:rPr>
      </w:pPr>
      <w:r>
        <w:rPr>
          <w:rFonts w:ascii="Times New Roman" w:cs="Times New Roman" w:eastAsia="Times New Roman" w:hAnsi="Times New Roman"/>
          <w:sz w:val="16"/>
          <w:szCs w:val="16"/>
          <w:color w:val="auto"/>
        </w:rPr>
        <w:t>LLC, and Nasdaq Capital Markets Advisory LLC. Each</w:t>
      </w:r>
    </w:p>
    <w:p>
      <w:pPr>
        <w:spacing w:after="0" w:line="204" w:lineRule="auto"/>
        <w:rPr>
          <w:sz w:val="20"/>
          <w:szCs w:val="20"/>
          <w:color w:val="auto"/>
        </w:rPr>
      </w:pPr>
      <w:r>
        <w:rPr>
          <w:rFonts w:ascii="Times New Roman" w:cs="Times New Roman" w:eastAsia="Times New Roman" w:hAnsi="Times New Roman"/>
          <w:sz w:val="16"/>
          <w:szCs w:val="16"/>
          <w:color w:val="auto"/>
        </w:rPr>
        <w:t>broker-dealer is registered with the SEC, a member of</w:t>
      </w:r>
    </w:p>
    <w:p>
      <w:pPr>
        <w:spacing w:after="0"/>
        <w:rPr>
          <w:sz w:val="20"/>
          <w:szCs w:val="20"/>
          <w:color w:val="auto"/>
        </w:rPr>
      </w:pPr>
      <w:r>
        <w:rPr>
          <w:rFonts w:ascii="Times New Roman" w:cs="Times New Roman" w:eastAsia="Times New Roman" w:hAnsi="Times New Roman"/>
          <w:sz w:val="16"/>
          <w:szCs w:val="16"/>
          <w:color w:val="auto"/>
        </w:rPr>
        <w:t>FINRA and registered in the U.S. states and territories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required by the operation of its business. In addition, we own</w:t>
      </w:r>
    </w:p>
    <w:p>
      <w:pPr>
        <w:spacing w:after="0" w:line="237" w:lineRule="auto"/>
        <w:rPr>
          <w:sz w:val="20"/>
          <w:szCs w:val="20"/>
          <w:color w:val="auto"/>
        </w:rPr>
      </w:pPr>
      <w:r>
        <w:rPr>
          <w:rFonts w:ascii="Times New Roman" w:cs="Times New Roman" w:eastAsia="Times New Roman" w:hAnsi="Times New Roman"/>
          <w:sz w:val="16"/>
          <w:szCs w:val="16"/>
          <w:color w:val="auto"/>
        </w:rPr>
        <w:t>a minority interest in The NASDAQ Private Market, LLC.</w:t>
      </w:r>
    </w:p>
    <w:p>
      <w:pPr>
        <w:spacing w:after="0" w:line="233" w:lineRule="auto"/>
        <w:rPr>
          <w:sz w:val="20"/>
          <w:szCs w:val="20"/>
          <w:color w:val="auto"/>
        </w:rPr>
      </w:pPr>
      <w:r>
        <w:rPr>
          <w:rFonts w:ascii="Times New Roman" w:cs="Times New Roman" w:eastAsia="Times New Roman" w:hAnsi="Times New Roman"/>
          <w:sz w:val="14"/>
          <w:szCs w:val="14"/>
          <w:color w:val="auto"/>
        </w:rPr>
        <w:t>Nasdaq Execution Services operates as our routing broker for</w:t>
      </w:r>
    </w:p>
    <w:p>
      <w:pPr>
        <w:spacing w:after="0" w:line="203" w:lineRule="auto"/>
        <w:rPr>
          <w:sz w:val="20"/>
          <w:szCs w:val="20"/>
          <w:color w:val="auto"/>
        </w:rPr>
      </w:pPr>
      <w:r>
        <w:rPr>
          <w:rFonts w:ascii="Times New Roman" w:cs="Times New Roman" w:eastAsia="Times New Roman" w:hAnsi="Times New Roman"/>
          <w:sz w:val="16"/>
          <w:szCs w:val="16"/>
          <w:color w:val="auto"/>
        </w:rPr>
        <w:t>sending orders from Nasdaq’s U.S. cash equity and options</w:t>
      </w:r>
    </w:p>
    <w:p>
      <w:pPr>
        <w:spacing w:after="0" w:line="204" w:lineRule="auto"/>
        <w:rPr>
          <w:sz w:val="20"/>
          <w:szCs w:val="20"/>
          <w:color w:val="auto"/>
        </w:rPr>
      </w:pPr>
      <w:r>
        <w:rPr>
          <w:rFonts w:ascii="Times New Roman" w:cs="Times New Roman" w:eastAsia="Times New Roman" w:hAnsi="Times New Roman"/>
          <w:sz w:val="16"/>
          <w:szCs w:val="16"/>
          <w:color w:val="auto"/>
        </w:rPr>
        <w:t>exchanges to other venues for execution. NFSTX is a</w:t>
      </w:r>
    </w:p>
    <w:p>
      <w:pPr>
        <w:spacing w:after="0" w:line="203" w:lineRule="auto"/>
        <w:rPr>
          <w:sz w:val="20"/>
          <w:szCs w:val="20"/>
          <w:color w:val="auto"/>
        </w:rPr>
      </w:pPr>
      <w:r>
        <w:rPr>
          <w:rFonts w:ascii="Times New Roman" w:cs="Times New Roman" w:eastAsia="Times New Roman" w:hAnsi="Times New Roman"/>
          <w:sz w:val="16"/>
          <w:szCs w:val="16"/>
          <w:color w:val="auto"/>
        </w:rPr>
        <w:t>registered ATS and acts as an intermediary to facilitate</w:t>
      </w:r>
    </w:p>
    <w:p>
      <w:pPr>
        <w:spacing w:after="0" w:line="233" w:lineRule="auto"/>
        <w:rPr>
          <w:sz w:val="20"/>
          <w:szCs w:val="20"/>
          <w:color w:val="auto"/>
        </w:rPr>
      </w:pPr>
      <w:r>
        <w:rPr>
          <w:rFonts w:ascii="Times New Roman" w:cs="Times New Roman" w:eastAsia="Times New Roman" w:hAnsi="Times New Roman"/>
          <w:sz w:val="14"/>
          <w:szCs w:val="14"/>
          <w:color w:val="auto"/>
        </w:rPr>
        <w:t>secondary transactions in certain funds (both registered or not</w:t>
      </w:r>
    </w:p>
    <w:p>
      <w:pPr>
        <w:spacing w:after="0" w:line="204" w:lineRule="auto"/>
        <w:rPr>
          <w:sz w:val="20"/>
          <w:szCs w:val="20"/>
          <w:color w:val="auto"/>
        </w:rPr>
      </w:pPr>
      <w:r>
        <w:rPr>
          <w:rFonts w:ascii="Times New Roman" w:cs="Times New Roman" w:eastAsia="Times New Roman" w:hAnsi="Times New Roman"/>
          <w:sz w:val="16"/>
          <w:szCs w:val="16"/>
          <w:color w:val="auto"/>
        </w:rPr>
        <w:t>registered under the Investment Company Act of 1940),</w:t>
      </w:r>
    </w:p>
    <w:p>
      <w:pPr>
        <w:spacing w:after="0" w:line="203" w:lineRule="auto"/>
        <w:rPr>
          <w:sz w:val="20"/>
          <w:szCs w:val="20"/>
          <w:color w:val="auto"/>
        </w:rPr>
      </w:pPr>
      <w:r>
        <w:rPr>
          <w:rFonts w:ascii="Times New Roman" w:cs="Times New Roman" w:eastAsia="Times New Roman" w:hAnsi="Times New Roman"/>
          <w:sz w:val="16"/>
          <w:szCs w:val="16"/>
          <w:color w:val="auto"/>
        </w:rPr>
        <w:t>business development companies, certain closed-end funds</w:t>
      </w:r>
    </w:p>
    <w:p>
      <w:pPr>
        <w:spacing w:after="0" w:line="204" w:lineRule="auto"/>
        <w:rPr>
          <w:sz w:val="20"/>
          <w:szCs w:val="20"/>
          <w:color w:val="auto"/>
        </w:rPr>
      </w:pPr>
      <w:r>
        <w:rPr>
          <w:rFonts w:ascii="Times New Roman" w:cs="Times New Roman" w:eastAsia="Times New Roman" w:hAnsi="Times New Roman"/>
          <w:sz w:val="16"/>
          <w:szCs w:val="16"/>
          <w:color w:val="auto"/>
        </w:rPr>
        <w:t>and private real estate investment funds. Nasdaq Capital</w:t>
      </w:r>
    </w:p>
    <w:p>
      <w:pPr>
        <w:spacing w:after="0" w:line="203" w:lineRule="auto"/>
        <w:rPr>
          <w:sz w:val="20"/>
          <w:szCs w:val="20"/>
          <w:color w:val="auto"/>
        </w:rPr>
      </w:pPr>
      <w:r>
        <w:rPr>
          <w:rFonts w:ascii="Times New Roman" w:cs="Times New Roman" w:eastAsia="Times New Roman" w:hAnsi="Times New Roman"/>
          <w:sz w:val="16"/>
          <w:szCs w:val="16"/>
          <w:color w:val="auto"/>
        </w:rPr>
        <w:t>Markets Advisory, or NCMA, is the distributor of product</w:t>
      </w:r>
    </w:p>
    <w:p>
      <w:pPr>
        <w:spacing w:after="0" w:line="204" w:lineRule="auto"/>
        <w:rPr>
          <w:sz w:val="20"/>
          <w:szCs w:val="20"/>
          <w:color w:val="auto"/>
        </w:rPr>
      </w:pPr>
      <w:r>
        <w:rPr>
          <w:rFonts w:ascii="Times New Roman" w:cs="Times New Roman" w:eastAsia="Times New Roman" w:hAnsi="Times New Roman"/>
          <w:sz w:val="16"/>
          <w:szCs w:val="16"/>
          <w:color w:val="auto"/>
        </w:rPr>
        <w:t>and strategy reports for its affiliate, Nasdaq Fund Network.</w:t>
      </w:r>
    </w:p>
    <w:p>
      <w:pPr>
        <w:spacing w:after="0" w:line="203" w:lineRule="auto"/>
        <w:rPr>
          <w:sz w:val="20"/>
          <w:szCs w:val="20"/>
          <w:color w:val="auto"/>
        </w:rPr>
      </w:pPr>
      <w:r>
        <w:rPr>
          <w:rFonts w:ascii="Times New Roman" w:cs="Times New Roman" w:eastAsia="Times New Roman" w:hAnsi="Times New Roman"/>
          <w:sz w:val="16"/>
          <w:szCs w:val="16"/>
          <w:color w:val="auto"/>
        </w:rPr>
        <w:t>Nasdaq Fund Network provides a comprehensive pricing,</w:t>
      </w:r>
    </w:p>
    <w:p>
      <w:pPr>
        <w:spacing w:after="0" w:line="204" w:lineRule="auto"/>
        <w:rPr>
          <w:sz w:val="20"/>
          <w:szCs w:val="20"/>
          <w:color w:val="auto"/>
        </w:rPr>
      </w:pPr>
      <w:r>
        <w:rPr>
          <w:rFonts w:ascii="Times New Roman" w:cs="Times New Roman" w:eastAsia="Times New Roman" w:hAnsi="Times New Roman"/>
          <w:sz w:val="16"/>
          <w:szCs w:val="16"/>
          <w:color w:val="auto"/>
        </w:rPr>
        <w:t>data, and analytics platform for investment products and</w:t>
      </w:r>
    </w:p>
    <w:p>
      <w:pPr>
        <w:spacing w:after="0" w:line="203" w:lineRule="auto"/>
        <w:rPr>
          <w:sz w:val="20"/>
          <w:szCs w:val="20"/>
          <w:color w:val="auto"/>
        </w:rPr>
      </w:pPr>
      <w:r>
        <w:rPr>
          <w:rFonts w:ascii="Times New Roman" w:cs="Times New Roman" w:eastAsia="Times New Roman" w:hAnsi="Times New Roman"/>
          <w:sz w:val="16"/>
          <w:szCs w:val="16"/>
          <w:color w:val="auto"/>
        </w:rPr>
        <w:t>provides coverage of unit investments trusts in product and</w:t>
      </w:r>
    </w:p>
    <w:p>
      <w:pPr>
        <w:spacing w:after="0" w:line="204" w:lineRule="auto"/>
        <w:rPr>
          <w:sz w:val="20"/>
          <w:szCs w:val="20"/>
          <w:color w:val="auto"/>
        </w:rPr>
      </w:pPr>
      <w:r>
        <w:rPr>
          <w:rFonts w:ascii="Times New Roman" w:cs="Times New Roman" w:eastAsia="Times New Roman" w:hAnsi="Times New Roman"/>
          <w:sz w:val="16"/>
          <w:szCs w:val="16"/>
          <w:color w:val="auto"/>
        </w:rPr>
        <w:t>strategy reports available to financial professionals and</w:t>
      </w:r>
    </w:p>
    <w:p>
      <w:pPr>
        <w:spacing w:after="0" w:line="204" w:lineRule="auto"/>
        <w:rPr>
          <w:sz w:val="20"/>
          <w:szCs w:val="20"/>
          <w:color w:val="auto"/>
        </w:rPr>
      </w:pPr>
      <w:r>
        <w:rPr>
          <w:rFonts w:ascii="Times New Roman" w:cs="Times New Roman" w:eastAsia="Times New Roman" w:hAnsi="Times New Roman"/>
          <w:sz w:val="16"/>
          <w:szCs w:val="16"/>
          <w:color w:val="auto"/>
        </w:rPr>
        <w:t>investors. NCMA submits product and strategy reports to</w:t>
      </w:r>
    </w:p>
    <w:p>
      <w:pPr>
        <w:spacing w:after="0" w:line="232" w:lineRule="auto"/>
        <w:rPr>
          <w:sz w:val="20"/>
          <w:szCs w:val="20"/>
          <w:color w:val="auto"/>
        </w:rPr>
      </w:pPr>
      <w:r>
        <w:rPr>
          <w:rFonts w:ascii="Times New Roman" w:cs="Times New Roman" w:eastAsia="Times New Roman" w:hAnsi="Times New Roman"/>
          <w:sz w:val="14"/>
          <w:szCs w:val="14"/>
          <w:color w:val="auto"/>
        </w:rPr>
        <w:t>FINRA’s advertising review department prior to distribution.</w:t>
      </w:r>
    </w:p>
    <w:p>
      <w:pPr>
        <w:spacing w:after="0" w:line="233" w:lineRule="auto"/>
        <w:rPr>
          <w:sz w:val="20"/>
          <w:szCs w:val="20"/>
          <w:color w:val="auto"/>
        </w:rPr>
      </w:pPr>
      <w:r>
        <w:rPr>
          <w:rFonts w:ascii="Times New Roman" w:cs="Times New Roman" w:eastAsia="Times New Roman" w:hAnsi="Times New Roman"/>
          <w:sz w:val="14"/>
          <w:szCs w:val="14"/>
          <w:color w:val="auto"/>
        </w:rPr>
        <w:t>NCMA is also the distributor of investment strategy literature</w:t>
      </w:r>
    </w:p>
    <w:p>
      <w:pPr>
        <w:spacing w:after="0"/>
        <w:rPr>
          <w:sz w:val="20"/>
          <w:szCs w:val="20"/>
          <w:color w:val="auto"/>
        </w:rPr>
      </w:pPr>
      <w:r>
        <w:rPr>
          <w:rFonts w:ascii="Times New Roman" w:cs="Times New Roman" w:eastAsia="Times New Roman" w:hAnsi="Times New Roman"/>
          <w:sz w:val="14"/>
          <w:szCs w:val="14"/>
          <w:color w:val="auto"/>
        </w:rPr>
        <w:t>and research reports generated by its affiliate, Nasdaq Dorsey</w:t>
      </w:r>
    </w:p>
    <w:p>
      <w:pPr>
        <w:sectPr>
          <w:pgSz w:w="11900" w:h="16840" w:orient="portrait"/>
          <w:cols w:equalWidth="0" w:num="1">
            <w:col w:w="9400"/>
          </w:cols>
          <w:pgMar w:left="1060" w:top="547" w:right="1440" w:bottom="103"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Wright, or NDW. It performs such functions pursuant to</w:t>
      </w:r>
    </w:p>
    <w:p>
      <w:pPr>
        <w:spacing w:after="0" w:line="203" w:lineRule="auto"/>
        <w:rPr>
          <w:sz w:val="20"/>
          <w:szCs w:val="20"/>
          <w:color w:val="auto"/>
        </w:rPr>
      </w:pPr>
      <w:r>
        <w:rPr>
          <w:rFonts w:ascii="Times New Roman" w:cs="Times New Roman" w:eastAsia="Times New Roman" w:hAnsi="Times New Roman"/>
          <w:sz w:val="16"/>
          <w:szCs w:val="16"/>
          <w:color w:val="auto"/>
        </w:rPr>
        <w:t>distribution/selling agreements. NDW is a Registered</w:t>
      </w:r>
    </w:p>
    <w:p>
      <w:pPr>
        <w:spacing w:after="0"/>
        <w:rPr>
          <w:sz w:val="20"/>
          <w:szCs w:val="20"/>
          <w:color w:val="auto"/>
        </w:rPr>
      </w:pPr>
      <w:r>
        <w:rPr>
          <w:rFonts w:ascii="Times New Roman" w:cs="Times New Roman" w:eastAsia="Times New Roman" w:hAnsi="Times New Roman"/>
          <w:sz w:val="16"/>
          <w:szCs w:val="16"/>
          <w:color w:val="auto"/>
        </w:rPr>
        <w:t>Investment Advisor that provides U.S. advisors proprietary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w:t>
      </w:r>
    </w:p>
    <w:p>
      <w:pPr>
        <w:spacing w:after="0" w:line="203" w:lineRule="auto"/>
        <w:rPr>
          <w:sz w:val="20"/>
          <w:szCs w:val="20"/>
          <w:color w:val="auto"/>
        </w:rPr>
      </w:pPr>
      <w:r>
        <w:rPr>
          <w:rFonts w:ascii="Times New Roman" w:cs="Times New Roman" w:eastAsia="Times New Roman" w:hAnsi="Times New Roman"/>
          <w:sz w:val="16"/>
          <w:szCs w:val="16"/>
          <w:color w:val="auto"/>
        </w:rPr>
        <w:t>certain minimum capital requirements. As of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each of our broker-dealers were in compliance with</w:t>
      </w:r>
    </w:p>
    <w:p>
      <w:pPr>
        <w:spacing w:after="0"/>
        <w:rPr>
          <w:sz w:val="20"/>
          <w:szCs w:val="20"/>
          <w:color w:val="auto"/>
        </w:rPr>
      </w:pPr>
      <w:r>
        <w:rPr>
          <w:rFonts w:ascii="Times New Roman" w:cs="Times New Roman" w:eastAsia="Times New Roman" w:hAnsi="Times New Roman"/>
          <w:sz w:val="16"/>
          <w:szCs w:val="16"/>
          <w:color w:val="auto"/>
        </w:rPr>
        <w:t>applicable capital requirements.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Regulatory contractual relationships with FINRA. </w:t>
      </w:r>
      <w:r>
        <w:rPr>
          <w:rFonts w:ascii="Times New Roman" w:cs="Times New Roman" w:eastAsia="Times New Roman" w:hAnsi="Times New Roman"/>
          <w:sz w:val="14"/>
          <w:szCs w:val="14"/>
          <w:color w:val="auto"/>
        </w:rPr>
        <w:t>Our SROs</w:t>
      </w:r>
    </w:p>
    <w:p>
      <w:pPr>
        <w:spacing w:after="0" w:line="237" w:lineRule="auto"/>
        <w:rPr>
          <w:sz w:val="20"/>
          <w:szCs w:val="20"/>
          <w:color w:val="auto"/>
        </w:rPr>
      </w:pPr>
      <w:r>
        <w:rPr>
          <w:rFonts w:ascii="Times New Roman" w:cs="Times New Roman" w:eastAsia="Times New Roman" w:hAnsi="Times New Roman"/>
          <w:sz w:val="16"/>
          <w:szCs w:val="16"/>
          <w:color w:val="auto"/>
        </w:rPr>
        <w:t>have signed a series of regulatory service agreements</w:t>
      </w:r>
    </w:p>
    <w:p>
      <w:pPr>
        <w:spacing w:after="0" w:line="204" w:lineRule="auto"/>
        <w:rPr>
          <w:sz w:val="20"/>
          <w:szCs w:val="20"/>
          <w:color w:val="auto"/>
        </w:rPr>
      </w:pPr>
      <w:r>
        <w:rPr>
          <w:rFonts w:ascii="Times New Roman" w:cs="Times New Roman" w:eastAsia="Times New Roman" w:hAnsi="Times New Roman"/>
          <w:sz w:val="16"/>
          <w:szCs w:val="16"/>
          <w:color w:val="auto"/>
        </w:rPr>
        <w:t>covering the services FINRA provides to the respective</w:t>
      </w:r>
    </w:p>
    <w:p>
      <w:pPr>
        <w:spacing w:after="0" w:line="232" w:lineRule="auto"/>
        <w:rPr>
          <w:sz w:val="20"/>
          <w:szCs w:val="20"/>
          <w:color w:val="auto"/>
        </w:rPr>
      </w:pPr>
      <w:r>
        <w:rPr>
          <w:rFonts w:ascii="Times New Roman" w:cs="Times New Roman" w:eastAsia="Times New Roman" w:hAnsi="Times New Roman"/>
          <w:sz w:val="14"/>
          <w:szCs w:val="14"/>
          <w:color w:val="auto"/>
        </w:rPr>
        <w:t>SROs. Under these agreements, FINRA personnel act as our</w:t>
      </w:r>
    </w:p>
    <w:p>
      <w:pPr>
        <w:spacing w:after="0" w:line="233" w:lineRule="auto"/>
        <w:rPr>
          <w:sz w:val="20"/>
          <w:szCs w:val="20"/>
          <w:color w:val="auto"/>
        </w:rPr>
      </w:pPr>
      <w:r>
        <w:rPr>
          <w:rFonts w:ascii="Times New Roman" w:cs="Times New Roman" w:eastAsia="Times New Roman" w:hAnsi="Times New Roman"/>
          <w:sz w:val="14"/>
          <w:szCs w:val="14"/>
          <w:color w:val="auto"/>
        </w:rPr>
        <w:t>agents in performing the regulatory functions outlined above,</w:t>
      </w:r>
    </w:p>
    <w:p>
      <w:pPr>
        <w:spacing w:after="0" w:line="203" w:lineRule="auto"/>
        <w:rPr>
          <w:sz w:val="20"/>
          <w:szCs w:val="20"/>
          <w:color w:val="auto"/>
        </w:rPr>
      </w:pPr>
      <w:r>
        <w:rPr>
          <w:rFonts w:ascii="Times New Roman" w:cs="Times New Roman" w:eastAsia="Times New Roman" w:hAnsi="Times New Roman"/>
          <w:sz w:val="16"/>
          <w:szCs w:val="16"/>
          <w:color w:val="auto"/>
        </w:rPr>
        <w:t>and FINRA bills us a fee for these services. These</w:t>
      </w:r>
    </w:p>
    <w:p>
      <w:pPr>
        <w:spacing w:after="0" w:line="204" w:lineRule="auto"/>
        <w:rPr>
          <w:sz w:val="20"/>
          <w:szCs w:val="20"/>
          <w:color w:val="auto"/>
        </w:rPr>
      </w:pPr>
      <w:r>
        <w:rPr>
          <w:rFonts w:ascii="Times New Roman" w:cs="Times New Roman" w:eastAsia="Times New Roman" w:hAnsi="Times New Roman"/>
          <w:sz w:val="16"/>
          <w:szCs w:val="16"/>
          <w:color w:val="auto"/>
        </w:rPr>
        <w:t>agreements ensure that the markets for which we are</w:t>
      </w:r>
    </w:p>
    <w:p>
      <w:pPr>
        <w:spacing w:after="0" w:line="233" w:lineRule="auto"/>
        <w:rPr>
          <w:sz w:val="20"/>
          <w:szCs w:val="20"/>
          <w:color w:val="auto"/>
        </w:rPr>
      </w:pPr>
      <w:r>
        <w:rPr>
          <w:rFonts w:ascii="Times New Roman" w:cs="Times New Roman" w:eastAsia="Times New Roman" w:hAnsi="Times New Roman"/>
          <w:sz w:val="14"/>
          <w:szCs w:val="14"/>
          <w:color w:val="auto"/>
        </w:rPr>
        <w:t>responsible are properly regulated. In conjunction with these</w:t>
      </w:r>
    </w:p>
    <w:p>
      <w:pPr>
        <w:spacing w:after="0" w:line="203" w:lineRule="auto"/>
        <w:rPr>
          <w:sz w:val="20"/>
          <w:szCs w:val="20"/>
          <w:color w:val="auto"/>
        </w:rPr>
      </w:pPr>
      <w:r>
        <w:rPr>
          <w:rFonts w:ascii="Times New Roman" w:cs="Times New Roman" w:eastAsia="Times New Roman" w:hAnsi="Times New Roman"/>
          <w:sz w:val="16"/>
          <w:szCs w:val="16"/>
          <w:color w:val="auto"/>
        </w:rPr>
        <w:t>agreements, we also perform certain of these functions</w:t>
      </w:r>
    </w:p>
    <w:p>
      <w:pPr>
        <w:spacing w:after="0" w:line="204" w:lineRule="auto"/>
        <w:rPr>
          <w:sz w:val="20"/>
          <w:szCs w:val="20"/>
          <w:color w:val="auto"/>
        </w:rPr>
      </w:pPr>
      <w:r>
        <w:rPr>
          <w:rFonts w:ascii="Times New Roman" w:cs="Times New Roman" w:eastAsia="Times New Roman" w:hAnsi="Times New Roman"/>
          <w:sz w:val="16"/>
          <w:szCs w:val="16"/>
          <w:color w:val="auto"/>
        </w:rPr>
        <w:t>ourselves. In addition, our SROs retain ultimate regulatory</w:t>
      </w:r>
    </w:p>
    <w:p>
      <w:pPr>
        <w:spacing w:after="0" w:line="203" w:lineRule="auto"/>
        <w:rPr>
          <w:sz w:val="20"/>
          <w:szCs w:val="20"/>
          <w:color w:val="auto"/>
        </w:rPr>
      </w:pPr>
      <w:r>
        <w:rPr>
          <w:rFonts w:ascii="Times New Roman" w:cs="Times New Roman" w:eastAsia="Times New Roman" w:hAnsi="Times New Roman"/>
          <w:sz w:val="16"/>
          <w:szCs w:val="16"/>
          <w:color w:val="auto"/>
        </w:rPr>
        <w:t>responsibility for all regulatory activities performed under</w:t>
      </w:r>
    </w:p>
    <w:p>
      <w:pPr>
        <w:spacing w:after="0" w:line="204" w:lineRule="auto"/>
        <w:rPr>
          <w:sz w:val="20"/>
          <w:szCs w:val="20"/>
          <w:color w:val="auto"/>
        </w:rPr>
      </w:pPr>
      <w:r>
        <w:rPr>
          <w:rFonts w:ascii="Times New Roman" w:cs="Times New Roman" w:eastAsia="Times New Roman" w:hAnsi="Times New Roman"/>
          <w:sz w:val="16"/>
          <w:szCs w:val="16"/>
          <w:color w:val="auto"/>
        </w:rPr>
        <w:t>these agreements by FINRA.</w:t>
      </w:r>
    </w:p>
    <w:p>
      <w:pPr>
        <w:spacing w:after="0" w:line="203" w:lineRule="auto"/>
        <w:rPr>
          <w:sz w:val="20"/>
          <w:szCs w:val="20"/>
          <w:color w:val="auto"/>
        </w:rPr>
      </w:pPr>
      <w:r>
        <w:rPr>
          <w:rFonts w:ascii="Times New Roman" w:cs="Times New Roman" w:eastAsia="Times New Roman" w:hAnsi="Times New Roman"/>
          <w:sz w:val="16"/>
          <w:szCs w:val="16"/>
          <w:color w:val="auto"/>
        </w:rPr>
        <w:t>Exchange Act Rule 17d-2 permits SROs to enter into</w:t>
      </w:r>
    </w:p>
    <w:p>
      <w:pPr>
        <w:spacing w:after="0" w:line="204" w:lineRule="auto"/>
        <w:rPr>
          <w:sz w:val="20"/>
          <w:szCs w:val="20"/>
          <w:color w:val="auto"/>
        </w:rPr>
      </w:pPr>
      <w:r>
        <w:rPr>
          <w:rFonts w:ascii="Times New Roman" w:cs="Times New Roman" w:eastAsia="Times New Roman" w:hAnsi="Times New Roman"/>
          <w:sz w:val="16"/>
          <w:szCs w:val="16"/>
          <w:color w:val="auto"/>
        </w:rPr>
        <w:t>agreements, commonly called Rule 17d-2 agreements,</w:t>
      </w:r>
    </w:p>
    <w:p>
      <w:pPr>
        <w:spacing w:after="0" w:line="233" w:lineRule="auto"/>
        <w:rPr>
          <w:sz w:val="20"/>
          <w:szCs w:val="20"/>
          <w:color w:val="auto"/>
        </w:rPr>
      </w:pPr>
      <w:r>
        <w:rPr>
          <w:rFonts w:ascii="Times New Roman" w:cs="Times New Roman" w:eastAsia="Times New Roman" w:hAnsi="Times New Roman"/>
          <w:sz w:val="14"/>
          <w:szCs w:val="14"/>
          <w:color w:val="auto"/>
        </w:rPr>
        <w:t>approved by the SEC with respect to enforcement of common</w:t>
      </w:r>
    </w:p>
    <w:p>
      <w:pPr>
        <w:spacing w:after="0" w:line="203" w:lineRule="auto"/>
        <w:rPr>
          <w:sz w:val="20"/>
          <w:szCs w:val="20"/>
          <w:color w:val="auto"/>
        </w:rPr>
      </w:pPr>
      <w:r>
        <w:rPr>
          <w:rFonts w:ascii="Times New Roman" w:cs="Times New Roman" w:eastAsia="Times New Roman" w:hAnsi="Times New Roman"/>
          <w:sz w:val="16"/>
          <w:szCs w:val="16"/>
          <w:color w:val="auto"/>
        </w:rPr>
        <w:t>rules relating to common members. Our SROs have entered</w:t>
      </w:r>
    </w:p>
    <w:p>
      <w:pPr>
        <w:spacing w:after="0" w:line="204" w:lineRule="auto"/>
        <w:rPr>
          <w:sz w:val="20"/>
          <w:szCs w:val="20"/>
          <w:color w:val="auto"/>
        </w:rPr>
      </w:pPr>
      <w:r>
        <w:rPr>
          <w:rFonts w:ascii="Times New Roman" w:cs="Times New Roman" w:eastAsia="Times New Roman" w:hAnsi="Times New Roman"/>
          <w:sz w:val="16"/>
          <w:szCs w:val="16"/>
          <w:color w:val="auto"/>
        </w:rPr>
        <w:t>into several such agreements under which FINRA assumes</w:t>
      </w:r>
    </w:p>
    <w:p>
      <w:pPr>
        <w:spacing w:after="0" w:line="232" w:lineRule="auto"/>
        <w:rPr>
          <w:sz w:val="20"/>
          <w:szCs w:val="20"/>
          <w:color w:val="auto"/>
        </w:rPr>
      </w:pPr>
      <w:r>
        <w:rPr>
          <w:rFonts w:ascii="Times New Roman" w:cs="Times New Roman" w:eastAsia="Times New Roman" w:hAnsi="Times New Roman"/>
          <w:sz w:val="14"/>
          <w:szCs w:val="14"/>
          <w:color w:val="auto"/>
        </w:rPr>
        <w:t>regulatory responsibility for various rules or areas covered by</w:t>
      </w:r>
    </w:p>
    <w:p>
      <w:pPr>
        <w:spacing w:after="0" w:line="204" w:lineRule="auto"/>
        <w:rPr>
          <w:sz w:val="20"/>
          <w:szCs w:val="20"/>
          <w:color w:val="auto"/>
        </w:rPr>
      </w:pPr>
      <w:r>
        <w:rPr>
          <w:rFonts w:ascii="Times New Roman" w:cs="Times New Roman" w:eastAsia="Times New Roman" w:hAnsi="Times New Roman"/>
          <w:sz w:val="16"/>
          <w:szCs w:val="16"/>
          <w:color w:val="auto"/>
        </w:rPr>
        <w:t>agreements.</w:t>
      </w:r>
    </w:p>
    <w:p>
      <w:pPr>
        <w:spacing w:after="0" w:line="233" w:lineRule="auto"/>
        <w:rPr>
          <w:sz w:val="20"/>
          <w:szCs w:val="20"/>
          <w:color w:val="auto"/>
        </w:rPr>
      </w:pPr>
      <w:r>
        <w:rPr>
          <w:rFonts w:ascii="Times New Roman" w:cs="Times New Roman" w:eastAsia="Times New Roman" w:hAnsi="Times New Roman"/>
          <w:sz w:val="14"/>
          <w:szCs w:val="14"/>
          <w:i w:val="1"/>
          <w:iCs w:val="1"/>
          <w:color w:val="auto"/>
        </w:rPr>
        <w:t xml:space="preserve">Regulation NMS and Options Intermarket Linkage Plan. </w:t>
      </w:r>
      <w:r>
        <w:rPr>
          <w:rFonts w:ascii="Times New Roman" w:cs="Times New Roman" w:eastAsia="Times New Roman" w:hAnsi="Times New Roman"/>
          <w:sz w:val="14"/>
          <w:szCs w:val="14"/>
          <w:color w:val="auto"/>
        </w:rPr>
        <w:t>We</w:t>
      </w:r>
    </w:p>
    <w:p>
      <w:pPr>
        <w:spacing w:after="0" w:line="203" w:lineRule="auto"/>
        <w:rPr>
          <w:sz w:val="20"/>
          <w:szCs w:val="20"/>
          <w:color w:val="auto"/>
        </w:rPr>
      </w:pPr>
      <w:r>
        <w:rPr>
          <w:rFonts w:ascii="Times New Roman" w:cs="Times New Roman" w:eastAsia="Times New Roman" w:hAnsi="Times New Roman"/>
          <w:sz w:val="16"/>
          <w:szCs w:val="16"/>
          <w:color w:val="auto"/>
        </w:rPr>
        <w:t>are subject to Regulation NMS for our cash equity markets,</w:t>
      </w:r>
    </w:p>
    <w:p>
      <w:pPr>
        <w:spacing w:after="0" w:line="233" w:lineRule="auto"/>
        <w:rPr>
          <w:sz w:val="20"/>
          <w:szCs w:val="20"/>
          <w:color w:val="auto"/>
        </w:rPr>
      </w:pPr>
      <w:r>
        <w:rPr>
          <w:rFonts w:ascii="Times New Roman" w:cs="Times New Roman" w:eastAsia="Times New Roman" w:hAnsi="Times New Roman"/>
          <w:sz w:val="14"/>
          <w:szCs w:val="14"/>
          <w:color w:val="auto"/>
        </w:rPr>
        <w:t>and our options markets have joined the Options Intermarket</w:t>
      </w:r>
    </w:p>
    <w:p>
      <w:pPr>
        <w:spacing w:after="0" w:line="203" w:lineRule="auto"/>
        <w:rPr>
          <w:sz w:val="20"/>
          <w:szCs w:val="20"/>
          <w:color w:val="auto"/>
        </w:rPr>
      </w:pPr>
      <w:r>
        <w:rPr>
          <w:rFonts w:ascii="Times New Roman" w:cs="Times New Roman" w:eastAsia="Times New Roman" w:hAnsi="Times New Roman"/>
          <w:sz w:val="16"/>
          <w:szCs w:val="16"/>
          <w:color w:val="auto"/>
        </w:rPr>
        <w:t>Linkage Plan. These are designed to facilitate the routing of</w:t>
      </w:r>
    </w:p>
    <w:p>
      <w:pPr>
        <w:spacing w:after="0" w:line="204" w:lineRule="auto"/>
        <w:rPr>
          <w:sz w:val="20"/>
          <w:szCs w:val="20"/>
          <w:color w:val="auto"/>
        </w:rPr>
      </w:pPr>
      <w:r>
        <w:rPr>
          <w:rFonts w:ascii="Times New Roman" w:cs="Times New Roman" w:eastAsia="Times New Roman" w:hAnsi="Times New Roman"/>
          <w:sz w:val="16"/>
          <w:szCs w:val="16"/>
          <w:color w:val="auto"/>
        </w:rPr>
        <w:t>orders among exchanges to create a national market system</w:t>
      </w:r>
    </w:p>
    <w:p>
      <w:pPr>
        <w:spacing w:after="0" w:line="203" w:lineRule="auto"/>
        <w:rPr>
          <w:sz w:val="20"/>
          <w:szCs w:val="20"/>
          <w:color w:val="auto"/>
        </w:rPr>
      </w:pPr>
      <w:r>
        <w:rPr>
          <w:rFonts w:ascii="Times New Roman" w:cs="Times New Roman" w:eastAsia="Times New Roman" w:hAnsi="Times New Roman"/>
          <w:sz w:val="16"/>
          <w:szCs w:val="16"/>
          <w:color w:val="auto"/>
        </w:rPr>
        <w:t>as mandated by the Exchange Act. One of the principal</w:t>
      </w:r>
    </w:p>
    <w:p>
      <w:pPr>
        <w:spacing w:after="0" w:line="233" w:lineRule="auto"/>
        <w:rPr>
          <w:sz w:val="20"/>
          <w:szCs w:val="20"/>
          <w:color w:val="auto"/>
        </w:rPr>
      </w:pPr>
      <w:r>
        <w:rPr>
          <w:rFonts w:ascii="Times New Roman" w:cs="Times New Roman" w:eastAsia="Times New Roman" w:hAnsi="Times New Roman"/>
          <w:sz w:val="14"/>
          <w:szCs w:val="14"/>
          <w:color w:val="auto"/>
        </w:rPr>
        <w:t>purposes of a national market system is to ensure that brokers</w:t>
      </w:r>
    </w:p>
    <w:p>
      <w:pPr>
        <w:spacing w:after="0" w:line="204" w:lineRule="auto"/>
        <w:rPr>
          <w:sz w:val="20"/>
          <w:szCs w:val="20"/>
          <w:color w:val="auto"/>
        </w:rPr>
      </w:pPr>
      <w:r>
        <w:rPr>
          <w:rFonts w:ascii="Times New Roman" w:cs="Times New Roman" w:eastAsia="Times New Roman" w:hAnsi="Times New Roman"/>
          <w:sz w:val="16"/>
          <w:szCs w:val="16"/>
          <w:color w:val="auto"/>
        </w:rPr>
        <w:t>may execute investors’ orders at the best market price. Both</w:t>
      </w:r>
    </w:p>
    <w:p>
      <w:pPr>
        <w:spacing w:after="0" w:line="203" w:lineRule="auto"/>
        <w:rPr>
          <w:sz w:val="20"/>
          <w:szCs w:val="20"/>
          <w:color w:val="auto"/>
        </w:rPr>
      </w:pPr>
      <w:r>
        <w:rPr>
          <w:rFonts w:ascii="Times New Roman" w:cs="Times New Roman" w:eastAsia="Times New Roman" w:hAnsi="Times New Roman"/>
          <w:sz w:val="16"/>
          <w:szCs w:val="16"/>
          <w:color w:val="auto"/>
        </w:rPr>
        <w:t>Regulation NMS and the Options Intermarket Linkage Plan</w:t>
      </w:r>
    </w:p>
    <w:p>
      <w:pPr>
        <w:spacing w:after="0" w:line="204" w:lineRule="auto"/>
        <w:rPr>
          <w:sz w:val="20"/>
          <w:szCs w:val="20"/>
          <w:color w:val="auto"/>
        </w:rPr>
      </w:pPr>
      <w:r>
        <w:rPr>
          <w:rFonts w:ascii="Times New Roman" w:cs="Times New Roman" w:eastAsia="Times New Roman" w:hAnsi="Times New Roman"/>
          <w:sz w:val="16"/>
          <w:szCs w:val="16"/>
          <w:color w:val="auto"/>
        </w:rPr>
        <w:t>require that exchanges avoid trade-throughs, locking or</w:t>
      </w:r>
    </w:p>
    <w:p>
      <w:pPr>
        <w:spacing w:after="0" w:line="203" w:lineRule="auto"/>
        <w:rPr>
          <w:sz w:val="20"/>
          <w:szCs w:val="20"/>
          <w:color w:val="auto"/>
        </w:rPr>
      </w:pPr>
      <w:r>
        <w:rPr>
          <w:rFonts w:ascii="Times New Roman" w:cs="Times New Roman" w:eastAsia="Times New Roman" w:hAnsi="Times New Roman"/>
          <w:sz w:val="16"/>
          <w:szCs w:val="16"/>
          <w:color w:val="auto"/>
        </w:rPr>
        <w:t>crossing of markets and provide market participants with</w:t>
      </w:r>
    </w:p>
    <w:p>
      <w:pPr>
        <w:spacing w:after="0" w:line="233" w:lineRule="auto"/>
        <w:rPr>
          <w:sz w:val="20"/>
          <w:szCs w:val="20"/>
          <w:color w:val="auto"/>
        </w:rPr>
      </w:pPr>
      <w:r>
        <w:rPr>
          <w:rFonts w:ascii="Times New Roman" w:cs="Times New Roman" w:eastAsia="Times New Roman" w:hAnsi="Times New Roman"/>
          <w:sz w:val="14"/>
          <w:szCs w:val="14"/>
          <w:color w:val="auto"/>
        </w:rPr>
        <w:t>electronic access to the best prices among the markets for the</w:t>
      </w:r>
    </w:p>
    <w:p>
      <w:pPr>
        <w:spacing w:after="0" w:line="203" w:lineRule="auto"/>
        <w:rPr>
          <w:sz w:val="20"/>
          <w:szCs w:val="20"/>
          <w:color w:val="auto"/>
        </w:rPr>
      </w:pPr>
      <w:r>
        <w:rPr>
          <w:rFonts w:ascii="Times New Roman" w:cs="Times New Roman" w:eastAsia="Times New Roman" w:hAnsi="Times New Roman"/>
          <w:sz w:val="16"/>
          <w:szCs w:val="16"/>
          <w:color w:val="auto"/>
        </w:rPr>
        <w:t>applicable cash equity or options order.</w:t>
      </w:r>
    </w:p>
    <w:p>
      <w:pPr>
        <w:spacing w:after="0" w:line="204" w:lineRule="auto"/>
        <w:rPr>
          <w:sz w:val="20"/>
          <w:szCs w:val="20"/>
          <w:color w:val="auto"/>
        </w:rPr>
      </w:pPr>
      <w:r>
        <w:rPr>
          <w:rFonts w:ascii="Times New Roman" w:cs="Times New Roman" w:eastAsia="Times New Roman" w:hAnsi="Times New Roman"/>
          <w:sz w:val="16"/>
          <w:szCs w:val="16"/>
          <w:color w:val="auto"/>
        </w:rPr>
        <w:t>In addition, Regulation NMS requires that every national</w:t>
      </w:r>
    </w:p>
    <w:p>
      <w:pPr>
        <w:spacing w:after="0" w:line="204" w:lineRule="auto"/>
        <w:rPr>
          <w:sz w:val="20"/>
          <w:szCs w:val="20"/>
          <w:color w:val="auto"/>
        </w:rPr>
      </w:pPr>
      <w:r>
        <w:rPr>
          <w:rFonts w:ascii="Times New Roman" w:cs="Times New Roman" w:eastAsia="Times New Roman" w:hAnsi="Times New Roman"/>
          <w:sz w:val="16"/>
          <w:szCs w:val="16"/>
          <w:color w:val="auto"/>
        </w:rPr>
        <w:t>securities exchange on which an NMS stock is traded and</w:t>
      </w:r>
    </w:p>
    <w:p>
      <w:pPr>
        <w:spacing w:after="0" w:line="203" w:lineRule="auto"/>
        <w:rPr>
          <w:sz w:val="20"/>
          <w:szCs w:val="20"/>
          <w:color w:val="auto"/>
        </w:rPr>
      </w:pPr>
      <w:r>
        <w:rPr>
          <w:rFonts w:ascii="Times New Roman" w:cs="Times New Roman" w:eastAsia="Times New Roman" w:hAnsi="Times New Roman"/>
          <w:sz w:val="16"/>
          <w:szCs w:val="16"/>
          <w:color w:val="auto"/>
        </w:rPr>
        <w:t>every national securities association act jointly pursuant to</w:t>
      </w:r>
    </w:p>
    <w:p>
      <w:pPr>
        <w:spacing w:after="0" w:line="204" w:lineRule="auto"/>
        <w:rPr>
          <w:sz w:val="20"/>
          <w:szCs w:val="20"/>
          <w:color w:val="auto"/>
        </w:rPr>
      </w:pPr>
      <w:r>
        <w:rPr>
          <w:rFonts w:ascii="Times New Roman" w:cs="Times New Roman" w:eastAsia="Times New Roman" w:hAnsi="Times New Roman"/>
          <w:sz w:val="16"/>
          <w:szCs w:val="16"/>
          <w:color w:val="auto"/>
        </w:rPr>
        <w:t>one or more national market system plans to disseminate</w:t>
      </w:r>
    </w:p>
    <w:p>
      <w:pPr>
        <w:spacing w:after="0" w:line="203" w:lineRule="auto"/>
        <w:rPr>
          <w:sz w:val="20"/>
          <w:szCs w:val="20"/>
          <w:color w:val="auto"/>
        </w:rPr>
      </w:pPr>
      <w:r>
        <w:rPr>
          <w:rFonts w:ascii="Times New Roman" w:cs="Times New Roman" w:eastAsia="Times New Roman" w:hAnsi="Times New Roman"/>
          <w:sz w:val="16"/>
          <w:szCs w:val="16"/>
          <w:color w:val="auto"/>
        </w:rPr>
        <w:t>consolidated information, including a national best bid and</w:t>
      </w:r>
    </w:p>
    <w:p>
      <w:pPr>
        <w:spacing w:after="0" w:line="204" w:lineRule="auto"/>
        <w:rPr>
          <w:sz w:val="20"/>
          <w:szCs w:val="20"/>
          <w:color w:val="auto"/>
        </w:rPr>
      </w:pPr>
      <w:r>
        <w:rPr>
          <w:rFonts w:ascii="Times New Roman" w:cs="Times New Roman" w:eastAsia="Times New Roman" w:hAnsi="Times New Roman"/>
          <w:sz w:val="16"/>
          <w:szCs w:val="16"/>
          <w:color w:val="auto"/>
        </w:rPr>
        <w:t>national best offer, on quotations for transactions in NMS</w:t>
      </w:r>
    </w:p>
    <w:p>
      <w:pPr>
        <w:spacing w:after="0" w:line="203" w:lineRule="auto"/>
        <w:rPr>
          <w:sz w:val="20"/>
          <w:szCs w:val="20"/>
          <w:color w:val="auto"/>
        </w:rPr>
      </w:pPr>
      <w:r>
        <w:rPr>
          <w:rFonts w:ascii="Times New Roman" w:cs="Times New Roman" w:eastAsia="Times New Roman" w:hAnsi="Times New Roman"/>
          <w:sz w:val="16"/>
          <w:szCs w:val="16"/>
          <w:color w:val="auto"/>
        </w:rPr>
        <w:t>stocks, and that such plan or plans provide for the</w:t>
      </w:r>
    </w:p>
    <w:p>
      <w:pPr>
        <w:spacing w:after="0" w:line="204" w:lineRule="auto"/>
        <w:rPr>
          <w:sz w:val="20"/>
          <w:szCs w:val="20"/>
          <w:color w:val="auto"/>
        </w:rPr>
      </w:pPr>
      <w:r>
        <w:rPr>
          <w:rFonts w:ascii="Times New Roman" w:cs="Times New Roman" w:eastAsia="Times New Roman" w:hAnsi="Times New Roman"/>
          <w:sz w:val="16"/>
          <w:szCs w:val="16"/>
          <w:color w:val="auto"/>
        </w:rPr>
        <w:t>dissemination of all consolidated information for an</w:t>
      </w:r>
    </w:p>
    <w:p>
      <w:pPr>
        <w:spacing w:after="0" w:line="203" w:lineRule="auto"/>
        <w:rPr>
          <w:sz w:val="20"/>
          <w:szCs w:val="20"/>
          <w:color w:val="auto"/>
        </w:rPr>
      </w:pPr>
      <w:r>
        <w:rPr>
          <w:rFonts w:ascii="Times New Roman" w:cs="Times New Roman" w:eastAsia="Times New Roman" w:hAnsi="Times New Roman"/>
          <w:sz w:val="16"/>
          <w:szCs w:val="16"/>
          <w:color w:val="auto"/>
        </w:rPr>
        <w:t>individual NMS stock through a single plan processor.</w:t>
      </w:r>
    </w:p>
    <w:p>
      <w:pPr>
        <w:spacing w:after="0" w:line="204" w:lineRule="auto"/>
        <w:rPr>
          <w:sz w:val="20"/>
          <w:szCs w:val="20"/>
          <w:color w:val="auto"/>
        </w:rPr>
      </w:pPr>
      <w:r>
        <w:rPr>
          <w:rFonts w:ascii="Times New Roman" w:cs="Times New Roman" w:eastAsia="Times New Roman" w:hAnsi="Times New Roman"/>
          <w:sz w:val="16"/>
          <w:szCs w:val="16"/>
          <w:color w:val="auto"/>
        </w:rPr>
        <w:t>The UTP Plan was filed with and approved by the SEC as a</w:t>
      </w:r>
    </w:p>
    <w:p>
      <w:pPr>
        <w:spacing w:after="0" w:line="233" w:lineRule="auto"/>
        <w:rPr>
          <w:sz w:val="20"/>
          <w:szCs w:val="20"/>
          <w:color w:val="auto"/>
        </w:rPr>
      </w:pPr>
      <w:r>
        <w:rPr>
          <w:rFonts w:ascii="Times New Roman" w:cs="Times New Roman" w:eastAsia="Times New Roman" w:hAnsi="Times New Roman"/>
          <w:sz w:val="14"/>
          <w:szCs w:val="14"/>
          <w:color w:val="auto"/>
        </w:rPr>
        <w:t>national market system plan in accordance with the Exchange</w:t>
      </w:r>
    </w:p>
    <w:p>
      <w:pPr>
        <w:spacing w:after="0" w:line="219" w:lineRule="auto"/>
        <w:rPr>
          <w:sz w:val="20"/>
          <w:szCs w:val="20"/>
          <w:color w:val="auto"/>
        </w:rPr>
      </w:pPr>
      <w:r>
        <w:rPr>
          <w:rFonts w:ascii="Times New Roman" w:cs="Times New Roman" w:eastAsia="Times New Roman" w:hAnsi="Times New Roman"/>
          <w:sz w:val="16"/>
          <w:szCs w:val="16"/>
          <w:color w:val="auto"/>
        </w:rPr>
        <w:t>Act and Regulation NMS to provide for the collection,</w:t>
      </w:r>
    </w:p>
    <w:p>
      <w:pPr>
        <w:spacing w:after="0" w:line="203" w:lineRule="auto"/>
        <w:rPr>
          <w:sz w:val="20"/>
          <w:szCs w:val="20"/>
          <w:color w:val="auto"/>
        </w:rPr>
      </w:pPr>
      <w:r>
        <w:rPr>
          <w:rFonts w:ascii="Times New Roman" w:cs="Times New Roman" w:eastAsia="Times New Roman" w:hAnsi="Times New Roman"/>
          <w:sz w:val="16"/>
          <w:szCs w:val="16"/>
          <w:color w:val="auto"/>
        </w:rPr>
        <w:t>consolidation and dissemination of such information for</w:t>
      </w:r>
    </w:p>
    <w:p>
      <w:pPr>
        <w:spacing w:after="0" w:line="233" w:lineRule="auto"/>
        <w:rPr>
          <w:sz w:val="20"/>
          <w:szCs w:val="20"/>
          <w:color w:val="auto"/>
        </w:rPr>
      </w:pPr>
      <w:r>
        <w:rPr>
          <w:rFonts w:ascii="Times New Roman" w:cs="Times New Roman" w:eastAsia="Times New Roman" w:hAnsi="Times New Roman"/>
          <w:sz w:val="14"/>
          <w:szCs w:val="14"/>
          <w:color w:val="auto"/>
        </w:rPr>
        <w:t>Nasdaq-listed securities. The Nasdaq Stock Market serves as</w:t>
      </w:r>
    </w:p>
    <w:p>
      <w:pPr>
        <w:spacing w:after="0" w:line="233" w:lineRule="auto"/>
        <w:rPr>
          <w:sz w:val="20"/>
          <w:szCs w:val="20"/>
          <w:color w:val="auto"/>
        </w:rPr>
      </w:pPr>
      <w:r>
        <w:rPr>
          <w:rFonts w:ascii="Times New Roman" w:cs="Times New Roman" w:eastAsia="Times New Roman" w:hAnsi="Times New Roman"/>
          <w:sz w:val="14"/>
          <w:szCs w:val="14"/>
          <w:color w:val="auto"/>
        </w:rPr>
        <w:t>the processor for the UTP Plan pursuant to a contract through</w:t>
      </w:r>
    </w:p>
    <w:p>
      <w:pPr>
        <w:spacing w:after="0" w:line="203" w:lineRule="auto"/>
        <w:rPr>
          <w:sz w:val="20"/>
          <w:szCs w:val="20"/>
          <w:color w:val="auto"/>
        </w:rPr>
      </w:pPr>
      <w:r>
        <w:rPr>
          <w:rFonts w:ascii="Times New Roman" w:cs="Times New Roman" w:eastAsia="Times New Roman" w:hAnsi="Times New Roman"/>
          <w:sz w:val="16"/>
          <w:szCs w:val="16"/>
          <w:color w:val="auto"/>
        </w:rPr>
        <w:t>October 2029. The Nasdaq Stock Market also serves as the</w:t>
      </w:r>
    </w:p>
    <w:p>
      <w:pPr>
        <w:spacing w:after="0" w:line="204" w:lineRule="auto"/>
        <w:rPr>
          <w:sz w:val="20"/>
          <w:szCs w:val="20"/>
          <w:color w:val="auto"/>
        </w:rPr>
      </w:pPr>
      <w:r>
        <w:rPr>
          <w:rFonts w:ascii="Times New Roman" w:cs="Times New Roman" w:eastAsia="Times New Roman" w:hAnsi="Times New Roman"/>
          <w:sz w:val="16"/>
          <w:szCs w:val="16"/>
          <w:color w:val="auto"/>
        </w:rPr>
        <w:t>administrator for the UTP Plan. To fulfill its obligations as</w:t>
      </w:r>
    </w:p>
    <w:p>
      <w:pPr>
        <w:spacing w:after="0" w:line="203" w:lineRule="auto"/>
        <w:rPr>
          <w:sz w:val="20"/>
          <w:szCs w:val="20"/>
          <w:color w:val="auto"/>
        </w:rPr>
      </w:pPr>
      <w:r>
        <w:rPr>
          <w:rFonts w:ascii="Times New Roman" w:cs="Times New Roman" w:eastAsia="Times New Roman" w:hAnsi="Times New Roman"/>
          <w:sz w:val="16"/>
          <w:szCs w:val="16"/>
          <w:color w:val="auto"/>
        </w:rPr>
        <w:t>the processor, The Nasdaq Stock Market has designed,</w:t>
      </w:r>
    </w:p>
    <w:p>
      <w:pPr>
        <w:spacing w:after="0" w:line="233" w:lineRule="auto"/>
        <w:rPr>
          <w:sz w:val="20"/>
          <w:szCs w:val="20"/>
          <w:color w:val="auto"/>
        </w:rPr>
      </w:pPr>
      <w:r>
        <w:rPr>
          <w:rFonts w:ascii="Times New Roman" w:cs="Times New Roman" w:eastAsia="Times New Roman" w:hAnsi="Times New Roman"/>
          <w:sz w:val="14"/>
          <w:szCs w:val="14"/>
          <w:color w:val="auto"/>
        </w:rPr>
        <w:t>implemented, maintained, and operated a data processing and</w:t>
      </w:r>
    </w:p>
    <w:p>
      <w:pPr>
        <w:spacing w:after="0" w:line="204" w:lineRule="auto"/>
        <w:rPr>
          <w:sz w:val="20"/>
          <w:szCs w:val="20"/>
          <w:color w:val="auto"/>
        </w:rPr>
      </w:pPr>
      <w:r>
        <w:rPr>
          <w:rFonts w:ascii="Times New Roman" w:cs="Times New Roman" w:eastAsia="Times New Roman" w:hAnsi="Times New Roman"/>
          <w:sz w:val="16"/>
          <w:szCs w:val="16"/>
          <w:color w:val="auto"/>
        </w:rPr>
        <w:t>communications system, hardware, software and</w:t>
      </w:r>
    </w:p>
    <w:p>
      <w:pPr>
        <w:spacing w:after="0" w:line="203" w:lineRule="auto"/>
        <w:rPr>
          <w:sz w:val="20"/>
          <w:szCs w:val="20"/>
          <w:color w:val="auto"/>
        </w:rPr>
      </w:pPr>
      <w:r>
        <w:rPr>
          <w:rFonts w:ascii="Times New Roman" w:cs="Times New Roman" w:eastAsia="Times New Roman" w:hAnsi="Times New Roman"/>
          <w:sz w:val="16"/>
          <w:szCs w:val="16"/>
          <w:color w:val="auto"/>
        </w:rPr>
        <w:t>communications infrastructure to provide processing for the</w:t>
      </w:r>
    </w:p>
    <w:p>
      <w:pPr>
        <w:spacing w:after="0" w:line="204" w:lineRule="auto"/>
        <w:rPr>
          <w:sz w:val="20"/>
          <w:szCs w:val="20"/>
          <w:color w:val="auto"/>
        </w:rPr>
      </w:pPr>
      <w:r>
        <w:rPr>
          <w:rFonts w:ascii="Times New Roman" w:cs="Times New Roman" w:eastAsia="Times New Roman" w:hAnsi="Times New Roman"/>
          <w:sz w:val="16"/>
          <w:szCs w:val="16"/>
          <w:color w:val="auto"/>
        </w:rPr>
        <w:t>UTP Plan. As the administrator, The Nasdaq Stock Market</w:t>
      </w:r>
    </w:p>
    <w:p>
      <w:pPr>
        <w:spacing w:after="0" w:line="232" w:lineRule="auto"/>
        <w:rPr>
          <w:sz w:val="20"/>
          <w:szCs w:val="20"/>
          <w:color w:val="auto"/>
        </w:rPr>
      </w:pPr>
      <w:r>
        <w:rPr>
          <w:rFonts w:ascii="Times New Roman" w:cs="Times New Roman" w:eastAsia="Times New Roman" w:hAnsi="Times New Roman"/>
          <w:sz w:val="14"/>
          <w:szCs w:val="14"/>
          <w:color w:val="auto"/>
        </w:rPr>
        <w:t>manages the distribution of market data, the collection of the</w:t>
      </w:r>
    </w:p>
    <w:p>
      <w:pPr>
        <w:spacing w:after="0" w:line="204" w:lineRule="auto"/>
        <w:rPr>
          <w:sz w:val="20"/>
          <w:szCs w:val="20"/>
          <w:color w:val="auto"/>
        </w:rPr>
      </w:pPr>
      <w:r>
        <w:rPr>
          <w:rFonts w:ascii="Times New Roman" w:cs="Times New Roman" w:eastAsia="Times New Roman" w:hAnsi="Times New Roman"/>
          <w:sz w:val="16"/>
          <w:szCs w:val="16"/>
          <w:color w:val="auto"/>
        </w:rPr>
        <w:t>resulting market data revenue, and the dissemination of that</w:t>
      </w:r>
    </w:p>
    <w:p>
      <w:pPr>
        <w:spacing w:after="0" w:line="233" w:lineRule="auto"/>
        <w:rPr>
          <w:sz w:val="20"/>
          <w:szCs w:val="20"/>
          <w:color w:val="auto"/>
        </w:rPr>
      </w:pPr>
      <w:r>
        <w:rPr>
          <w:rFonts w:ascii="Times New Roman" w:cs="Times New Roman" w:eastAsia="Times New Roman" w:hAnsi="Times New Roman"/>
          <w:sz w:val="14"/>
          <w:szCs w:val="14"/>
          <w:color w:val="auto"/>
        </w:rPr>
        <w:t>revenue to plan members in accordance with the terms of the</w:t>
      </w:r>
    </w:p>
    <w:p>
      <w:pPr>
        <w:spacing w:after="0" w:line="203" w:lineRule="auto"/>
        <w:rPr>
          <w:sz w:val="20"/>
          <w:szCs w:val="20"/>
          <w:color w:val="auto"/>
        </w:rPr>
      </w:pPr>
      <w:r>
        <w:rPr>
          <w:rFonts w:ascii="Times New Roman" w:cs="Times New Roman" w:eastAsia="Times New Roman" w:hAnsi="Times New Roman"/>
          <w:sz w:val="16"/>
          <w:szCs w:val="16"/>
          <w:color w:val="auto"/>
        </w:rPr>
        <w:t>UTP Plan and of Regulation NMS.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Regulation SCI. </w:t>
      </w:r>
      <w:r>
        <w:rPr>
          <w:rFonts w:ascii="Times New Roman" w:cs="Times New Roman" w:eastAsia="Times New Roman" w:hAnsi="Times New Roman"/>
          <w:sz w:val="16"/>
          <w:szCs w:val="16"/>
          <w:color w:val="auto"/>
        </w:rPr>
        <w:t>Regulation SCI is a set of rules designed to</w:t>
      </w:r>
    </w:p>
    <w:p>
      <w:pPr>
        <w:spacing w:after="0" w:line="232" w:lineRule="auto"/>
        <w:rPr>
          <w:sz w:val="20"/>
          <w:szCs w:val="20"/>
          <w:color w:val="auto"/>
        </w:rPr>
      </w:pPr>
      <w:r>
        <w:rPr>
          <w:rFonts w:ascii="Times New Roman" w:cs="Times New Roman" w:eastAsia="Times New Roman" w:hAnsi="Times New Roman"/>
          <w:sz w:val="14"/>
          <w:szCs w:val="14"/>
          <w:color w:val="auto"/>
        </w:rPr>
        <w:t>strengthen the technology infrastructure of the U.S. securities</w:t>
      </w:r>
    </w:p>
    <w:p>
      <w:pPr>
        <w:spacing w:after="0" w:line="204" w:lineRule="auto"/>
        <w:rPr>
          <w:sz w:val="20"/>
          <w:szCs w:val="20"/>
          <w:color w:val="auto"/>
        </w:rPr>
      </w:pPr>
      <w:r>
        <w:rPr>
          <w:rFonts w:ascii="Times New Roman" w:cs="Times New Roman" w:eastAsia="Times New Roman" w:hAnsi="Times New Roman"/>
          <w:sz w:val="16"/>
          <w:szCs w:val="16"/>
          <w:color w:val="auto"/>
        </w:rPr>
        <w:t>markets. Regulation SCI applies to national securities</w:t>
      </w:r>
    </w:p>
    <w:p>
      <w:pPr>
        <w:spacing w:after="0" w:line="203" w:lineRule="auto"/>
        <w:rPr>
          <w:sz w:val="20"/>
          <w:szCs w:val="20"/>
          <w:color w:val="auto"/>
        </w:rPr>
      </w:pPr>
      <w:r>
        <w:rPr>
          <w:rFonts w:ascii="Times New Roman" w:cs="Times New Roman" w:eastAsia="Times New Roman" w:hAnsi="Times New Roman"/>
          <w:sz w:val="16"/>
          <w:szCs w:val="16"/>
          <w:color w:val="auto"/>
        </w:rPr>
        <w:t>exchanges, operators of certain ATSs, market data</w:t>
      </w:r>
    </w:p>
    <w:p>
      <w:pPr>
        <w:spacing w:after="0" w:line="233" w:lineRule="auto"/>
        <w:rPr>
          <w:sz w:val="20"/>
          <w:szCs w:val="20"/>
          <w:color w:val="auto"/>
        </w:rPr>
      </w:pPr>
      <w:r>
        <w:rPr>
          <w:rFonts w:ascii="Times New Roman" w:cs="Times New Roman" w:eastAsia="Times New Roman" w:hAnsi="Times New Roman"/>
          <w:sz w:val="14"/>
          <w:szCs w:val="14"/>
          <w:color w:val="auto"/>
        </w:rPr>
        <w:t>information providers and clearing agencies, subjecting these</w:t>
      </w:r>
    </w:p>
    <w:p>
      <w:pPr>
        <w:spacing w:after="0" w:line="233" w:lineRule="auto"/>
        <w:rPr>
          <w:sz w:val="20"/>
          <w:szCs w:val="20"/>
          <w:color w:val="auto"/>
        </w:rPr>
      </w:pPr>
      <w:r>
        <w:rPr>
          <w:rFonts w:ascii="Times New Roman" w:cs="Times New Roman" w:eastAsia="Times New Roman" w:hAnsi="Times New Roman"/>
          <w:sz w:val="14"/>
          <w:szCs w:val="14"/>
          <w:color w:val="auto"/>
        </w:rPr>
        <w:t>entities to extensive compliance obligations, with the goals of</w:t>
      </w:r>
    </w:p>
    <w:p>
      <w:pPr>
        <w:spacing w:after="0" w:line="203" w:lineRule="auto"/>
        <w:rPr>
          <w:sz w:val="20"/>
          <w:szCs w:val="20"/>
          <w:color w:val="auto"/>
        </w:rPr>
      </w:pPr>
      <w:r>
        <w:rPr>
          <w:rFonts w:ascii="Times New Roman" w:cs="Times New Roman" w:eastAsia="Times New Roman" w:hAnsi="Times New Roman"/>
          <w:sz w:val="16"/>
          <w:szCs w:val="16"/>
          <w:color w:val="auto"/>
        </w:rPr>
        <w:t>reducing the occurrence of technical issues that disrupt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markets and improving recovery time when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disruptions occur. We implemented an inter-disciplinary</w:t>
      </w:r>
    </w:p>
    <w:p>
      <w:pPr>
        <w:spacing w:after="0" w:line="237" w:lineRule="auto"/>
        <w:rPr>
          <w:sz w:val="20"/>
          <w:szCs w:val="20"/>
          <w:color w:val="auto"/>
        </w:rPr>
      </w:pPr>
      <w:r>
        <w:rPr>
          <w:rFonts w:ascii="Times New Roman" w:cs="Times New Roman" w:eastAsia="Times New Roman" w:hAnsi="Times New Roman"/>
          <w:sz w:val="14"/>
          <w:szCs w:val="14"/>
          <w:color w:val="auto"/>
        </w:rPr>
        <w:t>program to ensure compliance with Regulation SCI. We have</w:t>
      </w:r>
    </w:p>
    <w:p>
      <w:pPr>
        <w:spacing w:after="0" w:line="232" w:lineRule="auto"/>
        <w:rPr>
          <w:sz w:val="20"/>
          <w:szCs w:val="20"/>
          <w:color w:val="auto"/>
        </w:rPr>
      </w:pPr>
      <w:r>
        <w:rPr>
          <w:rFonts w:ascii="Times New Roman" w:cs="Times New Roman" w:eastAsia="Times New Roman" w:hAnsi="Times New Roman"/>
          <w:sz w:val="14"/>
          <w:szCs w:val="14"/>
          <w:color w:val="auto"/>
        </w:rPr>
        <w:t>also created Regulation SCI policies and procedures, updated</w:t>
      </w:r>
    </w:p>
    <w:p>
      <w:pPr>
        <w:spacing w:after="0" w:line="204" w:lineRule="auto"/>
        <w:rPr>
          <w:sz w:val="20"/>
          <w:szCs w:val="20"/>
          <w:color w:val="auto"/>
        </w:rPr>
      </w:pPr>
      <w:r>
        <w:rPr>
          <w:rFonts w:ascii="Times New Roman" w:cs="Times New Roman" w:eastAsia="Times New Roman" w:hAnsi="Times New Roman"/>
          <w:sz w:val="16"/>
          <w:szCs w:val="16"/>
          <w:color w:val="auto"/>
        </w:rPr>
        <w:t>internal policies and procedures, and developed an</w:t>
      </w:r>
    </w:p>
    <w:p>
      <w:pPr>
        <w:spacing w:after="0" w:line="203" w:lineRule="auto"/>
        <w:rPr>
          <w:sz w:val="20"/>
          <w:szCs w:val="20"/>
          <w:color w:val="auto"/>
        </w:rPr>
      </w:pPr>
      <w:r>
        <w:rPr>
          <w:rFonts w:ascii="Times New Roman" w:cs="Times New Roman" w:eastAsia="Times New Roman" w:hAnsi="Times New Roman"/>
          <w:sz w:val="16"/>
          <w:szCs w:val="16"/>
          <w:color w:val="auto"/>
        </w:rPr>
        <w:t>information technology governance program to ensure</w:t>
      </w:r>
    </w:p>
    <w:p>
      <w:pPr>
        <w:spacing w:after="0" w:line="204" w:lineRule="auto"/>
        <w:rPr>
          <w:sz w:val="20"/>
          <w:szCs w:val="20"/>
          <w:color w:val="auto"/>
        </w:rPr>
      </w:pPr>
      <w:r>
        <w:rPr>
          <w:rFonts w:ascii="Times New Roman" w:cs="Times New Roman" w:eastAsia="Times New Roman" w:hAnsi="Times New Roman"/>
          <w:sz w:val="16"/>
          <w:szCs w:val="16"/>
          <w:color w:val="auto"/>
        </w:rPr>
        <w:t>compliance.</w:t>
      </w:r>
    </w:p>
    <w:p>
      <w:pPr>
        <w:spacing w:after="0" w:line="233" w:lineRule="auto"/>
        <w:rPr>
          <w:sz w:val="20"/>
          <w:szCs w:val="20"/>
          <w:color w:val="auto"/>
        </w:rPr>
      </w:pPr>
      <w:r>
        <w:rPr>
          <w:rFonts w:ascii="Times New Roman" w:cs="Times New Roman" w:eastAsia="Times New Roman" w:hAnsi="Times New Roman"/>
          <w:sz w:val="14"/>
          <w:szCs w:val="14"/>
          <w:i w:val="1"/>
          <w:iCs w:val="1"/>
          <w:color w:val="auto"/>
        </w:rPr>
        <w:t xml:space="preserve">Regulation of Registered Investment Advisor Subsidiary. </w:t>
      </w:r>
      <w:r>
        <w:rPr>
          <w:rFonts w:ascii="Times New Roman" w:cs="Times New Roman" w:eastAsia="Times New Roman" w:hAnsi="Times New Roman"/>
          <w:sz w:val="14"/>
          <w:szCs w:val="14"/>
          <w:color w:val="auto"/>
        </w:rPr>
        <w:t>Our</w:t>
      </w:r>
    </w:p>
    <w:p>
      <w:pPr>
        <w:spacing w:after="0" w:line="232" w:lineRule="auto"/>
        <w:rPr>
          <w:sz w:val="20"/>
          <w:szCs w:val="20"/>
          <w:color w:val="auto"/>
        </w:rPr>
      </w:pPr>
      <w:r>
        <w:rPr>
          <w:rFonts w:ascii="Times New Roman" w:cs="Times New Roman" w:eastAsia="Times New Roman" w:hAnsi="Times New Roman"/>
          <w:sz w:val="14"/>
          <w:szCs w:val="14"/>
          <w:color w:val="auto"/>
        </w:rPr>
        <w:t>subsidiary Nasdaq Dorsey Wright, or NDW, is an investment</w:t>
      </w:r>
    </w:p>
    <w:p>
      <w:pPr>
        <w:spacing w:after="0" w:line="204" w:lineRule="auto"/>
        <w:rPr>
          <w:sz w:val="20"/>
          <w:szCs w:val="20"/>
          <w:color w:val="auto"/>
        </w:rPr>
      </w:pPr>
      <w:r>
        <w:rPr>
          <w:rFonts w:ascii="Times New Roman" w:cs="Times New Roman" w:eastAsia="Times New Roman" w:hAnsi="Times New Roman"/>
          <w:sz w:val="16"/>
          <w:szCs w:val="16"/>
          <w:color w:val="auto"/>
        </w:rPr>
        <w:t>advisor registered with the SEC under the Investment</w:t>
      </w:r>
    </w:p>
    <w:p>
      <w:pPr>
        <w:spacing w:after="0"/>
        <w:rPr>
          <w:sz w:val="20"/>
          <w:szCs w:val="20"/>
          <w:color w:val="auto"/>
        </w:rPr>
      </w:pPr>
      <w:r>
        <w:rPr>
          <w:rFonts w:ascii="Times New Roman" w:cs="Times New Roman" w:eastAsia="Times New Roman" w:hAnsi="Times New Roman"/>
          <w:sz w:val="16"/>
          <w:szCs w:val="16"/>
          <w:color w:val="auto"/>
        </w:rPr>
        <w:t>Advisers Act of 1940. In this capacity, NDW is subject to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European Regulation</w:t>
      </w:r>
    </w:p>
    <w:p>
      <w:pPr>
        <w:spacing w:after="0" w:line="204" w:lineRule="auto"/>
        <w:rPr>
          <w:sz w:val="20"/>
          <w:szCs w:val="20"/>
          <w:color w:val="auto"/>
        </w:rPr>
      </w:pPr>
      <w:r>
        <w:rPr>
          <w:rFonts w:ascii="Times New Roman" w:cs="Times New Roman" w:eastAsia="Times New Roman" w:hAnsi="Times New Roman"/>
          <w:sz w:val="16"/>
          <w:szCs w:val="16"/>
          <w:color w:val="auto"/>
        </w:rPr>
        <w:t>Regulation of our markets in the European Union and the</w:t>
      </w:r>
    </w:p>
    <w:p>
      <w:pPr>
        <w:spacing w:after="0" w:line="203" w:lineRule="auto"/>
        <w:rPr>
          <w:sz w:val="20"/>
          <w:szCs w:val="20"/>
          <w:color w:val="auto"/>
        </w:rPr>
      </w:pPr>
      <w:r>
        <w:rPr>
          <w:rFonts w:ascii="Times New Roman" w:cs="Times New Roman" w:eastAsia="Times New Roman" w:hAnsi="Times New Roman"/>
          <w:sz w:val="16"/>
          <w:szCs w:val="16"/>
          <w:color w:val="auto"/>
        </w:rPr>
        <w:t>European Economic Area focuses on matters relating to</w:t>
      </w:r>
    </w:p>
    <w:p>
      <w:pPr>
        <w:spacing w:after="0" w:line="204" w:lineRule="auto"/>
        <w:rPr>
          <w:sz w:val="20"/>
          <w:szCs w:val="20"/>
          <w:color w:val="auto"/>
        </w:rPr>
      </w:pPr>
      <w:r>
        <w:rPr>
          <w:rFonts w:ascii="Times New Roman" w:cs="Times New Roman" w:eastAsia="Times New Roman" w:hAnsi="Times New Roman"/>
          <w:sz w:val="16"/>
          <w:szCs w:val="16"/>
          <w:color w:val="auto"/>
        </w:rPr>
        <w:t>financial services, listing and trading of securities, clearing</w:t>
      </w:r>
    </w:p>
    <w:p>
      <w:pPr>
        <w:spacing w:after="0" w:line="203" w:lineRule="auto"/>
        <w:rPr>
          <w:sz w:val="20"/>
          <w:szCs w:val="20"/>
          <w:color w:val="auto"/>
        </w:rPr>
      </w:pPr>
      <w:r>
        <w:rPr>
          <w:rFonts w:ascii="Times New Roman" w:cs="Times New Roman" w:eastAsia="Times New Roman" w:hAnsi="Times New Roman"/>
          <w:sz w:val="16"/>
          <w:szCs w:val="16"/>
          <w:color w:val="auto"/>
        </w:rPr>
        <w:t>and settlement of securities and commodities, as well as</w:t>
      </w:r>
    </w:p>
    <w:p>
      <w:pPr>
        <w:spacing w:after="0" w:line="204" w:lineRule="auto"/>
        <w:rPr>
          <w:sz w:val="20"/>
          <w:szCs w:val="20"/>
          <w:color w:val="auto"/>
        </w:rPr>
      </w:pPr>
      <w:r>
        <w:rPr>
          <w:rFonts w:ascii="Times New Roman" w:cs="Times New Roman" w:eastAsia="Times New Roman" w:hAnsi="Times New Roman"/>
          <w:sz w:val="16"/>
          <w:szCs w:val="16"/>
          <w:color w:val="auto"/>
        </w:rPr>
        <w:t>issues related to market abuse.</w:t>
      </w:r>
    </w:p>
    <w:p>
      <w:pPr>
        <w:spacing w:after="0" w:line="203" w:lineRule="auto"/>
        <w:rPr>
          <w:sz w:val="20"/>
          <w:szCs w:val="20"/>
          <w:color w:val="auto"/>
        </w:rPr>
      </w:pPr>
      <w:r>
        <w:rPr>
          <w:rFonts w:ascii="Times New Roman" w:cs="Times New Roman" w:eastAsia="Times New Roman" w:hAnsi="Times New Roman"/>
          <w:sz w:val="16"/>
          <w:szCs w:val="16"/>
          <w:color w:val="auto"/>
        </w:rPr>
        <w:t>We are subject to MiFID II and MiFIR, the European</w:t>
      </w:r>
    </w:p>
    <w:p>
      <w:pPr>
        <w:spacing w:after="0" w:line="204" w:lineRule="auto"/>
        <w:rPr>
          <w:sz w:val="20"/>
          <w:szCs w:val="20"/>
          <w:color w:val="auto"/>
        </w:rPr>
      </w:pPr>
      <w:r>
        <w:rPr>
          <w:rFonts w:ascii="Times New Roman" w:cs="Times New Roman" w:eastAsia="Times New Roman" w:hAnsi="Times New Roman"/>
          <w:sz w:val="16"/>
          <w:szCs w:val="16"/>
          <w:color w:val="auto"/>
        </w:rPr>
        <w:t>Union’s Market Abuse Regulation, which primarily affects</w:t>
      </w:r>
    </w:p>
    <w:p>
      <w:pPr>
        <w:spacing w:after="0" w:line="203" w:lineRule="auto"/>
        <w:rPr>
          <w:sz w:val="20"/>
          <w:szCs w:val="20"/>
          <w:color w:val="auto"/>
        </w:rPr>
      </w:pPr>
      <w:r>
        <w:rPr>
          <w:rFonts w:ascii="Times New Roman" w:cs="Times New Roman" w:eastAsia="Times New Roman" w:hAnsi="Times New Roman"/>
          <w:sz w:val="16"/>
          <w:szCs w:val="16"/>
          <w:color w:val="auto"/>
        </w:rPr>
        <w:t>our European trading businesses. Many of the provisions of</w:t>
      </w:r>
    </w:p>
    <w:p>
      <w:pPr>
        <w:spacing w:after="0" w:line="204" w:lineRule="auto"/>
        <w:rPr>
          <w:sz w:val="20"/>
          <w:szCs w:val="20"/>
          <w:color w:val="auto"/>
        </w:rPr>
      </w:pPr>
      <w:r>
        <w:rPr>
          <w:rFonts w:ascii="Times New Roman" w:cs="Times New Roman" w:eastAsia="Times New Roman" w:hAnsi="Times New Roman"/>
          <w:sz w:val="16"/>
          <w:szCs w:val="16"/>
          <w:color w:val="auto"/>
        </w:rPr>
        <w:t>MiFID II and MiFIR are implemented through technical</w:t>
      </w:r>
    </w:p>
    <w:p>
      <w:pPr>
        <w:spacing w:after="0" w:line="204" w:lineRule="auto"/>
        <w:rPr>
          <w:sz w:val="20"/>
          <w:szCs w:val="20"/>
          <w:color w:val="auto"/>
        </w:rPr>
      </w:pPr>
      <w:r>
        <w:rPr>
          <w:rFonts w:ascii="Times New Roman" w:cs="Times New Roman" w:eastAsia="Times New Roman" w:hAnsi="Times New Roman"/>
          <w:sz w:val="16"/>
          <w:szCs w:val="16"/>
          <w:color w:val="auto"/>
        </w:rPr>
        <w:t>standards drafted by the European Securities and Markets</w:t>
      </w:r>
    </w:p>
    <w:p>
      <w:pPr>
        <w:spacing w:after="0" w:line="203" w:lineRule="auto"/>
        <w:rPr>
          <w:sz w:val="20"/>
          <w:szCs w:val="20"/>
          <w:color w:val="auto"/>
        </w:rPr>
      </w:pPr>
      <w:r>
        <w:rPr>
          <w:rFonts w:ascii="Times New Roman" w:cs="Times New Roman" w:eastAsia="Times New Roman" w:hAnsi="Times New Roman"/>
          <w:sz w:val="16"/>
          <w:szCs w:val="16"/>
          <w:color w:val="auto"/>
        </w:rPr>
        <w:t>Authority and approved by the European Commission. In</w:t>
      </w:r>
    </w:p>
    <w:p>
      <w:pPr>
        <w:spacing w:after="0"/>
        <w:rPr>
          <w:sz w:val="20"/>
          <w:szCs w:val="20"/>
          <w:color w:val="auto"/>
        </w:rPr>
      </w:pPr>
      <w:r>
        <w:rPr>
          <w:rFonts w:ascii="Times New Roman" w:cs="Times New Roman" w:eastAsia="Times New Roman" w:hAnsi="Times New Roman"/>
          <w:sz w:val="14"/>
          <w:szCs w:val="14"/>
          <w:color w:val="auto"/>
        </w:rPr>
        <w:t>addition, in 2016, the European Union adopted legislation on</w:t>
      </w:r>
    </w:p>
    <w:p>
      <w:pPr>
        <w:sectPr>
          <w:pgSz w:w="11900" w:h="16840" w:orient="portrait"/>
          <w:cols w:equalWidth="0" w:num="1">
            <w:col w:w="9400"/>
          </w:cols>
          <w:pgMar w:left="1060" w:top="547" w:right="1440" w:bottom="103"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governance and control of the production and use of</w:t>
      </w:r>
    </w:p>
    <w:p>
      <w:pPr>
        <w:spacing w:after="0" w:line="203" w:lineRule="auto"/>
        <w:rPr>
          <w:sz w:val="20"/>
          <w:szCs w:val="20"/>
          <w:color w:val="auto"/>
        </w:rPr>
      </w:pPr>
      <w:r>
        <w:rPr>
          <w:rFonts w:ascii="Times New Roman" w:cs="Times New Roman" w:eastAsia="Times New Roman" w:hAnsi="Times New Roman"/>
          <w:sz w:val="16"/>
          <w:szCs w:val="16"/>
          <w:color w:val="auto"/>
        </w:rPr>
        <w:t>benchmark indices. The Benchmarks Regulation became</w:t>
      </w:r>
    </w:p>
    <w:p>
      <w:pPr>
        <w:spacing w:after="0" w:line="204" w:lineRule="auto"/>
        <w:rPr>
          <w:sz w:val="20"/>
          <w:szCs w:val="20"/>
          <w:color w:val="auto"/>
        </w:rPr>
      </w:pPr>
      <w:r>
        <w:rPr>
          <w:rFonts w:ascii="Times New Roman" w:cs="Times New Roman" w:eastAsia="Times New Roman" w:hAnsi="Times New Roman"/>
          <w:sz w:val="16"/>
          <w:szCs w:val="16"/>
          <w:color w:val="auto"/>
        </w:rPr>
        <w:t>effective in the European Union beginning in 2018, and</w:t>
      </w:r>
    </w:p>
    <w:p>
      <w:pPr>
        <w:spacing w:after="0" w:line="203" w:lineRule="auto"/>
        <w:rPr>
          <w:sz w:val="20"/>
          <w:szCs w:val="20"/>
          <w:color w:val="auto"/>
        </w:rPr>
      </w:pPr>
      <w:r>
        <w:rPr>
          <w:rFonts w:ascii="Times New Roman" w:cs="Times New Roman" w:eastAsia="Times New Roman" w:hAnsi="Times New Roman"/>
          <w:sz w:val="16"/>
          <w:szCs w:val="16"/>
          <w:color w:val="auto"/>
        </w:rPr>
        <w:t>Nasdaq was required to comply as of January 1, 2026 in</w:t>
      </w:r>
    </w:p>
    <w:p>
      <w:pPr>
        <w:spacing w:after="0" w:line="204" w:lineRule="auto"/>
        <w:rPr>
          <w:sz w:val="20"/>
          <w:szCs w:val="20"/>
          <w:color w:val="auto"/>
        </w:rPr>
      </w:pPr>
      <w:r>
        <w:rPr>
          <w:rFonts w:ascii="Times New Roman" w:cs="Times New Roman" w:eastAsia="Times New Roman" w:hAnsi="Times New Roman"/>
          <w:sz w:val="16"/>
          <w:szCs w:val="16"/>
          <w:color w:val="auto"/>
        </w:rPr>
        <w:t>relation to benchmarks provided by non-European Nasdaq</w:t>
      </w:r>
    </w:p>
    <w:p>
      <w:pPr>
        <w:spacing w:after="0" w:line="203" w:lineRule="auto"/>
        <w:rPr>
          <w:sz w:val="20"/>
          <w:szCs w:val="20"/>
          <w:color w:val="auto"/>
        </w:rPr>
      </w:pPr>
      <w:r>
        <w:rPr>
          <w:rFonts w:ascii="Times New Roman" w:cs="Times New Roman" w:eastAsia="Times New Roman" w:hAnsi="Times New Roman"/>
          <w:sz w:val="16"/>
          <w:szCs w:val="16"/>
          <w:color w:val="auto"/>
        </w:rPr>
        <w:t>entities as well as European Nasdaq entities to the extent</w:t>
      </w:r>
    </w:p>
    <w:p>
      <w:pPr>
        <w:spacing w:after="0" w:line="204" w:lineRule="auto"/>
        <w:rPr>
          <w:sz w:val="20"/>
          <w:szCs w:val="20"/>
          <w:color w:val="auto"/>
        </w:rPr>
      </w:pPr>
      <w:r>
        <w:rPr>
          <w:rFonts w:ascii="Times New Roman" w:cs="Times New Roman" w:eastAsia="Times New Roman" w:hAnsi="Times New Roman"/>
          <w:sz w:val="16"/>
          <w:szCs w:val="16"/>
          <w:color w:val="auto"/>
        </w:rPr>
        <w:t>these benchmarks fall within the scope of the Benchmarks</w:t>
      </w:r>
    </w:p>
    <w:p>
      <w:pPr>
        <w:spacing w:after="0" w:line="203" w:lineRule="auto"/>
        <w:rPr>
          <w:sz w:val="20"/>
          <w:szCs w:val="20"/>
          <w:color w:val="auto"/>
        </w:rPr>
      </w:pPr>
      <w:r>
        <w:rPr>
          <w:rFonts w:ascii="Times New Roman" w:cs="Times New Roman" w:eastAsia="Times New Roman" w:hAnsi="Times New Roman"/>
          <w:sz w:val="16"/>
          <w:szCs w:val="16"/>
          <w:color w:val="auto"/>
        </w:rPr>
        <w:t>Regulation. As the regulatory environment continues to</w:t>
      </w:r>
    </w:p>
    <w:p>
      <w:pPr>
        <w:spacing w:after="0" w:line="233" w:lineRule="auto"/>
        <w:rPr>
          <w:sz w:val="20"/>
          <w:szCs w:val="20"/>
          <w:color w:val="auto"/>
        </w:rPr>
      </w:pPr>
      <w:r>
        <w:rPr>
          <w:rFonts w:ascii="Times New Roman" w:cs="Times New Roman" w:eastAsia="Times New Roman" w:hAnsi="Times New Roman"/>
          <w:sz w:val="14"/>
          <w:szCs w:val="14"/>
          <w:color w:val="auto"/>
        </w:rPr>
        <w:t>evolve and related opportunities arise, we intend to continue</w:t>
      </w:r>
    </w:p>
    <w:p>
      <w:pPr>
        <w:spacing w:after="0" w:line="204" w:lineRule="auto"/>
        <w:rPr>
          <w:sz w:val="20"/>
          <w:szCs w:val="20"/>
          <w:color w:val="auto"/>
        </w:rPr>
      </w:pPr>
      <w:r>
        <w:rPr>
          <w:rFonts w:ascii="Times New Roman" w:cs="Times New Roman" w:eastAsia="Times New Roman" w:hAnsi="Times New Roman"/>
          <w:sz w:val="16"/>
          <w:szCs w:val="16"/>
          <w:color w:val="auto"/>
        </w:rPr>
        <w:t>developing our products and services to ensure that the</w:t>
      </w:r>
    </w:p>
    <w:p>
      <w:pPr>
        <w:spacing w:after="0" w:line="203" w:lineRule="auto"/>
        <w:rPr>
          <w:sz w:val="20"/>
          <w:szCs w:val="20"/>
          <w:color w:val="auto"/>
        </w:rPr>
      </w:pPr>
      <w:r>
        <w:rPr>
          <w:rFonts w:ascii="Times New Roman" w:cs="Times New Roman" w:eastAsia="Times New Roman" w:hAnsi="Times New Roman"/>
          <w:sz w:val="16"/>
          <w:szCs w:val="16"/>
          <w:color w:val="auto"/>
        </w:rPr>
        <w:t>exchanges and clearinghouse that comprise Nasdaq Nordic</w:t>
      </w:r>
    </w:p>
    <w:p>
      <w:pPr>
        <w:spacing w:after="0" w:line="233" w:lineRule="auto"/>
        <w:rPr>
          <w:sz w:val="20"/>
          <w:szCs w:val="20"/>
          <w:color w:val="auto"/>
        </w:rPr>
      </w:pPr>
      <w:r>
        <w:rPr>
          <w:rFonts w:ascii="Times New Roman" w:cs="Times New Roman" w:eastAsia="Times New Roman" w:hAnsi="Times New Roman"/>
          <w:sz w:val="14"/>
          <w:szCs w:val="14"/>
          <w:color w:val="auto"/>
        </w:rPr>
        <w:t>and Nasdaq Baltic maintain favorable liquidity and offer fair</w:t>
      </w:r>
    </w:p>
    <w:p>
      <w:pPr>
        <w:spacing w:after="0" w:line="203" w:lineRule="auto"/>
        <w:rPr>
          <w:sz w:val="20"/>
          <w:szCs w:val="20"/>
          <w:color w:val="auto"/>
        </w:rPr>
      </w:pPr>
      <w:r>
        <w:rPr>
          <w:rFonts w:ascii="Times New Roman" w:cs="Times New Roman" w:eastAsia="Times New Roman" w:hAnsi="Times New Roman"/>
          <w:sz w:val="16"/>
          <w:szCs w:val="16"/>
          <w:color w:val="auto"/>
        </w:rPr>
        <w:t>and efficient trading.</w:t>
      </w:r>
    </w:p>
    <w:p>
      <w:pPr>
        <w:spacing w:after="0" w:line="233" w:lineRule="auto"/>
        <w:rPr>
          <w:sz w:val="20"/>
          <w:szCs w:val="20"/>
          <w:color w:val="auto"/>
        </w:rPr>
      </w:pPr>
      <w:r>
        <w:rPr>
          <w:rFonts w:ascii="Times New Roman" w:cs="Times New Roman" w:eastAsia="Times New Roman" w:hAnsi="Times New Roman"/>
          <w:sz w:val="14"/>
          <w:szCs w:val="14"/>
          <w:color w:val="auto"/>
        </w:rPr>
        <w:t>In addition, proposed rules under MiFID II and MiFIR rules</w:t>
      </w:r>
    </w:p>
    <w:p>
      <w:pPr>
        <w:spacing w:after="0" w:line="204" w:lineRule="auto"/>
        <w:rPr>
          <w:sz w:val="20"/>
          <w:szCs w:val="20"/>
          <w:color w:val="auto"/>
        </w:rPr>
      </w:pPr>
      <w:r>
        <w:rPr>
          <w:rFonts w:ascii="Times New Roman" w:cs="Times New Roman" w:eastAsia="Times New Roman" w:hAnsi="Times New Roman"/>
          <w:sz w:val="16"/>
          <w:szCs w:val="16"/>
          <w:color w:val="auto"/>
        </w:rPr>
        <w:t>include provisions potentially impacting various parts of</w:t>
      </w:r>
    </w:p>
    <w:p>
      <w:pPr>
        <w:spacing w:after="0" w:line="232" w:lineRule="auto"/>
        <w:rPr>
          <w:sz w:val="20"/>
          <w:szCs w:val="20"/>
          <w:color w:val="auto"/>
        </w:rPr>
      </w:pPr>
      <w:r>
        <w:rPr>
          <w:rFonts w:ascii="Times New Roman" w:cs="Times New Roman" w:eastAsia="Times New Roman" w:hAnsi="Times New Roman"/>
          <w:sz w:val="14"/>
          <w:szCs w:val="14"/>
          <w:color w:val="auto"/>
        </w:rPr>
        <w:t>Nasdaq’s exchanges and data business, including a proposal</w:t>
      </w:r>
    </w:p>
    <w:p>
      <w:pPr>
        <w:spacing w:after="0" w:line="233" w:lineRule="auto"/>
        <w:rPr>
          <w:sz w:val="20"/>
          <w:szCs w:val="20"/>
          <w:color w:val="auto"/>
        </w:rPr>
      </w:pPr>
      <w:r>
        <w:rPr>
          <w:rFonts w:ascii="Times New Roman" w:cs="Times New Roman" w:eastAsia="Times New Roman" w:hAnsi="Times New Roman"/>
          <w:sz w:val="14"/>
          <w:szCs w:val="14"/>
          <w:color w:val="auto"/>
        </w:rPr>
        <w:t>to establish a European consolidated tape of pre- and/or post-</w:t>
      </w:r>
    </w:p>
    <w:p>
      <w:pPr>
        <w:spacing w:after="0" w:line="203" w:lineRule="auto"/>
        <w:rPr>
          <w:sz w:val="20"/>
          <w:szCs w:val="20"/>
          <w:color w:val="auto"/>
        </w:rPr>
      </w:pPr>
      <w:r>
        <w:rPr>
          <w:rFonts w:ascii="Times New Roman" w:cs="Times New Roman" w:eastAsia="Times New Roman" w:hAnsi="Times New Roman"/>
          <w:sz w:val="16"/>
          <w:szCs w:val="16"/>
          <w:color w:val="auto"/>
        </w:rPr>
        <w:t>trade data.</w:t>
      </w:r>
    </w:p>
    <w:p>
      <w:pPr>
        <w:spacing w:after="0" w:line="233" w:lineRule="auto"/>
        <w:rPr>
          <w:sz w:val="20"/>
          <w:szCs w:val="20"/>
          <w:color w:val="auto"/>
        </w:rPr>
      </w:pPr>
      <w:r>
        <w:rPr>
          <w:rFonts w:ascii="Times New Roman" w:cs="Times New Roman" w:eastAsia="Times New Roman" w:hAnsi="Times New Roman"/>
          <w:sz w:val="14"/>
          <w:szCs w:val="14"/>
          <w:color w:val="auto"/>
        </w:rPr>
        <w:t>We are also subject to the Digital Operational Resilience Act,</w:t>
      </w:r>
    </w:p>
    <w:p>
      <w:pPr>
        <w:spacing w:after="0" w:line="233" w:lineRule="auto"/>
        <w:rPr>
          <w:sz w:val="20"/>
          <w:szCs w:val="20"/>
          <w:color w:val="auto"/>
        </w:rPr>
      </w:pPr>
      <w:r>
        <w:rPr>
          <w:rFonts w:ascii="Times New Roman" w:cs="Times New Roman" w:eastAsia="Times New Roman" w:hAnsi="Times New Roman"/>
          <w:sz w:val="14"/>
          <w:szCs w:val="14"/>
          <w:color w:val="auto"/>
        </w:rPr>
        <w:t>or DORA. The act applies directly to our European regulated</w:t>
      </w:r>
    </w:p>
    <w:p>
      <w:pPr>
        <w:spacing w:after="0" w:line="232" w:lineRule="auto"/>
        <w:rPr>
          <w:sz w:val="20"/>
          <w:szCs w:val="20"/>
          <w:color w:val="auto"/>
        </w:rPr>
      </w:pPr>
      <w:r>
        <w:rPr>
          <w:rFonts w:ascii="Times New Roman" w:cs="Times New Roman" w:eastAsia="Times New Roman" w:hAnsi="Times New Roman"/>
          <w:sz w:val="14"/>
          <w:szCs w:val="14"/>
          <w:color w:val="auto"/>
        </w:rPr>
        <w:t>entities, as well as indirectly to our provision of information</w:t>
      </w:r>
    </w:p>
    <w:p>
      <w:pPr>
        <w:spacing w:after="0" w:line="204" w:lineRule="auto"/>
        <w:rPr>
          <w:sz w:val="20"/>
          <w:szCs w:val="20"/>
          <w:color w:val="auto"/>
        </w:rPr>
      </w:pPr>
      <w:r>
        <w:rPr>
          <w:rFonts w:ascii="Times New Roman" w:cs="Times New Roman" w:eastAsia="Times New Roman" w:hAnsi="Times New Roman"/>
          <w:sz w:val="16"/>
          <w:szCs w:val="16"/>
          <w:color w:val="auto"/>
        </w:rPr>
        <w:t>and communications technology services to other European</w:t>
      </w:r>
    </w:p>
    <w:p>
      <w:pPr>
        <w:spacing w:after="0" w:line="203" w:lineRule="auto"/>
        <w:rPr>
          <w:sz w:val="20"/>
          <w:szCs w:val="20"/>
          <w:color w:val="auto"/>
        </w:rPr>
      </w:pPr>
      <w:r>
        <w:rPr>
          <w:rFonts w:ascii="Times New Roman" w:cs="Times New Roman" w:eastAsia="Times New Roman" w:hAnsi="Times New Roman"/>
          <w:sz w:val="16"/>
          <w:szCs w:val="16"/>
          <w:color w:val="auto"/>
        </w:rPr>
        <w:t>regulated entities subject to DORA. DORA includes</w:t>
      </w:r>
    </w:p>
    <w:p>
      <w:pPr>
        <w:spacing w:after="0" w:line="204" w:lineRule="auto"/>
        <w:rPr>
          <w:sz w:val="20"/>
          <w:szCs w:val="20"/>
          <w:color w:val="auto"/>
        </w:rPr>
      </w:pPr>
      <w:r>
        <w:rPr>
          <w:rFonts w:ascii="Times New Roman" w:cs="Times New Roman" w:eastAsia="Times New Roman" w:hAnsi="Times New Roman"/>
          <w:sz w:val="16"/>
          <w:szCs w:val="16"/>
          <w:color w:val="auto"/>
        </w:rPr>
        <w:t>requirements on risk management procedures, requirements</w:t>
      </w:r>
    </w:p>
    <w:p>
      <w:pPr>
        <w:spacing w:after="0" w:line="203" w:lineRule="auto"/>
        <w:rPr>
          <w:sz w:val="20"/>
          <w:szCs w:val="20"/>
          <w:color w:val="auto"/>
        </w:rPr>
      </w:pPr>
      <w:r>
        <w:rPr>
          <w:rFonts w:ascii="Times New Roman" w:cs="Times New Roman" w:eastAsia="Times New Roman" w:hAnsi="Times New Roman"/>
          <w:sz w:val="16"/>
          <w:szCs w:val="16"/>
          <w:color w:val="auto"/>
        </w:rPr>
        <w:t>for procuring information and communication technology</w:t>
      </w:r>
    </w:p>
    <w:p>
      <w:pPr>
        <w:spacing w:after="0" w:line="204" w:lineRule="auto"/>
        <w:rPr>
          <w:sz w:val="20"/>
          <w:szCs w:val="20"/>
          <w:color w:val="auto"/>
        </w:rPr>
      </w:pPr>
      <w:r>
        <w:rPr>
          <w:rFonts w:ascii="Times New Roman" w:cs="Times New Roman" w:eastAsia="Times New Roman" w:hAnsi="Times New Roman"/>
          <w:sz w:val="16"/>
          <w:szCs w:val="16"/>
          <w:color w:val="auto"/>
        </w:rPr>
        <w:t>services, and ongoing processes to monitor compliance</w:t>
      </w:r>
    </w:p>
    <w:p>
      <w:pPr>
        <w:spacing w:after="0" w:line="204" w:lineRule="auto"/>
        <w:rPr>
          <w:sz w:val="20"/>
          <w:szCs w:val="20"/>
          <w:color w:val="auto"/>
        </w:rPr>
      </w:pPr>
      <w:r>
        <w:rPr>
          <w:rFonts w:ascii="Times New Roman" w:cs="Times New Roman" w:eastAsia="Times New Roman" w:hAnsi="Times New Roman"/>
          <w:sz w:val="16"/>
          <w:szCs w:val="16"/>
          <w:color w:val="auto"/>
        </w:rPr>
        <w:t>The entities that operate trading venues in the Nordic and</w:t>
      </w:r>
    </w:p>
    <w:p>
      <w:pPr>
        <w:spacing w:after="0" w:line="203" w:lineRule="auto"/>
        <w:rPr>
          <w:sz w:val="20"/>
          <w:szCs w:val="20"/>
          <w:color w:val="auto"/>
        </w:rPr>
      </w:pPr>
      <w:r>
        <w:rPr>
          <w:rFonts w:ascii="Times New Roman" w:cs="Times New Roman" w:eastAsia="Times New Roman" w:hAnsi="Times New Roman"/>
          <w:sz w:val="16"/>
          <w:szCs w:val="16"/>
          <w:color w:val="auto"/>
        </w:rPr>
        <w:t>Baltic countries are each subject to local regulations. As a</w:t>
      </w:r>
    </w:p>
    <w:p>
      <w:pPr>
        <w:spacing w:after="0" w:line="233" w:lineRule="auto"/>
        <w:rPr>
          <w:sz w:val="20"/>
          <w:szCs w:val="20"/>
          <w:color w:val="auto"/>
        </w:rPr>
      </w:pPr>
      <w:r>
        <w:rPr>
          <w:rFonts w:ascii="Times New Roman" w:cs="Times New Roman" w:eastAsia="Times New Roman" w:hAnsi="Times New Roman"/>
          <w:sz w:val="14"/>
          <w:szCs w:val="14"/>
          <w:color w:val="auto"/>
        </w:rPr>
        <w:t>result, we have a strong local presence in each jurisdiction in</w:t>
      </w:r>
    </w:p>
    <w:p>
      <w:pPr>
        <w:spacing w:after="0" w:line="232" w:lineRule="auto"/>
        <w:rPr>
          <w:sz w:val="20"/>
          <w:szCs w:val="20"/>
          <w:color w:val="auto"/>
        </w:rPr>
      </w:pPr>
      <w:r>
        <w:rPr>
          <w:rFonts w:ascii="Times New Roman" w:cs="Times New Roman" w:eastAsia="Times New Roman" w:hAnsi="Times New Roman"/>
          <w:sz w:val="14"/>
          <w:szCs w:val="14"/>
          <w:color w:val="auto"/>
        </w:rPr>
        <w:t>which we operate regulated businesses. The regulated entities</w:t>
      </w:r>
    </w:p>
    <w:p>
      <w:pPr>
        <w:spacing w:after="0" w:line="204" w:lineRule="auto"/>
        <w:rPr>
          <w:sz w:val="20"/>
          <w:szCs w:val="20"/>
          <w:color w:val="auto"/>
        </w:rPr>
      </w:pPr>
      <w:r>
        <w:rPr>
          <w:rFonts w:ascii="Times New Roman" w:cs="Times New Roman" w:eastAsia="Times New Roman" w:hAnsi="Times New Roman"/>
          <w:sz w:val="16"/>
          <w:szCs w:val="16"/>
          <w:color w:val="auto"/>
        </w:rPr>
        <w:t>have decision-making power and can adopt policies and</w:t>
      </w:r>
    </w:p>
    <w:p>
      <w:pPr>
        <w:spacing w:after="0" w:line="203" w:lineRule="auto"/>
        <w:rPr>
          <w:sz w:val="20"/>
          <w:szCs w:val="20"/>
          <w:color w:val="auto"/>
        </w:rPr>
      </w:pPr>
      <w:r>
        <w:rPr>
          <w:rFonts w:ascii="Times New Roman" w:cs="Times New Roman" w:eastAsia="Times New Roman" w:hAnsi="Times New Roman"/>
          <w:sz w:val="16"/>
          <w:szCs w:val="16"/>
          <w:color w:val="auto"/>
        </w:rPr>
        <w:t>procedures and retain resources to manage all operations</w:t>
      </w:r>
    </w:p>
    <w:p>
      <w:pPr>
        <w:spacing w:after="0" w:line="233" w:lineRule="auto"/>
        <w:rPr>
          <w:sz w:val="20"/>
          <w:szCs w:val="20"/>
          <w:color w:val="auto"/>
        </w:rPr>
      </w:pPr>
      <w:r>
        <w:rPr>
          <w:rFonts w:ascii="Times New Roman" w:cs="Times New Roman" w:eastAsia="Times New Roman" w:hAnsi="Times New Roman"/>
          <w:sz w:val="14"/>
          <w:szCs w:val="14"/>
          <w:color w:val="auto"/>
        </w:rPr>
        <w:t>subject to their license. In Sweden, general supervision of the</w:t>
      </w:r>
    </w:p>
    <w:p>
      <w:pPr>
        <w:spacing w:after="0" w:line="204" w:lineRule="auto"/>
        <w:rPr>
          <w:sz w:val="20"/>
          <w:szCs w:val="20"/>
          <w:color w:val="auto"/>
        </w:rPr>
      </w:pPr>
      <w:r>
        <w:rPr>
          <w:rFonts w:ascii="Times New Roman" w:cs="Times New Roman" w:eastAsia="Times New Roman" w:hAnsi="Times New Roman"/>
          <w:sz w:val="16"/>
          <w:szCs w:val="16"/>
          <w:color w:val="auto"/>
        </w:rPr>
        <w:t>Nasdaq Stockholm exchange is carried out by the SFSA,</w:t>
      </w:r>
    </w:p>
    <w:p>
      <w:pPr>
        <w:spacing w:after="0" w:line="203" w:lineRule="auto"/>
        <w:rPr>
          <w:sz w:val="20"/>
          <w:szCs w:val="20"/>
          <w:color w:val="auto"/>
        </w:rPr>
      </w:pPr>
      <w:r>
        <w:rPr>
          <w:rFonts w:ascii="Times New Roman" w:cs="Times New Roman" w:eastAsia="Times New Roman" w:hAnsi="Times New Roman"/>
          <w:sz w:val="16"/>
          <w:szCs w:val="16"/>
          <w:color w:val="auto"/>
        </w:rPr>
        <w:t>while Nasdaq Clearing’s role as CCP in the clearing of</w:t>
      </w:r>
    </w:p>
    <w:p>
      <w:pPr>
        <w:spacing w:after="0" w:line="204" w:lineRule="auto"/>
        <w:rPr>
          <w:sz w:val="20"/>
          <w:szCs w:val="20"/>
          <w:color w:val="auto"/>
        </w:rPr>
      </w:pPr>
      <w:r>
        <w:rPr>
          <w:rFonts w:ascii="Times New Roman" w:cs="Times New Roman" w:eastAsia="Times New Roman" w:hAnsi="Times New Roman"/>
          <w:sz w:val="16"/>
          <w:szCs w:val="16"/>
          <w:color w:val="auto"/>
        </w:rPr>
        <w:t>derivatives is supervised by the SFSA and overseen by the</w:t>
      </w:r>
    </w:p>
    <w:p>
      <w:pPr>
        <w:spacing w:after="0" w:line="203" w:lineRule="auto"/>
        <w:rPr>
          <w:sz w:val="20"/>
          <w:szCs w:val="20"/>
          <w:color w:val="auto"/>
        </w:rPr>
      </w:pPr>
      <w:r>
        <w:rPr>
          <w:rFonts w:ascii="Times New Roman" w:cs="Times New Roman" w:eastAsia="Times New Roman" w:hAnsi="Times New Roman"/>
          <w:sz w:val="16"/>
          <w:szCs w:val="16"/>
          <w:color w:val="auto"/>
        </w:rPr>
        <w:t>Swedish central bank. Additionally, as a function of the</w:t>
      </w:r>
    </w:p>
    <w:p>
      <w:pPr>
        <w:spacing w:after="0" w:line="204" w:lineRule="auto"/>
        <w:rPr>
          <w:sz w:val="20"/>
          <w:szCs w:val="20"/>
          <w:color w:val="auto"/>
        </w:rPr>
      </w:pPr>
      <w:r>
        <w:rPr>
          <w:rFonts w:ascii="Times New Roman" w:cs="Times New Roman" w:eastAsia="Times New Roman" w:hAnsi="Times New Roman"/>
          <w:sz w:val="16"/>
          <w:szCs w:val="16"/>
          <w:color w:val="auto"/>
        </w:rPr>
        <w:t>Swedish two-tier supervisory model, certain surveillance of</w:t>
      </w:r>
    </w:p>
    <w:p>
      <w:pPr>
        <w:spacing w:after="0" w:line="233" w:lineRule="auto"/>
        <w:rPr>
          <w:sz w:val="20"/>
          <w:szCs w:val="20"/>
          <w:color w:val="auto"/>
        </w:rPr>
      </w:pPr>
      <w:r>
        <w:rPr>
          <w:rFonts w:ascii="Times New Roman" w:cs="Times New Roman" w:eastAsia="Times New Roman" w:hAnsi="Times New Roman"/>
          <w:sz w:val="14"/>
          <w:szCs w:val="14"/>
          <w:color w:val="auto"/>
        </w:rPr>
        <w:t>the exchange market is carried out by the Nasdaq Stockholm</w:t>
      </w:r>
    </w:p>
    <w:p>
      <w:pPr>
        <w:spacing w:after="0" w:line="203" w:lineRule="auto"/>
        <w:rPr>
          <w:sz w:val="20"/>
          <w:szCs w:val="20"/>
          <w:color w:val="auto"/>
        </w:rPr>
      </w:pPr>
      <w:r>
        <w:rPr>
          <w:rFonts w:ascii="Times New Roman" w:cs="Times New Roman" w:eastAsia="Times New Roman" w:hAnsi="Times New Roman"/>
          <w:sz w:val="16"/>
          <w:szCs w:val="16"/>
          <w:color w:val="auto"/>
        </w:rPr>
        <w:t>exchange through its surveillance function.</w:t>
      </w:r>
    </w:p>
    <w:p>
      <w:pPr>
        <w:spacing w:after="0" w:line="204" w:lineRule="auto"/>
        <w:rPr>
          <w:sz w:val="20"/>
          <w:szCs w:val="20"/>
          <w:color w:val="auto"/>
        </w:rPr>
      </w:pPr>
      <w:r>
        <w:rPr>
          <w:rFonts w:ascii="Times New Roman" w:cs="Times New Roman" w:eastAsia="Times New Roman" w:hAnsi="Times New Roman"/>
          <w:sz w:val="16"/>
          <w:szCs w:val="16"/>
          <w:color w:val="auto"/>
        </w:rPr>
        <w:t>Nasdaq Stockholm’s exchange activities are regulated</w:t>
      </w:r>
    </w:p>
    <w:p>
      <w:pPr>
        <w:spacing w:after="0" w:line="203" w:lineRule="auto"/>
        <w:rPr>
          <w:sz w:val="20"/>
          <w:szCs w:val="20"/>
          <w:color w:val="auto"/>
        </w:rPr>
      </w:pPr>
      <w:r>
        <w:rPr>
          <w:rFonts w:ascii="Times New Roman" w:cs="Times New Roman" w:eastAsia="Times New Roman" w:hAnsi="Times New Roman"/>
          <w:sz w:val="16"/>
          <w:szCs w:val="16"/>
          <w:color w:val="auto"/>
        </w:rPr>
        <w:t>primarily by the SSMA, which implements MiFID II into</w:t>
      </w:r>
    </w:p>
    <w:p>
      <w:pPr>
        <w:spacing w:after="0" w:line="204" w:lineRule="auto"/>
        <w:rPr>
          <w:sz w:val="20"/>
          <w:szCs w:val="20"/>
          <w:color w:val="auto"/>
        </w:rPr>
      </w:pPr>
      <w:r>
        <w:rPr>
          <w:rFonts w:ascii="Times New Roman" w:cs="Times New Roman" w:eastAsia="Times New Roman" w:hAnsi="Times New Roman"/>
          <w:sz w:val="16"/>
          <w:szCs w:val="16"/>
          <w:color w:val="auto"/>
        </w:rPr>
        <w:t>Swedish law and which sets up basic requirements for the</w:t>
      </w:r>
    </w:p>
    <w:p>
      <w:pPr>
        <w:spacing w:after="0" w:line="203" w:lineRule="auto"/>
        <w:rPr>
          <w:sz w:val="20"/>
          <w:szCs w:val="20"/>
          <w:color w:val="auto"/>
        </w:rPr>
      </w:pPr>
      <w:r>
        <w:rPr>
          <w:rFonts w:ascii="Times New Roman" w:cs="Times New Roman" w:eastAsia="Times New Roman" w:hAnsi="Times New Roman"/>
          <w:sz w:val="16"/>
          <w:szCs w:val="16"/>
          <w:color w:val="auto"/>
        </w:rPr>
        <w:t>board of directors of the exchange and the exchange’s share</w:t>
      </w:r>
    </w:p>
    <w:p>
      <w:pPr>
        <w:spacing w:after="0" w:line="204" w:lineRule="auto"/>
        <w:rPr>
          <w:sz w:val="20"/>
          <w:szCs w:val="20"/>
          <w:color w:val="auto"/>
        </w:rPr>
      </w:pPr>
      <w:r>
        <w:rPr>
          <w:rFonts w:ascii="Times New Roman" w:cs="Times New Roman" w:eastAsia="Times New Roman" w:hAnsi="Times New Roman"/>
          <w:sz w:val="16"/>
          <w:szCs w:val="16"/>
          <w:color w:val="auto"/>
        </w:rPr>
        <w:t>capital, and which also outlines the conditions on which</w:t>
      </w:r>
    </w:p>
    <w:p>
      <w:pPr>
        <w:spacing w:after="0" w:line="203" w:lineRule="auto"/>
        <w:rPr>
          <w:sz w:val="20"/>
          <w:szCs w:val="20"/>
          <w:color w:val="auto"/>
        </w:rPr>
      </w:pPr>
      <w:r>
        <w:rPr>
          <w:rFonts w:ascii="Times New Roman" w:cs="Times New Roman" w:eastAsia="Times New Roman" w:hAnsi="Times New Roman"/>
          <w:sz w:val="16"/>
          <w:szCs w:val="16"/>
          <w:color w:val="auto"/>
        </w:rPr>
        <w:t>exchange licenses are issued. The SSMA also provides that</w:t>
      </w:r>
    </w:p>
    <w:p>
      <w:pPr>
        <w:spacing w:after="0" w:line="204" w:lineRule="auto"/>
        <w:rPr>
          <w:sz w:val="20"/>
          <w:szCs w:val="20"/>
          <w:color w:val="auto"/>
        </w:rPr>
      </w:pPr>
      <w:r>
        <w:rPr>
          <w:rFonts w:ascii="Times New Roman" w:cs="Times New Roman" w:eastAsia="Times New Roman" w:hAnsi="Times New Roman"/>
          <w:sz w:val="16"/>
          <w:szCs w:val="16"/>
          <w:color w:val="auto"/>
        </w:rPr>
        <w:t>any changes to the exchange’s articles of association</w:t>
      </w:r>
    </w:p>
    <w:p>
      <w:pPr>
        <w:spacing w:after="0" w:line="233" w:lineRule="auto"/>
        <w:rPr>
          <w:sz w:val="20"/>
          <w:szCs w:val="20"/>
          <w:color w:val="auto"/>
        </w:rPr>
      </w:pPr>
      <w:r>
        <w:rPr>
          <w:rFonts w:ascii="Times New Roman" w:cs="Times New Roman" w:eastAsia="Times New Roman" w:hAnsi="Times New Roman"/>
          <w:sz w:val="14"/>
          <w:szCs w:val="14"/>
          <w:color w:val="auto"/>
        </w:rPr>
        <w:t>following initial registration must be approved by the SFSA.</w:t>
      </w:r>
    </w:p>
    <w:p>
      <w:pPr>
        <w:spacing w:after="0" w:line="203" w:lineRule="auto"/>
        <w:rPr>
          <w:sz w:val="20"/>
          <w:szCs w:val="20"/>
          <w:color w:val="auto"/>
        </w:rPr>
      </w:pPr>
      <w:r>
        <w:rPr>
          <w:rFonts w:ascii="Times New Roman" w:cs="Times New Roman" w:eastAsia="Times New Roman" w:hAnsi="Times New Roman"/>
          <w:sz w:val="16"/>
          <w:szCs w:val="16"/>
          <w:color w:val="auto"/>
        </w:rPr>
        <w:t>Nasdaq Clearing holds the license as a CCP under EMIR.</w:t>
      </w:r>
    </w:p>
    <w:p>
      <w:pPr>
        <w:spacing w:after="0" w:line="204" w:lineRule="auto"/>
        <w:rPr>
          <w:sz w:val="20"/>
          <w:szCs w:val="20"/>
          <w:color w:val="auto"/>
        </w:rPr>
      </w:pPr>
      <w:r>
        <w:rPr>
          <w:rFonts w:ascii="Times New Roman" w:cs="Times New Roman" w:eastAsia="Times New Roman" w:hAnsi="Times New Roman"/>
          <w:sz w:val="16"/>
          <w:szCs w:val="16"/>
          <w:color w:val="auto"/>
        </w:rPr>
        <w:t>The SSMA requires exchanges to conduct their activities in</w:t>
      </w:r>
    </w:p>
    <w:p>
      <w:pPr>
        <w:spacing w:after="0" w:line="232" w:lineRule="auto"/>
        <w:rPr>
          <w:sz w:val="20"/>
          <w:szCs w:val="20"/>
          <w:color w:val="auto"/>
        </w:rPr>
      </w:pPr>
      <w:r>
        <w:rPr>
          <w:rFonts w:ascii="Times New Roman" w:cs="Times New Roman" w:eastAsia="Times New Roman" w:hAnsi="Times New Roman"/>
          <w:sz w:val="14"/>
          <w:szCs w:val="14"/>
          <w:color w:val="auto"/>
        </w:rPr>
        <w:t>an honest, fair and professional manner, and in such a way as</w:t>
      </w:r>
    </w:p>
    <w:p>
      <w:pPr>
        <w:spacing w:after="0" w:line="233" w:lineRule="auto"/>
        <w:rPr>
          <w:sz w:val="20"/>
          <w:szCs w:val="20"/>
          <w:color w:val="auto"/>
        </w:rPr>
      </w:pPr>
      <w:r>
        <w:rPr>
          <w:rFonts w:ascii="Times New Roman" w:cs="Times New Roman" w:eastAsia="Times New Roman" w:hAnsi="Times New Roman"/>
          <w:sz w:val="14"/>
          <w:szCs w:val="14"/>
          <w:color w:val="auto"/>
        </w:rPr>
        <w:t>to maintain public confidence in the securities markets. When</w:t>
      </w:r>
    </w:p>
    <w:p>
      <w:pPr>
        <w:spacing w:after="0" w:line="204" w:lineRule="auto"/>
        <w:rPr>
          <w:sz w:val="20"/>
          <w:szCs w:val="20"/>
          <w:color w:val="auto"/>
        </w:rPr>
      </w:pPr>
      <w:r>
        <w:rPr>
          <w:rFonts w:ascii="Times New Roman" w:cs="Times New Roman" w:eastAsia="Times New Roman" w:hAnsi="Times New Roman"/>
          <w:sz w:val="16"/>
          <w:szCs w:val="16"/>
          <w:color w:val="auto"/>
        </w:rPr>
        <w:t>operating a regulated market, an exchange must apply the</w:t>
      </w:r>
    </w:p>
    <w:p>
      <w:pPr>
        <w:spacing w:after="0" w:line="203" w:lineRule="auto"/>
        <w:rPr>
          <w:sz w:val="20"/>
          <w:szCs w:val="20"/>
          <w:color w:val="auto"/>
        </w:rPr>
      </w:pPr>
      <w:r>
        <w:rPr>
          <w:rFonts w:ascii="Times New Roman" w:cs="Times New Roman" w:eastAsia="Times New Roman" w:hAnsi="Times New Roman"/>
          <w:sz w:val="16"/>
          <w:szCs w:val="16"/>
          <w:color w:val="auto"/>
        </w:rPr>
        <w:t>principles of free access (i.e., that each person which meets</w:t>
      </w:r>
    </w:p>
    <w:p>
      <w:pPr>
        <w:spacing w:after="0" w:line="233" w:lineRule="auto"/>
        <w:rPr>
          <w:sz w:val="20"/>
          <w:szCs w:val="20"/>
          <w:color w:val="auto"/>
        </w:rPr>
      </w:pPr>
      <w:r>
        <w:rPr>
          <w:rFonts w:ascii="Times New Roman" w:cs="Times New Roman" w:eastAsia="Times New Roman" w:hAnsi="Times New Roman"/>
          <w:sz w:val="14"/>
          <w:szCs w:val="14"/>
          <w:color w:val="auto"/>
        </w:rPr>
        <w:t>the requirements established by law and by the exchange may</w:t>
      </w:r>
    </w:p>
    <w:p>
      <w:pPr>
        <w:spacing w:after="0" w:line="203" w:lineRule="auto"/>
        <w:rPr>
          <w:sz w:val="20"/>
          <w:szCs w:val="20"/>
          <w:color w:val="auto"/>
        </w:rPr>
      </w:pPr>
      <w:r>
        <w:rPr>
          <w:rFonts w:ascii="Times New Roman" w:cs="Times New Roman" w:eastAsia="Times New Roman" w:hAnsi="Times New Roman"/>
          <w:sz w:val="16"/>
          <w:szCs w:val="16"/>
          <w:color w:val="auto"/>
        </w:rPr>
        <w:t>participate in trading), neutrality (i.e., that the exchange’s</w:t>
      </w:r>
    </w:p>
    <w:p>
      <w:pPr>
        <w:spacing w:after="0" w:line="204" w:lineRule="auto"/>
        <w:rPr>
          <w:sz w:val="20"/>
          <w:szCs w:val="20"/>
          <w:color w:val="auto"/>
        </w:rPr>
      </w:pPr>
      <w:r>
        <w:rPr>
          <w:rFonts w:ascii="Times New Roman" w:cs="Times New Roman" w:eastAsia="Times New Roman" w:hAnsi="Times New Roman"/>
          <w:sz w:val="16"/>
          <w:szCs w:val="16"/>
          <w:color w:val="auto"/>
        </w:rPr>
        <w:t>rules for the regulated market are applied in a consistent</w:t>
      </w:r>
    </w:p>
    <w:p>
      <w:pPr>
        <w:spacing w:after="0" w:line="203" w:lineRule="auto"/>
        <w:rPr>
          <w:sz w:val="20"/>
          <w:szCs w:val="20"/>
          <w:color w:val="auto"/>
        </w:rPr>
      </w:pPr>
      <w:r>
        <w:rPr>
          <w:rFonts w:ascii="Times New Roman" w:cs="Times New Roman" w:eastAsia="Times New Roman" w:hAnsi="Times New Roman"/>
          <w:sz w:val="16"/>
          <w:szCs w:val="16"/>
          <w:color w:val="auto"/>
        </w:rPr>
        <w:t>manner to all those who participate in trading) and</w:t>
      </w:r>
    </w:p>
    <w:p>
      <w:pPr>
        <w:spacing w:after="0" w:line="233" w:lineRule="auto"/>
        <w:rPr>
          <w:sz w:val="20"/>
          <w:szCs w:val="20"/>
          <w:color w:val="auto"/>
        </w:rPr>
      </w:pPr>
      <w:r>
        <w:rPr>
          <w:rFonts w:ascii="Times New Roman" w:cs="Times New Roman" w:eastAsia="Times New Roman" w:hAnsi="Times New Roman"/>
          <w:sz w:val="14"/>
          <w:szCs w:val="14"/>
          <w:color w:val="auto"/>
        </w:rPr>
        <w:t>transparency (i.e., that the participants must be given prompt,</w:t>
      </w:r>
    </w:p>
    <w:p>
      <w:pPr>
        <w:spacing w:after="0" w:line="233" w:lineRule="auto"/>
        <w:rPr>
          <w:sz w:val="20"/>
          <w:szCs w:val="20"/>
          <w:color w:val="auto"/>
        </w:rPr>
      </w:pPr>
      <w:r>
        <w:rPr>
          <w:rFonts w:ascii="Times New Roman" w:cs="Times New Roman" w:eastAsia="Times New Roman" w:hAnsi="Times New Roman"/>
          <w:sz w:val="14"/>
          <w:szCs w:val="14"/>
          <w:color w:val="auto"/>
        </w:rPr>
        <w:t>simultaneous and correct information concerning trading and</w:t>
      </w:r>
    </w:p>
    <w:p>
      <w:pPr>
        <w:spacing w:after="0" w:line="203" w:lineRule="auto"/>
        <w:rPr>
          <w:sz w:val="20"/>
          <w:szCs w:val="20"/>
          <w:color w:val="auto"/>
        </w:rPr>
      </w:pPr>
      <w:r>
        <w:rPr>
          <w:rFonts w:ascii="Times New Roman" w:cs="Times New Roman" w:eastAsia="Times New Roman" w:hAnsi="Times New Roman"/>
          <w:sz w:val="16"/>
          <w:szCs w:val="16"/>
          <w:color w:val="auto"/>
        </w:rPr>
        <w:t>that the general public must be given the opportunity to</w:t>
      </w:r>
    </w:p>
    <w:p>
      <w:pPr>
        <w:spacing w:after="0" w:line="233" w:lineRule="auto"/>
        <w:rPr>
          <w:sz w:val="20"/>
          <w:szCs w:val="20"/>
          <w:color w:val="auto"/>
        </w:rPr>
      </w:pPr>
      <w:r>
        <w:rPr>
          <w:rFonts w:ascii="Times New Roman" w:cs="Times New Roman" w:eastAsia="Times New Roman" w:hAnsi="Times New Roman"/>
          <w:sz w:val="14"/>
          <w:szCs w:val="14"/>
          <w:color w:val="auto"/>
        </w:rPr>
        <w:t>access this information). Additionally, the exchange operator</w:t>
      </w:r>
    </w:p>
    <w:p>
      <w:pPr>
        <w:spacing w:after="0" w:line="204" w:lineRule="auto"/>
        <w:rPr>
          <w:sz w:val="20"/>
          <w:szCs w:val="20"/>
          <w:color w:val="auto"/>
        </w:rPr>
      </w:pPr>
      <w:r>
        <w:rPr>
          <w:rFonts w:ascii="Times New Roman" w:cs="Times New Roman" w:eastAsia="Times New Roman" w:hAnsi="Times New Roman"/>
          <w:sz w:val="16"/>
          <w:szCs w:val="16"/>
          <w:color w:val="auto"/>
        </w:rPr>
        <w:t>must identify and manage the risks that may arise in its</w:t>
      </w:r>
    </w:p>
    <w:p>
      <w:pPr>
        <w:spacing w:after="0" w:line="203" w:lineRule="auto"/>
        <w:rPr>
          <w:sz w:val="20"/>
          <w:szCs w:val="20"/>
          <w:color w:val="auto"/>
        </w:rPr>
      </w:pPr>
      <w:r>
        <w:rPr>
          <w:rFonts w:ascii="Times New Roman" w:cs="Times New Roman" w:eastAsia="Times New Roman" w:hAnsi="Times New Roman"/>
          <w:sz w:val="16"/>
          <w:szCs w:val="16"/>
          <w:color w:val="auto"/>
        </w:rPr>
        <w:t>operations, use secure technical systems and identify and</w:t>
      </w:r>
    </w:p>
    <w:p>
      <w:pPr>
        <w:spacing w:after="0" w:line="204" w:lineRule="auto"/>
        <w:rPr>
          <w:sz w:val="20"/>
          <w:szCs w:val="20"/>
          <w:color w:val="auto"/>
        </w:rPr>
      </w:pPr>
      <w:r>
        <w:rPr>
          <w:rFonts w:ascii="Times New Roman" w:cs="Times New Roman" w:eastAsia="Times New Roman" w:hAnsi="Times New Roman"/>
          <w:sz w:val="16"/>
          <w:szCs w:val="16"/>
          <w:color w:val="auto"/>
        </w:rPr>
        <w:t>handle the conflicts of interest that may arise between the</w:t>
      </w:r>
    </w:p>
    <w:p>
      <w:pPr>
        <w:spacing w:after="0" w:line="203" w:lineRule="auto"/>
        <w:rPr>
          <w:sz w:val="20"/>
          <w:szCs w:val="20"/>
          <w:color w:val="auto"/>
        </w:rPr>
      </w:pPr>
      <w:r>
        <w:rPr>
          <w:rFonts w:ascii="Times New Roman" w:cs="Times New Roman" w:eastAsia="Times New Roman" w:hAnsi="Times New Roman"/>
          <w:sz w:val="16"/>
          <w:szCs w:val="16"/>
          <w:color w:val="auto"/>
        </w:rPr>
        <w:t>exchange or its owners’ interests and the interest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safeguarding effective risk management and secure technical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w:t>
      </w:r>
    </w:p>
    <w:p>
      <w:pPr>
        <w:spacing w:after="0" w:line="203" w:lineRule="auto"/>
        <w:rPr>
          <w:sz w:val="20"/>
          <w:szCs w:val="20"/>
          <w:color w:val="auto"/>
        </w:rPr>
      </w:pPr>
      <w:r>
        <w:rPr>
          <w:rFonts w:ascii="Times New Roman" w:cs="Times New Roman" w:eastAsia="Times New Roman" w:hAnsi="Times New Roman"/>
          <w:sz w:val="16"/>
          <w:szCs w:val="16"/>
          <w:color w:val="auto"/>
        </w:rPr>
        <w:t>Nasdaq owns a central securities depository known as</w:t>
      </w:r>
    </w:p>
    <w:p>
      <w:pPr>
        <w:spacing w:after="0" w:line="204" w:lineRule="auto"/>
        <w:rPr>
          <w:sz w:val="20"/>
          <w:szCs w:val="20"/>
          <w:color w:val="auto"/>
        </w:rPr>
      </w:pPr>
      <w:r>
        <w:rPr>
          <w:rFonts w:ascii="Times New Roman" w:cs="Times New Roman" w:eastAsia="Times New Roman" w:hAnsi="Times New Roman"/>
          <w:sz w:val="16"/>
          <w:szCs w:val="16"/>
          <w:color w:val="auto"/>
        </w:rPr>
        <w:t>Nasdaq CSD SE (Societas Europaea)¸ that provides notary,</w:t>
      </w:r>
    </w:p>
    <w:p>
      <w:pPr>
        <w:spacing w:after="0" w:line="203" w:lineRule="auto"/>
        <w:rPr>
          <w:sz w:val="20"/>
          <w:szCs w:val="20"/>
          <w:color w:val="auto"/>
        </w:rPr>
      </w:pPr>
      <w:r>
        <w:rPr>
          <w:rFonts w:ascii="Times New Roman" w:cs="Times New Roman" w:eastAsia="Times New Roman" w:hAnsi="Times New Roman"/>
          <w:sz w:val="16"/>
          <w:szCs w:val="16"/>
          <w:color w:val="auto"/>
        </w:rPr>
        <w:t>settlement, central maintenance and other services in the</w:t>
      </w:r>
    </w:p>
    <w:p>
      <w:pPr>
        <w:spacing w:after="0" w:line="204" w:lineRule="auto"/>
        <w:rPr>
          <w:sz w:val="20"/>
          <w:szCs w:val="20"/>
          <w:color w:val="auto"/>
        </w:rPr>
      </w:pPr>
      <w:r>
        <w:rPr>
          <w:rFonts w:ascii="Times New Roman" w:cs="Times New Roman" w:eastAsia="Times New Roman" w:hAnsi="Times New Roman"/>
          <w:sz w:val="16"/>
          <w:szCs w:val="16"/>
          <w:color w:val="auto"/>
        </w:rPr>
        <w:t>Baltic countries and in Iceland. Nasdaq CSD SE is licensed</w:t>
      </w:r>
    </w:p>
    <w:p>
      <w:pPr>
        <w:spacing w:after="0" w:line="203" w:lineRule="auto"/>
        <w:rPr>
          <w:sz w:val="20"/>
          <w:szCs w:val="20"/>
          <w:color w:val="auto"/>
        </w:rPr>
      </w:pPr>
      <w:r>
        <w:rPr>
          <w:rFonts w:ascii="Times New Roman" w:cs="Times New Roman" w:eastAsia="Times New Roman" w:hAnsi="Times New Roman"/>
          <w:sz w:val="16"/>
          <w:szCs w:val="16"/>
          <w:color w:val="auto"/>
        </w:rPr>
        <w:t>under the European Central Securities Depositories</w:t>
      </w:r>
    </w:p>
    <w:p>
      <w:pPr>
        <w:spacing w:after="0" w:line="204" w:lineRule="auto"/>
        <w:rPr>
          <w:sz w:val="20"/>
          <w:szCs w:val="20"/>
          <w:color w:val="auto"/>
        </w:rPr>
      </w:pPr>
      <w:r>
        <w:rPr>
          <w:rFonts w:ascii="Times New Roman" w:cs="Times New Roman" w:eastAsia="Times New Roman" w:hAnsi="Times New Roman"/>
          <w:sz w:val="16"/>
          <w:szCs w:val="16"/>
          <w:color w:val="auto"/>
        </w:rPr>
        <w:t>Regulation and is supervised by the respective regulatory</w:t>
      </w:r>
    </w:p>
    <w:p>
      <w:pPr>
        <w:spacing w:after="0" w:line="203" w:lineRule="auto"/>
        <w:rPr>
          <w:sz w:val="20"/>
          <w:szCs w:val="20"/>
          <w:color w:val="auto"/>
        </w:rPr>
      </w:pPr>
      <w:r>
        <w:rPr>
          <w:rFonts w:ascii="Times New Roman" w:cs="Times New Roman" w:eastAsia="Times New Roman" w:hAnsi="Times New Roman"/>
          <w:sz w:val="16"/>
          <w:szCs w:val="16"/>
          <w:color w:val="auto"/>
        </w:rPr>
        <w:t>institutions.</w:t>
      </w:r>
    </w:p>
    <w:p>
      <w:pPr>
        <w:spacing w:after="0" w:line="204" w:lineRule="auto"/>
        <w:rPr>
          <w:sz w:val="20"/>
          <w:szCs w:val="20"/>
          <w:color w:val="auto"/>
        </w:rPr>
      </w:pPr>
      <w:r>
        <w:rPr>
          <w:rFonts w:ascii="Times New Roman" w:cs="Times New Roman" w:eastAsia="Times New Roman" w:hAnsi="Times New Roman"/>
          <w:sz w:val="16"/>
          <w:szCs w:val="16"/>
          <w:color w:val="auto"/>
        </w:rPr>
        <w:t>We operate a licensed exchange, Nasdaq Oslo ASA, in</w:t>
      </w:r>
    </w:p>
    <w:p>
      <w:pPr>
        <w:spacing w:after="0" w:line="203" w:lineRule="auto"/>
        <w:rPr>
          <w:sz w:val="20"/>
          <w:szCs w:val="20"/>
          <w:color w:val="auto"/>
        </w:rPr>
      </w:pPr>
      <w:r>
        <w:rPr>
          <w:rFonts w:ascii="Times New Roman" w:cs="Times New Roman" w:eastAsia="Times New Roman" w:hAnsi="Times New Roman"/>
          <w:sz w:val="16"/>
          <w:szCs w:val="16"/>
          <w:color w:val="auto"/>
        </w:rPr>
        <w:t>Norway that trades and lists commodity derivatives.</w:t>
      </w:r>
    </w:p>
    <w:p>
      <w:pPr>
        <w:spacing w:after="0" w:line="204" w:lineRule="auto"/>
        <w:rPr>
          <w:sz w:val="20"/>
          <w:szCs w:val="20"/>
          <w:color w:val="auto"/>
        </w:rPr>
      </w:pPr>
      <w:r>
        <w:rPr>
          <w:rFonts w:ascii="Times New Roman" w:cs="Times New Roman" w:eastAsia="Times New Roman" w:hAnsi="Times New Roman"/>
          <w:sz w:val="16"/>
          <w:szCs w:val="16"/>
          <w:color w:val="auto"/>
        </w:rPr>
        <w:t>Although Norway is not a member of the EU, as a result of</w:t>
      </w:r>
    </w:p>
    <w:p>
      <w:pPr>
        <w:spacing w:after="0" w:line="204" w:lineRule="auto"/>
        <w:rPr>
          <w:sz w:val="20"/>
          <w:szCs w:val="20"/>
          <w:color w:val="auto"/>
        </w:rPr>
      </w:pPr>
      <w:r>
        <w:rPr>
          <w:rFonts w:ascii="Times New Roman" w:cs="Times New Roman" w:eastAsia="Times New Roman" w:hAnsi="Times New Roman"/>
          <w:sz w:val="16"/>
          <w:szCs w:val="16"/>
          <w:color w:val="auto"/>
        </w:rPr>
        <w:t>the European Economic Area, or EEA, agreement (entered</w:t>
      </w:r>
    </w:p>
    <w:p>
      <w:pPr>
        <w:spacing w:after="0" w:line="203" w:lineRule="auto"/>
        <w:rPr>
          <w:sz w:val="20"/>
          <w:szCs w:val="20"/>
          <w:color w:val="auto"/>
        </w:rPr>
      </w:pPr>
      <w:r>
        <w:rPr>
          <w:rFonts w:ascii="Times New Roman" w:cs="Times New Roman" w:eastAsia="Times New Roman" w:hAnsi="Times New Roman"/>
          <w:sz w:val="16"/>
          <w:szCs w:val="16"/>
          <w:color w:val="auto"/>
        </w:rPr>
        <w:t>into between the EU and European Free Trade Association)</w:t>
      </w:r>
    </w:p>
    <w:p>
      <w:pPr>
        <w:spacing w:after="0" w:line="233" w:lineRule="auto"/>
        <w:rPr>
          <w:sz w:val="20"/>
          <w:szCs w:val="20"/>
          <w:color w:val="auto"/>
        </w:rPr>
      </w:pPr>
      <w:r>
        <w:rPr>
          <w:rFonts w:ascii="Times New Roman" w:cs="Times New Roman" w:eastAsia="Times New Roman" w:hAnsi="Times New Roman"/>
          <w:sz w:val="14"/>
          <w:szCs w:val="14"/>
          <w:color w:val="auto"/>
        </w:rPr>
        <w:t>the regulatory environment is broadly similar to what applies</w:t>
      </w:r>
    </w:p>
    <w:p>
      <w:pPr>
        <w:spacing w:after="0" w:line="203" w:lineRule="auto"/>
        <w:rPr>
          <w:sz w:val="20"/>
          <w:szCs w:val="20"/>
          <w:color w:val="auto"/>
        </w:rPr>
      </w:pPr>
      <w:r>
        <w:rPr>
          <w:rFonts w:ascii="Times New Roman" w:cs="Times New Roman" w:eastAsia="Times New Roman" w:hAnsi="Times New Roman"/>
          <w:sz w:val="16"/>
          <w:szCs w:val="16"/>
          <w:color w:val="auto"/>
        </w:rPr>
        <w:t>in EU member states. Since Norway has adopted legislation</w:t>
      </w:r>
    </w:p>
    <w:p>
      <w:pPr>
        <w:spacing w:after="0" w:line="204" w:lineRule="auto"/>
        <w:rPr>
          <w:sz w:val="20"/>
          <w:szCs w:val="20"/>
          <w:color w:val="auto"/>
        </w:rPr>
      </w:pPr>
      <w:r>
        <w:rPr>
          <w:rFonts w:ascii="Times New Roman" w:cs="Times New Roman" w:eastAsia="Times New Roman" w:hAnsi="Times New Roman"/>
          <w:sz w:val="16"/>
          <w:szCs w:val="16"/>
          <w:color w:val="auto"/>
        </w:rPr>
        <w:t>mirroring the provisions of MiFID II and MIFIR, the</w:t>
      </w:r>
    </w:p>
    <w:p>
      <w:pPr>
        <w:spacing w:after="0" w:line="233" w:lineRule="auto"/>
        <w:rPr>
          <w:sz w:val="20"/>
          <w:szCs w:val="20"/>
          <w:color w:val="auto"/>
        </w:rPr>
      </w:pPr>
      <w:r>
        <w:rPr>
          <w:rFonts w:ascii="Times New Roman" w:cs="Times New Roman" w:eastAsia="Times New Roman" w:hAnsi="Times New Roman"/>
          <w:sz w:val="14"/>
          <w:szCs w:val="14"/>
          <w:color w:val="auto"/>
        </w:rPr>
        <w:t>regulatory environment in Norway is similar to Sweden. The</w:t>
      </w:r>
    </w:p>
    <w:p>
      <w:pPr>
        <w:spacing w:after="0" w:line="203" w:lineRule="auto"/>
        <w:rPr>
          <w:sz w:val="20"/>
          <w:szCs w:val="20"/>
          <w:color w:val="auto"/>
        </w:rPr>
      </w:pPr>
      <w:r>
        <w:rPr>
          <w:rFonts w:ascii="Times New Roman" w:cs="Times New Roman" w:eastAsia="Times New Roman" w:hAnsi="Times New Roman"/>
          <w:sz w:val="16"/>
          <w:szCs w:val="16"/>
          <w:color w:val="auto"/>
        </w:rPr>
        <w:t>Financial Supervisory Authority of Norway supervises the</w:t>
      </w:r>
    </w:p>
    <w:p>
      <w:pPr>
        <w:spacing w:after="0" w:line="204" w:lineRule="auto"/>
        <w:rPr>
          <w:sz w:val="20"/>
          <w:szCs w:val="20"/>
          <w:color w:val="auto"/>
        </w:rPr>
      </w:pPr>
      <w:r>
        <w:rPr>
          <w:rFonts w:ascii="Times New Roman" w:cs="Times New Roman" w:eastAsia="Times New Roman" w:hAnsi="Times New Roman"/>
          <w:sz w:val="16"/>
          <w:szCs w:val="16"/>
          <w:color w:val="auto"/>
        </w:rPr>
        <w:t>Norwegian exchange on an autonomous basis and the</w:t>
      </w:r>
    </w:p>
    <w:p>
      <w:pPr>
        <w:spacing w:after="0" w:line="232" w:lineRule="auto"/>
        <w:rPr>
          <w:sz w:val="20"/>
          <w:szCs w:val="20"/>
          <w:color w:val="auto"/>
        </w:rPr>
      </w:pPr>
      <w:r>
        <w:rPr>
          <w:rFonts w:ascii="Times New Roman" w:cs="Times New Roman" w:eastAsia="Times New Roman" w:hAnsi="Times New Roman"/>
          <w:sz w:val="14"/>
          <w:szCs w:val="14"/>
          <w:color w:val="auto"/>
        </w:rPr>
        <w:t>Norwegian exchange also has a separate market surveillance</w:t>
      </w:r>
    </w:p>
    <w:p>
      <w:pPr>
        <w:spacing w:after="0" w:line="204" w:lineRule="auto"/>
        <w:rPr>
          <w:sz w:val="20"/>
          <w:szCs w:val="20"/>
          <w:color w:val="auto"/>
        </w:rPr>
      </w:pPr>
      <w:r>
        <w:rPr>
          <w:rFonts w:ascii="Times New Roman" w:cs="Times New Roman" w:eastAsia="Times New Roman" w:hAnsi="Times New Roman"/>
          <w:sz w:val="16"/>
          <w:szCs w:val="16"/>
          <w:color w:val="auto"/>
        </w:rPr>
        <w:t>function overseen by the Financial Supervisory Authority.</w:t>
      </w:r>
    </w:p>
    <w:p>
      <w:pPr>
        <w:spacing w:after="0" w:line="203" w:lineRule="auto"/>
        <w:rPr>
          <w:sz w:val="20"/>
          <w:szCs w:val="20"/>
          <w:color w:val="auto"/>
        </w:rPr>
      </w:pPr>
      <w:r>
        <w:rPr>
          <w:rFonts w:ascii="Times New Roman" w:cs="Times New Roman" w:eastAsia="Times New Roman" w:hAnsi="Times New Roman"/>
          <w:sz w:val="16"/>
          <w:szCs w:val="16"/>
          <w:color w:val="auto"/>
        </w:rPr>
        <w:t>Following the sale and migration of the commodity</w:t>
      </w:r>
    </w:p>
    <w:p>
      <w:pPr>
        <w:spacing w:after="0" w:line="233" w:lineRule="auto"/>
        <w:rPr>
          <w:sz w:val="20"/>
          <w:szCs w:val="20"/>
          <w:color w:val="auto"/>
        </w:rPr>
      </w:pPr>
      <w:r>
        <w:rPr>
          <w:rFonts w:ascii="Times New Roman" w:cs="Times New Roman" w:eastAsia="Times New Roman" w:hAnsi="Times New Roman"/>
          <w:sz w:val="14"/>
          <w:szCs w:val="14"/>
          <w:color w:val="auto"/>
        </w:rPr>
        <w:t>derivatives business to Cassa Di Compensazione e Garanzia</w:t>
      </w:r>
    </w:p>
    <w:p>
      <w:pPr>
        <w:spacing w:after="0" w:line="233" w:lineRule="auto"/>
        <w:rPr>
          <w:sz w:val="20"/>
          <w:szCs w:val="20"/>
          <w:color w:val="auto"/>
        </w:rPr>
      </w:pPr>
      <w:r>
        <w:rPr>
          <w:rFonts w:ascii="Times New Roman" w:cs="Times New Roman" w:eastAsia="Times New Roman" w:hAnsi="Times New Roman"/>
          <w:sz w:val="14"/>
          <w:szCs w:val="14"/>
          <w:color w:val="auto"/>
        </w:rPr>
        <w:t>S.p.A. (Euronext Clearing), Nasdaq Oslo ASA is planning to</w:t>
      </w:r>
    </w:p>
    <w:p>
      <w:pPr>
        <w:spacing w:after="0" w:line="203" w:lineRule="auto"/>
        <w:rPr>
          <w:sz w:val="20"/>
          <w:szCs w:val="20"/>
          <w:color w:val="auto"/>
        </w:rPr>
      </w:pPr>
      <w:r>
        <w:rPr>
          <w:rFonts w:ascii="Times New Roman" w:cs="Times New Roman" w:eastAsia="Times New Roman" w:hAnsi="Times New Roman"/>
          <w:sz w:val="16"/>
          <w:szCs w:val="16"/>
          <w:color w:val="auto"/>
        </w:rPr>
        <w:t>wind down and cease operations in the second half of 2026.</w:t>
      </w:r>
    </w:p>
    <w:p>
      <w:pPr>
        <w:spacing w:after="0" w:line="233" w:lineRule="auto"/>
        <w:rPr>
          <w:sz w:val="20"/>
          <w:szCs w:val="20"/>
          <w:color w:val="auto"/>
        </w:rPr>
      </w:pPr>
      <w:r>
        <w:rPr>
          <w:rFonts w:ascii="Times New Roman" w:cs="Times New Roman" w:eastAsia="Times New Roman" w:hAnsi="Times New Roman"/>
          <w:sz w:val="14"/>
          <w:szCs w:val="14"/>
          <w:color w:val="auto"/>
        </w:rPr>
        <w:t>Once operations have ceased, the relevant licenses of Nasdaq</w:t>
      </w:r>
    </w:p>
    <w:p>
      <w:pPr>
        <w:spacing w:after="0" w:line="203" w:lineRule="auto"/>
        <w:rPr>
          <w:sz w:val="20"/>
          <w:szCs w:val="20"/>
          <w:color w:val="auto"/>
        </w:rPr>
      </w:pPr>
      <w:r>
        <w:rPr>
          <w:rFonts w:ascii="Times New Roman" w:cs="Times New Roman" w:eastAsia="Times New Roman" w:hAnsi="Times New Roman"/>
          <w:sz w:val="16"/>
          <w:szCs w:val="16"/>
          <w:color w:val="auto"/>
        </w:rPr>
        <w:t>Oslo ASA will be returned.</w:t>
      </w:r>
    </w:p>
    <w:p>
      <w:pPr>
        <w:spacing w:after="0" w:line="204" w:lineRule="auto"/>
        <w:rPr>
          <w:sz w:val="20"/>
          <w:szCs w:val="20"/>
          <w:color w:val="auto"/>
        </w:rPr>
      </w:pPr>
      <w:r>
        <w:rPr>
          <w:rFonts w:ascii="Times New Roman" w:cs="Times New Roman" w:eastAsia="Times New Roman" w:hAnsi="Times New Roman"/>
          <w:sz w:val="16"/>
          <w:szCs w:val="16"/>
          <w:color w:val="auto"/>
        </w:rPr>
        <w:t>Confidence in capital markets is paramount for trading to</w:t>
      </w:r>
    </w:p>
    <w:p>
      <w:pPr>
        <w:spacing w:after="0" w:line="204" w:lineRule="auto"/>
        <w:rPr>
          <w:sz w:val="20"/>
          <w:szCs w:val="20"/>
          <w:color w:val="auto"/>
        </w:rPr>
      </w:pPr>
      <w:r>
        <w:rPr>
          <w:rFonts w:ascii="Times New Roman" w:cs="Times New Roman" w:eastAsia="Times New Roman" w:hAnsi="Times New Roman"/>
          <w:sz w:val="16"/>
          <w:szCs w:val="16"/>
          <w:color w:val="auto"/>
        </w:rPr>
        <w:t>function properly. Nasdaq Nordic carries out market</w:t>
      </w:r>
    </w:p>
    <w:p>
      <w:pPr>
        <w:spacing w:after="0" w:line="232" w:lineRule="auto"/>
        <w:rPr>
          <w:sz w:val="20"/>
          <w:szCs w:val="20"/>
          <w:color w:val="auto"/>
        </w:rPr>
      </w:pPr>
      <w:r>
        <w:rPr>
          <w:rFonts w:ascii="Times New Roman" w:cs="Times New Roman" w:eastAsia="Times New Roman" w:hAnsi="Times New Roman"/>
          <w:sz w:val="14"/>
          <w:szCs w:val="14"/>
          <w:color w:val="auto"/>
        </w:rPr>
        <w:t>surveillance through an independent unit that is separate from</w:t>
      </w:r>
    </w:p>
    <w:p>
      <w:pPr>
        <w:spacing w:after="0" w:line="204" w:lineRule="auto"/>
        <w:rPr>
          <w:sz w:val="20"/>
          <w:szCs w:val="20"/>
          <w:color w:val="auto"/>
        </w:rPr>
      </w:pPr>
      <w:r>
        <w:rPr>
          <w:rFonts w:ascii="Times New Roman" w:cs="Times New Roman" w:eastAsia="Times New Roman" w:hAnsi="Times New Roman"/>
          <w:sz w:val="16"/>
          <w:szCs w:val="16"/>
          <w:color w:val="auto"/>
        </w:rPr>
        <w:t>the business operations. The surveillance work is</w:t>
      </w:r>
    </w:p>
    <w:p>
      <w:pPr>
        <w:spacing w:after="0" w:line="232" w:lineRule="auto"/>
        <w:rPr>
          <w:sz w:val="20"/>
          <w:szCs w:val="20"/>
          <w:color w:val="auto"/>
        </w:rPr>
      </w:pPr>
      <w:r>
        <w:rPr>
          <w:rFonts w:ascii="Times New Roman" w:cs="Times New Roman" w:eastAsia="Times New Roman" w:hAnsi="Times New Roman"/>
          <w:sz w:val="14"/>
          <w:szCs w:val="14"/>
          <w:color w:val="auto"/>
        </w:rPr>
        <w:t>conceptually organized into two functions: one for the review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admission of listing applications and surveillance</w:t>
      </w:r>
    </w:p>
    <w:p>
      <w:pPr>
        <w:sectPr>
          <w:pgSz w:w="11900" w:h="16840" w:orient="portrait"/>
          <w:cols w:equalWidth="0" w:num="1">
            <w:col w:w="9400"/>
          </w:cols>
          <w:pgMar w:left="1060" w:top="547" w:right="1440" w:bottom="20" w:gutter="0" w:footer="0" w:header="0"/>
        </w:sectPr>
      </w:pPr>
    </w:p>
    <w:bookmarkStart w:id="15" w:name="page16"/>
    <w:bookmarkEnd w:id="15"/>
    <w:p>
      <w:pPr>
        <w:ind w:left="10"/>
        <w:spacing w:after="0"/>
        <w:rPr>
          <w:sz w:val="20"/>
          <w:szCs w:val="20"/>
          <w:color w:val="auto"/>
        </w:rPr>
      </w:pPr>
      <w:r>
        <w:rPr>
          <w:rFonts w:ascii="Times New Roman" w:cs="Times New Roman" w:eastAsia="Times New Roman" w:hAnsi="Times New Roman"/>
          <w:sz w:val="16"/>
          <w:szCs w:val="16"/>
          <w:color w:val="auto"/>
        </w:rPr>
        <w:t>activities related to issuers (issuer surveillance) and one for</w:t>
      </w:r>
    </w:p>
    <w:p>
      <w:pPr>
        <w:ind w:left="10"/>
        <w:spacing w:after="0" w:line="203" w:lineRule="auto"/>
        <w:rPr>
          <w:sz w:val="20"/>
          <w:szCs w:val="20"/>
          <w:color w:val="auto"/>
        </w:rPr>
      </w:pPr>
      <w:r>
        <w:rPr>
          <w:rFonts w:ascii="Times New Roman" w:cs="Times New Roman" w:eastAsia="Times New Roman" w:hAnsi="Times New Roman"/>
          <w:sz w:val="16"/>
          <w:szCs w:val="16"/>
          <w:color w:val="auto"/>
        </w:rPr>
        <w:t>surveillance of trading (trading surveillance). The real-time</w:t>
      </w:r>
    </w:p>
    <w:p>
      <w:pPr>
        <w:ind w:left="10"/>
        <w:spacing w:after="0" w:line="204" w:lineRule="auto"/>
        <w:rPr>
          <w:sz w:val="20"/>
          <w:szCs w:val="20"/>
          <w:color w:val="auto"/>
        </w:rPr>
      </w:pPr>
      <w:r>
        <w:rPr>
          <w:rFonts w:ascii="Times New Roman" w:cs="Times New Roman" w:eastAsia="Times New Roman" w:hAnsi="Times New Roman"/>
          <w:sz w:val="16"/>
          <w:szCs w:val="16"/>
          <w:color w:val="auto"/>
        </w:rPr>
        <w:t>trading surveillance for the Finnish, Icelandic, Danish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Swedish markets has been centralized in Stockholm. In</w:t>
      </w:r>
    </w:p>
    <w:p>
      <w:pPr>
        <w:ind w:left="10"/>
        <w:spacing w:after="0" w:line="204" w:lineRule="auto"/>
        <w:rPr>
          <w:sz w:val="20"/>
          <w:szCs w:val="20"/>
          <w:color w:val="auto"/>
        </w:rPr>
      </w:pPr>
      <w:r>
        <w:rPr>
          <w:rFonts w:ascii="Times New Roman" w:cs="Times New Roman" w:eastAsia="Times New Roman" w:hAnsi="Times New Roman"/>
          <w:sz w:val="16"/>
          <w:szCs w:val="16"/>
          <w:color w:val="auto"/>
        </w:rPr>
        <w:t>addition, there are designated personnel who carry out</w:t>
      </w:r>
    </w:p>
    <w:p>
      <w:pPr>
        <w:ind w:left="10"/>
        <w:spacing w:after="0" w:line="203" w:lineRule="auto"/>
        <w:rPr>
          <w:sz w:val="20"/>
          <w:szCs w:val="20"/>
          <w:color w:val="auto"/>
        </w:rPr>
      </w:pPr>
      <w:r>
        <w:rPr>
          <w:rFonts w:ascii="Times New Roman" w:cs="Times New Roman" w:eastAsia="Times New Roman" w:hAnsi="Times New Roman"/>
          <w:sz w:val="16"/>
          <w:szCs w:val="16"/>
          <w:color w:val="auto"/>
        </w:rPr>
        <w:t>surveillance activities at Nasdaq Oslo and the three Baltic</w:t>
      </w:r>
    </w:p>
    <w:p>
      <w:pPr>
        <w:ind w:left="10"/>
        <w:spacing w:after="0" w:line="233" w:lineRule="auto"/>
        <w:rPr>
          <w:sz w:val="20"/>
          <w:szCs w:val="20"/>
          <w:color w:val="auto"/>
        </w:rPr>
      </w:pPr>
      <w:r>
        <w:rPr>
          <w:rFonts w:ascii="Times New Roman" w:cs="Times New Roman" w:eastAsia="Times New Roman" w:hAnsi="Times New Roman"/>
          <w:sz w:val="14"/>
          <w:szCs w:val="14"/>
          <w:color w:val="auto"/>
        </w:rPr>
        <w:t>exchanges. In Finland, Sweden and Estonia, decisions to list</w:t>
      </w:r>
    </w:p>
    <w:p>
      <w:pPr>
        <w:ind w:left="10"/>
        <w:spacing w:after="0" w:line="203" w:lineRule="auto"/>
        <w:rPr>
          <w:sz w:val="20"/>
          <w:szCs w:val="20"/>
          <w:color w:val="auto"/>
        </w:rPr>
      </w:pPr>
      <w:r>
        <w:rPr>
          <w:rFonts w:ascii="Times New Roman" w:cs="Times New Roman" w:eastAsia="Times New Roman" w:hAnsi="Times New Roman"/>
          <w:sz w:val="16"/>
          <w:szCs w:val="16"/>
          <w:color w:val="auto"/>
        </w:rPr>
        <w:t>new companies on the main market are made by listing</w:t>
      </w:r>
    </w:p>
    <w:p>
      <w:pPr>
        <w:ind w:left="10"/>
        <w:spacing w:after="0" w:line="204" w:lineRule="auto"/>
        <w:rPr>
          <w:sz w:val="20"/>
          <w:szCs w:val="20"/>
          <w:color w:val="auto"/>
        </w:rPr>
      </w:pPr>
      <w:r>
        <w:rPr>
          <w:rFonts w:ascii="Times New Roman" w:cs="Times New Roman" w:eastAsia="Times New Roman" w:hAnsi="Times New Roman"/>
          <w:sz w:val="16"/>
          <w:szCs w:val="16"/>
          <w:color w:val="auto"/>
        </w:rPr>
        <w:t>committees that have external members in addition to</w:t>
      </w:r>
    </w:p>
    <w:p>
      <w:pPr>
        <w:ind w:left="10"/>
        <w:spacing w:after="0" w:line="204" w:lineRule="auto"/>
        <w:rPr>
          <w:sz w:val="20"/>
          <w:szCs w:val="20"/>
          <w:color w:val="auto"/>
        </w:rPr>
      </w:pPr>
      <w:r>
        <w:rPr>
          <w:rFonts w:ascii="Times New Roman" w:cs="Times New Roman" w:eastAsia="Times New Roman" w:hAnsi="Times New Roman"/>
          <w:sz w:val="16"/>
          <w:szCs w:val="16"/>
          <w:color w:val="auto"/>
        </w:rPr>
        <w:t>members from each respective exchange and in the other</w:t>
      </w:r>
    </w:p>
    <w:p>
      <w:pPr>
        <w:ind w:left="10"/>
        <w:spacing w:after="0" w:line="203" w:lineRule="auto"/>
        <w:rPr>
          <w:sz w:val="20"/>
          <w:szCs w:val="20"/>
          <w:color w:val="auto"/>
        </w:rPr>
      </w:pPr>
      <w:r>
        <w:rPr>
          <w:rFonts w:ascii="Times New Roman" w:cs="Times New Roman" w:eastAsia="Times New Roman" w:hAnsi="Times New Roman"/>
          <w:sz w:val="16"/>
          <w:szCs w:val="16"/>
          <w:color w:val="auto"/>
        </w:rPr>
        <w:t>countries the decision is made either by the respective</w:t>
      </w:r>
    </w:p>
    <w:p>
      <w:pPr>
        <w:ind w:left="10"/>
        <w:spacing w:after="0" w:line="204" w:lineRule="auto"/>
        <w:rPr>
          <w:sz w:val="20"/>
          <w:szCs w:val="20"/>
          <w:color w:val="auto"/>
        </w:rPr>
      </w:pPr>
      <w:r>
        <w:rPr>
          <w:rFonts w:ascii="Times New Roman" w:cs="Times New Roman" w:eastAsia="Times New Roman" w:hAnsi="Times New Roman"/>
          <w:sz w:val="16"/>
          <w:szCs w:val="16"/>
          <w:color w:val="auto"/>
        </w:rPr>
        <w:t>president of the exchange or by the executive board.</w:t>
      </w:r>
    </w:p>
    <w:p>
      <w:pPr>
        <w:ind w:left="10"/>
        <w:spacing w:after="0" w:line="203" w:lineRule="auto"/>
        <w:rPr>
          <w:sz w:val="20"/>
          <w:szCs w:val="20"/>
          <w:color w:val="auto"/>
        </w:rPr>
      </w:pPr>
      <w:r>
        <w:rPr>
          <w:rFonts w:ascii="Times New Roman" w:cs="Times New Roman" w:eastAsia="Times New Roman" w:hAnsi="Times New Roman"/>
          <w:sz w:val="16"/>
          <w:szCs w:val="16"/>
          <w:color w:val="auto"/>
        </w:rPr>
        <w:t>If there is suspicion that a listed company or member has</w:t>
      </w:r>
    </w:p>
    <w:p>
      <w:pPr>
        <w:ind w:left="10"/>
        <w:spacing w:after="0" w:line="233" w:lineRule="auto"/>
        <w:rPr>
          <w:sz w:val="20"/>
          <w:szCs w:val="20"/>
          <w:color w:val="auto"/>
        </w:rPr>
      </w:pPr>
      <w:r>
        <w:rPr>
          <w:rFonts w:ascii="Times New Roman" w:cs="Times New Roman" w:eastAsia="Times New Roman" w:hAnsi="Times New Roman"/>
          <w:sz w:val="14"/>
          <w:szCs w:val="14"/>
          <w:color w:val="auto"/>
        </w:rPr>
        <w:t>acted in breach of exchange regulations, the matter is handled</w:t>
      </w:r>
    </w:p>
    <w:p>
      <w:pPr>
        <w:ind w:left="10"/>
        <w:spacing w:after="0" w:line="203" w:lineRule="auto"/>
        <w:rPr>
          <w:sz w:val="20"/>
          <w:szCs w:val="20"/>
          <w:color w:val="auto"/>
        </w:rPr>
      </w:pPr>
      <w:r>
        <w:rPr>
          <w:rFonts w:ascii="Times New Roman" w:cs="Times New Roman" w:eastAsia="Times New Roman" w:hAnsi="Times New Roman"/>
          <w:sz w:val="16"/>
          <w:szCs w:val="16"/>
          <w:color w:val="auto"/>
        </w:rPr>
        <w:t>by the respective surveillance department. Serious breaches</w:t>
      </w:r>
    </w:p>
    <w:p>
      <w:pPr>
        <w:ind w:left="10"/>
        <w:spacing w:after="0" w:line="204" w:lineRule="auto"/>
        <w:rPr>
          <w:sz w:val="20"/>
          <w:szCs w:val="20"/>
          <w:color w:val="auto"/>
        </w:rPr>
      </w:pPr>
      <w:r>
        <w:rPr>
          <w:rFonts w:ascii="Times New Roman" w:cs="Times New Roman" w:eastAsia="Times New Roman" w:hAnsi="Times New Roman"/>
          <w:sz w:val="16"/>
          <w:szCs w:val="16"/>
          <w:color w:val="auto"/>
        </w:rPr>
        <w:t>are considered by the respective disciplinary committee in</w:t>
      </w:r>
    </w:p>
    <w:p>
      <w:pPr>
        <w:ind w:left="10"/>
        <w:spacing w:after="0" w:line="204" w:lineRule="auto"/>
        <w:rPr>
          <w:sz w:val="20"/>
          <w:szCs w:val="20"/>
          <w:color w:val="auto"/>
        </w:rPr>
      </w:pPr>
      <w:r>
        <w:rPr>
          <w:rFonts w:ascii="Times New Roman" w:cs="Times New Roman" w:eastAsia="Times New Roman" w:hAnsi="Times New Roman"/>
          <w:sz w:val="16"/>
          <w:szCs w:val="16"/>
          <w:color w:val="auto"/>
        </w:rPr>
        <w:t>Denmark, Finland, Iceland, Sweden and Norway. Suspected</w:t>
      </w:r>
    </w:p>
    <w:p>
      <w:pPr>
        <w:ind w:left="10"/>
        <w:spacing w:after="0" w:line="232" w:lineRule="auto"/>
        <w:rPr>
          <w:sz w:val="20"/>
          <w:szCs w:val="20"/>
          <w:color w:val="auto"/>
        </w:rPr>
      </w:pPr>
      <w:r>
        <w:rPr>
          <w:rFonts w:ascii="Times New Roman" w:cs="Times New Roman" w:eastAsia="Times New Roman" w:hAnsi="Times New Roman"/>
          <w:sz w:val="14"/>
          <w:szCs w:val="14"/>
          <w:color w:val="auto"/>
        </w:rPr>
        <w:t>insider trading is reported to the appropriate authorities in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respective country.</w:t>
      </w:r>
    </w:p>
    <w:p>
      <w:pPr>
        <w:ind w:left="10"/>
        <w:spacing w:after="0" w:line="203" w:lineRule="auto"/>
        <w:rPr>
          <w:sz w:val="20"/>
          <w:szCs w:val="20"/>
          <w:color w:val="auto"/>
        </w:rPr>
      </w:pPr>
      <w:r>
        <w:rPr>
          <w:rFonts w:ascii="Times New Roman" w:cs="Times New Roman" w:eastAsia="Times New Roman" w:hAnsi="Times New Roman"/>
          <w:sz w:val="16"/>
          <w:szCs w:val="16"/>
          <w:color w:val="auto"/>
        </w:rPr>
        <w:t>In the United Kingdom, The Nasdaq Stock Market, Nasdaq</w:t>
      </w:r>
    </w:p>
    <w:p>
      <w:pPr>
        <w:ind w:left="10"/>
        <w:spacing w:after="0" w:line="233" w:lineRule="auto"/>
        <w:rPr>
          <w:sz w:val="20"/>
          <w:szCs w:val="20"/>
          <w:color w:val="auto"/>
        </w:rPr>
      </w:pPr>
      <w:r>
        <w:rPr>
          <w:rFonts w:ascii="Times New Roman" w:cs="Times New Roman" w:eastAsia="Times New Roman" w:hAnsi="Times New Roman"/>
          <w:sz w:val="14"/>
          <w:szCs w:val="14"/>
          <w:color w:val="auto"/>
        </w:rPr>
        <w:t>Oslo ASA, Nasdaq Stockholm AB, Nasdaq Copenhagen A/S,</w:t>
      </w:r>
    </w:p>
    <w:p>
      <w:pPr>
        <w:ind w:left="10"/>
        <w:spacing w:after="0" w:line="233" w:lineRule="auto"/>
        <w:rPr>
          <w:sz w:val="20"/>
          <w:szCs w:val="20"/>
          <w:color w:val="auto"/>
        </w:rPr>
      </w:pPr>
      <w:r>
        <w:rPr>
          <w:rFonts w:ascii="Times New Roman" w:cs="Times New Roman" w:eastAsia="Times New Roman" w:hAnsi="Times New Roman"/>
          <w:sz w:val="14"/>
          <w:szCs w:val="14"/>
          <w:color w:val="auto"/>
        </w:rPr>
        <w:t>and Nasdaq Helsinki Ltd are each subject to regulation by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Financial Conduct Authority as “Recognised Overseas</w:t>
      </w:r>
    </w:p>
    <w:p>
      <w:pPr>
        <w:ind w:left="10"/>
        <w:spacing w:after="0" w:line="204" w:lineRule="auto"/>
        <w:rPr>
          <w:sz w:val="20"/>
          <w:szCs w:val="20"/>
          <w:color w:val="auto"/>
        </w:rPr>
      </w:pPr>
      <w:r>
        <w:rPr>
          <w:rFonts w:ascii="Times New Roman" w:cs="Times New Roman" w:eastAsia="Times New Roman" w:hAnsi="Times New Roman"/>
          <w:sz w:val="16"/>
          <w:szCs w:val="16"/>
          <w:color w:val="auto"/>
        </w:rPr>
        <w:t>Investment Exchanges.” Nasdaq Clearing is registered as a</w:t>
      </w:r>
    </w:p>
    <w:p>
      <w:pPr>
        <w:ind w:left="10"/>
        <w:spacing w:after="0" w:line="203" w:lineRule="auto"/>
        <w:rPr>
          <w:sz w:val="20"/>
          <w:szCs w:val="20"/>
          <w:color w:val="auto"/>
        </w:rPr>
      </w:pPr>
      <w:r>
        <w:rPr>
          <w:rFonts w:ascii="Times New Roman" w:cs="Times New Roman" w:eastAsia="Times New Roman" w:hAnsi="Times New Roman"/>
          <w:sz w:val="16"/>
          <w:szCs w:val="16"/>
          <w:color w:val="auto"/>
        </w:rPr>
        <w:t>recognized third country CCP with the Bank of England</w:t>
      </w:r>
    </w:p>
    <w:p>
      <w:pPr>
        <w:ind w:left="10"/>
        <w:spacing w:after="0" w:line="204" w:lineRule="auto"/>
        <w:rPr>
          <w:sz w:val="20"/>
          <w:szCs w:val="20"/>
          <w:color w:val="auto"/>
        </w:rPr>
      </w:pPr>
      <w:r>
        <w:rPr>
          <w:rFonts w:ascii="Times New Roman" w:cs="Times New Roman" w:eastAsia="Times New Roman" w:hAnsi="Times New Roman"/>
          <w:sz w:val="16"/>
          <w:szCs w:val="16"/>
          <w:color w:val="auto"/>
        </w:rPr>
        <w:t>under the temporary recognition regime. The registration</w:t>
      </w:r>
    </w:p>
    <w:p>
      <w:pPr>
        <w:ind w:left="10"/>
        <w:spacing w:after="0" w:line="203" w:lineRule="auto"/>
        <w:rPr>
          <w:sz w:val="20"/>
          <w:szCs w:val="20"/>
          <w:color w:val="auto"/>
        </w:rPr>
      </w:pPr>
      <w:r>
        <w:rPr>
          <w:rFonts w:ascii="Times New Roman" w:cs="Times New Roman" w:eastAsia="Times New Roman" w:hAnsi="Times New Roman"/>
          <w:sz w:val="16"/>
          <w:szCs w:val="16"/>
          <w:color w:val="auto"/>
        </w:rPr>
        <w:t>became effective on December 31, 2020 and lasts until</w:t>
      </w:r>
    </w:p>
    <w:p>
      <w:pPr>
        <w:ind w:left="10"/>
        <w:spacing w:after="0" w:line="233" w:lineRule="auto"/>
        <w:rPr>
          <w:sz w:val="20"/>
          <w:szCs w:val="20"/>
          <w:color w:val="auto"/>
        </w:rPr>
      </w:pPr>
      <w:r>
        <w:rPr>
          <w:rFonts w:ascii="Times New Roman" w:cs="Times New Roman" w:eastAsia="Times New Roman" w:hAnsi="Times New Roman"/>
          <w:sz w:val="14"/>
          <w:szCs w:val="14"/>
          <w:color w:val="auto"/>
        </w:rPr>
        <w:t>December 31, 2026 (which may be extended further), during</w:t>
      </w:r>
    </w:p>
    <w:p>
      <w:pPr>
        <w:ind w:left="10"/>
        <w:spacing w:after="0" w:line="204" w:lineRule="auto"/>
        <w:rPr>
          <w:sz w:val="20"/>
          <w:szCs w:val="20"/>
          <w:color w:val="auto"/>
        </w:rPr>
      </w:pPr>
      <w:r>
        <w:rPr>
          <w:rFonts w:ascii="Times New Roman" w:cs="Times New Roman" w:eastAsia="Times New Roman" w:hAnsi="Times New Roman"/>
          <w:sz w:val="16"/>
          <w:szCs w:val="16"/>
          <w:color w:val="auto"/>
        </w:rPr>
        <w:t>which time Nasdaq Clearing may continue to act as a CCP</w:t>
      </w:r>
    </w:p>
    <w:p>
      <w:pPr>
        <w:ind w:left="10"/>
        <w:spacing w:after="0" w:line="203" w:lineRule="auto"/>
        <w:rPr>
          <w:sz w:val="20"/>
          <w:szCs w:val="20"/>
          <w:color w:val="auto"/>
        </w:rPr>
      </w:pPr>
      <w:r>
        <w:rPr>
          <w:rFonts w:ascii="Times New Roman" w:cs="Times New Roman" w:eastAsia="Times New Roman" w:hAnsi="Times New Roman"/>
          <w:sz w:val="16"/>
          <w:szCs w:val="16"/>
          <w:color w:val="auto"/>
        </w:rPr>
        <w:t>vis-a-vis UK members. Nasdaq Clearing has submitted its</w:t>
      </w:r>
    </w:p>
    <w:p>
      <w:pPr>
        <w:ind w:left="10"/>
        <w:spacing w:after="0" w:line="233" w:lineRule="auto"/>
        <w:rPr>
          <w:sz w:val="20"/>
          <w:szCs w:val="20"/>
          <w:color w:val="auto"/>
        </w:rPr>
      </w:pPr>
      <w:r>
        <w:rPr>
          <w:rFonts w:ascii="Times New Roman" w:cs="Times New Roman" w:eastAsia="Times New Roman" w:hAnsi="Times New Roman"/>
          <w:sz w:val="14"/>
          <w:szCs w:val="14"/>
          <w:color w:val="auto"/>
        </w:rPr>
        <w:t>application for permanent recognition and is awaiting further</w:t>
      </w:r>
    </w:p>
    <w:p>
      <w:pPr>
        <w:ind w:left="10"/>
        <w:spacing w:after="0" w:line="203" w:lineRule="auto"/>
        <w:rPr>
          <w:sz w:val="20"/>
          <w:szCs w:val="20"/>
          <w:color w:val="auto"/>
        </w:rPr>
      </w:pPr>
      <w:r>
        <w:rPr>
          <w:rFonts w:ascii="Times New Roman" w:cs="Times New Roman" w:eastAsia="Times New Roman" w:hAnsi="Times New Roman"/>
          <w:sz w:val="16"/>
          <w:szCs w:val="16"/>
          <w:color w:val="auto"/>
        </w:rPr>
        <w:t>information as to the process and timeline from the Bank of</w:t>
      </w:r>
    </w:p>
    <w:p>
      <w:pPr>
        <w:ind w:left="10"/>
        <w:spacing w:after="0" w:line="204" w:lineRule="auto"/>
        <w:rPr>
          <w:sz w:val="20"/>
          <w:szCs w:val="20"/>
          <w:color w:val="auto"/>
        </w:rPr>
      </w:pPr>
      <w:r>
        <w:rPr>
          <w:rFonts w:ascii="Times New Roman" w:cs="Times New Roman" w:eastAsia="Times New Roman" w:hAnsi="Times New Roman"/>
          <w:sz w:val="16"/>
          <w:szCs w:val="16"/>
          <w:color w:val="auto"/>
        </w:rPr>
        <w:t>England.</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HUMAN CAPITAL MANAGEMENT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Nasdaq has continued to strengthen our commitment to,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investment in, attracting, retaining, developing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motivating our employees during 2025.</w:t>
      </w:r>
    </w:p>
    <w:p>
      <w:pPr>
        <w:ind w:left="10"/>
        <w:spacing w:after="0" w:line="204" w:lineRule="auto"/>
        <w:rPr>
          <w:sz w:val="20"/>
          <w:szCs w:val="20"/>
          <w:color w:val="auto"/>
        </w:rPr>
      </w:pPr>
      <w:r>
        <w:rPr>
          <w:rFonts w:ascii="Times New Roman" w:cs="Times New Roman" w:eastAsia="Times New Roman" w:hAnsi="Times New Roman"/>
          <w:sz w:val="16"/>
          <w:szCs w:val="16"/>
          <w:color w:val="auto"/>
        </w:rPr>
        <w:t>We also continued our efforts to create an inclusive work</w:t>
      </w:r>
    </w:p>
    <w:p>
      <w:pPr>
        <w:ind w:left="10"/>
        <w:spacing w:after="0" w:line="203" w:lineRule="auto"/>
        <w:rPr>
          <w:sz w:val="20"/>
          <w:szCs w:val="20"/>
          <w:color w:val="auto"/>
        </w:rPr>
      </w:pPr>
      <w:r>
        <w:rPr>
          <w:rFonts w:ascii="Times New Roman" w:cs="Times New Roman" w:eastAsia="Times New Roman" w:hAnsi="Times New Roman"/>
          <w:sz w:val="16"/>
          <w:szCs w:val="16"/>
          <w:color w:val="auto"/>
        </w:rPr>
        <w:t>environment of equal opportunity, where employees feel</w:t>
      </w:r>
    </w:p>
    <w:p>
      <w:pPr>
        <w:ind w:left="10"/>
        <w:spacing w:after="0" w:line="204" w:lineRule="auto"/>
        <w:rPr>
          <w:sz w:val="20"/>
          <w:szCs w:val="20"/>
          <w:color w:val="auto"/>
        </w:rPr>
      </w:pPr>
      <w:r>
        <w:rPr>
          <w:rFonts w:ascii="Times New Roman" w:cs="Times New Roman" w:eastAsia="Times New Roman" w:hAnsi="Times New Roman"/>
          <w:sz w:val="16"/>
          <w:szCs w:val="16"/>
          <w:color w:val="auto"/>
        </w:rPr>
        <w:t>respected and valued for their contributions, and where</w:t>
      </w:r>
    </w:p>
    <w:p>
      <w:pPr>
        <w:ind w:left="10"/>
        <w:spacing w:after="0" w:line="203" w:lineRule="auto"/>
        <w:rPr>
          <w:sz w:val="20"/>
          <w:szCs w:val="20"/>
          <w:color w:val="auto"/>
        </w:rPr>
      </w:pPr>
      <w:r>
        <w:rPr>
          <w:rFonts w:ascii="Times New Roman" w:cs="Times New Roman" w:eastAsia="Times New Roman" w:hAnsi="Times New Roman"/>
          <w:sz w:val="16"/>
          <w:szCs w:val="16"/>
          <w:color w:val="auto"/>
        </w:rPr>
        <w:t>Nasdaq and its employees have opportunities to make</w:t>
      </w:r>
    </w:p>
    <w:p>
      <w:pPr>
        <w:ind w:left="10"/>
        <w:spacing w:after="0" w:line="204" w:lineRule="auto"/>
        <w:rPr>
          <w:sz w:val="20"/>
          <w:szCs w:val="20"/>
          <w:color w:val="auto"/>
        </w:rPr>
      </w:pPr>
      <w:r>
        <w:rPr>
          <w:rFonts w:ascii="Times New Roman" w:cs="Times New Roman" w:eastAsia="Times New Roman" w:hAnsi="Times New Roman"/>
          <w:sz w:val="16"/>
          <w:szCs w:val="16"/>
          <w:color w:val="auto"/>
        </w:rPr>
        <w:t>positive contributions to our local communities.</w:t>
      </w:r>
    </w:p>
    <w:p>
      <w:pPr>
        <w:ind w:left="10"/>
        <w:spacing w:after="0" w:line="203" w:lineRule="auto"/>
        <w:rPr>
          <w:sz w:val="20"/>
          <w:szCs w:val="20"/>
          <w:color w:val="auto"/>
        </w:rPr>
      </w:pPr>
      <w:r>
        <w:rPr>
          <w:rFonts w:ascii="Times New Roman" w:cs="Times New Roman" w:eastAsia="Times New Roman" w:hAnsi="Times New Roman"/>
          <w:sz w:val="16"/>
          <w:szCs w:val="16"/>
          <w:color w:val="auto"/>
        </w:rPr>
        <w:t>Additional information regarding our human capital</w:t>
      </w:r>
    </w:p>
    <w:p>
      <w:pPr>
        <w:ind w:left="10"/>
        <w:spacing w:after="0" w:line="204" w:lineRule="auto"/>
        <w:rPr>
          <w:sz w:val="20"/>
          <w:szCs w:val="20"/>
          <w:color w:val="auto"/>
        </w:rPr>
      </w:pPr>
      <w:r>
        <w:rPr>
          <w:rFonts w:ascii="Times New Roman" w:cs="Times New Roman" w:eastAsia="Times New Roman" w:hAnsi="Times New Roman"/>
          <w:sz w:val="16"/>
          <w:szCs w:val="16"/>
          <w:color w:val="auto"/>
        </w:rPr>
        <w:t>management matters can be found in our annual</w:t>
      </w:r>
    </w:p>
    <w:p>
      <w:pPr>
        <w:ind w:left="10"/>
        <w:spacing w:after="0" w:line="233" w:lineRule="auto"/>
        <w:rPr>
          <w:sz w:val="20"/>
          <w:szCs w:val="20"/>
          <w:color w:val="auto"/>
        </w:rPr>
      </w:pPr>
      <w:r>
        <w:rPr>
          <w:rFonts w:ascii="Times New Roman" w:cs="Times New Roman" w:eastAsia="Times New Roman" w:hAnsi="Times New Roman"/>
          <w:sz w:val="14"/>
          <w:szCs w:val="14"/>
          <w:color w:val="auto"/>
        </w:rPr>
        <w:t>Sustainability Report, which will be available on our website</w:t>
      </w:r>
    </w:p>
    <w:p>
      <w:pPr>
        <w:ind w:left="10"/>
        <w:spacing w:after="0" w:line="203" w:lineRule="auto"/>
        <w:rPr>
          <w:sz w:val="20"/>
          <w:szCs w:val="20"/>
          <w:color w:val="auto"/>
        </w:rPr>
      </w:pPr>
      <w:r>
        <w:rPr>
          <w:rFonts w:ascii="Times New Roman" w:cs="Times New Roman" w:eastAsia="Times New Roman" w:hAnsi="Times New Roman"/>
          <w:sz w:val="16"/>
          <w:szCs w:val="16"/>
          <w:color w:val="auto"/>
        </w:rPr>
        <w:t>later in 2026. Our Sustainability Report and other</w:t>
      </w:r>
    </w:p>
    <w:p>
      <w:pPr>
        <w:ind w:left="10"/>
        <w:spacing w:after="0" w:line="233" w:lineRule="auto"/>
        <w:rPr>
          <w:sz w:val="20"/>
          <w:szCs w:val="20"/>
          <w:color w:val="auto"/>
        </w:rPr>
      </w:pPr>
      <w:r>
        <w:rPr>
          <w:rFonts w:ascii="Times New Roman" w:cs="Times New Roman" w:eastAsia="Times New Roman" w:hAnsi="Times New Roman"/>
          <w:sz w:val="14"/>
          <w:szCs w:val="14"/>
          <w:color w:val="auto"/>
        </w:rPr>
        <w:t>information on our website are not incorporated by reference</w:t>
      </w:r>
    </w:p>
    <w:p>
      <w:pPr>
        <w:ind w:left="10"/>
        <w:spacing w:after="0"/>
        <w:rPr>
          <w:sz w:val="20"/>
          <w:szCs w:val="20"/>
          <w:color w:val="auto"/>
        </w:rPr>
      </w:pPr>
      <w:r>
        <w:rPr>
          <w:rFonts w:ascii="Times New Roman" w:cs="Times New Roman" w:eastAsia="Times New Roman" w:hAnsi="Times New Roman"/>
          <w:sz w:val="16"/>
          <w:szCs w:val="16"/>
          <w:color w:val="auto"/>
        </w:rPr>
        <w:t>into this Annual Report on Form 10-K.</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15</w:t>
      </w:r>
    </w:p>
    <w:p>
      <w:pPr>
        <w:ind w:left="10"/>
        <w:spacing w:after="0" w:line="203" w:lineRule="auto"/>
        <w:rPr>
          <w:sz w:val="20"/>
          <w:szCs w:val="20"/>
          <w:color w:val="auto"/>
        </w:rPr>
      </w:pPr>
      <w:r>
        <w:rPr>
          <w:rFonts w:ascii="Times New Roman" w:cs="Times New Roman" w:eastAsia="Times New Roman" w:hAnsi="Times New Roman"/>
          <w:sz w:val="16"/>
          <w:szCs w:val="16"/>
          <w:color w:val="auto"/>
        </w:rPr>
        <w:t>In 2025, our internal employee engagement score, based on</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biannual employee engagement surveys, which most</w:t>
      </w:r>
    </w:p>
    <w:p>
      <w:pPr>
        <w:ind w:left="10"/>
        <w:spacing w:after="0" w:line="232" w:lineRule="auto"/>
        <w:rPr>
          <w:sz w:val="20"/>
          <w:szCs w:val="20"/>
          <w:color w:val="auto"/>
        </w:rPr>
      </w:pPr>
      <w:r>
        <w:rPr>
          <w:rFonts w:ascii="Times New Roman" w:cs="Times New Roman" w:eastAsia="Times New Roman" w:hAnsi="Times New Roman"/>
          <w:sz w:val="14"/>
          <w:szCs w:val="14"/>
          <w:color w:val="auto"/>
        </w:rPr>
        <w:t>recently had a 94% participation rate, reached its record high</w:t>
      </w:r>
    </w:p>
    <w:p>
      <w:pPr>
        <w:ind w:left="10"/>
        <w:spacing w:after="0" w:line="204" w:lineRule="auto"/>
        <w:rPr>
          <w:sz w:val="20"/>
          <w:szCs w:val="20"/>
          <w:color w:val="auto"/>
        </w:rPr>
      </w:pPr>
      <w:r>
        <w:rPr>
          <w:rFonts w:ascii="Times New Roman" w:cs="Times New Roman" w:eastAsia="Times New Roman" w:hAnsi="Times New Roman"/>
          <w:sz w:val="16"/>
          <w:szCs w:val="16"/>
          <w:color w:val="auto"/>
        </w:rPr>
        <w:t>rating of 81% favorable, with 14% neutral, placing us in the</w:t>
      </w:r>
    </w:p>
    <w:p>
      <w:pPr>
        <w:ind w:left="10"/>
        <w:spacing w:after="0" w:line="232" w:lineRule="auto"/>
        <w:rPr>
          <w:sz w:val="20"/>
          <w:szCs w:val="20"/>
          <w:color w:val="auto"/>
        </w:rPr>
      </w:pPr>
      <w:r>
        <w:rPr>
          <w:rFonts w:ascii="Times New Roman" w:cs="Times New Roman" w:eastAsia="Times New Roman" w:hAnsi="Times New Roman"/>
          <w:sz w:val="14"/>
          <w:szCs w:val="14"/>
          <w:color w:val="auto"/>
        </w:rPr>
        <w:t>top 10% of tech companies, according to our survey provider.</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workforce voluntary attrition rate during 2025 was</w:t>
      </w:r>
    </w:p>
    <w:p>
      <w:pPr>
        <w:ind w:left="10"/>
        <w:spacing w:after="0" w:line="232" w:lineRule="auto"/>
        <w:rPr>
          <w:sz w:val="20"/>
          <w:szCs w:val="20"/>
          <w:color w:val="auto"/>
        </w:rPr>
      </w:pPr>
      <w:r>
        <w:rPr>
          <w:rFonts w:ascii="Times New Roman" w:cs="Times New Roman" w:eastAsia="Times New Roman" w:hAnsi="Times New Roman"/>
          <w:sz w:val="14"/>
          <w:szCs w:val="14"/>
          <w:color w:val="auto"/>
        </w:rPr>
        <w:t>approximately 5.6%, which was nearly one percentage point</w:t>
      </w:r>
    </w:p>
    <w:p>
      <w:pPr>
        <w:ind w:left="10"/>
        <w:spacing w:after="0" w:line="204" w:lineRule="auto"/>
        <w:rPr>
          <w:sz w:val="20"/>
          <w:szCs w:val="20"/>
          <w:color w:val="auto"/>
        </w:rPr>
      </w:pPr>
      <w:r>
        <w:rPr>
          <w:rFonts w:ascii="Times New Roman" w:cs="Times New Roman" w:eastAsia="Times New Roman" w:hAnsi="Times New Roman"/>
          <w:sz w:val="16"/>
          <w:szCs w:val="16"/>
          <w:color w:val="auto"/>
        </w:rPr>
        <w:t>lower than 2024.</w:t>
      </w:r>
    </w:p>
    <w:p>
      <w:pPr>
        <w:ind w:left="10"/>
        <w:spacing w:after="0" w:line="233" w:lineRule="auto"/>
        <w:rPr>
          <w:sz w:val="20"/>
          <w:szCs w:val="20"/>
          <w:color w:val="auto"/>
        </w:rPr>
      </w:pPr>
      <w:r>
        <w:rPr>
          <w:rFonts w:ascii="Times New Roman" w:cs="Times New Roman" w:eastAsia="Times New Roman" w:hAnsi="Times New Roman"/>
          <w:sz w:val="14"/>
          <w:szCs w:val="14"/>
          <w:color w:val="auto"/>
        </w:rPr>
        <w:t>We expanded our leadership development offerings in 2025,</w:t>
      </w:r>
    </w:p>
    <w:p>
      <w:pPr>
        <w:ind w:left="10"/>
        <w:spacing w:after="0" w:line="203" w:lineRule="auto"/>
        <w:rPr>
          <w:sz w:val="20"/>
          <w:szCs w:val="20"/>
          <w:color w:val="auto"/>
        </w:rPr>
      </w:pPr>
      <w:r>
        <w:rPr>
          <w:rFonts w:ascii="Times New Roman" w:cs="Times New Roman" w:eastAsia="Times New Roman" w:hAnsi="Times New Roman"/>
          <w:sz w:val="16"/>
          <w:szCs w:val="16"/>
          <w:color w:val="auto"/>
        </w:rPr>
        <w:t>launching the “Elevate: Empowering Leaders. Driving</w:t>
      </w:r>
    </w:p>
    <w:p>
      <w:pPr>
        <w:ind w:left="10"/>
        <w:spacing w:after="0" w:line="233" w:lineRule="auto"/>
        <w:rPr>
          <w:sz w:val="20"/>
          <w:szCs w:val="20"/>
          <w:color w:val="auto"/>
        </w:rPr>
      </w:pPr>
      <w:r>
        <w:rPr>
          <w:rFonts w:ascii="Times New Roman" w:cs="Times New Roman" w:eastAsia="Times New Roman" w:hAnsi="Times New Roman"/>
          <w:sz w:val="14"/>
          <w:szCs w:val="14"/>
          <w:color w:val="auto"/>
        </w:rPr>
        <w:t>Impact” strategy and piloting new programs for aspiring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current managers across multiple regions. Our formal</w:t>
      </w:r>
    </w:p>
    <w:p>
      <w:pPr>
        <w:ind w:left="10"/>
        <w:spacing w:after="0" w:line="204" w:lineRule="auto"/>
        <w:rPr>
          <w:sz w:val="20"/>
          <w:szCs w:val="20"/>
          <w:color w:val="auto"/>
        </w:rPr>
      </w:pPr>
      <w:r>
        <w:rPr>
          <w:rFonts w:ascii="Times New Roman" w:cs="Times New Roman" w:eastAsia="Times New Roman" w:hAnsi="Times New Roman"/>
          <w:sz w:val="16"/>
          <w:szCs w:val="16"/>
          <w:color w:val="auto"/>
        </w:rPr>
        <w:t>leadership curriculum was complemented by peer coaching</w:t>
      </w:r>
    </w:p>
    <w:p>
      <w:pPr>
        <w:ind w:left="10"/>
        <w:spacing w:after="0" w:line="203" w:lineRule="auto"/>
        <w:rPr>
          <w:sz w:val="20"/>
          <w:szCs w:val="20"/>
          <w:color w:val="auto"/>
        </w:rPr>
      </w:pPr>
      <w:r>
        <w:rPr>
          <w:rFonts w:ascii="Times New Roman" w:cs="Times New Roman" w:eastAsia="Times New Roman" w:hAnsi="Times New Roman"/>
          <w:sz w:val="16"/>
          <w:szCs w:val="16"/>
          <w:color w:val="auto"/>
        </w:rPr>
        <w:t>circles, executive coaching, and the continued Manager</w:t>
      </w:r>
    </w:p>
    <w:p>
      <w:pPr>
        <w:ind w:left="10"/>
        <w:spacing w:after="0" w:line="204" w:lineRule="auto"/>
        <w:rPr>
          <w:sz w:val="20"/>
          <w:szCs w:val="20"/>
          <w:color w:val="auto"/>
        </w:rPr>
      </w:pPr>
      <w:r>
        <w:rPr>
          <w:rFonts w:ascii="Times New Roman" w:cs="Times New Roman" w:eastAsia="Times New Roman" w:hAnsi="Times New Roman"/>
          <w:sz w:val="16"/>
          <w:szCs w:val="16"/>
          <w:color w:val="auto"/>
        </w:rPr>
        <w:t>Forum series, facilitated by our Chair and CEO and other</w:t>
      </w:r>
    </w:p>
    <w:p>
      <w:pPr>
        <w:ind w:left="10"/>
        <w:spacing w:after="0" w:line="204" w:lineRule="auto"/>
        <w:rPr>
          <w:sz w:val="20"/>
          <w:szCs w:val="20"/>
          <w:color w:val="auto"/>
        </w:rPr>
      </w:pPr>
      <w:r>
        <w:rPr>
          <w:rFonts w:ascii="Times New Roman" w:cs="Times New Roman" w:eastAsia="Times New Roman" w:hAnsi="Times New Roman"/>
          <w:sz w:val="16"/>
          <w:szCs w:val="16"/>
          <w:color w:val="auto"/>
        </w:rPr>
        <w:t>senior leaders. In June 2025, we launched the “Accelerating</w:t>
      </w:r>
    </w:p>
    <w:p>
      <w:pPr>
        <w:ind w:left="10"/>
        <w:spacing w:after="0" w:line="232" w:lineRule="auto"/>
        <w:rPr>
          <w:sz w:val="20"/>
          <w:szCs w:val="20"/>
          <w:color w:val="auto"/>
        </w:rPr>
      </w:pPr>
      <w:r>
        <w:rPr>
          <w:rFonts w:ascii="Times New Roman" w:cs="Times New Roman" w:eastAsia="Times New Roman" w:hAnsi="Times New Roman"/>
          <w:sz w:val="14"/>
          <w:szCs w:val="14"/>
          <w:color w:val="auto"/>
        </w:rPr>
        <w:t>Manager Potential” program to drive management excellence</w:t>
      </w:r>
    </w:p>
    <w:p>
      <w:pPr>
        <w:ind w:left="10"/>
        <w:spacing w:after="0" w:line="204" w:lineRule="auto"/>
        <w:rPr>
          <w:sz w:val="20"/>
          <w:szCs w:val="20"/>
          <w:color w:val="auto"/>
        </w:rPr>
      </w:pPr>
      <w:r>
        <w:rPr>
          <w:rFonts w:ascii="Times New Roman" w:cs="Times New Roman" w:eastAsia="Times New Roman" w:hAnsi="Times New Roman"/>
          <w:sz w:val="16"/>
          <w:szCs w:val="16"/>
          <w:color w:val="auto"/>
        </w:rPr>
        <w:t>throughout our leadership ranks. More than half of all</w:t>
      </w:r>
    </w:p>
    <w:p>
      <w:pPr>
        <w:ind w:left="10"/>
        <w:spacing w:after="0" w:line="203" w:lineRule="auto"/>
        <w:rPr>
          <w:sz w:val="20"/>
          <w:szCs w:val="20"/>
          <w:color w:val="auto"/>
        </w:rPr>
      </w:pPr>
      <w:r>
        <w:rPr>
          <w:rFonts w:ascii="Times New Roman" w:cs="Times New Roman" w:eastAsia="Times New Roman" w:hAnsi="Times New Roman"/>
          <w:sz w:val="16"/>
          <w:szCs w:val="16"/>
          <w:color w:val="auto"/>
        </w:rPr>
        <w:t>managers attended the program in 2025, with the remainder</w:t>
      </w:r>
    </w:p>
    <w:p>
      <w:pPr>
        <w:ind w:left="10"/>
        <w:spacing w:after="0" w:line="204" w:lineRule="auto"/>
        <w:rPr>
          <w:sz w:val="20"/>
          <w:szCs w:val="20"/>
          <w:color w:val="auto"/>
        </w:rPr>
      </w:pPr>
      <w:r>
        <w:rPr>
          <w:rFonts w:ascii="Times New Roman" w:cs="Times New Roman" w:eastAsia="Times New Roman" w:hAnsi="Times New Roman"/>
          <w:sz w:val="16"/>
          <w:szCs w:val="16"/>
          <w:color w:val="auto"/>
        </w:rPr>
        <w:t>expected to complete the program in the first half of 2026.</w:t>
      </w:r>
    </w:p>
    <w:p>
      <w:pPr>
        <w:ind w:left="10"/>
        <w:spacing w:after="0" w:line="203" w:lineRule="auto"/>
        <w:rPr>
          <w:sz w:val="20"/>
          <w:szCs w:val="20"/>
          <w:color w:val="auto"/>
        </w:rPr>
      </w:pPr>
      <w:r>
        <w:rPr>
          <w:rFonts w:ascii="Times New Roman" w:cs="Times New Roman" w:eastAsia="Times New Roman" w:hAnsi="Times New Roman"/>
          <w:sz w:val="16"/>
          <w:szCs w:val="16"/>
          <w:color w:val="auto"/>
        </w:rPr>
        <w:t>Nasdaq accelerated its adoption of AI and digital tools in</w:t>
      </w:r>
    </w:p>
    <w:p>
      <w:pPr>
        <w:ind w:left="10"/>
        <w:spacing w:after="0" w:line="204" w:lineRule="auto"/>
        <w:rPr>
          <w:sz w:val="20"/>
          <w:szCs w:val="20"/>
          <w:color w:val="auto"/>
        </w:rPr>
      </w:pPr>
      <w:r>
        <w:rPr>
          <w:rFonts w:ascii="Times New Roman" w:cs="Times New Roman" w:eastAsia="Times New Roman" w:hAnsi="Times New Roman"/>
          <w:sz w:val="16"/>
          <w:szCs w:val="16"/>
          <w:color w:val="auto"/>
        </w:rPr>
        <w:t>2025. We facilitated workshops, piloted AI-powered agent</w:t>
      </w:r>
    </w:p>
    <w:p>
      <w:pPr>
        <w:ind w:left="10"/>
        <w:spacing w:after="0" w:line="203" w:lineRule="auto"/>
        <w:rPr>
          <w:sz w:val="20"/>
          <w:szCs w:val="20"/>
          <w:color w:val="auto"/>
        </w:rPr>
      </w:pPr>
      <w:r>
        <w:rPr>
          <w:rFonts w:ascii="Times New Roman" w:cs="Times New Roman" w:eastAsia="Times New Roman" w:hAnsi="Times New Roman"/>
          <w:sz w:val="16"/>
          <w:szCs w:val="16"/>
          <w:color w:val="auto"/>
        </w:rPr>
        <w:t>solutions, and established our “AI Champions” community.</w:t>
      </w:r>
    </w:p>
    <w:p>
      <w:pPr>
        <w:ind w:left="10"/>
        <w:spacing w:after="0" w:line="233" w:lineRule="auto"/>
        <w:rPr>
          <w:sz w:val="20"/>
          <w:szCs w:val="20"/>
          <w:color w:val="auto"/>
        </w:rPr>
      </w:pPr>
      <w:r>
        <w:rPr>
          <w:rFonts w:ascii="Times New Roman" w:cs="Times New Roman" w:eastAsia="Times New Roman" w:hAnsi="Times New Roman"/>
          <w:sz w:val="14"/>
          <w:szCs w:val="14"/>
          <w:color w:val="auto"/>
        </w:rPr>
        <w:t>These efforts further embedded digital skills into our culture</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operations, with a significant portion of employees</w:t>
      </w:r>
    </w:p>
    <w:p>
      <w:pPr>
        <w:ind w:left="10"/>
        <w:spacing w:after="0" w:line="203" w:lineRule="auto"/>
        <w:rPr>
          <w:sz w:val="20"/>
          <w:szCs w:val="20"/>
          <w:color w:val="auto"/>
        </w:rPr>
      </w:pPr>
      <w:r>
        <w:rPr>
          <w:rFonts w:ascii="Times New Roman" w:cs="Times New Roman" w:eastAsia="Times New Roman" w:hAnsi="Times New Roman"/>
          <w:sz w:val="16"/>
          <w:szCs w:val="16"/>
          <w:color w:val="auto"/>
        </w:rPr>
        <w:t>participating in AI training and enablement programs.</w:t>
      </w:r>
    </w:p>
    <w:p>
      <w:pPr>
        <w:ind w:left="10"/>
        <w:spacing w:after="0" w:line="233" w:lineRule="auto"/>
        <w:rPr>
          <w:sz w:val="20"/>
          <w:szCs w:val="20"/>
          <w:color w:val="auto"/>
        </w:rPr>
      </w:pPr>
      <w:r>
        <w:rPr>
          <w:rFonts w:ascii="Times New Roman" w:cs="Times New Roman" w:eastAsia="Times New Roman" w:hAnsi="Times New Roman"/>
          <w:sz w:val="14"/>
          <w:szCs w:val="14"/>
          <w:color w:val="auto"/>
        </w:rPr>
        <w:t>We maintained our commitment to professional development</w:t>
      </w:r>
    </w:p>
    <w:p>
      <w:pPr>
        <w:ind w:left="10"/>
        <w:spacing w:after="0" w:line="203" w:lineRule="auto"/>
        <w:rPr>
          <w:sz w:val="20"/>
          <w:szCs w:val="20"/>
          <w:color w:val="auto"/>
        </w:rPr>
      </w:pPr>
      <w:r>
        <w:rPr>
          <w:rFonts w:ascii="Times New Roman" w:cs="Times New Roman" w:eastAsia="Times New Roman" w:hAnsi="Times New Roman"/>
          <w:sz w:val="16"/>
          <w:szCs w:val="16"/>
          <w:color w:val="auto"/>
        </w:rPr>
        <w:t>by offering access to a wide range of learning opportunities,</w:t>
      </w:r>
    </w:p>
    <w:p>
      <w:pPr>
        <w:ind w:left="10"/>
        <w:spacing w:after="0" w:line="204" w:lineRule="auto"/>
        <w:rPr>
          <w:sz w:val="20"/>
          <w:szCs w:val="20"/>
          <w:color w:val="auto"/>
        </w:rPr>
      </w:pPr>
      <w:r>
        <w:rPr>
          <w:rFonts w:ascii="Times New Roman" w:cs="Times New Roman" w:eastAsia="Times New Roman" w:hAnsi="Times New Roman"/>
          <w:sz w:val="16"/>
          <w:szCs w:val="16"/>
          <w:color w:val="auto"/>
        </w:rPr>
        <w:t>including access to multiple eLearning platforms, tuition</w:t>
      </w:r>
    </w:p>
    <w:p>
      <w:pPr>
        <w:ind w:left="10"/>
        <w:spacing w:after="0" w:line="204" w:lineRule="auto"/>
        <w:rPr>
          <w:sz w:val="20"/>
          <w:szCs w:val="20"/>
          <w:color w:val="auto"/>
        </w:rPr>
      </w:pPr>
      <w:r>
        <w:rPr>
          <w:rFonts w:ascii="Times New Roman" w:cs="Times New Roman" w:eastAsia="Times New Roman" w:hAnsi="Times New Roman"/>
          <w:sz w:val="16"/>
          <w:szCs w:val="16"/>
          <w:color w:val="auto"/>
        </w:rPr>
        <w:t>assistance, external training sponsorship and mentoring</w:t>
      </w:r>
    </w:p>
    <w:p>
      <w:pPr>
        <w:ind w:left="10"/>
        <w:spacing w:after="0" w:line="203" w:lineRule="auto"/>
        <w:rPr>
          <w:sz w:val="20"/>
          <w:szCs w:val="20"/>
          <w:color w:val="auto"/>
        </w:rPr>
      </w:pPr>
      <w:r>
        <w:rPr>
          <w:rFonts w:ascii="Times New Roman" w:cs="Times New Roman" w:eastAsia="Times New Roman" w:hAnsi="Times New Roman"/>
          <w:sz w:val="16"/>
          <w:szCs w:val="16"/>
          <w:color w:val="auto"/>
        </w:rPr>
        <w:t>programs. Our AI-driven Career Hub continued to match</w:t>
      </w:r>
    </w:p>
    <w:p>
      <w:pPr>
        <w:ind w:left="10"/>
        <w:spacing w:after="0" w:line="204" w:lineRule="auto"/>
        <w:rPr>
          <w:sz w:val="20"/>
          <w:szCs w:val="20"/>
          <w:color w:val="auto"/>
        </w:rPr>
      </w:pPr>
      <w:r>
        <w:rPr>
          <w:rFonts w:ascii="Times New Roman" w:cs="Times New Roman" w:eastAsia="Times New Roman" w:hAnsi="Times New Roman"/>
          <w:sz w:val="16"/>
          <w:szCs w:val="16"/>
          <w:color w:val="auto"/>
        </w:rPr>
        <w:t>employees to internal training, mentors, projects, and roles,</w:t>
      </w:r>
    </w:p>
    <w:p>
      <w:pPr>
        <w:ind w:left="10"/>
        <w:spacing w:after="0" w:line="203" w:lineRule="auto"/>
        <w:rPr>
          <w:sz w:val="20"/>
          <w:szCs w:val="20"/>
          <w:color w:val="auto"/>
        </w:rPr>
      </w:pPr>
      <w:r>
        <w:rPr>
          <w:rFonts w:ascii="Times New Roman" w:cs="Times New Roman" w:eastAsia="Times New Roman" w:hAnsi="Times New Roman"/>
          <w:sz w:val="16"/>
          <w:szCs w:val="16"/>
          <w:color w:val="auto"/>
        </w:rPr>
        <w:t>supporting career satisfaction and internal mobility.</w:t>
      </w:r>
    </w:p>
    <w:p>
      <w:pPr>
        <w:ind w:left="10"/>
        <w:spacing w:after="0" w:line="204" w:lineRule="auto"/>
        <w:rPr>
          <w:sz w:val="20"/>
          <w:szCs w:val="20"/>
          <w:color w:val="auto"/>
        </w:rPr>
      </w:pPr>
      <w:r>
        <w:rPr>
          <w:rFonts w:ascii="Times New Roman" w:cs="Times New Roman" w:eastAsia="Times New Roman" w:hAnsi="Times New Roman"/>
          <w:sz w:val="16"/>
          <w:szCs w:val="16"/>
          <w:color w:val="auto"/>
        </w:rPr>
        <w:t>To reward our employees at various stages of their tenure</w:t>
      </w:r>
    </w:p>
    <w:p>
      <w:pPr>
        <w:ind w:left="10"/>
        <w:spacing w:after="0" w:line="203" w:lineRule="auto"/>
        <w:rPr>
          <w:sz w:val="20"/>
          <w:szCs w:val="20"/>
          <w:color w:val="auto"/>
        </w:rPr>
      </w:pPr>
      <w:r>
        <w:rPr>
          <w:rFonts w:ascii="Times New Roman" w:cs="Times New Roman" w:eastAsia="Times New Roman" w:hAnsi="Times New Roman"/>
          <w:sz w:val="16"/>
          <w:szCs w:val="16"/>
          <w:color w:val="auto"/>
        </w:rPr>
        <w:t>with Nasdaq, we continued our anniversary recognition</w:t>
      </w:r>
    </w:p>
    <w:p>
      <w:pPr>
        <w:ind w:left="10"/>
        <w:spacing w:after="0" w:line="204" w:lineRule="auto"/>
        <w:rPr>
          <w:sz w:val="20"/>
          <w:szCs w:val="20"/>
          <w:color w:val="auto"/>
        </w:rPr>
      </w:pPr>
      <w:r>
        <w:rPr>
          <w:rFonts w:ascii="Times New Roman" w:cs="Times New Roman" w:eastAsia="Times New Roman" w:hAnsi="Times New Roman"/>
          <w:sz w:val="16"/>
          <w:szCs w:val="16"/>
          <w:color w:val="auto"/>
        </w:rPr>
        <w:t>program that, for major milestones, recognition on our</w:t>
      </w:r>
    </w:p>
    <w:p>
      <w:pPr>
        <w:ind w:left="10"/>
        <w:spacing w:after="0" w:line="203" w:lineRule="auto"/>
        <w:rPr>
          <w:sz w:val="20"/>
          <w:szCs w:val="20"/>
          <w:color w:val="auto"/>
        </w:rPr>
      </w:pPr>
      <w:r>
        <w:rPr>
          <w:rFonts w:ascii="Times New Roman" w:cs="Times New Roman" w:eastAsia="Times New Roman" w:hAnsi="Times New Roman"/>
          <w:sz w:val="16"/>
          <w:szCs w:val="16"/>
          <w:color w:val="auto"/>
        </w:rPr>
        <w:t>Nasdaq Tower in Times Square. Additionally, our peer-to-</w:t>
      </w:r>
    </w:p>
    <w:p>
      <w:pPr>
        <w:ind w:left="10"/>
        <w:spacing w:after="0" w:line="204" w:lineRule="auto"/>
        <w:rPr>
          <w:sz w:val="20"/>
          <w:szCs w:val="20"/>
          <w:color w:val="auto"/>
        </w:rPr>
      </w:pPr>
      <w:r>
        <w:rPr>
          <w:rFonts w:ascii="Times New Roman" w:cs="Times New Roman" w:eastAsia="Times New Roman" w:hAnsi="Times New Roman"/>
          <w:sz w:val="16"/>
          <w:szCs w:val="16"/>
          <w:color w:val="auto"/>
        </w:rPr>
        <w:t>peer employee recognition program rewards employees and</w:t>
      </w:r>
    </w:p>
    <w:p>
      <w:pPr>
        <w:ind w:left="10"/>
        <w:spacing w:after="0" w:line="233" w:lineRule="auto"/>
        <w:rPr>
          <w:sz w:val="20"/>
          <w:szCs w:val="20"/>
          <w:color w:val="auto"/>
        </w:rPr>
      </w:pPr>
      <w:r>
        <w:rPr>
          <w:rFonts w:ascii="Times New Roman" w:cs="Times New Roman" w:eastAsia="Times New Roman" w:hAnsi="Times New Roman"/>
          <w:sz w:val="14"/>
          <w:szCs w:val="14"/>
          <w:color w:val="auto"/>
        </w:rPr>
        <w:t>highlights recognized employees on our internal social media</w:t>
      </w:r>
    </w:p>
    <w:p>
      <w:pPr>
        <w:ind w:left="10"/>
        <w:spacing w:after="0" w:line="203" w:lineRule="auto"/>
        <w:rPr>
          <w:sz w:val="20"/>
          <w:szCs w:val="20"/>
          <w:color w:val="auto"/>
        </w:rPr>
      </w:pPr>
      <w:r>
        <w:rPr>
          <w:rFonts w:ascii="Times New Roman" w:cs="Times New Roman" w:eastAsia="Times New Roman" w:hAnsi="Times New Roman"/>
          <w:sz w:val="16"/>
          <w:szCs w:val="16"/>
          <w:color w:val="auto"/>
        </w:rPr>
        <w:t>channels, further amplifying the recognition.</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Our Employee Culture</w:t>
      </w:r>
    </w:p>
    <w:p>
      <w:pPr>
        <w:ind w:left="10"/>
        <w:spacing w:after="0" w:line="203" w:lineRule="auto"/>
        <w:rPr>
          <w:sz w:val="20"/>
          <w:szCs w:val="20"/>
          <w:color w:val="auto"/>
        </w:rPr>
      </w:pPr>
      <w:r>
        <w:rPr>
          <w:rFonts w:ascii="Times New Roman" w:cs="Times New Roman" w:eastAsia="Times New Roman" w:hAnsi="Times New Roman"/>
          <w:sz w:val="16"/>
          <w:szCs w:val="16"/>
          <w:color w:val="auto"/>
        </w:rPr>
        <w:t>At Nasdaq, three pillars guide our employee culture:</w:t>
      </w:r>
    </w:p>
    <w:p>
      <w:pPr>
        <w:ind w:left="10"/>
        <w:spacing w:after="0" w:line="204" w:lineRule="auto"/>
        <w:rPr>
          <w:sz w:val="20"/>
          <w:szCs w:val="20"/>
          <w:color w:val="auto"/>
        </w:rPr>
      </w:pPr>
      <w:r>
        <w:rPr>
          <w:rFonts w:ascii="Times New Roman" w:cs="Times New Roman" w:eastAsia="Times New Roman" w:hAnsi="Times New Roman"/>
          <w:sz w:val="16"/>
          <w:szCs w:val="16"/>
          <w:i w:val="1"/>
          <w:iCs w:val="1"/>
          <w:color w:val="auto"/>
        </w:rPr>
        <w:t>Employee Experience, Cultural Alignment, and Business</w:t>
      </w:r>
    </w:p>
    <w:p>
      <w:pPr>
        <w:ind w:left="10"/>
        <w:spacing w:after="0" w:line="203" w:lineRule="auto"/>
        <w:rPr>
          <w:sz w:val="20"/>
          <w:szCs w:val="20"/>
          <w:color w:val="auto"/>
        </w:rPr>
      </w:pPr>
      <w:r>
        <w:rPr>
          <w:rFonts w:ascii="Times New Roman" w:cs="Times New Roman" w:eastAsia="Times New Roman" w:hAnsi="Times New Roman"/>
          <w:sz w:val="16"/>
          <w:szCs w:val="16"/>
          <w:i w:val="1"/>
          <w:iCs w:val="1"/>
          <w:color w:val="auto"/>
        </w:rPr>
        <w:t>Integration.</w:t>
      </w:r>
    </w:p>
    <w:p>
      <w:pPr>
        <w:spacing w:after="0" w:line="1" w:lineRule="exact"/>
        <w:rPr>
          <w:sz w:val="20"/>
          <w:szCs w:val="20"/>
          <w:color w:val="auto"/>
        </w:rPr>
      </w:pPr>
    </w:p>
    <w:p>
      <w:pPr>
        <w:ind w:left="10" w:right="5560" w:hanging="10"/>
        <w:spacing w:after="0" w:line="232" w:lineRule="auto"/>
        <w:tabs>
          <w:tab w:leader="none" w:pos="1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Employee Experience</w:t>
      </w:r>
      <w:r>
        <w:rPr>
          <w:rFonts w:ascii="Times New Roman" w:cs="Times New Roman" w:eastAsia="Times New Roman" w:hAnsi="Times New Roman"/>
          <w:sz w:val="14"/>
          <w:szCs w:val="14"/>
          <w:color w:val="auto"/>
        </w:rPr>
        <w:t>: We strive to ensure every team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member has access to tools, support, and development so they can perform at their best. Our focus is on creating a consistent experience rooted in transparency and opportunity.</w:t>
      </w:r>
    </w:p>
    <w:p>
      <w:pPr>
        <w:spacing w:after="0" w:line="1" w:lineRule="exact"/>
        <w:rPr>
          <w:rFonts w:ascii="Times New Roman" w:cs="Times New Roman" w:eastAsia="Times New Roman" w:hAnsi="Times New Roman"/>
          <w:sz w:val="14"/>
          <w:szCs w:val="14"/>
          <w:color w:val="auto"/>
        </w:rPr>
      </w:pPr>
    </w:p>
    <w:p>
      <w:pPr>
        <w:ind w:left="10" w:right="5620" w:hanging="10"/>
        <w:spacing w:after="0" w:line="268" w:lineRule="auto"/>
        <w:tabs>
          <w:tab w:leader="none" w:pos="1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Cultural Alignment</w:t>
      </w:r>
      <w:r>
        <w:rPr>
          <w:rFonts w:ascii="Times New Roman" w:cs="Times New Roman" w:eastAsia="Times New Roman" w:hAnsi="Times New Roman"/>
          <w:sz w:val="14"/>
          <w:szCs w:val="14"/>
          <w:color w:val="auto"/>
        </w:rPr>
        <w:t>: We reinforce the shared values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behaviors that define how we work, lead, and grow together.</w:t>
      </w:r>
    </w:p>
    <w:p>
      <w:pPr>
        <w:sectPr>
          <w:pgSz w:w="11900" w:h="16840" w:orient="portrait"/>
          <w:cols w:equalWidth="0" w:num="1">
            <w:col w:w="9410"/>
          </w:cols>
          <w:pgMar w:left="1050" w:top="547" w:right="1440" w:bottom="97" w:gutter="0" w:footer="0" w:header="0"/>
        </w:sectPr>
      </w:pPr>
    </w:p>
    <w:bookmarkStart w:id="16" w:name="page17"/>
    <w:bookmarkEnd w:id="16"/>
    <w:p>
      <w:pPr>
        <w:ind w:left="10"/>
        <w:spacing w:after="0"/>
        <w:rPr>
          <w:sz w:val="20"/>
          <w:szCs w:val="20"/>
          <w:color w:val="auto"/>
        </w:rPr>
      </w:pPr>
      <w:r>
        <w:rPr>
          <w:rFonts w:ascii="Times New Roman" w:cs="Times New Roman" w:eastAsia="Times New Roman" w:hAnsi="Times New Roman"/>
          <w:sz w:val="16"/>
          <w:szCs w:val="16"/>
          <w:color w:val="auto"/>
        </w:rPr>
        <w:t>These values are built into how we hire, recognize</w:t>
      </w:r>
    </w:p>
    <w:p>
      <w:pPr>
        <w:ind w:left="10"/>
        <w:spacing w:after="0" w:line="232" w:lineRule="auto"/>
        <w:rPr>
          <w:sz w:val="20"/>
          <w:szCs w:val="20"/>
          <w:color w:val="auto"/>
        </w:rPr>
      </w:pPr>
      <w:r>
        <w:rPr>
          <w:rFonts w:ascii="Times New Roman" w:cs="Times New Roman" w:eastAsia="Times New Roman" w:hAnsi="Times New Roman"/>
          <w:sz w:val="14"/>
          <w:szCs w:val="14"/>
          <w:color w:val="auto"/>
        </w:rPr>
        <w:t>contributions, and support one another, fostering a respectful,</w:t>
      </w:r>
    </w:p>
    <w:p>
      <w:pPr>
        <w:ind w:left="10"/>
        <w:spacing w:after="0" w:line="204" w:lineRule="auto"/>
        <w:rPr>
          <w:sz w:val="20"/>
          <w:szCs w:val="20"/>
          <w:color w:val="auto"/>
        </w:rPr>
      </w:pPr>
      <w:r>
        <w:rPr>
          <w:rFonts w:ascii="Times New Roman" w:cs="Times New Roman" w:eastAsia="Times New Roman" w:hAnsi="Times New Roman"/>
          <w:sz w:val="16"/>
          <w:szCs w:val="16"/>
          <w:color w:val="auto"/>
        </w:rPr>
        <w:t>collaborative environment.</w:t>
      </w:r>
    </w:p>
    <w:p>
      <w:pPr>
        <w:ind w:left="10" w:right="5560" w:hanging="10"/>
        <w:spacing w:after="0" w:line="203" w:lineRule="auto"/>
        <w:tabs>
          <w:tab w:leader="none" w:pos="10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Business Integration</w:t>
      </w:r>
      <w:r>
        <w:rPr>
          <w:rFonts w:ascii="Times New Roman" w:cs="Times New Roman" w:eastAsia="Times New Roman" w:hAnsi="Times New Roman"/>
          <w:sz w:val="16"/>
          <w:szCs w:val="16"/>
          <w:color w:val="auto"/>
        </w:rPr>
        <w:t>: We embed inclusive practices into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everyday operations—from how we make decisions to how we manage talent. By focusing on objectivity and fairness, we aim to drive impact at scale while upholding the highest standards of compliance and integrity.</w:t>
      </w:r>
    </w:p>
    <w:p>
      <w:pPr>
        <w:spacing w:after="0" w:line="2"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Workplace Demographics</w:t>
      </w:r>
    </w:p>
    <w:p>
      <w:pPr>
        <w:ind w:left="10" w:right="5580"/>
        <w:spacing w:after="0" w:line="20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global female employee base in 2025 was approximately 36%. Our minority representation in the U.S., which includes Asian, Black/African American, Hispanic/Latino, Multiracial, Native American, Native Hawaiian, and Pacific Islander employees, was approximately 33% in 2025. Gender and Ethnicity Data as of December 31, 2025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16</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Compensation and Benefits</w:t>
      </w:r>
    </w:p>
    <w:p>
      <w:pPr>
        <w:ind w:left="10"/>
        <w:spacing w:after="0" w:line="233" w:lineRule="auto"/>
        <w:rPr>
          <w:sz w:val="20"/>
          <w:szCs w:val="20"/>
          <w:color w:val="auto"/>
        </w:rPr>
      </w:pPr>
      <w:r>
        <w:rPr>
          <w:rFonts w:ascii="Times New Roman" w:cs="Times New Roman" w:eastAsia="Times New Roman" w:hAnsi="Times New Roman"/>
          <w:sz w:val="14"/>
          <w:szCs w:val="14"/>
          <w:color w:val="auto"/>
        </w:rPr>
        <w:t>Our Total Rewards program is designed to attract, retain,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empower employees to successfully execute our growth</w:t>
      </w:r>
    </w:p>
    <w:p>
      <w:pPr>
        <w:ind w:left="10"/>
        <w:spacing w:after="0" w:line="204" w:lineRule="auto"/>
        <w:rPr>
          <w:sz w:val="20"/>
          <w:szCs w:val="20"/>
          <w:color w:val="auto"/>
        </w:rPr>
      </w:pPr>
      <w:r>
        <w:rPr>
          <w:rFonts w:ascii="Times New Roman" w:cs="Times New Roman" w:eastAsia="Times New Roman" w:hAnsi="Times New Roman"/>
          <w:sz w:val="16"/>
          <w:szCs w:val="16"/>
          <w:color w:val="auto"/>
        </w:rPr>
        <w:t>strategy and our mission to better serve our clients. Our</w:t>
      </w:r>
    </w:p>
    <w:p>
      <w:pPr>
        <w:ind w:left="10"/>
        <w:spacing w:after="0" w:line="203" w:lineRule="auto"/>
        <w:rPr>
          <w:sz w:val="20"/>
          <w:szCs w:val="20"/>
          <w:color w:val="auto"/>
        </w:rPr>
      </w:pPr>
      <w:r>
        <w:rPr>
          <w:rFonts w:ascii="Times New Roman" w:cs="Times New Roman" w:eastAsia="Times New Roman" w:hAnsi="Times New Roman"/>
          <w:sz w:val="16"/>
          <w:szCs w:val="16"/>
          <w:color w:val="auto"/>
        </w:rPr>
        <w:t>comprehensive Total Rewards program reflects our</w:t>
      </w:r>
    </w:p>
    <w:p>
      <w:pPr>
        <w:ind w:left="10"/>
        <w:spacing w:after="0" w:line="233" w:lineRule="auto"/>
        <w:rPr>
          <w:sz w:val="20"/>
          <w:szCs w:val="20"/>
          <w:color w:val="auto"/>
        </w:rPr>
      </w:pPr>
      <w:r>
        <w:rPr>
          <w:rFonts w:ascii="Times New Roman" w:cs="Times New Roman" w:eastAsia="Times New Roman" w:hAnsi="Times New Roman"/>
          <w:sz w:val="14"/>
          <w:szCs w:val="14"/>
          <w:color w:val="auto"/>
        </w:rPr>
        <w:t>commitment to protecting our employees’ health, well-being</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financial security.</w:t>
      </w:r>
    </w:p>
    <w:p>
      <w:pPr>
        <w:ind w:left="10"/>
        <w:spacing w:after="0" w:line="203" w:lineRule="auto"/>
        <w:rPr>
          <w:sz w:val="20"/>
          <w:szCs w:val="20"/>
          <w:color w:val="auto"/>
        </w:rPr>
      </w:pPr>
      <w:r>
        <w:rPr>
          <w:rFonts w:ascii="Times New Roman" w:cs="Times New Roman" w:eastAsia="Times New Roman" w:hAnsi="Times New Roman"/>
          <w:sz w:val="16"/>
          <w:szCs w:val="16"/>
          <w:color w:val="auto"/>
        </w:rPr>
        <w:t>Our pay-for-performance compensation programs includes</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market-competitive base salaries, annual bonuses or sales</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commissions, and equity grants. The majority of our</w:t>
      </w:r>
    </w:p>
    <w:p>
      <w:pPr>
        <w:ind w:left="10"/>
        <w:spacing w:after="0" w:line="207" w:lineRule="auto"/>
        <w:rPr>
          <w:sz w:val="20"/>
          <w:szCs w:val="20"/>
          <w:color w:val="auto"/>
        </w:rPr>
      </w:pPr>
      <w:r>
        <w:rPr>
          <w:rFonts w:ascii="Times New Roman" w:cs="Times New Roman" w:eastAsia="Times New Roman" w:hAnsi="Times New Roman"/>
          <w:sz w:val="16"/>
          <w:szCs w:val="16"/>
          <w:color w:val="auto"/>
        </w:rPr>
        <w:t>employees are granted annual, long-term equity awards,</w:t>
      </w:r>
    </w:p>
    <w:p>
      <w:pPr>
        <w:ind w:left="10"/>
        <w:spacing w:after="0" w:line="204" w:lineRule="auto"/>
        <w:rPr>
          <w:sz w:val="20"/>
          <w:szCs w:val="20"/>
          <w:color w:val="auto"/>
        </w:rPr>
      </w:pPr>
      <w:r>
        <w:rPr>
          <w:rFonts w:ascii="Times New Roman" w:cs="Times New Roman" w:eastAsia="Times New Roman" w:hAnsi="Times New Roman"/>
          <w:sz w:val="16"/>
          <w:szCs w:val="16"/>
          <w:color w:val="auto"/>
        </w:rPr>
        <w:t>enabling them to be owners of the company, committed to</w:t>
      </w:r>
    </w:p>
    <w:p>
      <w:pPr>
        <w:ind w:left="10"/>
        <w:spacing w:after="0" w:line="203" w:lineRule="auto"/>
        <w:rPr>
          <w:sz w:val="20"/>
          <w:szCs w:val="20"/>
          <w:color w:val="auto"/>
        </w:rPr>
      </w:pPr>
      <w:r>
        <w:rPr>
          <w:rFonts w:ascii="Times New Roman" w:cs="Times New Roman" w:eastAsia="Times New Roman" w:hAnsi="Times New Roman"/>
          <w:sz w:val="16"/>
          <w:szCs w:val="16"/>
          <w:color w:val="auto"/>
        </w:rPr>
        <w:t>our long-term success and aligning their interests with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short-term and long-term interests of our shareholders.</w:t>
      </w:r>
    </w:p>
    <w:p>
      <w:pPr>
        <w:ind w:left="10"/>
        <w:spacing w:after="0" w:line="232" w:lineRule="auto"/>
        <w:rPr>
          <w:sz w:val="20"/>
          <w:szCs w:val="20"/>
          <w:color w:val="auto"/>
        </w:rPr>
      </w:pPr>
      <w:r>
        <w:rPr>
          <w:rFonts w:ascii="Times New Roman" w:cs="Times New Roman" w:eastAsia="Times New Roman" w:hAnsi="Times New Roman"/>
          <w:sz w:val="14"/>
          <w:szCs w:val="14"/>
          <w:color w:val="auto"/>
        </w:rPr>
        <w:t>Beyond compensation, we offer a suite of programs, benefits,</w:t>
      </w:r>
    </w:p>
    <w:p>
      <w:pPr>
        <w:ind w:left="10"/>
        <w:spacing w:after="0" w:line="204" w:lineRule="auto"/>
        <w:rPr>
          <w:sz w:val="20"/>
          <w:szCs w:val="20"/>
          <w:color w:val="auto"/>
        </w:rPr>
      </w:pPr>
      <w:r>
        <w:rPr>
          <w:rFonts w:ascii="Times New Roman" w:cs="Times New Roman" w:eastAsia="Times New Roman" w:hAnsi="Times New Roman"/>
          <w:sz w:val="16"/>
          <w:szCs w:val="16"/>
          <w:color w:val="auto"/>
        </w:rPr>
        <w:t>perquisites, and resources. Our core benefits include health</w:t>
      </w:r>
    </w:p>
    <w:p>
      <w:pPr>
        <w:ind w:left="10"/>
        <w:spacing w:after="0" w:line="203" w:lineRule="auto"/>
        <w:rPr>
          <w:sz w:val="20"/>
          <w:szCs w:val="20"/>
          <w:color w:val="auto"/>
        </w:rPr>
      </w:pPr>
      <w:r>
        <w:rPr>
          <w:rFonts w:ascii="Times New Roman" w:cs="Times New Roman" w:eastAsia="Times New Roman" w:hAnsi="Times New Roman"/>
          <w:sz w:val="16"/>
          <w:szCs w:val="16"/>
          <w:color w:val="auto"/>
        </w:rPr>
        <w:t>(medical, dental, and vision) and risk insurances (life and</w:t>
      </w:r>
    </w:p>
    <w:p>
      <w:pPr>
        <w:ind w:left="10"/>
        <w:spacing w:after="0" w:line="233" w:lineRule="auto"/>
        <w:rPr>
          <w:sz w:val="20"/>
          <w:szCs w:val="20"/>
          <w:color w:val="auto"/>
        </w:rPr>
      </w:pPr>
      <w:r>
        <w:rPr>
          <w:rFonts w:ascii="Times New Roman" w:cs="Times New Roman" w:eastAsia="Times New Roman" w:hAnsi="Times New Roman"/>
          <w:sz w:val="14"/>
          <w:szCs w:val="14"/>
          <w:color w:val="auto"/>
        </w:rPr>
        <w:t>disability), retirement plans, and an employee stock purchase</w:t>
      </w:r>
    </w:p>
    <w:p>
      <w:pPr>
        <w:ind w:left="10"/>
        <w:spacing w:after="0" w:line="204" w:lineRule="auto"/>
        <w:rPr>
          <w:sz w:val="20"/>
          <w:szCs w:val="20"/>
          <w:color w:val="auto"/>
        </w:rPr>
      </w:pPr>
      <w:r>
        <w:rPr>
          <w:rFonts w:ascii="Times New Roman" w:cs="Times New Roman" w:eastAsia="Times New Roman" w:hAnsi="Times New Roman"/>
          <w:sz w:val="16"/>
          <w:szCs w:val="16"/>
          <w:color w:val="auto"/>
        </w:rPr>
        <w:t>plan. We also offer robust paid time-off benefits which</w:t>
      </w:r>
    </w:p>
    <w:p>
      <w:pPr>
        <w:ind w:left="10"/>
        <w:spacing w:after="0" w:line="203" w:lineRule="auto"/>
        <w:rPr>
          <w:sz w:val="20"/>
          <w:szCs w:val="20"/>
          <w:color w:val="auto"/>
        </w:rPr>
      </w:pPr>
      <w:r>
        <w:rPr>
          <w:rFonts w:ascii="Times New Roman" w:cs="Times New Roman" w:eastAsia="Times New Roman" w:hAnsi="Times New Roman"/>
          <w:sz w:val="16"/>
          <w:szCs w:val="16"/>
          <w:color w:val="auto"/>
        </w:rPr>
        <w:t>include vacation, incidental sick days and parental leave. In</w:t>
      </w:r>
    </w:p>
    <w:p>
      <w:pPr>
        <w:ind w:left="10"/>
        <w:spacing w:after="0" w:line="233" w:lineRule="auto"/>
        <w:rPr>
          <w:sz w:val="20"/>
          <w:szCs w:val="20"/>
          <w:color w:val="auto"/>
        </w:rPr>
      </w:pPr>
      <w:r>
        <w:rPr>
          <w:rFonts w:ascii="Times New Roman" w:cs="Times New Roman" w:eastAsia="Times New Roman" w:hAnsi="Times New Roman"/>
          <w:sz w:val="14"/>
          <w:szCs w:val="14"/>
          <w:color w:val="auto"/>
        </w:rPr>
        <w:t>addition, all Nasdaq employees, regardless of their location in</w:t>
      </w:r>
    </w:p>
    <w:p>
      <w:pPr>
        <w:ind w:left="10"/>
        <w:spacing w:after="0" w:line="203" w:lineRule="auto"/>
        <w:rPr>
          <w:sz w:val="20"/>
          <w:szCs w:val="20"/>
          <w:color w:val="auto"/>
        </w:rPr>
      </w:pPr>
      <w:r>
        <w:rPr>
          <w:rFonts w:ascii="Times New Roman" w:cs="Times New Roman" w:eastAsia="Times New Roman" w:hAnsi="Times New Roman"/>
          <w:sz w:val="16"/>
          <w:szCs w:val="16"/>
          <w:color w:val="auto"/>
        </w:rPr>
        <w:t>any of our global offices, are offered paid time off for key</w:t>
      </w:r>
    </w:p>
    <w:p>
      <w:pPr>
        <w:ind w:left="10"/>
        <w:spacing w:after="0" w:line="204" w:lineRule="auto"/>
        <w:rPr>
          <w:sz w:val="20"/>
          <w:szCs w:val="20"/>
          <w:color w:val="auto"/>
        </w:rPr>
      </w:pPr>
      <w:r>
        <w:rPr>
          <w:rFonts w:ascii="Times New Roman" w:cs="Times New Roman" w:eastAsia="Times New Roman" w:hAnsi="Times New Roman"/>
          <w:sz w:val="16"/>
          <w:szCs w:val="16"/>
          <w:color w:val="auto"/>
        </w:rPr>
        <w:t>life events such as bereavement leave and volunteer days.</w:t>
      </w:r>
    </w:p>
    <w:p>
      <w:pPr>
        <w:ind w:left="10"/>
        <w:spacing w:after="0" w:line="203" w:lineRule="auto"/>
        <w:rPr>
          <w:sz w:val="20"/>
          <w:szCs w:val="20"/>
          <w:color w:val="auto"/>
        </w:rPr>
      </w:pPr>
      <w:r>
        <w:rPr>
          <w:rFonts w:ascii="Times New Roman" w:cs="Times New Roman" w:eastAsia="Times New Roman" w:hAnsi="Times New Roman"/>
          <w:sz w:val="16"/>
          <w:szCs w:val="16"/>
          <w:color w:val="auto"/>
        </w:rPr>
        <w:t>Our North American employees continue to have access to</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flexible time off policy. These programs, coupled with</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hybrid work schedules, are designed to meet the various</w:t>
      </w:r>
    </w:p>
    <w:p>
      <w:pPr>
        <w:ind w:left="10"/>
        <w:spacing w:after="0" w:line="203" w:lineRule="auto"/>
        <w:rPr>
          <w:sz w:val="20"/>
          <w:szCs w:val="20"/>
          <w:color w:val="auto"/>
        </w:rPr>
      </w:pPr>
      <w:r>
        <w:rPr>
          <w:rFonts w:ascii="Times New Roman" w:cs="Times New Roman" w:eastAsia="Times New Roman" w:hAnsi="Times New Roman"/>
          <w:sz w:val="16"/>
          <w:szCs w:val="16"/>
          <w:color w:val="auto"/>
        </w:rPr>
        <w:t>needs of our workforce.</w:t>
      </w:r>
    </w:p>
    <w:p>
      <w:pPr>
        <w:ind w:left="10"/>
        <w:spacing w:after="0" w:line="204" w:lineRule="auto"/>
        <w:rPr>
          <w:sz w:val="20"/>
          <w:szCs w:val="20"/>
          <w:color w:val="auto"/>
        </w:rPr>
      </w:pPr>
      <w:r>
        <w:rPr>
          <w:rFonts w:ascii="Times New Roman" w:cs="Times New Roman" w:eastAsia="Times New Roman" w:hAnsi="Times New Roman"/>
          <w:sz w:val="16"/>
          <w:szCs w:val="16"/>
          <w:color w:val="auto"/>
        </w:rPr>
        <w:t>In 2025, we continued to build awareness of our wellness</w:t>
      </w:r>
    </w:p>
    <w:p>
      <w:pPr>
        <w:ind w:left="10"/>
        <w:spacing w:after="0" w:line="232" w:lineRule="auto"/>
        <w:rPr>
          <w:sz w:val="20"/>
          <w:szCs w:val="20"/>
          <w:color w:val="auto"/>
        </w:rPr>
      </w:pPr>
      <w:r>
        <w:rPr>
          <w:rFonts w:ascii="Times New Roman" w:cs="Times New Roman" w:eastAsia="Times New Roman" w:hAnsi="Times New Roman"/>
          <w:sz w:val="14"/>
          <w:szCs w:val="14"/>
          <w:color w:val="auto"/>
        </w:rPr>
        <w:t>programs and increase support to our employees through on-</w:t>
      </w:r>
    </w:p>
    <w:p>
      <w:pPr>
        <w:ind w:left="10"/>
        <w:spacing w:after="0" w:line="233" w:lineRule="auto"/>
        <w:rPr>
          <w:sz w:val="20"/>
          <w:szCs w:val="20"/>
          <w:color w:val="auto"/>
        </w:rPr>
      </w:pPr>
      <w:r>
        <w:rPr>
          <w:rFonts w:ascii="Times New Roman" w:cs="Times New Roman" w:eastAsia="Times New Roman" w:hAnsi="Times New Roman"/>
          <w:sz w:val="14"/>
          <w:szCs w:val="14"/>
          <w:color w:val="auto"/>
        </w:rPr>
        <w:t>site and virtual events and the launch of Lyra Health, our new</w:t>
      </w:r>
    </w:p>
    <w:p>
      <w:pPr>
        <w:ind w:left="10"/>
        <w:spacing w:after="0" w:line="203" w:lineRule="auto"/>
        <w:rPr>
          <w:sz w:val="20"/>
          <w:szCs w:val="20"/>
          <w:color w:val="auto"/>
        </w:rPr>
      </w:pPr>
      <w:r>
        <w:rPr>
          <w:rFonts w:ascii="Times New Roman" w:cs="Times New Roman" w:eastAsia="Times New Roman" w:hAnsi="Times New Roman"/>
          <w:sz w:val="16"/>
          <w:szCs w:val="16"/>
          <w:color w:val="auto"/>
        </w:rPr>
        <w:t>mental health and wellbeing provider. The launch of Lyra</w:t>
      </w:r>
    </w:p>
    <w:p>
      <w:pPr>
        <w:ind w:left="10"/>
        <w:spacing w:after="0" w:line="204" w:lineRule="auto"/>
        <w:rPr>
          <w:sz w:val="20"/>
          <w:szCs w:val="20"/>
          <w:color w:val="auto"/>
        </w:rPr>
      </w:pPr>
      <w:r>
        <w:rPr>
          <w:rFonts w:ascii="Times New Roman" w:cs="Times New Roman" w:eastAsia="Times New Roman" w:hAnsi="Times New Roman"/>
          <w:sz w:val="16"/>
          <w:szCs w:val="16"/>
          <w:color w:val="auto"/>
        </w:rPr>
        <w:t>Health provided employees with a number or mental health</w:t>
      </w:r>
    </w:p>
    <w:p>
      <w:pPr>
        <w:ind w:left="10"/>
        <w:spacing w:after="0" w:line="204" w:lineRule="auto"/>
        <w:rPr>
          <w:sz w:val="20"/>
          <w:szCs w:val="20"/>
          <w:color w:val="auto"/>
        </w:rPr>
      </w:pPr>
      <w:r>
        <w:rPr>
          <w:rFonts w:ascii="Times New Roman" w:cs="Times New Roman" w:eastAsia="Times New Roman" w:hAnsi="Times New Roman"/>
          <w:sz w:val="16"/>
          <w:szCs w:val="16"/>
          <w:color w:val="auto"/>
        </w:rPr>
        <w:t>workshops and resources. The benefits team also continued</w:t>
      </w:r>
    </w:p>
    <w:p>
      <w:pPr>
        <w:ind w:left="10"/>
        <w:spacing w:after="0" w:line="203" w:lineRule="auto"/>
        <w:rPr>
          <w:sz w:val="20"/>
          <w:szCs w:val="20"/>
          <w:color w:val="auto"/>
        </w:rPr>
      </w:pPr>
      <w:r>
        <w:rPr>
          <w:rFonts w:ascii="Times New Roman" w:cs="Times New Roman" w:eastAsia="Times New Roman" w:hAnsi="Times New Roman"/>
          <w:sz w:val="16"/>
          <w:szCs w:val="16"/>
          <w:color w:val="auto"/>
        </w:rPr>
        <w:t>providing “well-being moments,” which are monthly</w:t>
      </w:r>
    </w:p>
    <w:p>
      <w:pPr>
        <w:ind w:left="10"/>
        <w:spacing w:after="0" w:line="204" w:lineRule="auto"/>
        <w:rPr>
          <w:sz w:val="20"/>
          <w:szCs w:val="20"/>
          <w:color w:val="auto"/>
        </w:rPr>
      </w:pPr>
      <w:r>
        <w:rPr>
          <w:rFonts w:ascii="Times New Roman" w:cs="Times New Roman" w:eastAsia="Times New Roman" w:hAnsi="Times New Roman"/>
          <w:sz w:val="16"/>
          <w:szCs w:val="16"/>
          <w:color w:val="auto"/>
        </w:rPr>
        <w:t>reminders shared in employee newsletters and town hall</w:t>
      </w:r>
    </w:p>
    <w:p>
      <w:pPr>
        <w:ind w:left="10"/>
        <w:spacing w:after="0" w:line="232" w:lineRule="auto"/>
        <w:rPr>
          <w:sz w:val="20"/>
          <w:szCs w:val="20"/>
          <w:color w:val="auto"/>
        </w:rPr>
      </w:pPr>
      <w:r>
        <w:rPr>
          <w:rFonts w:ascii="Times New Roman" w:cs="Times New Roman" w:eastAsia="Times New Roman" w:hAnsi="Times New Roman"/>
          <w:sz w:val="14"/>
          <w:szCs w:val="14"/>
          <w:color w:val="auto"/>
        </w:rPr>
        <w:t>meetings to improve the physical, mental and financial health</w:t>
      </w:r>
    </w:p>
    <w:p>
      <w:pPr>
        <w:ind w:left="10"/>
        <w:spacing w:after="0" w:line="204" w:lineRule="auto"/>
        <w:rPr>
          <w:sz w:val="20"/>
          <w:szCs w:val="20"/>
          <w:color w:val="auto"/>
        </w:rPr>
      </w:pPr>
      <w:r>
        <w:rPr>
          <w:rFonts w:ascii="Times New Roman" w:cs="Times New Roman" w:eastAsia="Times New Roman" w:hAnsi="Times New Roman"/>
          <w:sz w:val="16"/>
          <w:szCs w:val="16"/>
          <w:color w:val="auto"/>
        </w:rPr>
        <w:t>of our employees in their personal and professional life.</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Community Involvement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Nasdaq’s “Purpose” initiative comprises our philanthropic,</w:t>
      </w:r>
    </w:p>
    <w:p>
      <w:pPr>
        <w:ind w:left="10"/>
        <w:spacing w:after="0" w:line="203" w:lineRule="auto"/>
        <w:rPr>
          <w:sz w:val="20"/>
          <w:szCs w:val="20"/>
          <w:color w:val="auto"/>
        </w:rPr>
      </w:pPr>
      <w:r>
        <w:rPr>
          <w:rFonts w:ascii="Times New Roman" w:cs="Times New Roman" w:eastAsia="Times New Roman" w:hAnsi="Times New Roman"/>
          <w:sz w:val="16"/>
          <w:szCs w:val="16"/>
          <w:color w:val="auto"/>
        </w:rPr>
        <w:t>community outreach, entrepreneurial support and employee</w:t>
      </w:r>
    </w:p>
    <w:p>
      <w:pPr>
        <w:ind w:left="10"/>
        <w:spacing w:after="0" w:line="204" w:lineRule="auto"/>
        <w:rPr>
          <w:sz w:val="20"/>
          <w:szCs w:val="20"/>
          <w:color w:val="auto"/>
        </w:rPr>
      </w:pPr>
      <w:r>
        <w:rPr>
          <w:rFonts w:ascii="Times New Roman" w:cs="Times New Roman" w:eastAsia="Times New Roman" w:hAnsi="Times New Roman"/>
          <w:sz w:val="16"/>
          <w:szCs w:val="16"/>
          <w:color w:val="auto"/>
        </w:rPr>
        <w:t>volunteerism programs, all designed to leverage our unique</w:t>
      </w:r>
    </w:p>
    <w:p>
      <w:pPr>
        <w:ind w:left="10"/>
        <w:spacing w:after="0" w:line="204" w:lineRule="auto"/>
        <w:rPr>
          <w:sz w:val="20"/>
          <w:szCs w:val="20"/>
          <w:color w:val="auto"/>
        </w:rPr>
      </w:pPr>
      <w:r>
        <w:rPr>
          <w:rFonts w:ascii="Times New Roman" w:cs="Times New Roman" w:eastAsia="Times New Roman" w:hAnsi="Times New Roman"/>
          <w:sz w:val="16"/>
          <w:szCs w:val="16"/>
          <w:color w:val="auto"/>
        </w:rPr>
        <w:t>place at the center of capital creation, markets,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technology and drive stronger economies, more equitable</w:t>
      </w:r>
    </w:p>
    <w:p>
      <w:pPr>
        <w:ind w:left="10"/>
        <w:spacing w:after="0" w:line="203" w:lineRule="auto"/>
        <w:rPr>
          <w:sz w:val="20"/>
          <w:szCs w:val="20"/>
          <w:color w:val="auto"/>
        </w:rPr>
      </w:pPr>
      <w:r>
        <w:rPr>
          <w:rFonts w:ascii="Times New Roman" w:cs="Times New Roman" w:eastAsia="Times New Roman" w:hAnsi="Times New Roman"/>
          <w:sz w:val="16"/>
          <w:szCs w:val="16"/>
          <w:color w:val="auto"/>
        </w:rPr>
        <w:t>opportunities and contribute to a more sustainable world.</w:t>
      </w:r>
      <w:r>
        <w:rPr>
          <w:rFonts w:ascii="Arial" w:cs="Arial" w:eastAsia="Arial" w:hAnsi="Arial"/>
          <w:sz w:val="16"/>
          <w:szCs w:val="16"/>
          <w:color w:val="auto"/>
        </w:rPr>
        <w:t> </w:t>
      </w:r>
    </w:p>
    <w:p>
      <w:pPr>
        <w:ind w:left="10"/>
        <w:spacing w:after="0" w:line="203" w:lineRule="auto"/>
        <w:rPr>
          <w:sz w:val="20"/>
          <w:szCs w:val="20"/>
          <w:color w:val="auto"/>
        </w:rPr>
      </w:pPr>
      <w:r>
        <w:rPr>
          <w:rFonts w:ascii="Times New Roman" w:cs="Times New Roman" w:eastAsia="Times New Roman" w:hAnsi="Times New Roman"/>
          <w:sz w:val="16"/>
          <w:szCs w:val="16"/>
          <w:color w:val="auto"/>
        </w:rPr>
        <w:t>Through our Purpose@Work Corporate Responsibility</w:t>
      </w:r>
    </w:p>
    <w:p>
      <w:pPr>
        <w:ind w:left="10"/>
        <w:spacing w:after="0" w:line="233" w:lineRule="auto"/>
        <w:rPr>
          <w:sz w:val="20"/>
          <w:szCs w:val="20"/>
          <w:color w:val="auto"/>
        </w:rPr>
      </w:pPr>
      <w:r>
        <w:rPr>
          <w:rFonts w:ascii="Times New Roman" w:cs="Times New Roman" w:eastAsia="Times New Roman" w:hAnsi="Times New Roman"/>
          <w:sz w:val="14"/>
          <w:szCs w:val="14"/>
          <w:color w:val="auto"/>
        </w:rPr>
        <w:t>Program, we have committed to supporting the communities</w:t>
      </w:r>
    </w:p>
    <w:p>
      <w:pPr>
        <w:ind w:left="10"/>
        <w:spacing w:after="0" w:line="233" w:lineRule="auto"/>
        <w:rPr>
          <w:sz w:val="20"/>
          <w:szCs w:val="20"/>
          <w:color w:val="auto"/>
        </w:rPr>
      </w:pPr>
      <w:r>
        <w:rPr>
          <w:rFonts w:ascii="Times New Roman" w:cs="Times New Roman" w:eastAsia="Times New Roman" w:hAnsi="Times New Roman"/>
          <w:sz w:val="14"/>
          <w:szCs w:val="14"/>
          <w:color w:val="auto"/>
        </w:rPr>
        <w:t>in which we live and work by providing eligible full and part-</w:t>
      </w:r>
    </w:p>
    <w:p>
      <w:pPr>
        <w:ind w:left="10"/>
        <w:spacing w:after="0" w:line="232" w:lineRule="auto"/>
        <w:rPr>
          <w:sz w:val="20"/>
          <w:szCs w:val="20"/>
          <w:color w:val="auto"/>
        </w:rPr>
      </w:pPr>
      <w:r>
        <w:rPr>
          <w:rFonts w:ascii="Times New Roman" w:cs="Times New Roman" w:eastAsia="Times New Roman" w:hAnsi="Times New Roman"/>
          <w:sz w:val="14"/>
          <w:szCs w:val="14"/>
          <w:color w:val="auto"/>
        </w:rPr>
        <w:t>time employees with two paid days off per year to volunteer.</w:t>
      </w:r>
    </w:p>
    <w:p>
      <w:pPr>
        <w:ind w:left="10"/>
        <w:spacing w:after="0" w:line="233" w:lineRule="auto"/>
        <w:rPr>
          <w:sz w:val="20"/>
          <w:szCs w:val="20"/>
          <w:color w:val="auto"/>
        </w:rPr>
      </w:pPr>
      <w:r>
        <w:rPr>
          <w:rFonts w:ascii="Times New Roman" w:cs="Times New Roman" w:eastAsia="Times New Roman" w:hAnsi="Times New Roman"/>
          <w:sz w:val="14"/>
          <w:szCs w:val="14"/>
          <w:color w:val="auto"/>
        </w:rPr>
        <w:t>We also match charitable donations of all Nasdaq employees</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contractors up to $1,000, or more in certain</w:t>
      </w:r>
    </w:p>
    <w:p>
      <w:pPr>
        <w:ind w:left="10"/>
        <w:spacing w:after="0" w:line="231" w:lineRule="auto"/>
        <w:rPr>
          <w:sz w:val="20"/>
          <w:szCs w:val="20"/>
          <w:color w:val="auto"/>
        </w:rPr>
      </w:pPr>
      <w:r>
        <w:rPr>
          <w:rFonts w:ascii="Times New Roman" w:cs="Times New Roman" w:eastAsia="Times New Roman" w:hAnsi="Times New Roman"/>
          <w:sz w:val="14"/>
          <w:szCs w:val="14"/>
          <w:color w:val="auto"/>
        </w:rPr>
        <w:t>circumstances, per calendar year.</w:t>
      </w:r>
      <w:r>
        <w:rPr>
          <w:rFonts w:ascii="Arial" w:cs="Arial" w:eastAsia="Arial" w:hAnsi="Arial"/>
          <w:sz w:val="14"/>
          <w:szCs w:val="14"/>
          <w:color w:val="auto"/>
        </w:rPr>
        <w:t> </w:t>
      </w:r>
      <w:r>
        <w:rPr>
          <w:rFonts w:ascii="Times New Roman" w:cs="Times New Roman" w:eastAsia="Times New Roman" w:hAnsi="Times New Roman"/>
          <w:sz w:val="14"/>
          <w:szCs w:val="14"/>
          <w:color w:val="auto"/>
        </w:rPr>
        <w:t>In 2025, Nasdaq employees</w:t>
      </w:r>
    </w:p>
    <w:p>
      <w:pPr>
        <w:ind w:left="10"/>
        <w:spacing w:after="0" w:line="204" w:lineRule="auto"/>
        <w:rPr>
          <w:sz w:val="20"/>
          <w:szCs w:val="20"/>
          <w:color w:val="auto"/>
        </w:rPr>
      </w:pPr>
      <w:r>
        <w:rPr>
          <w:rFonts w:ascii="Times New Roman" w:cs="Times New Roman" w:eastAsia="Times New Roman" w:hAnsi="Times New Roman"/>
          <w:sz w:val="16"/>
          <w:szCs w:val="16"/>
          <w:color w:val="auto"/>
        </w:rPr>
        <w:t>raised over $580,000, including donations and matches,</w:t>
      </w:r>
    </w:p>
    <w:p>
      <w:pPr>
        <w:ind w:left="10"/>
        <w:spacing w:after="0" w:line="203" w:lineRule="auto"/>
        <w:rPr>
          <w:sz w:val="20"/>
          <w:szCs w:val="20"/>
          <w:color w:val="auto"/>
        </w:rPr>
      </w:pPr>
      <w:r>
        <w:rPr>
          <w:rFonts w:ascii="Times New Roman" w:cs="Times New Roman" w:eastAsia="Times New Roman" w:hAnsi="Times New Roman"/>
          <w:sz w:val="16"/>
          <w:szCs w:val="16"/>
          <w:color w:val="auto"/>
        </w:rPr>
        <w:t>supporting more than 800 charities worldwide.</w:t>
      </w:r>
      <w:r>
        <w:rPr>
          <w:rFonts w:ascii="Arial" w:cs="Arial" w:eastAsia="Arial" w:hAnsi="Arial"/>
          <w:sz w:val="16"/>
          <w:szCs w:val="16"/>
          <w:color w:val="auto"/>
        </w:rPr>
        <w:t> </w:t>
      </w:r>
    </w:p>
    <w:p>
      <w:pPr>
        <w:ind w:left="10"/>
        <w:spacing w:after="0"/>
        <w:rPr>
          <w:sz w:val="20"/>
          <w:szCs w:val="20"/>
          <w:color w:val="auto"/>
        </w:rPr>
      </w:pPr>
      <w:r>
        <w:rPr>
          <w:rFonts w:ascii="Times New Roman" w:cs="Times New Roman" w:eastAsia="Times New Roman" w:hAnsi="Times New Roman"/>
          <w:sz w:val="16"/>
          <w:szCs w:val="16"/>
          <w:color w:val="auto"/>
        </w:rPr>
        <w:t>During 2025, Nasdaq held its inaugural “Nasdaq Month of</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Impact: Empowering Purpose, Strengthening Communities.”</w:t>
      </w:r>
    </w:p>
    <w:p>
      <w:pPr>
        <w:ind w:left="10"/>
        <w:spacing w:after="0" w:line="237" w:lineRule="auto"/>
        <w:rPr>
          <w:sz w:val="20"/>
          <w:szCs w:val="20"/>
          <w:color w:val="auto"/>
        </w:rPr>
      </w:pPr>
      <w:r>
        <w:rPr>
          <w:rFonts w:ascii="Times New Roman" w:cs="Times New Roman" w:eastAsia="Times New Roman" w:hAnsi="Times New Roman"/>
          <w:sz w:val="16"/>
          <w:szCs w:val="16"/>
          <w:color w:val="auto"/>
        </w:rPr>
        <w:t>As part of our commitment to driving economic progress,</w:t>
      </w:r>
    </w:p>
    <w:p>
      <w:pPr>
        <w:ind w:left="10"/>
        <w:spacing w:after="0" w:line="204" w:lineRule="auto"/>
        <w:rPr>
          <w:sz w:val="20"/>
          <w:szCs w:val="20"/>
          <w:color w:val="auto"/>
        </w:rPr>
      </w:pPr>
      <w:r>
        <w:rPr>
          <w:rFonts w:ascii="Times New Roman" w:cs="Times New Roman" w:eastAsia="Times New Roman" w:hAnsi="Times New Roman"/>
          <w:sz w:val="16"/>
          <w:szCs w:val="16"/>
          <w:color w:val="auto"/>
        </w:rPr>
        <w:t>Nasdaq’s Month of Impact is our way of celebrating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observing Financial Literacy Awareness Month and Global</w:t>
      </w:r>
    </w:p>
    <w:p>
      <w:pPr>
        <w:ind w:left="10"/>
        <w:spacing w:after="0" w:line="204" w:lineRule="auto"/>
        <w:rPr>
          <w:sz w:val="20"/>
          <w:szCs w:val="20"/>
          <w:color w:val="auto"/>
        </w:rPr>
      </w:pPr>
      <w:r>
        <w:rPr>
          <w:rFonts w:ascii="Times New Roman" w:cs="Times New Roman" w:eastAsia="Times New Roman" w:hAnsi="Times New Roman"/>
          <w:sz w:val="16"/>
          <w:szCs w:val="16"/>
          <w:color w:val="auto"/>
        </w:rPr>
        <w:t>Volunteer Month. Combining the core focus areas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enhancing financial literacy and promoting global</w:t>
      </w:r>
    </w:p>
    <w:p>
      <w:pPr>
        <w:ind w:left="10"/>
        <w:spacing w:after="0" w:line="233" w:lineRule="auto"/>
        <w:rPr>
          <w:sz w:val="20"/>
          <w:szCs w:val="20"/>
          <w:color w:val="auto"/>
        </w:rPr>
      </w:pPr>
      <w:r>
        <w:rPr>
          <w:rFonts w:ascii="Times New Roman" w:cs="Times New Roman" w:eastAsia="Times New Roman" w:hAnsi="Times New Roman"/>
          <w:sz w:val="14"/>
          <w:szCs w:val="14"/>
          <w:color w:val="auto"/>
        </w:rPr>
        <w:t>volunteerism enables Nasdaq to create a more significant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positive impact within our communities.</w:t>
      </w:r>
    </w:p>
    <w:p>
      <w:pPr>
        <w:ind w:left="10"/>
        <w:spacing w:after="0" w:line="203" w:lineRule="auto"/>
        <w:rPr>
          <w:sz w:val="20"/>
          <w:szCs w:val="20"/>
          <w:color w:val="auto"/>
        </w:rPr>
      </w:pPr>
      <w:r>
        <w:rPr>
          <w:rFonts w:ascii="Times New Roman" w:cs="Times New Roman" w:eastAsia="Times New Roman" w:hAnsi="Times New Roman"/>
          <w:sz w:val="16"/>
          <w:szCs w:val="16"/>
          <w:color w:val="auto"/>
        </w:rPr>
        <w:t>Additionally, Nasdaq also hosted its third annual Economic</w:t>
      </w:r>
    </w:p>
    <w:p>
      <w:pPr>
        <w:ind w:left="10"/>
        <w:spacing w:after="0" w:line="204" w:lineRule="auto"/>
        <w:rPr>
          <w:sz w:val="20"/>
          <w:szCs w:val="20"/>
          <w:color w:val="auto"/>
        </w:rPr>
      </w:pPr>
      <w:r>
        <w:rPr>
          <w:rFonts w:ascii="Times New Roman" w:cs="Times New Roman" w:eastAsia="Times New Roman" w:hAnsi="Times New Roman"/>
          <w:sz w:val="16"/>
          <w:szCs w:val="16"/>
          <w:color w:val="auto"/>
        </w:rPr>
        <w:t>Opportunity Summit, focusing on the theme “Driving</w:t>
      </w:r>
    </w:p>
    <w:p>
      <w:pPr>
        <w:ind w:left="10"/>
        <w:spacing w:after="0" w:line="203" w:lineRule="auto"/>
        <w:rPr>
          <w:sz w:val="20"/>
          <w:szCs w:val="20"/>
          <w:color w:val="auto"/>
        </w:rPr>
      </w:pPr>
      <w:r>
        <w:rPr>
          <w:rFonts w:ascii="Times New Roman" w:cs="Times New Roman" w:eastAsia="Times New Roman" w:hAnsi="Times New Roman"/>
          <w:sz w:val="16"/>
          <w:szCs w:val="16"/>
          <w:color w:val="auto"/>
        </w:rPr>
        <w:t>Purposeful Growth,” which convened industry leaders,</w:t>
      </w:r>
    </w:p>
    <w:p>
      <w:pPr>
        <w:ind w:left="10"/>
        <w:spacing w:after="0" w:line="204" w:lineRule="auto"/>
        <w:rPr>
          <w:sz w:val="20"/>
          <w:szCs w:val="20"/>
          <w:color w:val="auto"/>
        </w:rPr>
      </w:pPr>
      <w:r>
        <w:rPr>
          <w:rFonts w:ascii="Times New Roman" w:cs="Times New Roman" w:eastAsia="Times New Roman" w:hAnsi="Times New Roman"/>
          <w:sz w:val="16"/>
          <w:szCs w:val="16"/>
          <w:color w:val="auto"/>
        </w:rPr>
        <w:t>researchers, and change-makers to explore how we can</w:t>
      </w:r>
    </w:p>
    <w:p>
      <w:pPr>
        <w:ind w:left="10"/>
        <w:spacing w:after="0" w:line="203" w:lineRule="auto"/>
        <w:rPr>
          <w:sz w:val="20"/>
          <w:szCs w:val="20"/>
          <w:color w:val="auto"/>
        </w:rPr>
      </w:pPr>
      <w:r>
        <w:rPr>
          <w:rFonts w:ascii="Times New Roman" w:cs="Times New Roman" w:eastAsia="Times New Roman" w:hAnsi="Times New Roman"/>
          <w:sz w:val="16"/>
          <w:szCs w:val="16"/>
          <w:color w:val="auto"/>
        </w:rPr>
        <w:t>expand access to opportunity, revitalize communities, and</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build a more prosperous future for all.</w:t>
      </w:r>
    </w:p>
    <w:p>
      <w:pPr>
        <w:sectPr>
          <w:pgSz w:w="11900" w:h="16840" w:orient="portrait"/>
          <w:cols w:equalWidth="0" w:num="1">
            <w:col w:w="9410"/>
          </w:cols>
          <w:pgMar w:left="1050" w:top="547" w:right="1440" w:bottom="92"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During 2025, the Nasdaq Foundation provided grants to 20</w:t>
      </w:r>
    </w:p>
    <w:p>
      <w:pPr>
        <w:spacing w:after="0" w:line="232" w:lineRule="auto"/>
        <w:rPr>
          <w:sz w:val="20"/>
          <w:szCs w:val="20"/>
          <w:color w:val="auto"/>
        </w:rPr>
      </w:pPr>
      <w:r>
        <w:rPr>
          <w:rFonts w:ascii="Times New Roman" w:cs="Times New Roman" w:eastAsia="Times New Roman" w:hAnsi="Times New Roman"/>
          <w:sz w:val="14"/>
          <w:szCs w:val="14"/>
          <w:color w:val="auto"/>
        </w:rPr>
        <w:t>organizations that share our same mission. These grants were</w:t>
      </w:r>
    </w:p>
    <w:p>
      <w:pPr>
        <w:spacing w:after="0" w:line="204" w:lineRule="auto"/>
        <w:rPr>
          <w:sz w:val="20"/>
          <w:szCs w:val="20"/>
          <w:color w:val="auto"/>
        </w:rPr>
      </w:pPr>
      <w:r>
        <w:rPr>
          <w:rFonts w:ascii="Times New Roman" w:cs="Times New Roman" w:eastAsia="Times New Roman" w:hAnsi="Times New Roman"/>
          <w:sz w:val="16"/>
          <w:szCs w:val="16"/>
          <w:color w:val="auto"/>
        </w:rPr>
        <w:t>awarded to, among others: Restore NYC, whose</w:t>
      </w:r>
    </w:p>
    <w:p>
      <w:pPr>
        <w:spacing w:after="0" w:line="203" w:lineRule="auto"/>
        <w:rPr>
          <w:sz w:val="20"/>
          <w:szCs w:val="20"/>
          <w:color w:val="auto"/>
        </w:rPr>
      </w:pPr>
      <w:r>
        <w:rPr>
          <w:rFonts w:ascii="Times New Roman" w:cs="Times New Roman" w:eastAsia="Times New Roman" w:hAnsi="Times New Roman"/>
          <w:sz w:val="16"/>
          <w:szCs w:val="16"/>
          <w:color w:val="auto"/>
        </w:rPr>
        <w:t>entrepreneurship services support survivors of trafficking in</w:t>
      </w:r>
    </w:p>
    <w:p>
      <w:pPr>
        <w:spacing w:after="0" w:line="204" w:lineRule="auto"/>
        <w:rPr>
          <w:sz w:val="20"/>
          <w:szCs w:val="20"/>
          <w:color w:val="auto"/>
        </w:rPr>
      </w:pPr>
      <w:r>
        <w:rPr>
          <w:rFonts w:ascii="Times New Roman" w:cs="Times New Roman" w:eastAsia="Times New Roman" w:hAnsi="Times New Roman"/>
          <w:sz w:val="16"/>
          <w:szCs w:val="16"/>
          <w:color w:val="auto"/>
        </w:rPr>
        <w:t>exploring business ownership as a pathway to economic</w:t>
      </w:r>
    </w:p>
    <w:p>
      <w:pPr>
        <w:spacing w:after="0" w:line="203" w:lineRule="auto"/>
        <w:rPr>
          <w:sz w:val="20"/>
          <w:szCs w:val="20"/>
          <w:color w:val="auto"/>
        </w:rPr>
      </w:pPr>
      <w:r>
        <w:rPr>
          <w:rFonts w:ascii="Times New Roman" w:cs="Times New Roman" w:eastAsia="Times New Roman" w:hAnsi="Times New Roman"/>
          <w:sz w:val="16"/>
          <w:szCs w:val="16"/>
          <w:color w:val="auto"/>
        </w:rPr>
        <w:t>independence; The Center on Rural Innovation, which will</w:t>
      </w:r>
    </w:p>
    <w:p>
      <w:pPr>
        <w:spacing w:after="0" w:line="233" w:lineRule="auto"/>
        <w:rPr>
          <w:sz w:val="20"/>
          <w:szCs w:val="20"/>
          <w:color w:val="auto"/>
        </w:rPr>
      </w:pPr>
      <w:r>
        <w:rPr>
          <w:rFonts w:ascii="Times New Roman" w:cs="Times New Roman" w:eastAsia="Times New Roman" w:hAnsi="Times New Roman"/>
          <w:sz w:val="14"/>
          <w:szCs w:val="14"/>
          <w:color w:val="auto"/>
        </w:rPr>
        <w:t>help rural entrepreneurs build, test, and implement AI-driven</w:t>
      </w:r>
    </w:p>
    <w:p>
      <w:pPr>
        <w:spacing w:after="0" w:line="203" w:lineRule="auto"/>
        <w:rPr>
          <w:sz w:val="20"/>
          <w:szCs w:val="20"/>
          <w:color w:val="auto"/>
        </w:rPr>
      </w:pPr>
      <w:r>
        <w:rPr>
          <w:rFonts w:ascii="Times New Roman" w:cs="Times New Roman" w:eastAsia="Times New Roman" w:hAnsi="Times New Roman"/>
          <w:sz w:val="16"/>
          <w:szCs w:val="16"/>
          <w:color w:val="auto"/>
        </w:rPr>
        <w:t>solutions for their startups; and Maryland Philanthropy</w:t>
      </w:r>
    </w:p>
    <w:p>
      <w:pPr>
        <w:spacing w:after="0" w:line="204" w:lineRule="auto"/>
        <w:rPr>
          <w:sz w:val="20"/>
          <w:szCs w:val="20"/>
          <w:color w:val="auto"/>
        </w:rPr>
      </w:pPr>
      <w:r>
        <w:rPr>
          <w:rFonts w:ascii="Times New Roman" w:cs="Times New Roman" w:eastAsia="Times New Roman" w:hAnsi="Times New Roman"/>
          <w:sz w:val="16"/>
          <w:szCs w:val="16"/>
          <w:color w:val="auto"/>
        </w:rPr>
        <w:t>Network, in partnership with Community Wealth Builders,</w:t>
      </w:r>
    </w:p>
    <w:p>
      <w:pPr>
        <w:spacing w:after="0" w:line="204" w:lineRule="auto"/>
        <w:rPr>
          <w:sz w:val="20"/>
          <w:szCs w:val="20"/>
          <w:color w:val="auto"/>
        </w:rPr>
      </w:pPr>
      <w:r>
        <w:rPr>
          <w:rFonts w:ascii="Times New Roman" w:cs="Times New Roman" w:eastAsia="Times New Roman" w:hAnsi="Times New Roman"/>
          <w:sz w:val="16"/>
          <w:szCs w:val="16"/>
          <w:color w:val="auto"/>
        </w:rPr>
        <w:t>whose innovative financial empowerment program will</w:t>
      </w:r>
    </w:p>
    <w:p>
      <w:pPr>
        <w:spacing w:after="0"/>
        <w:rPr>
          <w:sz w:val="20"/>
          <w:szCs w:val="20"/>
          <w:color w:val="auto"/>
        </w:rPr>
      </w:pPr>
      <w:r>
        <w:rPr>
          <w:rFonts w:ascii="Times New Roman" w:cs="Times New Roman" w:eastAsia="Times New Roman" w:hAnsi="Times New Roman"/>
          <w:sz w:val="16"/>
          <w:szCs w:val="16"/>
          <w:color w:val="auto"/>
        </w:rPr>
        <w:t>empower the local Baltimore community.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Item 1A. Risk Factors</w:t>
      </w:r>
    </w:p>
    <w:p>
      <w:pPr>
        <w:spacing w:after="0" w:line="233" w:lineRule="auto"/>
        <w:rPr>
          <w:sz w:val="20"/>
          <w:szCs w:val="20"/>
          <w:color w:val="auto"/>
        </w:rPr>
      </w:pPr>
      <w:r>
        <w:rPr>
          <w:rFonts w:ascii="Times New Roman" w:cs="Times New Roman" w:eastAsia="Times New Roman" w:hAnsi="Times New Roman"/>
          <w:sz w:val="14"/>
          <w:szCs w:val="14"/>
          <w:i w:val="1"/>
          <w:iCs w:val="1"/>
          <w:color w:val="auto"/>
        </w:rPr>
        <w:t>The risks and uncertainties described below are not the only</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ones facing us. Additional risks and uncertainties not</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presently known to us or that we currently believe to be</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immaterial may also adversely affect our business. If any of</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the following risks actually occur, our business, financial</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condition, or operating results could be adversely affected.</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OUR BUSINESS AND</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INDUSTRY</w:t>
      </w:r>
    </w:p>
    <w:p>
      <w:pP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Economic conditions and market factors, which are beyond</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our control, may adversely affect our business and financial</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condition.</w:t>
      </w:r>
    </w:p>
    <w:p>
      <w:pPr>
        <w:spacing w:after="0" w:line="204" w:lineRule="auto"/>
        <w:rPr>
          <w:sz w:val="20"/>
          <w:szCs w:val="20"/>
          <w:color w:val="auto"/>
        </w:rPr>
      </w:pPr>
      <w:r>
        <w:rPr>
          <w:rFonts w:ascii="Times New Roman" w:cs="Times New Roman" w:eastAsia="Times New Roman" w:hAnsi="Times New Roman"/>
          <w:sz w:val="16"/>
          <w:szCs w:val="16"/>
          <w:color w:val="auto"/>
        </w:rPr>
        <w:t>Our business performance is impacted by a number of</w:t>
      </w:r>
    </w:p>
    <w:p>
      <w:pPr>
        <w:spacing w:after="0" w:line="203" w:lineRule="auto"/>
        <w:rPr>
          <w:sz w:val="20"/>
          <w:szCs w:val="20"/>
          <w:color w:val="auto"/>
        </w:rPr>
      </w:pPr>
      <w:r>
        <w:rPr>
          <w:rFonts w:ascii="Times New Roman" w:cs="Times New Roman" w:eastAsia="Times New Roman" w:hAnsi="Times New Roman"/>
          <w:sz w:val="16"/>
          <w:szCs w:val="16"/>
          <w:color w:val="auto"/>
        </w:rPr>
        <w:t>factors, including general economic conditions, current or</w:t>
      </w:r>
    </w:p>
    <w:p>
      <w:pPr>
        <w:spacing w:after="0" w:line="233" w:lineRule="auto"/>
        <w:rPr>
          <w:sz w:val="20"/>
          <w:szCs w:val="20"/>
          <w:color w:val="auto"/>
        </w:rPr>
      </w:pPr>
      <w:r>
        <w:rPr>
          <w:rFonts w:ascii="Times New Roman" w:cs="Times New Roman" w:eastAsia="Times New Roman" w:hAnsi="Times New Roman"/>
          <w:sz w:val="14"/>
          <w:szCs w:val="14"/>
          <w:color w:val="auto"/>
        </w:rPr>
        <w:t>expected inflation, interest rate fluctuations, market volatility,</w:t>
      </w:r>
    </w:p>
    <w:p>
      <w:pPr>
        <w:spacing w:after="0" w:line="204" w:lineRule="auto"/>
        <w:rPr>
          <w:sz w:val="20"/>
          <w:szCs w:val="20"/>
          <w:color w:val="auto"/>
        </w:rPr>
      </w:pPr>
      <w:r>
        <w:rPr>
          <w:rFonts w:ascii="Times New Roman" w:cs="Times New Roman" w:eastAsia="Times New Roman" w:hAnsi="Times New Roman"/>
          <w:sz w:val="16"/>
          <w:szCs w:val="16"/>
          <w:color w:val="auto"/>
        </w:rPr>
        <w:t>changes in investment patterns and priorities, regulatory</w:t>
      </w:r>
    </w:p>
    <w:p>
      <w:pPr>
        <w:spacing w:after="0" w:line="232" w:lineRule="auto"/>
        <w:rPr>
          <w:sz w:val="20"/>
          <w:szCs w:val="20"/>
          <w:color w:val="auto"/>
        </w:rPr>
      </w:pPr>
      <w:r>
        <w:rPr>
          <w:rFonts w:ascii="Times New Roman" w:cs="Times New Roman" w:eastAsia="Times New Roman" w:hAnsi="Times New Roman"/>
          <w:sz w:val="14"/>
          <w:szCs w:val="14"/>
          <w:color w:val="auto"/>
        </w:rPr>
        <w:t>shifts, pandemics and other factors that are generally beyond</w:t>
      </w:r>
    </w:p>
    <w:p>
      <w:pPr>
        <w:spacing w:after="0" w:line="204" w:lineRule="auto"/>
        <w:rPr>
          <w:sz w:val="20"/>
          <w:szCs w:val="20"/>
          <w:color w:val="auto"/>
        </w:rPr>
      </w:pPr>
      <w:r>
        <w:rPr>
          <w:rFonts w:ascii="Times New Roman" w:cs="Times New Roman" w:eastAsia="Times New Roman" w:hAnsi="Times New Roman"/>
          <w:sz w:val="16"/>
          <w:szCs w:val="16"/>
          <w:color w:val="auto"/>
        </w:rPr>
        <w:t>our control. To the extent that global or national economic</w:t>
      </w:r>
    </w:p>
    <w:p>
      <w:pPr>
        <w:spacing w:after="0" w:line="232" w:lineRule="auto"/>
        <w:rPr>
          <w:sz w:val="20"/>
          <w:szCs w:val="20"/>
          <w:color w:val="auto"/>
        </w:rPr>
      </w:pPr>
      <w:r>
        <w:rPr>
          <w:rFonts w:ascii="Times New Roman" w:cs="Times New Roman" w:eastAsia="Times New Roman" w:hAnsi="Times New Roman"/>
          <w:sz w:val="14"/>
          <w:szCs w:val="14"/>
          <w:color w:val="auto"/>
        </w:rPr>
        <w:t>conditions weaken and result in slower growth or recessions,</w:t>
      </w:r>
    </w:p>
    <w:p>
      <w:pPr>
        <w:spacing w:after="0" w:line="204" w:lineRule="auto"/>
        <w:rPr>
          <w:sz w:val="20"/>
          <w:szCs w:val="20"/>
          <w:color w:val="auto"/>
        </w:rPr>
      </w:pPr>
      <w:r>
        <w:rPr>
          <w:rFonts w:ascii="Times New Roman" w:cs="Times New Roman" w:eastAsia="Times New Roman" w:hAnsi="Times New Roman"/>
          <w:sz w:val="16"/>
          <w:szCs w:val="16"/>
          <w:color w:val="auto"/>
        </w:rPr>
        <w:t>our business may be negatively impacted. Adverse market</w:t>
      </w:r>
    </w:p>
    <w:p>
      <w:pPr>
        <w:spacing w:after="0" w:line="203" w:lineRule="auto"/>
        <w:rPr>
          <w:sz w:val="20"/>
          <w:szCs w:val="20"/>
          <w:color w:val="auto"/>
        </w:rPr>
      </w:pPr>
      <w:r>
        <w:rPr>
          <w:rFonts w:ascii="Times New Roman" w:cs="Times New Roman" w:eastAsia="Times New Roman" w:hAnsi="Times New Roman"/>
          <w:sz w:val="16"/>
          <w:szCs w:val="16"/>
          <w:color w:val="auto"/>
        </w:rPr>
        <w:t>conditions could reduce customer demand for our services</w:t>
      </w:r>
    </w:p>
    <w:p>
      <w:pPr>
        <w:spacing w:after="0" w:line="204" w:lineRule="auto"/>
        <w:rPr>
          <w:sz w:val="20"/>
          <w:szCs w:val="20"/>
          <w:color w:val="auto"/>
        </w:rPr>
      </w:pPr>
      <w:r>
        <w:rPr>
          <w:rFonts w:ascii="Times New Roman" w:cs="Times New Roman" w:eastAsia="Times New Roman" w:hAnsi="Times New Roman"/>
          <w:sz w:val="16"/>
          <w:szCs w:val="16"/>
          <w:color w:val="auto"/>
        </w:rPr>
        <w:t>and the ability of our customers, lenders and other</w:t>
      </w:r>
    </w:p>
    <w:p>
      <w:pPr>
        <w:spacing w:after="0" w:line="233" w:lineRule="auto"/>
        <w:rPr>
          <w:sz w:val="20"/>
          <w:szCs w:val="20"/>
          <w:color w:val="auto"/>
        </w:rPr>
      </w:pPr>
      <w:r>
        <w:rPr>
          <w:rFonts w:ascii="Times New Roman" w:cs="Times New Roman" w:eastAsia="Times New Roman" w:hAnsi="Times New Roman"/>
          <w:sz w:val="14"/>
          <w:szCs w:val="14"/>
          <w:color w:val="auto"/>
        </w:rPr>
        <w:t>counterparties to meet their obligations to us. Poor economic</w:t>
      </w:r>
    </w:p>
    <w:p>
      <w:pPr>
        <w:spacing w:after="0" w:line="203" w:lineRule="auto"/>
        <w:rPr>
          <w:sz w:val="20"/>
          <w:szCs w:val="20"/>
          <w:color w:val="auto"/>
        </w:rPr>
      </w:pPr>
      <w:r>
        <w:rPr>
          <w:rFonts w:ascii="Times New Roman" w:cs="Times New Roman" w:eastAsia="Times New Roman" w:hAnsi="Times New Roman"/>
          <w:sz w:val="16"/>
          <w:szCs w:val="16"/>
          <w:color w:val="auto"/>
        </w:rPr>
        <w:t>conditions may result in a reduction in the demand for our</w:t>
      </w:r>
    </w:p>
    <w:p>
      <w:pPr>
        <w:spacing w:after="0" w:line="204" w:lineRule="auto"/>
        <w:rPr>
          <w:sz w:val="20"/>
          <w:szCs w:val="20"/>
          <w:color w:val="auto"/>
        </w:rPr>
      </w:pPr>
      <w:r>
        <w:rPr>
          <w:rFonts w:ascii="Times New Roman" w:cs="Times New Roman" w:eastAsia="Times New Roman" w:hAnsi="Times New Roman"/>
          <w:sz w:val="16"/>
          <w:szCs w:val="16"/>
          <w:color w:val="auto"/>
        </w:rPr>
        <w:t>products and services, including data, indices and corporate</w:t>
      </w:r>
    </w:p>
    <w:p>
      <w:pPr>
        <w:spacing w:after="0" w:line="232" w:lineRule="auto"/>
        <w:rPr>
          <w:sz w:val="20"/>
          <w:szCs w:val="20"/>
          <w:color w:val="auto"/>
        </w:rPr>
      </w:pPr>
      <w:r>
        <w:rPr>
          <w:rFonts w:ascii="Times New Roman" w:cs="Times New Roman" w:eastAsia="Times New Roman" w:hAnsi="Times New Roman"/>
          <w:sz w:val="14"/>
          <w:szCs w:val="14"/>
          <w:color w:val="auto"/>
        </w:rPr>
        <w:t>solutions, or could result in a decline in the number of IPOs,</w:t>
      </w:r>
    </w:p>
    <w:p>
      <w:pPr>
        <w:spacing w:after="0" w:line="204" w:lineRule="auto"/>
        <w:rPr>
          <w:sz w:val="20"/>
          <w:szCs w:val="20"/>
          <w:color w:val="auto"/>
        </w:rPr>
      </w:pPr>
      <w:r>
        <w:rPr>
          <w:rFonts w:ascii="Times New Roman" w:cs="Times New Roman" w:eastAsia="Times New Roman" w:hAnsi="Times New Roman"/>
          <w:sz w:val="16"/>
          <w:szCs w:val="16"/>
          <w:color w:val="auto"/>
        </w:rPr>
        <w:t>reduced trading volumes or values and deterioration of the</w:t>
      </w:r>
    </w:p>
    <w:p>
      <w:pPr>
        <w:spacing w:after="0" w:line="233" w:lineRule="auto"/>
        <w:rPr>
          <w:sz w:val="20"/>
          <w:szCs w:val="20"/>
          <w:color w:val="auto"/>
        </w:rPr>
      </w:pPr>
      <w:r>
        <w:rPr>
          <w:rFonts w:ascii="Times New Roman" w:cs="Times New Roman" w:eastAsia="Times New Roman" w:hAnsi="Times New Roman"/>
          <w:sz w:val="14"/>
          <w:szCs w:val="14"/>
          <w:color w:val="auto"/>
        </w:rPr>
        <w:t>economic welfare of our listed companies, which could cause</w:t>
      </w:r>
    </w:p>
    <w:p>
      <w:pPr>
        <w:spacing w:after="0" w:line="203" w:lineRule="auto"/>
        <w:rPr>
          <w:sz w:val="20"/>
          <w:szCs w:val="20"/>
          <w:color w:val="auto"/>
        </w:rPr>
      </w:pPr>
      <w:r>
        <w:rPr>
          <w:rFonts w:ascii="Times New Roman" w:cs="Times New Roman" w:eastAsia="Times New Roman" w:hAnsi="Times New Roman"/>
          <w:sz w:val="16"/>
          <w:szCs w:val="16"/>
          <w:color w:val="auto"/>
        </w:rPr>
        <w:t>an increase in delistings. The demand for our Regulatory</w:t>
      </w:r>
    </w:p>
    <w:p>
      <w:pPr>
        <w:spacing w:after="0" w:line="204" w:lineRule="auto"/>
        <w:rPr>
          <w:sz w:val="20"/>
          <w:szCs w:val="20"/>
          <w:color w:val="auto"/>
        </w:rPr>
      </w:pPr>
      <w:r>
        <w:rPr>
          <w:rFonts w:ascii="Times New Roman" w:cs="Times New Roman" w:eastAsia="Times New Roman" w:hAnsi="Times New Roman"/>
          <w:sz w:val="16"/>
          <w:szCs w:val="16"/>
          <w:color w:val="auto"/>
        </w:rPr>
        <w:t>Technology, Capital Markets Technology and Financial</w:t>
      </w:r>
    </w:p>
    <w:p>
      <w:pPr>
        <w:spacing w:after="0" w:line="203" w:lineRule="auto"/>
        <w:rPr>
          <w:sz w:val="20"/>
          <w:szCs w:val="20"/>
          <w:color w:val="auto"/>
        </w:rPr>
      </w:pPr>
      <w:r>
        <w:rPr>
          <w:rFonts w:ascii="Times New Roman" w:cs="Times New Roman" w:eastAsia="Times New Roman" w:hAnsi="Times New Roman"/>
          <w:sz w:val="16"/>
          <w:szCs w:val="16"/>
          <w:color w:val="auto"/>
        </w:rPr>
        <w:t>Crime Management Technology offerings are primarily</w:t>
      </w:r>
    </w:p>
    <w:p>
      <w:pPr>
        <w:spacing w:after="0" w:line="204" w:lineRule="auto"/>
        <w:rPr>
          <w:sz w:val="20"/>
          <w:szCs w:val="20"/>
          <w:color w:val="auto"/>
        </w:rPr>
      </w:pPr>
      <w:r>
        <w:rPr>
          <w:rFonts w:ascii="Times New Roman" w:cs="Times New Roman" w:eastAsia="Times New Roman" w:hAnsi="Times New Roman"/>
          <w:sz w:val="16"/>
          <w:szCs w:val="16"/>
          <w:color w:val="auto"/>
        </w:rPr>
        <w:t>influenced by regulatory changes and the financial strength</w:t>
      </w:r>
    </w:p>
    <w:p>
      <w:pPr>
        <w:spacing w:after="0" w:line="203" w:lineRule="auto"/>
        <w:rPr>
          <w:sz w:val="20"/>
          <w:szCs w:val="20"/>
          <w:color w:val="auto"/>
        </w:rPr>
      </w:pPr>
      <w:r>
        <w:rPr>
          <w:rFonts w:ascii="Times New Roman" w:cs="Times New Roman" w:eastAsia="Times New Roman" w:hAnsi="Times New Roman"/>
          <w:sz w:val="16"/>
          <w:szCs w:val="16"/>
          <w:color w:val="auto"/>
        </w:rPr>
        <w:t>and growth plans of our clients at any given time, and such</w:t>
      </w:r>
    </w:p>
    <w:p>
      <w:pPr>
        <w:spacing w:after="0" w:line="233" w:lineRule="auto"/>
        <w:rPr>
          <w:sz w:val="20"/>
          <w:szCs w:val="20"/>
          <w:color w:val="auto"/>
        </w:rPr>
      </w:pPr>
      <w:r>
        <w:rPr>
          <w:rFonts w:ascii="Times New Roman" w:cs="Times New Roman" w:eastAsia="Times New Roman" w:hAnsi="Times New Roman"/>
          <w:sz w:val="14"/>
          <w:szCs w:val="14"/>
          <w:color w:val="auto"/>
        </w:rPr>
        <w:t>demand may be adversely affected by economic, political and</w:t>
      </w:r>
    </w:p>
    <w:p>
      <w:pPr>
        <w:spacing w:after="0" w:line="204" w:lineRule="auto"/>
        <w:rPr>
          <w:sz w:val="20"/>
          <w:szCs w:val="20"/>
          <w:color w:val="auto"/>
        </w:rPr>
      </w:pPr>
      <w:r>
        <w:rPr>
          <w:rFonts w:ascii="Times New Roman" w:cs="Times New Roman" w:eastAsia="Times New Roman" w:hAnsi="Times New Roman"/>
          <w:sz w:val="16"/>
          <w:szCs w:val="16"/>
          <w:color w:val="auto"/>
        </w:rPr>
        <w:t>geopolitical market conditions.</w:t>
      </w:r>
    </w:p>
    <w:p>
      <w:pPr>
        <w:spacing w:after="0" w:line="203" w:lineRule="auto"/>
        <w:rPr>
          <w:sz w:val="20"/>
          <w:szCs w:val="20"/>
          <w:color w:val="auto"/>
        </w:rPr>
      </w:pPr>
      <w:r>
        <w:rPr>
          <w:rFonts w:ascii="Times New Roman" w:cs="Times New Roman" w:eastAsia="Times New Roman" w:hAnsi="Times New Roman"/>
          <w:sz w:val="16"/>
          <w:szCs w:val="16"/>
          <w:color w:val="auto"/>
        </w:rPr>
        <w:t>Trading volumes and values are driven primarily by general</w:t>
      </w:r>
    </w:p>
    <w:p>
      <w:pPr>
        <w:spacing w:after="0" w:line="233" w:lineRule="auto"/>
        <w:rPr>
          <w:sz w:val="20"/>
          <w:szCs w:val="20"/>
          <w:color w:val="auto"/>
        </w:rPr>
      </w:pPr>
      <w:r>
        <w:rPr>
          <w:rFonts w:ascii="Times New Roman" w:cs="Times New Roman" w:eastAsia="Times New Roman" w:hAnsi="Times New Roman"/>
          <w:sz w:val="14"/>
          <w:szCs w:val="14"/>
          <w:color w:val="auto"/>
        </w:rPr>
        <w:t>market conditions and declines in trading volumes or values</w:t>
      </w:r>
    </w:p>
    <w:p>
      <w:pPr>
        <w:spacing w:after="0" w:line="203" w:lineRule="auto"/>
        <w:rPr>
          <w:sz w:val="20"/>
          <w:szCs w:val="20"/>
          <w:color w:val="auto"/>
        </w:rPr>
      </w:pPr>
      <w:r>
        <w:rPr>
          <w:rFonts w:ascii="Times New Roman" w:cs="Times New Roman" w:eastAsia="Times New Roman" w:hAnsi="Times New Roman"/>
          <w:sz w:val="16"/>
          <w:szCs w:val="16"/>
          <w:color w:val="auto"/>
        </w:rPr>
        <w:t>may affect our market share and impact our pricing. In</w:t>
      </w:r>
    </w:p>
    <w:p>
      <w:pPr>
        <w:spacing w:after="0" w:line="204" w:lineRule="auto"/>
        <w:rPr>
          <w:sz w:val="20"/>
          <w:szCs w:val="20"/>
          <w:color w:val="auto"/>
        </w:rPr>
      </w:pPr>
      <w:r>
        <w:rPr>
          <w:rFonts w:ascii="Times New Roman" w:cs="Times New Roman" w:eastAsia="Times New Roman" w:hAnsi="Times New Roman"/>
          <w:sz w:val="16"/>
          <w:szCs w:val="16"/>
          <w:color w:val="auto"/>
        </w:rPr>
        <w:t>addition, our Market Services businesses receive revenues</w:t>
      </w:r>
    </w:p>
    <w:p>
      <w:pPr>
        <w:spacing w:after="0" w:line="233" w:lineRule="auto"/>
        <w:rPr>
          <w:sz w:val="20"/>
          <w:szCs w:val="20"/>
          <w:color w:val="auto"/>
        </w:rPr>
      </w:pPr>
      <w:r>
        <w:rPr>
          <w:rFonts w:ascii="Times New Roman" w:cs="Times New Roman" w:eastAsia="Times New Roman" w:hAnsi="Times New Roman"/>
          <w:sz w:val="14"/>
          <w:szCs w:val="14"/>
          <w:color w:val="auto"/>
        </w:rPr>
        <w:t>from a relatively small number of customers concentrated in</w:t>
      </w:r>
    </w:p>
    <w:p>
      <w:pPr>
        <w:spacing w:after="0" w:line="232" w:lineRule="auto"/>
        <w:rPr>
          <w:sz w:val="20"/>
          <w:szCs w:val="20"/>
          <w:color w:val="auto"/>
        </w:rPr>
      </w:pPr>
      <w:r>
        <w:rPr>
          <w:rFonts w:ascii="Times New Roman" w:cs="Times New Roman" w:eastAsia="Times New Roman" w:hAnsi="Times New Roman"/>
          <w:sz w:val="14"/>
          <w:szCs w:val="14"/>
          <w:color w:val="auto"/>
        </w:rPr>
        <w:t>the financial industry, so any event that impacts one or more</w:t>
      </w:r>
    </w:p>
    <w:p>
      <w:pPr>
        <w:spacing w:after="0" w:line="204" w:lineRule="auto"/>
        <w:rPr>
          <w:sz w:val="20"/>
          <w:szCs w:val="20"/>
          <w:color w:val="auto"/>
        </w:rPr>
      </w:pPr>
      <w:r>
        <w:rPr>
          <w:rFonts w:ascii="Times New Roman" w:cs="Times New Roman" w:eastAsia="Times New Roman" w:hAnsi="Times New Roman"/>
          <w:sz w:val="16"/>
          <w:szCs w:val="16"/>
          <w:color w:val="auto"/>
        </w:rPr>
        <w:t>customers or the financial industry in general could impact</w:t>
      </w:r>
    </w:p>
    <w:p>
      <w:pPr>
        <w:spacing w:after="0" w:line="203" w:lineRule="auto"/>
        <w:rPr>
          <w:sz w:val="20"/>
          <w:szCs w:val="20"/>
          <w:color w:val="auto"/>
        </w:rPr>
      </w:pPr>
      <w:r>
        <w:rPr>
          <w:rFonts w:ascii="Times New Roman" w:cs="Times New Roman" w:eastAsia="Times New Roman" w:hAnsi="Times New Roman"/>
          <w:sz w:val="16"/>
          <w:szCs w:val="16"/>
          <w:color w:val="auto"/>
        </w:rPr>
        <w:t>our revenues.</w:t>
      </w:r>
    </w:p>
    <w:p>
      <w:pPr>
        <w:spacing w:after="0" w:line="233" w:lineRule="auto"/>
        <w:rPr>
          <w:sz w:val="20"/>
          <w:szCs w:val="20"/>
          <w:color w:val="auto"/>
        </w:rPr>
      </w:pPr>
      <w:r>
        <w:rPr>
          <w:rFonts w:ascii="Times New Roman" w:cs="Times New Roman" w:eastAsia="Times New Roman" w:hAnsi="Times New Roman"/>
          <w:sz w:val="14"/>
          <w:szCs w:val="14"/>
          <w:color w:val="auto"/>
        </w:rPr>
        <w:t>The number of listings on our markets is primarily influenced</w:t>
      </w:r>
    </w:p>
    <w:p>
      <w:pPr>
        <w:spacing w:after="0" w:line="203" w:lineRule="auto"/>
        <w:rPr>
          <w:sz w:val="20"/>
          <w:szCs w:val="20"/>
          <w:color w:val="auto"/>
        </w:rPr>
      </w:pPr>
      <w:r>
        <w:rPr>
          <w:rFonts w:ascii="Times New Roman" w:cs="Times New Roman" w:eastAsia="Times New Roman" w:hAnsi="Times New Roman"/>
          <w:sz w:val="16"/>
          <w:szCs w:val="16"/>
          <w:color w:val="auto"/>
        </w:rPr>
        <w:t>by factors such as investor demand, the global economy,</w:t>
      </w:r>
    </w:p>
    <w:p>
      <w:pPr>
        <w:spacing w:after="0" w:line="204" w:lineRule="auto"/>
        <w:rPr>
          <w:sz w:val="20"/>
          <w:szCs w:val="20"/>
          <w:color w:val="auto"/>
        </w:rPr>
      </w:pPr>
      <w:r>
        <w:rPr>
          <w:rFonts w:ascii="Times New Roman" w:cs="Times New Roman" w:eastAsia="Times New Roman" w:hAnsi="Times New Roman"/>
          <w:sz w:val="16"/>
          <w:szCs w:val="16"/>
          <w:color w:val="auto"/>
        </w:rPr>
        <w:t>available sources of financing, and tax and regulatory</w:t>
      </w:r>
    </w:p>
    <w:p>
      <w:pPr>
        <w:spacing w:after="0" w:line="204" w:lineRule="auto"/>
        <w:rPr>
          <w:sz w:val="20"/>
          <w:szCs w:val="20"/>
          <w:color w:val="auto"/>
        </w:rPr>
      </w:pPr>
      <w:r>
        <w:rPr>
          <w:rFonts w:ascii="Times New Roman" w:cs="Times New Roman" w:eastAsia="Times New Roman" w:hAnsi="Times New Roman"/>
          <w:sz w:val="16"/>
          <w:szCs w:val="16"/>
          <w:color w:val="auto"/>
        </w:rPr>
        <w:t>policies. Adverse conditions or regulatory changes may</w:t>
      </w:r>
    </w:p>
    <w:p>
      <w:pPr>
        <w:spacing w:after="0" w:line="232" w:lineRule="auto"/>
        <w:rPr>
          <w:sz w:val="20"/>
          <w:szCs w:val="20"/>
          <w:color w:val="auto"/>
        </w:rPr>
      </w:pPr>
      <w:r>
        <w:rPr>
          <w:rFonts w:ascii="Times New Roman" w:cs="Times New Roman" w:eastAsia="Times New Roman" w:hAnsi="Times New Roman"/>
          <w:sz w:val="14"/>
          <w:szCs w:val="14"/>
          <w:color w:val="auto"/>
        </w:rPr>
        <w:t>jeopardize the ability of our listed companies to comply with</w:t>
      </w:r>
    </w:p>
    <w:p>
      <w:pPr>
        <w:spacing w:after="0" w:line="204" w:lineRule="auto"/>
        <w:rPr>
          <w:sz w:val="20"/>
          <w:szCs w:val="20"/>
          <w:color w:val="auto"/>
        </w:rPr>
      </w:pPr>
      <w:r>
        <w:rPr>
          <w:rFonts w:ascii="Times New Roman" w:cs="Times New Roman" w:eastAsia="Times New Roman" w:hAnsi="Times New Roman"/>
          <w:sz w:val="16"/>
          <w:szCs w:val="16"/>
          <w:color w:val="auto"/>
        </w:rPr>
        <w:t>the continued listing requirements of our exchanges, or</w:t>
      </w:r>
    </w:p>
    <w:p>
      <w:pPr>
        <w:spacing w:after="0" w:line="203" w:lineRule="auto"/>
        <w:rPr>
          <w:sz w:val="20"/>
          <w:szCs w:val="20"/>
          <w:color w:val="auto"/>
        </w:rPr>
      </w:pPr>
      <w:r>
        <w:rPr>
          <w:rFonts w:ascii="Times New Roman" w:cs="Times New Roman" w:eastAsia="Times New Roman" w:hAnsi="Times New Roman"/>
          <w:sz w:val="16"/>
          <w:szCs w:val="16"/>
          <w:color w:val="auto"/>
        </w:rPr>
        <w:t>reduce the number of issuers launching IPOs, including</w:t>
      </w:r>
    </w:p>
    <w:p>
      <w:pPr>
        <w:spacing w:after="0" w:line="233" w:lineRule="auto"/>
        <w:rPr>
          <w:sz w:val="20"/>
          <w:szCs w:val="20"/>
          <w:color w:val="auto"/>
        </w:rPr>
      </w:pPr>
      <w:r>
        <w:rPr>
          <w:rFonts w:ascii="Times New Roman" w:cs="Times New Roman" w:eastAsia="Times New Roman" w:hAnsi="Times New Roman"/>
          <w:sz w:val="14"/>
          <w:szCs w:val="14"/>
          <w:color w:val="auto"/>
        </w:rPr>
        <w:t>SPACs, and direct listings. While the number of IPOs on our</w:t>
      </w:r>
    </w:p>
    <w:p>
      <w:pPr>
        <w:spacing w:after="0" w:line="233" w:lineRule="auto"/>
        <w:rPr>
          <w:sz w:val="20"/>
          <w:szCs w:val="20"/>
          <w:color w:val="auto"/>
        </w:rPr>
      </w:pPr>
      <w:r>
        <w:rPr>
          <w:rFonts w:ascii="Times New Roman" w:cs="Times New Roman" w:eastAsia="Times New Roman" w:hAnsi="Times New Roman"/>
          <w:sz w:val="14"/>
          <w:szCs w:val="14"/>
          <w:color w:val="auto"/>
        </w:rPr>
        <w:t>exchanges increased in 2025 as compared to 2024, there is no</w:t>
      </w:r>
    </w:p>
    <w:p>
      <w:pPr>
        <w:spacing w:after="0" w:line="232" w:lineRule="auto"/>
        <w:rPr>
          <w:sz w:val="20"/>
          <w:szCs w:val="20"/>
          <w:color w:val="auto"/>
        </w:rPr>
      </w:pPr>
      <w:r>
        <w:rPr>
          <w:rFonts w:ascii="Times New Roman" w:cs="Times New Roman" w:eastAsia="Times New Roman" w:hAnsi="Times New Roman"/>
          <w:sz w:val="14"/>
          <w:szCs w:val="14"/>
          <w:color w:val="auto"/>
        </w:rPr>
        <w:t>assurance that demand for IPOs will continue at the same or</w:t>
      </w:r>
    </w:p>
    <w:p>
      <w:pPr>
        <w:spacing w:after="0" w:line="204" w:lineRule="auto"/>
        <w:rPr>
          <w:sz w:val="20"/>
          <w:szCs w:val="20"/>
          <w:color w:val="auto"/>
        </w:rPr>
      </w:pPr>
      <w:r>
        <w:rPr>
          <w:rFonts w:ascii="Times New Roman" w:cs="Times New Roman" w:eastAsia="Times New Roman" w:hAnsi="Times New Roman"/>
          <w:sz w:val="16"/>
          <w:szCs w:val="16"/>
          <w:color w:val="auto"/>
        </w:rPr>
        <w:t>higher rate.</w:t>
      </w:r>
    </w:p>
    <w:p>
      <w:pPr>
        <w:spacing w:after="0" w:line="203" w:lineRule="auto"/>
        <w:rPr>
          <w:sz w:val="20"/>
          <w:szCs w:val="20"/>
          <w:color w:val="auto"/>
        </w:rPr>
      </w:pPr>
      <w:r>
        <w:rPr>
          <w:rFonts w:ascii="Times New Roman" w:cs="Times New Roman" w:eastAsia="Times New Roman" w:hAnsi="Times New Roman"/>
          <w:sz w:val="16"/>
          <w:szCs w:val="16"/>
          <w:color w:val="auto"/>
        </w:rPr>
        <w:t>Our Capital Access Platforms segment may be significantly</w:t>
      </w:r>
    </w:p>
    <w:p>
      <w:pPr>
        <w:spacing w:after="0" w:line="204" w:lineRule="auto"/>
        <w:rPr>
          <w:sz w:val="20"/>
          <w:szCs w:val="20"/>
          <w:color w:val="auto"/>
        </w:rPr>
      </w:pPr>
      <w:r>
        <w:rPr>
          <w:rFonts w:ascii="Times New Roman" w:cs="Times New Roman" w:eastAsia="Times New Roman" w:hAnsi="Times New Roman"/>
          <w:sz w:val="16"/>
          <w:szCs w:val="16"/>
          <w:color w:val="auto"/>
        </w:rPr>
        <w:t>affected by global economic conditions. Professional</w:t>
      </w:r>
    </w:p>
    <w:p>
      <w:pPr>
        <w:spacing w:after="0" w:line="203" w:lineRule="auto"/>
        <w:rPr>
          <w:sz w:val="20"/>
          <w:szCs w:val="20"/>
          <w:color w:val="auto"/>
        </w:rPr>
      </w:pPr>
      <w:r>
        <w:rPr>
          <w:rFonts w:ascii="Times New Roman" w:cs="Times New Roman" w:eastAsia="Times New Roman" w:hAnsi="Times New Roman"/>
          <w:sz w:val="16"/>
          <w:szCs w:val="16"/>
          <w:color w:val="auto"/>
        </w:rPr>
        <w:t>subscriptions to our data products are at risk if staff</w:t>
      </w:r>
    </w:p>
    <w:p>
      <w:pPr>
        <w:spacing w:after="0" w:line="204" w:lineRule="auto"/>
        <w:rPr>
          <w:sz w:val="20"/>
          <w:szCs w:val="20"/>
          <w:color w:val="auto"/>
        </w:rPr>
      </w:pPr>
      <w:r>
        <w:rPr>
          <w:rFonts w:ascii="Times New Roman" w:cs="Times New Roman" w:eastAsia="Times New Roman" w:hAnsi="Times New Roman"/>
          <w:sz w:val="16"/>
          <w:szCs w:val="16"/>
          <w:color w:val="auto"/>
        </w:rPr>
        <w:t>reductions occur in financial services companies or if our</w:t>
      </w:r>
    </w:p>
    <w:p>
      <w:pPr>
        <w:spacing w:after="0" w:line="203" w:lineRule="auto"/>
        <w:rPr>
          <w:sz w:val="20"/>
          <w:szCs w:val="20"/>
          <w:color w:val="auto"/>
        </w:rPr>
      </w:pPr>
      <w:r>
        <w:rPr>
          <w:rFonts w:ascii="Times New Roman" w:cs="Times New Roman" w:eastAsia="Times New Roman" w:hAnsi="Times New Roman"/>
          <w:sz w:val="16"/>
          <w:szCs w:val="16"/>
          <w:color w:val="auto"/>
        </w:rPr>
        <w:t>customers consolidate, which could result in significant</w:t>
      </w:r>
    </w:p>
    <w:p>
      <w:pPr>
        <w:spacing w:after="0" w:line="204" w:lineRule="auto"/>
        <w:rPr>
          <w:sz w:val="20"/>
          <w:szCs w:val="20"/>
          <w:color w:val="auto"/>
        </w:rPr>
      </w:pPr>
      <w:r>
        <w:rPr>
          <w:rFonts w:ascii="Times New Roman" w:cs="Times New Roman" w:eastAsia="Times New Roman" w:hAnsi="Times New Roman"/>
          <w:sz w:val="16"/>
          <w:szCs w:val="16"/>
          <w:color w:val="auto"/>
        </w:rPr>
        <w:t>reductions in our professional user revenue or expose us to</w:t>
      </w:r>
    </w:p>
    <w:p>
      <w:pPr>
        <w:spacing w:after="0" w:line="233" w:lineRule="auto"/>
        <w:rPr>
          <w:sz w:val="20"/>
          <w:szCs w:val="20"/>
          <w:color w:val="auto"/>
        </w:rPr>
      </w:pPr>
      <w:r>
        <w:rPr>
          <w:rFonts w:ascii="Times New Roman" w:cs="Times New Roman" w:eastAsia="Times New Roman" w:hAnsi="Times New Roman"/>
          <w:sz w:val="14"/>
          <w:szCs w:val="14"/>
          <w:color w:val="auto"/>
        </w:rPr>
        <w:t>increased risks relating to dependence on a smaller number of</w:t>
      </w:r>
    </w:p>
    <w:p>
      <w:pPr>
        <w:spacing w:after="0" w:line="232" w:lineRule="auto"/>
        <w:rPr>
          <w:sz w:val="20"/>
          <w:szCs w:val="20"/>
          <w:color w:val="auto"/>
        </w:rPr>
      </w:pPr>
      <w:r>
        <w:rPr>
          <w:rFonts w:ascii="Times New Roman" w:cs="Times New Roman" w:eastAsia="Times New Roman" w:hAnsi="Times New Roman"/>
          <w:sz w:val="14"/>
          <w:szCs w:val="14"/>
          <w:color w:val="auto"/>
        </w:rPr>
        <w:t>customers. In addition, adverse market conditions may cause</w:t>
      </w:r>
    </w:p>
    <w:p>
      <w:pPr>
        <w:spacing w:after="0" w:line="204" w:lineRule="auto"/>
        <w:rPr>
          <w:sz w:val="20"/>
          <w:szCs w:val="20"/>
          <w:color w:val="auto"/>
        </w:rPr>
      </w:pPr>
      <w:r>
        <w:rPr>
          <w:rFonts w:ascii="Times New Roman" w:cs="Times New Roman" w:eastAsia="Times New Roman" w:hAnsi="Times New Roman"/>
          <w:sz w:val="16"/>
          <w:szCs w:val="16"/>
          <w:color w:val="auto"/>
        </w:rPr>
        <w:t>reductions in the number of non-professional investors with</w:t>
      </w:r>
    </w:p>
    <w:p>
      <w:pPr>
        <w:spacing w:after="0" w:line="232" w:lineRule="auto"/>
        <w:rPr>
          <w:sz w:val="20"/>
          <w:szCs w:val="20"/>
          <w:color w:val="auto"/>
        </w:rPr>
      </w:pPr>
      <w:r>
        <w:rPr>
          <w:rFonts w:ascii="Times New Roman" w:cs="Times New Roman" w:eastAsia="Times New Roman" w:hAnsi="Times New Roman"/>
          <w:sz w:val="14"/>
          <w:szCs w:val="14"/>
          <w:color w:val="auto"/>
        </w:rPr>
        <w:t>investments in the market and in ETP AUM tracking Nasdaq</w:t>
      </w:r>
    </w:p>
    <w:p>
      <w:pPr>
        <w:spacing w:after="0" w:line="233" w:lineRule="auto"/>
        <w:rPr>
          <w:sz w:val="20"/>
          <w:szCs w:val="20"/>
          <w:color w:val="auto"/>
        </w:rPr>
      </w:pPr>
      <w:r>
        <w:rPr>
          <w:rFonts w:ascii="Times New Roman" w:cs="Times New Roman" w:eastAsia="Times New Roman" w:hAnsi="Times New Roman"/>
          <w:sz w:val="14"/>
          <w:szCs w:val="14"/>
          <w:color w:val="auto"/>
        </w:rPr>
        <w:t>indices as well as trading in futures linked to Nasdaq indices.</w:t>
      </w:r>
    </w:p>
    <w:p>
      <w:pPr>
        <w:spacing w:after="0" w:line="204" w:lineRule="auto"/>
        <w:rPr>
          <w:sz w:val="20"/>
          <w:szCs w:val="20"/>
          <w:color w:val="auto"/>
        </w:rPr>
      </w:pPr>
      <w:r>
        <w:rPr>
          <w:rFonts w:ascii="Times New Roman" w:cs="Times New Roman" w:eastAsia="Times New Roman" w:hAnsi="Times New Roman"/>
          <w:sz w:val="16"/>
          <w:szCs w:val="16"/>
          <w:color w:val="auto"/>
        </w:rPr>
        <w:t>There may be less demand for our analytics, corporate</w:t>
      </w:r>
    </w:p>
    <w:p>
      <w:pPr>
        <w:spacing w:after="0" w:line="203" w:lineRule="auto"/>
        <w:rPr>
          <w:sz w:val="20"/>
          <w:szCs w:val="20"/>
          <w:color w:val="auto"/>
        </w:rPr>
      </w:pPr>
      <w:r>
        <w:rPr>
          <w:rFonts w:ascii="Times New Roman" w:cs="Times New Roman" w:eastAsia="Times New Roman" w:hAnsi="Times New Roman"/>
          <w:sz w:val="16"/>
          <w:szCs w:val="16"/>
          <w:color w:val="auto"/>
        </w:rPr>
        <w:t>solutions, financial technology solutions and risk and</w:t>
      </w:r>
    </w:p>
    <w:p>
      <w:pPr>
        <w:spacing w:after="0" w:line="204" w:lineRule="auto"/>
        <w:rPr>
          <w:sz w:val="20"/>
          <w:szCs w:val="20"/>
          <w:color w:val="auto"/>
        </w:rPr>
      </w:pPr>
      <w:r>
        <w:rPr>
          <w:rFonts w:ascii="Times New Roman" w:cs="Times New Roman" w:eastAsia="Times New Roman" w:hAnsi="Times New Roman"/>
          <w:sz w:val="16"/>
          <w:szCs w:val="16"/>
          <w:color w:val="auto"/>
        </w:rPr>
        <w:t>regulatory products and services if global economic</w:t>
      </w:r>
    </w:p>
    <w:p>
      <w:pPr>
        <w:spacing w:after="0" w:line="203" w:lineRule="auto"/>
        <w:rPr>
          <w:sz w:val="20"/>
          <w:szCs w:val="20"/>
          <w:color w:val="auto"/>
        </w:rPr>
      </w:pPr>
      <w:r>
        <w:rPr>
          <w:rFonts w:ascii="Times New Roman" w:cs="Times New Roman" w:eastAsia="Times New Roman" w:hAnsi="Times New Roman"/>
          <w:sz w:val="16"/>
          <w:szCs w:val="16"/>
          <w:color w:val="auto"/>
        </w:rPr>
        <w:t>conditions weaken. Our customers historically reduce</w:t>
      </w:r>
    </w:p>
    <w:p>
      <w:pPr>
        <w:spacing w:after="0" w:line="233" w:lineRule="auto"/>
        <w:rPr>
          <w:sz w:val="20"/>
          <w:szCs w:val="20"/>
          <w:color w:val="auto"/>
        </w:rPr>
      </w:pPr>
      <w:r>
        <w:rPr>
          <w:rFonts w:ascii="Times New Roman" w:cs="Times New Roman" w:eastAsia="Times New Roman" w:hAnsi="Times New Roman"/>
          <w:sz w:val="14"/>
          <w:szCs w:val="14"/>
          <w:color w:val="auto"/>
        </w:rPr>
        <w:t>purchases of new services and technology when growth rates</w:t>
      </w:r>
    </w:p>
    <w:p>
      <w:pPr>
        <w:spacing w:after="0" w:line="203" w:lineRule="auto"/>
        <w:rPr>
          <w:sz w:val="20"/>
          <w:szCs w:val="20"/>
          <w:color w:val="auto"/>
        </w:rPr>
      </w:pPr>
      <w:r>
        <w:rPr>
          <w:rFonts w:ascii="Times New Roman" w:cs="Times New Roman" w:eastAsia="Times New Roman" w:hAnsi="Times New Roman"/>
          <w:sz w:val="16"/>
          <w:szCs w:val="16"/>
          <w:color w:val="auto"/>
        </w:rPr>
        <w:t>decline, thereby diminishing our opportunities to sell new</w:t>
      </w:r>
    </w:p>
    <w:p>
      <w:pPr>
        <w:spacing w:after="0" w:line="204" w:lineRule="auto"/>
        <w:rPr>
          <w:sz w:val="20"/>
          <w:szCs w:val="20"/>
          <w:color w:val="auto"/>
        </w:rPr>
      </w:pPr>
      <w:r>
        <w:rPr>
          <w:rFonts w:ascii="Times New Roman" w:cs="Times New Roman" w:eastAsia="Times New Roman" w:hAnsi="Times New Roman"/>
          <w:sz w:val="16"/>
          <w:szCs w:val="16"/>
          <w:color w:val="auto"/>
        </w:rPr>
        <w:t>products and services or upgrade existing products and</w:t>
      </w:r>
    </w:p>
    <w:p>
      <w:pPr>
        <w:spacing w:after="0" w:line="204" w:lineRule="auto"/>
        <w:rPr>
          <w:sz w:val="20"/>
          <w:szCs w:val="20"/>
          <w:color w:val="auto"/>
        </w:rPr>
      </w:pPr>
      <w:r>
        <w:rPr>
          <w:rFonts w:ascii="Times New Roman" w:cs="Times New Roman" w:eastAsia="Times New Roman" w:hAnsi="Times New Roman"/>
          <w:sz w:val="16"/>
          <w:szCs w:val="16"/>
          <w:color w:val="auto"/>
        </w:rPr>
        <w:t>services.</w:t>
      </w:r>
    </w:p>
    <w:p>
      <w:pPr>
        <w:spacing w:after="0" w:line="232" w:lineRule="auto"/>
        <w:rPr>
          <w:sz w:val="20"/>
          <w:szCs w:val="20"/>
          <w:color w:val="auto"/>
        </w:rPr>
      </w:pPr>
      <w:r>
        <w:rPr>
          <w:rFonts w:ascii="Times New Roman" w:cs="Times New Roman" w:eastAsia="Times New Roman" w:hAnsi="Times New Roman"/>
          <w:sz w:val="14"/>
          <w:szCs w:val="14"/>
          <w:color w:val="auto"/>
        </w:rPr>
        <w:t>Additionally, during a global economic downturn, or periods</w:t>
      </w:r>
    </w:p>
    <w:p>
      <w:pPr>
        <w:spacing w:after="0" w:line="204" w:lineRule="auto"/>
        <w:rPr>
          <w:sz w:val="20"/>
          <w:szCs w:val="20"/>
          <w:color w:val="auto"/>
        </w:rPr>
      </w:pPr>
      <w:r>
        <w:rPr>
          <w:rFonts w:ascii="Times New Roman" w:cs="Times New Roman" w:eastAsia="Times New Roman" w:hAnsi="Times New Roman"/>
          <w:sz w:val="16"/>
          <w:szCs w:val="16"/>
          <w:color w:val="auto"/>
        </w:rPr>
        <w:t>of economic, political or regulatory uncertainty, our sales</w:t>
      </w:r>
    </w:p>
    <w:p>
      <w:pPr>
        <w:spacing w:after="0" w:line="203" w:lineRule="auto"/>
        <w:rPr>
          <w:sz w:val="20"/>
          <w:szCs w:val="20"/>
          <w:color w:val="auto"/>
        </w:rPr>
      </w:pPr>
      <w:r>
        <w:rPr>
          <w:rFonts w:ascii="Times New Roman" w:cs="Times New Roman" w:eastAsia="Times New Roman" w:hAnsi="Times New Roman"/>
          <w:sz w:val="16"/>
          <w:szCs w:val="16"/>
          <w:color w:val="auto"/>
        </w:rPr>
        <w:t>cycle may become longer or more unpredictable due to</w:t>
      </w:r>
    </w:p>
    <w:p>
      <w:pPr>
        <w:spacing w:after="0" w:line="204" w:lineRule="auto"/>
        <w:rPr>
          <w:sz w:val="20"/>
          <w:szCs w:val="20"/>
          <w:color w:val="auto"/>
        </w:rPr>
      </w:pPr>
      <w:r>
        <w:rPr>
          <w:rFonts w:ascii="Times New Roman" w:cs="Times New Roman" w:eastAsia="Times New Roman" w:hAnsi="Times New Roman"/>
          <w:sz w:val="16"/>
          <w:szCs w:val="16"/>
          <w:color w:val="auto"/>
        </w:rPr>
        <w:t>customer budget constraints or unplanned administrative</w:t>
      </w:r>
    </w:p>
    <w:p>
      <w:pPr>
        <w:spacing w:after="0" w:line="203" w:lineRule="auto"/>
        <w:rPr>
          <w:sz w:val="20"/>
          <w:szCs w:val="20"/>
          <w:color w:val="auto"/>
        </w:rPr>
      </w:pPr>
      <w:r>
        <w:rPr>
          <w:rFonts w:ascii="Times New Roman" w:cs="Times New Roman" w:eastAsia="Times New Roman" w:hAnsi="Times New Roman"/>
          <w:sz w:val="16"/>
          <w:szCs w:val="16"/>
          <w:color w:val="auto"/>
        </w:rPr>
        <w:t>delays to approve purchases.</w:t>
      </w:r>
    </w:p>
    <w:p>
      <w:pPr>
        <w:spacing w:after="0" w:line="204" w:lineRule="auto"/>
        <w:rPr>
          <w:sz w:val="20"/>
          <w:szCs w:val="20"/>
          <w:color w:val="auto"/>
        </w:rPr>
      </w:pPr>
      <w:r>
        <w:rPr>
          <w:rFonts w:ascii="Times New Roman" w:cs="Times New Roman" w:eastAsia="Times New Roman" w:hAnsi="Times New Roman"/>
          <w:sz w:val="16"/>
          <w:szCs w:val="16"/>
          <w:color w:val="auto"/>
        </w:rPr>
        <w:t>A reduction in trading volumes or values, market share of</w:t>
      </w:r>
    </w:p>
    <w:p>
      <w:pPr>
        <w:spacing w:after="0"/>
        <w:rPr>
          <w:sz w:val="20"/>
          <w:szCs w:val="20"/>
          <w:color w:val="auto"/>
        </w:rPr>
      </w:pPr>
      <w:r>
        <w:rPr>
          <w:rFonts w:ascii="Times New Roman" w:cs="Times New Roman" w:eastAsia="Times New Roman" w:hAnsi="Times New Roman"/>
          <w:sz w:val="16"/>
          <w:szCs w:val="16"/>
          <w:color w:val="auto"/>
        </w:rPr>
        <w:t>trading, the number of our listed companies, or demand for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w:t>
      </w:r>
    </w:p>
    <w:p>
      <w:pPr>
        <w:spacing w:after="0" w:line="203" w:lineRule="auto"/>
        <w:rPr>
          <w:sz w:val="20"/>
          <w:szCs w:val="20"/>
          <w:color w:val="auto"/>
        </w:rPr>
      </w:pPr>
      <w:r>
        <w:rPr>
          <w:rFonts w:ascii="Times New Roman" w:cs="Times New Roman" w:eastAsia="Times New Roman" w:hAnsi="Times New Roman"/>
          <w:sz w:val="16"/>
          <w:szCs w:val="16"/>
          <w:color w:val="auto"/>
        </w:rPr>
        <w:t>Regulatory changes also have facilitated the entry of new</w:t>
      </w:r>
    </w:p>
    <w:p>
      <w:pPr>
        <w:spacing w:after="0" w:line="204" w:lineRule="auto"/>
        <w:rPr>
          <w:sz w:val="20"/>
          <w:szCs w:val="20"/>
          <w:color w:val="auto"/>
        </w:rPr>
      </w:pPr>
      <w:r>
        <w:rPr>
          <w:rFonts w:ascii="Times New Roman" w:cs="Times New Roman" w:eastAsia="Times New Roman" w:hAnsi="Times New Roman"/>
          <w:sz w:val="16"/>
          <w:szCs w:val="16"/>
          <w:color w:val="auto"/>
        </w:rPr>
        <w:t>participants in the European Union that compete with our</w:t>
      </w:r>
    </w:p>
    <w:p>
      <w:pPr>
        <w:spacing w:after="0" w:line="203" w:lineRule="auto"/>
        <w:rPr>
          <w:sz w:val="20"/>
          <w:szCs w:val="20"/>
          <w:color w:val="auto"/>
        </w:rPr>
      </w:pPr>
      <w:r>
        <w:rPr>
          <w:rFonts w:ascii="Times New Roman" w:cs="Times New Roman" w:eastAsia="Times New Roman" w:hAnsi="Times New Roman"/>
          <w:sz w:val="16"/>
          <w:szCs w:val="16"/>
          <w:color w:val="auto"/>
        </w:rPr>
        <w:t>European markets. The regulatory environment, both in the</w:t>
      </w:r>
    </w:p>
    <w:p>
      <w:pPr>
        <w:spacing w:after="0" w:line="204" w:lineRule="auto"/>
        <w:rPr>
          <w:sz w:val="20"/>
          <w:szCs w:val="20"/>
          <w:color w:val="auto"/>
        </w:rPr>
      </w:pPr>
      <w:r>
        <w:rPr>
          <w:rFonts w:ascii="Times New Roman" w:cs="Times New Roman" w:eastAsia="Times New Roman" w:hAnsi="Times New Roman"/>
          <w:sz w:val="16"/>
          <w:szCs w:val="16"/>
          <w:color w:val="auto"/>
        </w:rPr>
        <w:t>U.S. and in Europe, is structured to maintain this</w:t>
      </w:r>
    </w:p>
    <w:p>
      <w:pPr>
        <w:spacing w:after="0" w:line="203" w:lineRule="auto"/>
        <w:rPr>
          <w:sz w:val="20"/>
          <w:szCs w:val="20"/>
          <w:color w:val="auto"/>
        </w:rPr>
      </w:pPr>
      <w:r>
        <w:rPr>
          <w:rFonts w:ascii="Times New Roman" w:cs="Times New Roman" w:eastAsia="Times New Roman" w:hAnsi="Times New Roman"/>
          <w:sz w:val="16"/>
          <w:szCs w:val="16"/>
          <w:color w:val="auto"/>
        </w:rPr>
        <w:t>environment of intense competition. In addition, a high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proportion of business in the securities markets is becoming</w:t>
      </w:r>
    </w:p>
    <w:p>
      <w:pPr>
        <w:sectPr>
          <w:pgSz w:w="11900" w:h="16840" w:orient="portrait"/>
          <w:cols w:equalWidth="0" w:num="1">
            <w:col w:w="9400"/>
          </w:cols>
          <w:pgMar w:left="1060" w:top="547" w:right="1440" w:bottom="19"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concentrated in a smaller number of institutions and our</w:t>
      </w:r>
    </w:p>
    <w:p>
      <w:pPr>
        <w:spacing w:after="0" w:line="203" w:lineRule="auto"/>
        <w:rPr>
          <w:sz w:val="20"/>
          <w:szCs w:val="20"/>
          <w:color w:val="auto"/>
        </w:rPr>
      </w:pPr>
      <w:r>
        <w:rPr>
          <w:rFonts w:ascii="Times New Roman" w:cs="Times New Roman" w:eastAsia="Times New Roman" w:hAnsi="Times New Roman"/>
          <w:sz w:val="16"/>
          <w:szCs w:val="16"/>
          <w:color w:val="auto"/>
        </w:rPr>
        <w:t>revenue may therefore become concentrated in a smaller</w:t>
      </w:r>
    </w:p>
    <w:p>
      <w:pPr>
        <w:spacing w:after="0" w:line="204" w:lineRule="auto"/>
        <w:rPr>
          <w:sz w:val="20"/>
          <w:szCs w:val="20"/>
          <w:color w:val="auto"/>
        </w:rPr>
      </w:pPr>
      <w:r>
        <w:rPr>
          <w:rFonts w:ascii="Times New Roman" w:cs="Times New Roman" w:eastAsia="Times New Roman" w:hAnsi="Times New Roman"/>
          <w:sz w:val="16"/>
          <w:szCs w:val="16"/>
          <w:color w:val="auto"/>
        </w:rPr>
        <w:t>number of customers.</w:t>
      </w:r>
    </w:p>
    <w:p>
      <w:pPr>
        <w:spacing w:after="0" w:line="203" w:lineRule="auto"/>
        <w:rPr>
          <w:sz w:val="20"/>
          <w:szCs w:val="20"/>
          <w:color w:val="auto"/>
        </w:rPr>
      </w:pPr>
      <w:r>
        <w:rPr>
          <w:rFonts w:ascii="Times New Roman" w:cs="Times New Roman" w:eastAsia="Times New Roman" w:hAnsi="Times New Roman"/>
          <w:sz w:val="16"/>
          <w:szCs w:val="16"/>
          <w:color w:val="auto"/>
        </w:rPr>
        <w:t>We also compete globally with other regulated exchanges</w:t>
      </w:r>
    </w:p>
    <w:p>
      <w:pPr>
        <w:spacing w:after="0" w:line="204" w:lineRule="auto"/>
        <w:rPr>
          <w:sz w:val="20"/>
          <w:szCs w:val="20"/>
          <w:color w:val="auto"/>
        </w:rPr>
      </w:pPr>
      <w:r>
        <w:rPr>
          <w:rFonts w:ascii="Times New Roman" w:cs="Times New Roman" w:eastAsia="Times New Roman" w:hAnsi="Times New Roman"/>
          <w:sz w:val="16"/>
          <w:szCs w:val="16"/>
          <w:color w:val="auto"/>
        </w:rPr>
        <w:t>and markets, ATSs, MTFs and other traditional and non-</w:t>
      </w:r>
    </w:p>
    <w:p>
      <w:pPr>
        <w:spacing w:after="0" w:line="232" w:lineRule="auto"/>
        <w:rPr>
          <w:sz w:val="20"/>
          <w:szCs w:val="20"/>
          <w:color w:val="auto"/>
        </w:rPr>
      </w:pPr>
      <w:r>
        <w:rPr>
          <w:rFonts w:ascii="Times New Roman" w:cs="Times New Roman" w:eastAsia="Times New Roman" w:hAnsi="Times New Roman"/>
          <w:sz w:val="14"/>
          <w:szCs w:val="14"/>
          <w:color w:val="auto"/>
        </w:rPr>
        <w:t>traditional execution venues. Some of these competitors also</w:t>
      </w:r>
    </w:p>
    <w:p>
      <w:pPr>
        <w:spacing w:after="0" w:line="233" w:lineRule="auto"/>
        <w:rPr>
          <w:sz w:val="20"/>
          <w:szCs w:val="20"/>
          <w:color w:val="auto"/>
        </w:rPr>
      </w:pPr>
      <w:r>
        <w:rPr>
          <w:rFonts w:ascii="Times New Roman" w:cs="Times New Roman" w:eastAsia="Times New Roman" w:hAnsi="Times New Roman"/>
          <w:sz w:val="14"/>
          <w:szCs w:val="14"/>
          <w:color w:val="auto"/>
        </w:rPr>
        <w:t>are our customers. Competitors may develop market trading</w:t>
      </w:r>
    </w:p>
    <w:p>
      <w:pPr>
        <w:spacing w:after="0" w:line="203" w:lineRule="auto"/>
        <w:rPr>
          <w:sz w:val="20"/>
          <w:szCs w:val="20"/>
          <w:color w:val="auto"/>
        </w:rPr>
      </w:pPr>
      <w:r>
        <w:rPr>
          <w:rFonts w:ascii="Times New Roman" w:cs="Times New Roman" w:eastAsia="Times New Roman" w:hAnsi="Times New Roman"/>
          <w:sz w:val="16"/>
          <w:szCs w:val="16"/>
          <w:color w:val="auto"/>
        </w:rPr>
        <w:t>platforms that are more competitive than ours. Competitors</w:t>
      </w:r>
    </w:p>
    <w:p>
      <w:pPr>
        <w:spacing w:after="0" w:line="204" w:lineRule="auto"/>
        <w:rPr>
          <w:sz w:val="20"/>
          <w:szCs w:val="20"/>
          <w:color w:val="auto"/>
        </w:rPr>
      </w:pPr>
      <w:r>
        <w:rPr>
          <w:rFonts w:ascii="Times New Roman" w:cs="Times New Roman" w:eastAsia="Times New Roman" w:hAnsi="Times New Roman"/>
          <w:sz w:val="16"/>
          <w:szCs w:val="16"/>
          <w:color w:val="auto"/>
        </w:rPr>
        <w:t>may leverage data more effectively or enter into strategic</w:t>
      </w:r>
    </w:p>
    <w:p>
      <w:pPr>
        <w:spacing w:after="0" w:line="204" w:lineRule="auto"/>
        <w:rPr>
          <w:sz w:val="20"/>
          <w:szCs w:val="20"/>
          <w:color w:val="auto"/>
        </w:rPr>
      </w:pPr>
      <w:r>
        <w:rPr>
          <w:rFonts w:ascii="Times New Roman" w:cs="Times New Roman" w:eastAsia="Times New Roman" w:hAnsi="Times New Roman"/>
          <w:sz w:val="16"/>
          <w:szCs w:val="16"/>
          <w:color w:val="auto"/>
        </w:rPr>
        <w:t>partnerships, mergers or acquisitions that could make their</w:t>
      </w:r>
    </w:p>
    <w:p>
      <w:pPr>
        <w:spacing w:after="0" w:line="232" w:lineRule="auto"/>
        <w:rPr>
          <w:sz w:val="20"/>
          <w:szCs w:val="20"/>
          <w:color w:val="auto"/>
        </w:rPr>
      </w:pPr>
      <w:r>
        <w:rPr>
          <w:rFonts w:ascii="Times New Roman" w:cs="Times New Roman" w:eastAsia="Times New Roman" w:hAnsi="Times New Roman"/>
          <w:sz w:val="14"/>
          <w:szCs w:val="14"/>
          <w:color w:val="auto"/>
        </w:rPr>
        <w:t>trading, listings, clearing, data or technology businesses more</w:t>
      </w:r>
    </w:p>
    <w:p>
      <w:pPr>
        <w:spacing w:after="0" w:line="204" w:lineRule="auto"/>
        <w:rPr>
          <w:sz w:val="20"/>
          <w:szCs w:val="20"/>
          <w:color w:val="auto"/>
        </w:rPr>
      </w:pPr>
      <w:r>
        <w:rPr>
          <w:rFonts w:ascii="Times New Roman" w:cs="Times New Roman" w:eastAsia="Times New Roman" w:hAnsi="Times New Roman"/>
          <w:sz w:val="16"/>
          <w:szCs w:val="16"/>
          <w:color w:val="auto"/>
        </w:rPr>
        <w:t>competitive than ours.</w:t>
      </w:r>
    </w:p>
    <w:p>
      <w:pPr>
        <w:spacing w:after="0" w:line="203" w:lineRule="auto"/>
        <w:rPr>
          <w:sz w:val="20"/>
          <w:szCs w:val="20"/>
          <w:color w:val="auto"/>
        </w:rPr>
      </w:pPr>
      <w:r>
        <w:rPr>
          <w:rFonts w:ascii="Times New Roman" w:cs="Times New Roman" w:eastAsia="Times New Roman" w:hAnsi="Times New Roman"/>
          <w:sz w:val="16"/>
          <w:szCs w:val="16"/>
          <w:color w:val="auto"/>
        </w:rPr>
        <w:t>We face intense price competition in all areas of our</w:t>
      </w:r>
    </w:p>
    <w:p>
      <w:pPr>
        <w:spacing w:after="0" w:line="204" w:lineRule="auto"/>
        <w:rPr>
          <w:sz w:val="20"/>
          <w:szCs w:val="20"/>
          <w:color w:val="auto"/>
        </w:rPr>
      </w:pPr>
      <w:r>
        <w:rPr>
          <w:rFonts w:ascii="Times New Roman" w:cs="Times New Roman" w:eastAsia="Times New Roman" w:hAnsi="Times New Roman"/>
          <w:sz w:val="16"/>
          <w:szCs w:val="16"/>
          <w:color w:val="auto"/>
        </w:rPr>
        <w:t>business. In particular, the trading industry is characterized</w:t>
      </w:r>
    </w:p>
    <w:p>
      <w:pPr>
        <w:spacing w:after="0" w:line="232" w:lineRule="auto"/>
        <w:rPr>
          <w:sz w:val="20"/>
          <w:szCs w:val="20"/>
          <w:color w:val="auto"/>
        </w:rPr>
      </w:pPr>
      <w:r>
        <w:rPr>
          <w:rFonts w:ascii="Times New Roman" w:cs="Times New Roman" w:eastAsia="Times New Roman" w:hAnsi="Times New Roman"/>
          <w:sz w:val="14"/>
          <w:szCs w:val="14"/>
          <w:color w:val="auto"/>
        </w:rPr>
        <w:t>by price competition. We have in the past lowered prices, and</w:t>
      </w:r>
    </w:p>
    <w:p>
      <w:pPr>
        <w:spacing w:after="0" w:line="233" w:lineRule="auto"/>
        <w:rPr>
          <w:sz w:val="20"/>
          <w:szCs w:val="20"/>
          <w:color w:val="auto"/>
        </w:rPr>
      </w:pPr>
      <w:r>
        <w:rPr>
          <w:rFonts w:ascii="Times New Roman" w:cs="Times New Roman" w:eastAsia="Times New Roman" w:hAnsi="Times New Roman"/>
          <w:sz w:val="14"/>
          <w:szCs w:val="14"/>
          <w:color w:val="auto"/>
        </w:rPr>
        <w:t>in the U.S., increased rebates for trade executions to attempt</w:t>
      </w:r>
    </w:p>
    <w:p>
      <w:pPr>
        <w:spacing w:after="0" w:line="204" w:lineRule="auto"/>
        <w:rPr>
          <w:sz w:val="20"/>
          <w:szCs w:val="20"/>
          <w:color w:val="auto"/>
        </w:rPr>
      </w:pPr>
      <w:r>
        <w:rPr>
          <w:rFonts w:ascii="Times New Roman" w:cs="Times New Roman" w:eastAsia="Times New Roman" w:hAnsi="Times New Roman"/>
          <w:sz w:val="16"/>
          <w:szCs w:val="16"/>
          <w:color w:val="auto"/>
        </w:rPr>
        <w:t>to gain or maintain market share. These strategies have not</w:t>
      </w:r>
    </w:p>
    <w:p>
      <w:pPr>
        <w:spacing w:after="0" w:line="203" w:lineRule="auto"/>
        <w:rPr>
          <w:sz w:val="20"/>
          <w:szCs w:val="20"/>
          <w:color w:val="auto"/>
        </w:rPr>
      </w:pPr>
      <w:r>
        <w:rPr>
          <w:rFonts w:ascii="Times New Roman" w:cs="Times New Roman" w:eastAsia="Times New Roman" w:hAnsi="Times New Roman"/>
          <w:sz w:val="16"/>
          <w:szCs w:val="16"/>
          <w:color w:val="auto"/>
        </w:rPr>
        <w:t>always been successful and have at times hurt operating</w:t>
      </w:r>
    </w:p>
    <w:p>
      <w:pPr>
        <w:spacing w:after="0" w:line="233" w:lineRule="auto"/>
        <w:rPr>
          <w:sz w:val="20"/>
          <w:szCs w:val="20"/>
          <w:color w:val="auto"/>
        </w:rPr>
      </w:pPr>
      <w:r>
        <w:rPr>
          <w:rFonts w:ascii="Times New Roman" w:cs="Times New Roman" w:eastAsia="Times New Roman" w:hAnsi="Times New Roman"/>
          <w:sz w:val="14"/>
          <w:szCs w:val="14"/>
          <w:color w:val="auto"/>
        </w:rPr>
        <w:t>performance. Additionally, we have also been, and may once</w:t>
      </w:r>
    </w:p>
    <w:p>
      <w:pPr>
        <w:spacing w:after="0" w:line="203" w:lineRule="auto"/>
        <w:rPr>
          <w:sz w:val="20"/>
          <w:szCs w:val="20"/>
          <w:color w:val="auto"/>
        </w:rPr>
      </w:pPr>
      <w:r>
        <w:rPr>
          <w:rFonts w:ascii="Times New Roman" w:cs="Times New Roman" w:eastAsia="Times New Roman" w:hAnsi="Times New Roman"/>
          <w:sz w:val="16"/>
          <w:szCs w:val="16"/>
          <w:color w:val="auto"/>
        </w:rPr>
        <w:t>again be, required to adjust pricing to respond to actions by</w:t>
      </w:r>
    </w:p>
    <w:p>
      <w:pPr>
        <w:spacing w:after="0" w:line="233" w:lineRule="auto"/>
        <w:rPr>
          <w:sz w:val="20"/>
          <w:szCs w:val="20"/>
          <w:color w:val="auto"/>
        </w:rPr>
      </w:pPr>
      <w:r>
        <w:rPr>
          <w:rFonts w:ascii="Times New Roman" w:cs="Times New Roman" w:eastAsia="Times New Roman" w:hAnsi="Times New Roman"/>
          <w:sz w:val="14"/>
          <w:szCs w:val="14"/>
          <w:color w:val="auto"/>
        </w:rPr>
        <w:t>competitors and new entrants, or due to new SEC regulations,</w:t>
      </w:r>
    </w:p>
    <w:p>
      <w:pPr>
        <w:spacing w:after="0" w:line="204" w:lineRule="auto"/>
        <w:rPr>
          <w:sz w:val="20"/>
          <w:szCs w:val="20"/>
          <w:color w:val="auto"/>
        </w:rPr>
      </w:pPr>
      <w:r>
        <w:rPr>
          <w:rFonts w:ascii="Times New Roman" w:cs="Times New Roman" w:eastAsia="Times New Roman" w:hAnsi="Times New Roman"/>
          <w:sz w:val="16"/>
          <w:szCs w:val="16"/>
          <w:color w:val="auto"/>
        </w:rPr>
        <w:t>which could adversely impact operating results. We also</w:t>
      </w:r>
    </w:p>
    <w:p>
      <w:pPr>
        <w:spacing w:after="0" w:line="232" w:lineRule="auto"/>
        <w:rPr>
          <w:sz w:val="20"/>
          <w:szCs w:val="20"/>
          <w:color w:val="auto"/>
        </w:rPr>
      </w:pPr>
      <w:r>
        <w:rPr>
          <w:rFonts w:ascii="Times New Roman" w:cs="Times New Roman" w:eastAsia="Times New Roman" w:hAnsi="Times New Roman"/>
          <w:sz w:val="14"/>
          <w:szCs w:val="14"/>
          <w:color w:val="auto"/>
        </w:rPr>
        <w:t>compete with respect to the pricing of data products and with</w:t>
      </w:r>
    </w:p>
    <w:p>
      <w:pPr>
        <w:spacing w:after="0" w:line="233" w:lineRule="auto"/>
        <w:rPr>
          <w:sz w:val="20"/>
          <w:szCs w:val="20"/>
          <w:color w:val="auto"/>
        </w:rPr>
      </w:pPr>
      <w:r>
        <w:rPr>
          <w:rFonts w:ascii="Times New Roman" w:cs="Times New Roman" w:eastAsia="Times New Roman" w:hAnsi="Times New Roman"/>
          <w:sz w:val="14"/>
          <w:szCs w:val="14"/>
          <w:color w:val="auto"/>
        </w:rPr>
        <w:t>respect to products for pre-trade book data and for post-trade</w:t>
      </w:r>
    </w:p>
    <w:p>
      <w:pPr>
        <w:spacing w:after="0" w:line="203" w:lineRule="auto"/>
        <w:rPr>
          <w:sz w:val="20"/>
          <w:szCs w:val="20"/>
          <w:color w:val="auto"/>
        </w:rPr>
      </w:pPr>
      <w:r>
        <w:rPr>
          <w:rFonts w:ascii="Times New Roman" w:cs="Times New Roman" w:eastAsia="Times New Roman" w:hAnsi="Times New Roman"/>
          <w:sz w:val="16"/>
          <w:szCs w:val="16"/>
          <w:color w:val="auto"/>
        </w:rPr>
        <w:t>last sale data.</w:t>
      </w:r>
    </w:p>
    <w:p>
      <w:pPr>
        <w:spacing w:after="0" w:line="204" w:lineRule="auto"/>
        <w:rPr>
          <w:sz w:val="20"/>
          <w:szCs w:val="20"/>
          <w:color w:val="auto"/>
        </w:rPr>
      </w:pPr>
      <w:r>
        <w:rPr>
          <w:rFonts w:ascii="Times New Roman" w:cs="Times New Roman" w:eastAsia="Times New Roman" w:hAnsi="Times New Roman"/>
          <w:sz w:val="16"/>
          <w:szCs w:val="16"/>
          <w:color w:val="auto"/>
        </w:rPr>
        <w:t>If we are unable to compete successfully in the industries in</w:t>
      </w:r>
    </w:p>
    <w:p>
      <w:pPr>
        <w:spacing w:after="0" w:line="203" w:lineRule="auto"/>
        <w:rPr>
          <w:sz w:val="20"/>
          <w:szCs w:val="20"/>
          <w:color w:val="auto"/>
        </w:rPr>
      </w:pPr>
      <w:r>
        <w:rPr>
          <w:rFonts w:ascii="Times New Roman" w:cs="Times New Roman" w:eastAsia="Times New Roman" w:hAnsi="Times New Roman"/>
          <w:sz w:val="16"/>
          <w:szCs w:val="16"/>
          <w:color w:val="auto"/>
        </w:rPr>
        <w:t>which we do business, our business, financial condition and</w:t>
      </w:r>
    </w:p>
    <w:p>
      <w:pPr>
        <w:spacing w:after="0" w:line="204" w:lineRule="auto"/>
        <w:rPr>
          <w:sz w:val="20"/>
          <w:szCs w:val="20"/>
          <w:color w:val="auto"/>
        </w:rPr>
      </w:pPr>
      <w:r>
        <w:rPr>
          <w:rFonts w:ascii="Times New Roman" w:cs="Times New Roman" w:eastAsia="Times New Roman" w:hAnsi="Times New Roman"/>
          <w:sz w:val="16"/>
          <w:szCs w:val="16"/>
          <w:color w:val="auto"/>
        </w:rPr>
        <w:t>operating results will be adversely affected.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System limitations or failures could harm our business.</w:t>
      </w:r>
    </w:p>
    <w:p>
      <w:pPr>
        <w:spacing w:after="0" w:line="203" w:lineRule="auto"/>
        <w:rPr>
          <w:sz w:val="20"/>
          <w:szCs w:val="20"/>
          <w:color w:val="auto"/>
        </w:rPr>
      </w:pPr>
      <w:r>
        <w:rPr>
          <w:rFonts w:ascii="Times New Roman" w:cs="Times New Roman" w:eastAsia="Times New Roman" w:hAnsi="Times New Roman"/>
          <w:sz w:val="16"/>
          <w:szCs w:val="16"/>
          <w:color w:val="auto"/>
        </w:rPr>
        <w:t>Our businesses depend on the integrity and performance of</w:t>
      </w:r>
    </w:p>
    <w:p>
      <w:pPr>
        <w:spacing w:after="0" w:line="204" w:lineRule="auto"/>
        <w:rPr>
          <w:sz w:val="20"/>
          <w:szCs w:val="20"/>
          <w:color w:val="auto"/>
        </w:rPr>
      </w:pPr>
      <w:r>
        <w:rPr>
          <w:rFonts w:ascii="Times New Roman" w:cs="Times New Roman" w:eastAsia="Times New Roman" w:hAnsi="Times New Roman"/>
          <w:sz w:val="16"/>
          <w:szCs w:val="16"/>
          <w:color w:val="auto"/>
        </w:rPr>
        <w:t>the technology, computer and communications systems</w:t>
      </w:r>
    </w:p>
    <w:p>
      <w:pPr>
        <w:spacing w:after="0" w:line="232" w:lineRule="auto"/>
        <w:rPr>
          <w:sz w:val="20"/>
          <w:szCs w:val="20"/>
          <w:color w:val="auto"/>
        </w:rPr>
      </w:pPr>
      <w:r>
        <w:rPr>
          <w:rFonts w:ascii="Times New Roman" w:cs="Times New Roman" w:eastAsia="Times New Roman" w:hAnsi="Times New Roman"/>
          <w:sz w:val="14"/>
          <w:szCs w:val="14"/>
          <w:color w:val="auto"/>
        </w:rPr>
        <w:t>supporting them. If new systems fail to operate as intended or</w:t>
      </w:r>
    </w:p>
    <w:p>
      <w:pPr>
        <w:spacing w:after="0" w:line="204" w:lineRule="auto"/>
        <w:rPr>
          <w:sz w:val="20"/>
          <w:szCs w:val="20"/>
          <w:color w:val="auto"/>
        </w:rPr>
      </w:pPr>
      <w:r>
        <w:rPr>
          <w:rFonts w:ascii="Times New Roman" w:cs="Times New Roman" w:eastAsia="Times New Roman" w:hAnsi="Times New Roman"/>
          <w:sz w:val="16"/>
          <w:szCs w:val="16"/>
          <w:color w:val="auto"/>
        </w:rPr>
        <w:t>our existing systems cannot expand to cope with increased</w:t>
      </w:r>
    </w:p>
    <w:p>
      <w:pPr>
        <w:spacing w:after="0" w:line="203" w:lineRule="auto"/>
        <w:rPr>
          <w:sz w:val="20"/>
          <w:szCs w:val="20"/>
          <w:color w:val="auto"/>
        </w:rPr>
      </w:pPr>
      <w:r>
        <w:rPr>
          <w:rFonts w:ascii="Times New Roman" w:cs="Times New Roman" w:eastAsia="Times New Roman" w:hAnsi="Times New Roman"/>
          <w:sz w:val="16"/>
          <w:szCs w:val="16"/>
          <w:color w:val="auto"/>
        </w:rPr>
        <w:t>demand or otherwise fail to perform, we could experience</w:t>
      </w:r>
    </w:p>
    <w:p>
      <w:pPr>
        <w:spacing w:after="0" w:line="204" w:lineRule="auto"/>
        <w:rPr>
          <w:sz w:val="20"/>
          <w:szCs w:val="20"/>
          <w:color w:val="auto"/>
        </w:rPr>
      </w:pPr>
      <w:r>
        <w:rPr>
          <w:rFonts w:ascii="Times New Roman" w:cs="Times New Roman" w:eastAsia="Times New Roman" w:hAnsi="Times New Roman"/>
          <w:sz w:val="16"/>
          <w:szCs w:val="16"/>
          <w:color w:val="auto"/>
        </w:rPr>
        <w:t>unanticipated disruptions in service, slower response times</w:t>
      </w:r>
    </w:p>
    <w:p>
      <w:pPr>
        <w:spacing w:after="0" w:line="203" w:lineRule="auto"/>
        <w:rPr>
          <w:sz w:val="20"/>
          <w:szCs w:val="20"/>
          <w:color w:val="auto"/>
        </w:rPr>
      </w:pPr>
      <w:r>
        <w:rPr>
          <w:rFonts w:ascii="Times New Roman" w:cs="Times New Roman" w:eastAsia="Times New Roman" w:hAnsi="Times New Roman"/>
          <w:sz w:val="16"/>
          <w:szCs w:val="16"/>
          <w:color w:val="auto"/>
        </w:rPr>
        <w:t>and delays in the introduction of new products and services.</w:t>
      </w:r>
    </w:p>
    <w:p>
      <w:pPr>
        <w:spacing w:after="0" w:line="233" w:lineRule="auto"/>
        <w:rPr>
          <w:sz w:val="20"/>
          <w:szCs w:val="20"/>
          <w:color w:val="auto"/>
        </w:rPr>
      </w:pPr>
      <w:r>
        <w:rPr>
          <w:rFonts w:ascii="Times New Roman" w:cs="Times New Roman" w:eastAsia="Times New Roman" w:hAnsi="Times New Roman"/>
          <w:sz w:val="14"/>
          <w:szCs w:val="14"/>
          <w:color w:val="auto"/>
        </w:rPr>
        <w:t>We could experience a systems failure due to human error by</w:t>
      </w:r>
    </w:p>
    <w:p>
      <w:pPr>
        <w:spacing w:after="0" w:line="204" w:lineRule="auto"/>
        <w:rPr>
          <w:sz w:val="20"/>
          <w:szCs w:val="20"/>
          <w:color w:val="auto"/>
        </w:rPr>
      </w:pPr>
      <w:r>
        <w:rPr>
          <w:rFonts w:ascii="Times New Roman" w:cs="Times New Roman" w:eastAsia="Times New Roman" w:hAnsi="Times New Roman"/>
          <w:sz w:val="16"/>
          <w:szCs w:val="16"/>
          <w:color w:val="auto"/>
        </w:rPr>
        <w:t>our employees, contractors or vendors, electrical or</w:t>
      </w:r>
    </w:p>
    <w:p>
      <w:pPr>
        <w:spacing w:after="0" w:line="203" w:lineRule="auto"/>
        <w:rPr>
          <w:sz w:val="20"/>
          <w:szCs w:val="20"/>
          <w:color w:val="auto"/>
        </w:rPr>
      </w:pPr>
      <w:r>
        <w:rPr>
          <w:rFonts w:ascii="Times New Roman" w:cs="Times New Roman" w:eastAsia="Times New Roman" w:hAnsi="Times New Roman"/>
          <w:sz w:val="16"/>
          <w:szCs w:val="16"/>
          <w:color w:val="auto"/>
        </w:rPr>
        <w:t>telecommunications failures or disruptions, hardware or</w:t>
      </w:r>
    </w:p>
    <w:p>
      <w:pPr>
        <w:spacing w:after="0" w:line="233" w:lineRule="auto"/>
        <w:rPr>
          <w:sz w:val="20"/>
          <w:szCs w:val="20"/>
          <w:color w:val="auto"/>
        </w:rPr>
      </w:pPr>
      <w:r>
        <w:rPr>
          <w:rFonts w:ascii="Times New Roman" w:cs="Times New Roman" w:eastAsia="Times New Roman" w:hAnsi="Times New Roman"/>
          <w:sz w:val="14"/>
          <w:szCs w:val="14"/>
          <w:color w:val="auto"/>
        </w:rPr>
        <w:t>software failures or defects, cyberattacks, sabotage or similar</w:t>
      </w:r>
    </w:p>
    <w:p>
      <w:pPr>
        <w:spacing w:after="0" w:line="203" w:lineRule="auto"/>
        <w:rPr>
          <w:sz w:val="20"/>
          <w:szCs w:val="20"/>
          <w:color w:val="auto"/>
        </w:rPr>
      </w:pPr>
      <w:r>
        <w:rPr>
          <w:rFonts w:ascii="Times New Roman" w:cs="Times New Roman" w:eastAsia="Times New Roman" w:hAnsi="Times New Roman"/>
          <w:sz w:val="16"/>
          <w:szCs w:val="16"/>
          <w:color w:val="auto"/>
        </w:rPr>
        <w:t>unexpected events. These consequences could result in</w:t>
      </w:r>
    </w:p>
    <w:p>
      <w:pPr>
        <w:spacing w:after="0" w:line="204" w:lineRule="auto"/>
        <w:rPr>
          <w:sz w:val="20"/>
          <w:szCs w:val="20"/>
          <w:color w:val="auto"/>
        </w:rPr>
      </w:pPr>
      <w:r>
        <w:rPr>
          <w:rFonts w:ascii="Times New Roman" w:cs="Times New Roman" w:eastAsia="Times New Roman" w:hAnsi="Times New Roman"/>
          <w:sz w:val="16"/>
          <w:szCs w:val="16"/>
          <w:color w:val="auto"/>
        </w:rPr>
        <w:t>service outages, including to our exchanges, lower trading</w:t>
      </w:r>
    </w:p>
    <w:p>
      <w:pPr>
        <w:spacing w:after="0" w:line="204" w:lineRule="auto"/>
        <w:rPr>
          <w:sz w:val="20"/>
          <w:szCs w:val="20"/>
          <w:color w:val="auto"/>
        </w:rPr>
      </w:pPr>
      <w:r>
        <w:rPr>
          <w:rFonts w:ascii="Times New Roman" w:cs="Times New Roman" w:eastAsia="Times New Roman" w:hAnsi="Times New Roman"/>
          <w:sz w:val="16"/>
          <w:szCs w:val="16"/>
          <w:color w:val="auto"/>
        </w:rPr>
        <w:t>volumes or values, financial losses, decreased customer</w:t>
      </w:r>
    </w:p>
    <w:p>
      <w:pPr>
        <w:spacing w:after="0" w:line="232" w:lineRule="auto"/>
        <w:rPr>
          <w:sz w:val="20"/>
          <w:szCs w:val="20"/>
          <w:color w:val="auto"/>
        </w:rPr>
      </w:pPr>
      <w:r>
        <w:rPr>
          <w:rFonts w:ascii="Times New Roman" w:cs="Times New Roman" w:eastAsia="Times New Roman" w:hAnsi="Times New Roman"/>
          <w:sz w:val="14"/>
          <w:szCs w:val="14"/>
          <w:color w:val="auto"/>
        </w:rPr>
        <w:t>satisfaction, litigation and regulatory sanctions. Our products,</w:t>
      </w:r>
    </w:p>
    <w:p>
      <w:pPr>
        <w:spacing w:after="0" w:line="204" w:lineRule="auto"/>
        <w:rPr>
          <w:sz w:val="20"/>
          <w:szCs w:val="20"/>
          <w:color w:val="auto"/>
        </w:rPr>
      </w:pPr>
      <w:r>
        <w:rPr>
          <w:rFonts w:ascii="Times New Roman" w:cs="Times New Roman" w:eastAsia="Times New Roman" w:hAnsi="Times New Roman"/>
          <w:sz w:val="16"/>
          <w:szCs w:val="16"/>
          <w:color w:val="auto"/>
        </w:rPr>
        <w:t>markets and the markets that rely on our technology have</w:t>
      </w:r>
    </w:p>
    <w:p>
      <w:pPr>
        <w:spacing w:after="0" w:line="203" w:lineRule="auto"/>
        <w:rPr>
          <w:sz w:val="20"/>
          <w:szCs w:val="20"/>
          <w:color w:val="auto"/>
        </w:rPr>
      </w:pPr>
      <w:r>
        <w:rPr>
          <w:rFonts w:ascii="Times New Roman" w:cs="Times New Roman" w:eastAsia="Times New Roman" w:hAnsi="Times New Roman"/>
          <w:sz w:val="16"/>
          <w:szCs w:val="16"/>
          <w:color w:val="auto"/>
        </w:rPr>
        <w:t>experienced system failures and delays in the past and we</w:t>
      </w:r>
    </w:p>
    <w:p>
      <w:pPr>
        <w:spacing w:after="0" w:line="204" w:lineRule="auto"/>
        <w:rPr>
          <w:sz w:val="20"/>
          <w:szCs w:val="20"/>
          <w:color w:val="auto"/>
        </w:rPr>
      </w:pPr>
      <w:r>
        <w:rPr>
          <w:rFonts w:ascii="Times New Roman" w:cs="Times New Roman" w:eastAsia="Times New Roman" w:hAnsi="Times New Roman"/>
          <w:sz w:val="16"/>
          <w:szCs w:val="16"/>
          <w:color w:val="auto"/>
        </w:rPr>
        <w:t>could experience future system failures and delays.</w:t>
      </w:r>
    </w:p>
    <w:p>
      <w:pPr>
        <w:spacing w:after="0" w:line="203" w:lineRule="auto"/>
        <w:rPr>
          <w:sz w:val="20"/>
          <w:szCs w:val="20"/>
          <w:color w:val="auto"/>
        </w:rPr>
      </w:pPr>
      <w:r>
        <w:rPr>
          <w:rFonts w:ascii="Times New Roman" w:cs="Times New Roman" w:eastAsia="Times New Roman" w:hAnsi="Times New Roman"/>
          <w:sz w:val="16"/>
          <w:szCs w:val="16"/>
          <w:color w:val="auto"/>
        </w:rPr>
        <w:t>Although we maintain multiple computer facilities, and</w:t>
      </w:r>
    </w:p>
    <w:p>
      <w:pPr>
        <w:spacing w:after="0" w:line="204" w:lineRule="auto"/>
        <w:rPr>
          <w:sz w:val="20"/>
          <w:szCs w:val="20"/>
          <w:color w:val="auto"/>
        </w:rPr>
      </w:pPr>
      <w:r>
        <w:rPr>
          <w:rFonts w:ascii="Times New Roman" w:cs="Times New Roman" w:eastAsia="Times New Roman" w:hAnsi="Times New Roman"/>
          <w:sz w:val="16"/>
          <w:szCs w:val="16"/>
          <w:color w:val="auto"/>
        </w:rPr>
        <w:t>leverage third party cloud providers, that are designed to</w:t>
      </w:r>
    </w:p>
    <w:p>
      <w:pPr>
        <w:spacing w:after="0" w:line="233" w:lineRule="auto"/>
        <w:rPr>
          <w:sz w:val="20"/>
          <w:szCs w:val="20"/>
          <w:color w:val="auto"/>
        </w:rPr>
      </w:pPr>
      <w:r>
        <w:rPr>
          <w:rFonts w:ascii="Times New Roman" w:cs="Times New Roman" w:eastAsia="Times New Roman" w:hAnsi="Times New Roman"/>
          <w:sz w:val="14"/>
          <w:szCs w:val="14"/>
          <w:color w:val="auto"/>
        </w:rPr>
        <w:t>provide redundancy and back-up to reduce the risk of system</w:t>
      </w:r>
    </w:p>
    <w:p>
      <w:pPr>
        <w:spacing w:after="0" w:line="203" w:lineRule="auto"/>
        <w:rPr>
          <w:sz w:val="20"/>
          <w:szCs w:val="20"/>
          <w:color w:val="auto"/>
        </w:rPr>
      </w:pPr>
      <w:r>
        <w:rPr>
          <w:rFonts w:ascii="Times New Roman" w:cs="Times New Roman" w:eastAsia="Times New Roman" w:hAnsi="Times New Roman"/>
          <w:sz w:val="16"/>
          <w:szCs w:val="16"/>
          <w:color w:val="auto"/>
        </w:rPr>
        <w:t>disruptions and have facilities in place that are expected to</w:t>
      </w:r>
    </w:p>
    <w:p>
      <w:pPr>
        <w:spacing w:after="0" w:line="204" w:lineRule="auto"/>
        <w:rPr>
          <w:sz w:val="20"/>
          <w:szCs w:val="20"/>
          <w:color w:val="auto"/>
        </w:rPr>
      </w:pPr>
      <w:r>
        <w:rPr>
          <w:rFonts w:ascii="Times New Roman" w:cs="Times New Roman" w:eastAsia="Times New Roman" w:hAnsi="Times New Roman"/>
          <w:sz w:val="16"/>
          <w:szCs w:val="16"/>
          <w:color w:val="auto"/>
        </w:rPr>
        <w:t>maintain service during a system disruption, such systems</w:t>
      </w:r>
    </w:p>
    <w:p>
      <w:pPr>
        <w:spacing w:after="0" w:line="203" w:lineRule="auto"/>
        <w:rPr>
          <w:sz w:val="20"/>
          <w:szCs w:val="20"/>
          <w:color w:val="auto"/>
        </w:rPr>
      </w:pPr>
      <w:r>
        <w:rPr>
          <w:rFonts w:ascii="Times New Roman" w:cs="Times New Roman" w:eastAsia="Times New Roman" w:hAnsi="Times New Roman"/>
          <w:sz w:val="16"/>
          <w:szCs w:val="16"/>
          <w:color w:val="auto"/>
        </w:rPr>
        <w:t>and facilities may prove inadequate. If trading volumes</w:t>
      </w:r>
    </w:p>
    <w:p>
      <w:pPr>
        <w:spacing w:after="0" w:line="204" w:lineRule="auto"/>
        <w:rPr>
          <w:sz w:val="20"/>
          <w:szCs w:val="20"/>
          <w:color w:val="auto"/>
        </w:rPr>
      </w:pPr>
      <w:r>
        <w:rPr>
          <w:rFonts w:ascii="Times New Roman" w:cs="Times New Roman" w:eastAsia="Times New Roman" w:hAnsi="Times New Roman"/>
          <w:sz w:val="16"/>
          <w:szCs w:val="16"/>
          <w:color w:val="auto"/>
        </w:rPr>
        <w:t>increase unexpectedly or other unanticipated events occur,</w:t>
      </w:r>
    </w:p>
    <w:p>
      <w:pPr>
        <w:spacing w:after="0" w:line="203" w:lineRule="auto"/>
        <w:rPr>
          <w:sz w:val="20"/>
          <w:szCs w:val="20"/>
          <w:color w:val="auto"/>
        </w:rPr>
      </w:pPr>
      <w:r>
        <w:rPr>
          <w:rFonts w:ascii="Times New Roman" w:cs="Times New Roman" w:eastAsia="Times New Roman" w:hAnsi="Times New Roman"/>
          <w:sz w:val="16"/>
          <w:szCs w:val="16"/>
          <w:color w:val="auto"/>
        </w:rPr>
        <w:t>we may need to expand and upgrade our technology,</w:t>
      </w:r>
    </w:p>
    <w:p>
      <w:pPr>
        <w:spacing w:after="0" w:line="204" w:lineRule="auto"/>
        <w:rPr>
          <w:sz w:val="20"/>
          <w:szCs w:val="20"/>
          <w:color w:val="auto"/>
        </w:rPr>
      </w:pPr>
      <w:r>
        <w:rPr>
          <w:rFonts w:ascii="Times New Roman" w:cs="Times New Roman" w:eastAsia="Times New Roman" w:hAnsi="Times New Roman"/>
          <w:sz w:val="16"/>
          <w:szCs w:val="16"/>
          <w:color w:val="auto"/>
        </w:rPr>
        <w:t>transaction processing systems and network infrastructure.</w:t>
      </w:r>
    </w:p>
    <w:p>
      <w:pPr>
        <w:spacing w:after="0" w:line="203" w:lineRule="auto"/>
        <w:rPr>
          <w:sz w:val="20"/>
          <w:szCs w:val="20"/>
          <w:color w:val="auto"/>
        </w:rPr>
      </w:pPr>
      <w:r>
        <w:rPr>
          <w:rFonts w:ascii="Times New Roman" w:cs="Times New Roman" w:eastAsia="Times New Roman" w:hAnsi="Times New Roman"/>
          <w:sz w:val="16"/>
          <w:szCs w:val="16"/>
          <w:color w:val="auto"/>
        </w:rPr>
        <w:t>We do not know whether we will be able to accurately</w:t>
      </w:r>
    </w:p>
    <w:p>
      <w:pPr>
        <w:spacing w:after="0" w:line="204" w:lineRule="auto"/>
        <w:rPr>
          <w:sz w:val="20"/>
          <w:szCs w:val="20"/>
          <w:color w:val="auto"/>
        </w:rPr>
      </w:pPr>
      <w:r>
        <w:rPr>
          <w:rFonts w:ascii="Times New Roman" w:cs="Times New Roman" w:eastAsia="Times New Roman" w:hAnsi="Times New Roman"/>
          <w:sz w:val="16"/>
          <w:szCs w:val="16"/>
          <w:color w:val="auto"/>
        </w:rPr>
        <w:t>project the rate, timing or cost of any volume increases, or</w:t>
      </w:r>
    </w:p>
    <w:p>
      <w:pPr>
        <w:spacing w:after="0" w:line="203" w:lineRule="auto"/>
        <w:rPr>
          <w:sz w:val="20"/>
          <w:szCs w:val="20"/>
          <w:color w:val="auto"/>
        </w:rPr>
      </w:pPr>
      <w:r>
        <w:rPr>
          <w:rFonts w:ascii="Times New Roman" w:cs="Times New Roman" w:eastAsia="Times New Roman" w:hAnsi="Times New Roman"/>
          <w:sz w:val="16"/>
          <w:szCs w:val="16"/>
          <w:color w:val="auto"/>
        </w:rPr>
        <w:t>expand and upgrade our systems and infrastructure to</w:t>
      </w:r>
    </w:p>
    <w:p>
      <w:pPr>
        <w:spacing w:after="0" w:line="204" w:lineRule="auto"/>
        <w:rPr>
          <w:sz w:val="20"/>
          <w:szCs w:val="20"/>
          <w:color w:val="auto"/>
        </w:rPr>
      </w:pPr>
      <w:r>
        <w:rPr>
          <w:rFonts w:ascii="Times New Roman" w:cs="Times New Roman" w:eastAsia="Times New Roman" w:hAnsi="Times New Roman"/>
          <w:sz w:val="16"/>
          <w:szCs w:val="16"/>
          <w:color w:val="auto"/>
        </w:rPr>
        <w:t>accommodate any increases in a timely manner.</w:t>
      </w:r>
    </w:p>
    <w:p>
      <w:pPr>
        <w:spacing w:after="0" w:line="204" w:lineRule="auto"/>
        <w:rPr>
          <w:sz w:val="20"/>
          <w:szCs w:val="20"/>
          <w:color w:val="auto"/>
        </w:rPr>
      </w:pPr>
      <w:r>
        <w:rPr>
          <w:rFonts w:ascii="Times New Roman" w:cs="Times New Roman" w:eastAsia="Times New Roman" w:hAnsi="Times New Roman"/>
          <w:sz w:val="16"/>
          <w:szCs w:val="16"/>
          <w:color w:val="auto"/>
        </w:rPr>
        <w:t>While we have programs in place to identify and minimize</w:t>
      </w:r>
    </w:p>
    <w:p>
      <w:pPr>
        <w:spacing w:after="0" w:line="203" w:lineRule="auto"/>
        <w:rPr>
          <w:sz w:val="20"/>
          <w:szCs w:val="20"/>
          <w:color w:val="auto"/>
        </w:rPr>
      </w:pPr>
      <w:r>
        <w:rPr>
          <w:rFonts w:ascii="Times New Roman" w:cs="Times New Roman" w:eastAsia="Times New Roman" w:hAnsi="Times New Roman"/>
          <w:sz w:val="16"/>
          <w:szCs w:val="16"/>
          <w:color w:val="auto"/>
        </w:rPr>
        <w:t>our exposure to technology and communication system</w:t>
      </w:r>
    </w:p>
    <w:p>
      <w:pPr>
        <w:spacing w:after="0" w:line="233" w:lineRule="auto"/>
        <w:rPr>
          <w:sz w:val="20"/>
          <w:szCs w:val="20"/>
          <w:color w:val="auto"/>
        </w:rPr>
      </w:pPr>
      <w:r>
        <w:rPr>
          <w:rFonts w:ascii="Times New Roman" w:cs="Times New Roman" w:eastAsia="Times New Roman" w:hAnsi="Times New Roman"/>
          <w:sz w:val="14"/>
          <w:szCs w:val="14"/>
          <w:color w:val="auto"/>
        </w:rPr>
        <w:t>vulnerabilities and work in collaboration with the technology</w:t>
      </w:r>
    </w:p>
    <w:p>
      <w:pPr>
        <w:spacing w:after="0" w:line="203" w:lineRule="auto"/>
        <w:rPr>
          <w:sz w:val="20"/>
          <w:szCs w:val="20"/>
          <w:color w:val="auto"/>
        </w:rPr>
      </w:pPr>
      <w:r>
        <w:rPr>
          <w:rFonts w:ascii="Times New Roman" w:cs="Times New Roman" w:eastAsia="Times New Roman" w:hAnsi="Times New Roman"/>
          <w:sz w:val="16"/>
          <w:szCs w:val="16"/>
          <w:color w:val="auto"/>
        </w:rPr>
        <w:t>industry to share corrective measures with our business</w:t>
      </w:r>
    </w:p>
    <w:p>
      <w:pPr>
        <w:spacing w:after="0" w:line="233" w:lineRule="auto"/>
        <w:rPr>
          <w:sz w:val="20"/>
          <w:szCs w:val="20"/>
          <w:color w:val="auto"/>
        </w:rPr>
      </w:pPr>
      <w:r>
        <w:rPr>
          <w:rFonts w:ascii="Times New Roman" w:cs="Times New Roman" w:eastAsia="Times New Roman" w:hAnsi="Times New Roman"/>
          <w:sz w:val="14"/>
          <w:szCs w:val="14"/>
          <w:color w:val="auto"/>
        </w:rPr>
        <w:t>partners, we cannot guarantee that such events will not occur</w:t>
      </w:r>
    </w:p>
    <w:p>
      <w:pPr>
        <w:spacing w:after="0" w:line="204" w:lineRule="auto"/>
        <w:rPr>
          <w:sz w:val="20"/>
          <w:szCs w:val="20"/>
          <w:color w:val="auto"/>
        </w:rPr>
      </w:pPr>
      <w:r>
        <w:rPr>
          <w:rFonts w:ascii="Times New Roman" w:cs="Times New Roman" w:eastAsia="Times New Roman" w:hAnsi="Times New Roman"/>
          <w:sz w:val="16"/>
          <w:szCs w:val="16"/>
          <w:color w:val="auto"/>
        </w:rPr>
        <w:t>in the future. Any issue that causes an interruption in</w:t>
      </w:r>
    </w:p>
    <w:p>
      <w:pPr>
        <w:spacing w:after="0" w:line="203" w:lineRule="auto"/>
        <w:rPr>
          <w:sz w:val="20"/>
          <w:szCs w:val="20"/>
          <w:color w:val="auto"/>
        </w:rPr>
      </w:pPr>
      <w:r>
        <w:rPr>
          <w:rFonts w:ascii="Times New Roman" w:cs="Times New Roman" w:eastAsia="Times New Roman" w:hAnsi="Times New Roman"/>
          <w:sz w:val="16"/>
          <w:szCs w:val="16"/>
          <w:color w:val="auto"/>
        </w:rPr>
        <w:t>services, including to our exchanges; decreases the</w:t>
      </w:r>
    </w:p>
    <w:p>
      <w:pPr>
        <w:spacing w:after="0" w:line="204" w:lineRule="auto"/>
        <w:rPr>
          <w:sz w:val="20"/>
          <w:szCs w:val="20"/>
          <w:color w:val="auto"/>
        </w:rPr>
      </w:pPr>
      <w:r>
        <w:rPr>
          <w:rFonts w:ascii="Times New Roman" w:cs="Times New Roman" w:eastAsia="Times New Roman" w:hAnsi="Times New Roman"/>
          <w:sz w:val="16"/>
          <w:szCs w:val="16"/>
          <w:color w:val="auto"/>
        </w:rPr>
        <w:t>responsiveness of our services or otherwise affects our</w:t>
      </w:r>
    </w:p>
    <w:p>
      <w:pPr>
        <w:spacing w:after="0" w:line="232" w:lineRule="auto"/>
        <w:rPr>
          <w:sz w:val="20"/>
          <w:szCs w:val="20"/>
          <w:color w:val="auto"/>
        </w:rPr>
      </w:pPr>
      <w:r>
        <w:rPr>
          <w:rFonts w:ascii="Times New Roman" w:cs="Times New Roman" w:eastAsia="Times New Roman" w:hAnsi="Times New Roman"/>
          <w:sz w:val="14"/>
          <w:szCs w:val="14"/>
          <w:color w:val="auto"/>
        </w:rPr>
        <w:t>services could impair our reputation, damage our brand name</w:t>
      </w:r>
    </w:p>
    <w:p>
      <w:pPr>
        <w:spacing w:after="0" w:line="204" w:lineRule="auto"/>
        <w:rPr>
          <w:sz w:val="20"/>
          <w:szCs w:val="20"/>
          <w:color w:val="auto"/>
        </w:rPr>
      </w:pPr>
      <w:r>
        <w:rPr>
          <w:rFonts w:ascii="Times New Roman" w:cs="Times New Roman" w:eastAsia="Times New Roman" w:hAnsi="Times New Roman"/>
          <w:sz w:val="16"/>
          <w:szCs w:val="16"/>
          <w:color w:val="auto"/>
        </w:rPr>
        <w:t>and negatively impact our business, financial condition and</w:t>
      </w:r>
    </w:p>
    <w:p>
      <w:pPr>
        <w:spacing w:after="0" w:line="203" w:lineRule="auto"/>
        <w:rPr>
          <w:sz w:val="20"/>
          <w:szCs w:val="20"/>
          <w:color w:val="auto"/>
        </w:rPr>
      </w:pPr>
      <w:r>
        <w:rPr>
          <w:rFonts w:ascii="Times New Roman" w:cs="Times New Roman" w:eastAsia="Times New Roman" w:hAnsi="Times New Roman"/>
          <w:sz w:val="16"/>
          <w:szCs w:val="16"/>
          <w:color w:val="auto"/>
        </w:rPr>
        <w:t>operating results.</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We must continue to introduce new products, initiatives and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enhancements to maintain our competitive position.</w:t>
      </w:r>
    </w:p>
    <w:p>
      <w:pPr>
        <w:spacing w:after="0"/>
        <w:rPr>
          <w:sz w:val="20"/>
          <w:szCs w:val="20"/>
          <w:color w:val="auto"/>
        </w:rPr>
      </w:pPr>
      <w:r>
        <w:rPr>
          <w:rFonts w:ascii="Times New Roman" w:cs="Times New Roman" w:eastAsia="Times New Roman" w:hAnsi="Times New Roman"/>
          <w:sz w:val="16"/>
          <w:szCs w:val="16"/>
          <w:color w:val="auto"/>
        </w:rPr>
        <w:t>We intend to launch new products and initiatives and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 decline in trading and clearing volumes or values or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market share will decrease our trading and clearing</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33" w:lineRule="auto"/>
        <w:rPr>
          <w:sz w:val="20"/>
          <w:szCs w:val="20"/>
          <w:color w:val="auto"/>
        </w:rPr>
      </w:pPr>
      <w:r>
        <w:rPr>
          <w:rFonts w:ascii="Times New Roman" w:cs="Times New Roman" w:eastAsia="Times New Roman" w:hAnsi="Times New Roman"/>
          <w:sz w:val="14"/>
          <w:szCs w:val="14"/>
          <w:color w:val="auto"/>
        </w:rPr>
        <w:t>Trading and clearing volumes and values are directly affected</w:t>
      </w:r>
    </w:p>
    <w:p>
      <w:pPr>
        <w:spacing w:after="0" w:line="233" w:lineRule="auto"/>
        <w:rPr>
          <w:sz w:val="20"/>
          <w:szCs w:val="20"/>
          <w:color w:val="auto"/>
        </w:rPr>
      </w:pPr>
      <w:r>
        <w:rPr>
          <w:rFonts w:ascii="Times New Roman" w:cs="Times New Roman" w:eastAsia="Times New Roman" w:hAnsi="Times New Roman"/>
          <w:sz w:val="14"/>
          <w:szCs w:val="14"/>
          <w:color w:val="auto"/>
        </w:rPr>
        <w:t>by economic, political and market conditions, broad trends in</w:t>
      </w:r>
    </w:p>
    <w:p>
      <w:pPr>
        <w:spacing w:after="0" w:line="203" w:lineRule="auto"/>
        <w:rPr>
          <w:sz w:val="20"/>
          <w:szCs w:val="20"/>
          <w:color w:val="auto"/>
        </w:rPr>
      </w:pPr>
      <w:r>
        <w:rPr>
          <w:rFonts w:ascii="Times New Roman" w:cs="Times New Roman" w:eastAsia="Times New Roman" w:hAnsi="Times New Roman"/>
          <w:sz w:val="16"/>
          <w:szCs w:val="16"/>
          <w:color w:val="auto"/>
        </w:rPr>
        <w:t>business and finance, unforeseen market closures or other</w:t>
      </w:r>
    </w:p>
    <w:p>
      <w:pPr>
        <w:spacing w:after="0" w:line="233" w:lineRule="auto"/>
        <w:rPr>
          <w:sz w:val="20"/>
          <w:szCs w:val="20"/>
          <w:color w:val="auto"/>
        </w:rPr>
      </w:pPr>
      <w:r>
        <w:rPr>
          <w:rFonts w:ascii="Times New Roman" w:cs="Times New Roman" w:eastAsia="Times New Roman" w:hAnsi="Times New Roman"/>
          <w:sz w:val="14"/>
          <w:szCs w:val="14"/>
          <w:color w:val="auto"/>
        </w:rPr>
        <w:t>disruptions in trading, the level and volatility of interest rates,</w:t>
      </w:r>
    </w:p>
    <w:p>
      <w:pPr>
        <w:spacing w:after="0" w:line="232" w:lineRule="auto"/>
        <w:rPr>
          <w:sz w:val="20"/>
          <w:szCs w:val="20"/>
          <w:color w:val="auto"/>
        </w:rPr>
      </w:pPr>
      <w:r>
        <w:rPr>
          <w:rFonts w:ascii="Times New Roman" w:cs="Times New Roman" w:eastAsia="Times New Roman" w:hAnsi="Times New Roman"/>
          <w:sz w:val="14"/>
          <w:szCs w:val="14"/>
          <w:color w:val="auto"/>
        </w:rPr>
        <w:t>inflation, changes in price levels of securities and the overall</w:t>
      </w:r>
    </w:p>
    <w:p>
      <w:pPr>
        <w:spacing w:after="0" w:line="204" w:lineRule="auto"/>
        <w:rPr>
          <w:sz w:val="20"/>
          <w:szCs w:val="20"/>
          <w:color w:val="auto"/>
        </w:rPr>
      </w:pPr>
      <w:r>
        <w:rPr>
          <w:rFonts w:ascii="Times New Roman" w:cs="Times New Roman" w:eastAsia="Times New Roman" w:hAnsi="Times New Roman"/>
          <w:sz w:val="16"/>
          <w:szCs w:val="16"/>
          <w:color w:val="auto"/>
        </w:rPr>
        <w:t>level of investor confidence. Over the past several years,</w:t>
      </w:r>
    </w:p>
    <w:p>
      <w:pPr>
        <w:spacing w:after="0" w:line="203" w:lineRule="auto"/>
        <w:rPr>
          <w:sz w:val="20"/>
          <w:szCs w:val="20"/>
          <w:color w:val="auto"/>
        </w:rPr>
      </w:pPr>
      <w:r>
        <w:rPr>
          <w:rFonts w:ascii="Times New Roman" w:cs="Times New Roman" w:eastAsia="Times New Roman" w:hAnsi="Times New Roman"/>
          <w:sz w:val="16"/>
          <w:szCs w:val="16"/>
          <w:color w:val="auto"/>
        </w:rPr>
        <w:t>trading and clearing volumes and values across our markets</w:t>
      </w:r>
    </w:p>
    <w:p>
      <w:pPr>
        <w:spacing w:after="0" w:line="233" w:lineRule="auto"/>
        <w:rPr>
          <w:sz w:val="20"/>
          <w:szCs w:val="20"/>
          <w:color w:val="auto"/>
        </w:rPr>
      </w:pPr>
      <w:r>
        <w:rPr>
          <w:rFonts w:ascii="Times New Roman" w:cs="Times New Roman" w:eastAsia="Times New Roman" w:hAnsi="Times New Roman"/>
          <w:sz w:val="14"/>
          <w:szCs w:val="14"/>
          <w:color w:val="auto"/>
        </w:rPr>
        <w:t>have fluctuated significantly depending on market conditions</w:t>
      </w:r>
    </w:p>
    <w:p>
      <w:pPr>
        <w:spacing w:after="0" w:line="204" w:lineRule="auto"/>
        <w:rPr>
          <w:sz w:val="20"/>
          <w:szCs w:val="20"/>
          <w:color w:val="auto"/>
        </w:rPr>
      </w:pPr>
      <w:r>
        <w:rPr>
          <w:rFonts w:ascii="Times New Roman" w:cs="Times New Roman" w:eastAsia="Times New Roman" w:hAnsi="Times New Roman"/>
          <w:sz w:val="16"/>
          <w:szCs w:val="16"/>
          <w:color w:val="auto"/>
        </w:rPr>
        <w:t>and other factors beyond our control. Because a significant</w:t>
      </w:r>
    </w:p>
    <w:p>
      <w:pPr>
        <w:spacing w:after="0" w:line="203" w:lineRule="auto"/>
        <w:rPr>
          <w:sz w:val="20"/>
          <w:szCs w:val="20"/>
          <w:color w:val="auto"/>
        </w:rPr>
      </w:pPr>
      <w:r>
        <w:rPr>
          <w:rFonts w:ascii="Times New Roman" w:cs="Times New Roman" w:eastAsia="Times New Roman" w:hAnsi="Times New Roman"/>
          <w:sz w:val="16"/>
          <w:szCs w:val="16"/>
          <w:color w:val="auto"/>
        </w:rPr>
        <w:t>percentage of our revenues is tied directly to the volume or</w:t>
      </w:r>
    </w:p>
    <w:p>
      <w:pPr>
        <w:spacing w:after="0" w:line="204" w:lineRule="auto"/>
        <w:rPr>
          <w:sz w:val="20"/>
          <w:szCs w:val="20"/>
          <w:color w:val="auto"/>
        </w:rPr>
      </w:pPr>
      <w:r>
        <w:rPr>
          <w:rFonts w:ascii="Times New Roman" w:cs="Times New Roman" w:eastAsia="Times New Roman" w:hAnsi="Times New Roman"/>
          <w:sz w:val="16"/>
          <w:szCs w:val="16"/>
          <w:color w:val="auto"/>
        </w:rPr>
        <w:t>value of securities traded and cleared on our markets, it is</w:t>
      </w:r>
    </w:p>
    <w:p>
      <w:pPr>
        <w:spacing w:after="0" w:line="203" w:lineRule="auto"/>
        <w:rPr>
          <w:sz w:val="20"/>
          <w:szCs w:val="20"/>
          <w:color w:val="auto"/>
        </w:rPr>
      </w:pPr>
      <w:r>
        <w:rPr>
          <w:rFonts w:ascii="Times New Roman" w:cs="Times New Roman" w:eastAsia="Times New Roman" w:hAnsi="Times New Roman"/>
          <w:sz w:val="16"/>
          <w:szCs w:val="16"/>
          <w:color w:val="auto"/>
        </w:rPr>
        <w:t>likely that a general decline in trading and clearing volumes</w:t>
      </w:r>
    </w:p>
    <w:p>
      <w:pPr>
        <w:spacing w:after="0" w:line="233" w:lineRule="auto"/>
        <w:rPr>
          <w:sz w:val="20"/>
          <w:szCs w:val="20"/>
          <w:color w:val="auto"/>
        </w:rPr>
      </w:pPr>
      <w:r>
        <w:rPr>
          <w:rFonts w:ascii="Times New Roman" w:cs="Times New Roman" w:eastAsia="Times New Roman" w:hAnsi="Times New Roman"/>
          <w:sz w:val="14"/>
          <w:szCs w:val="14"/>
          <w:color w:val="auto"/>
        </w:rPr>
        <w:t>or values would lower revenues and may adversely affect our</w:t>
      </w:r>
    </w:p>
    <w:p>
      <w:pPr>
        <w:spacing w:after="0" w:line="233" w:lineRule="auto"/>
        <w:rPr>
          <w:sz w:val="20"/>
          <w:szCs w:val="20"/>
          <w:color w:val="auto"/>
        </w:rPr>
      </w:pPr>
      <w:r>
        <w:rPr>
          <w:rFonts w:ascii="Times New Roman" w:cs="Times New Roman" w:eastAsia="Times New Roman" w:hAnsi="Times New Roman"/>
          <w:sz w:val="14"/>
          <w:szCs w:val="14"/>
          <w:color w:val="auto"/>
        </w:rPr>
        <w:t>operating results if we are unable to offset falling volumes or</w:t>
      </w:r>
    </w:p>
    <w:p>
      <w:pPr>
        <w:spacing w:after="0" w:line="203" w:lineRule="auto"/>
        <w:rPr>
          <w:sz w:val="20"/>
          <w:szCs w:val="20"/>
          <w:color w:val="auto"/>
        </w:rPr>
      </w:pPr>
      <w:r>
        <w:rPr>
          <w:rFonts w:ascii="Times New Roman" w:cs="Times New Roman" w:eastAsia="Times New Roman" w:hAnsi="Times New Roman"/>
          <w:sz w:val="16"/>
          <w:szCs w:val="16"/>
          <w:color w:val="auto"/>
        </w:rPr>
        <w:t>values through pricing changes. Declines in trading and</w:t>
      </w:r>
    </w:p>
    <w:p>
      <w:pPr>
        <w:spacing w:after="0" w:line="233" w:lineRule="auto"/>
        <w:rPr>
          <w:sz w:val="20"/>
          <w:szCs w:val="20"/>
          <w:color w:val="auto"/>
        </w:rPr>
      </w:pPr>
      <w:r>
        <w:rPr>
          <w:rFonts w:ascii="Times New Roman" w:cs="Times New Roman" w:eastAsia="Times New Roman" w:hAnsi="Times New Roman"/>
          <w:sz w:val="14"/>
          <w:szCs w:val="14"/>
          <w:color w:val="auto"/>
        </w:rPr>
        <w:t>clearing volumes or values may also impact our market share</w:t>
      </w:r>
    </w:p>
    <w:p>
      <w:pPr>
        <w:spacing w:after="0" w:line="203" w:lineRule="auto"/>
        <w:rPr>
          <w:sz w:val="20"/>
          <w:szCs w:val="20"/>
          <w:color w:val="auto"/>
        </w:rPr>
      </w:pPr>
      <w:r>
        <w:rPr>
          <w:rFonts w:ascii="Times New Roman" w:cs="Times New Roman" w:eastAsia="Times New Roman" w:hAnsi="Times New Roman"/>
          <w:sz w:val="16"/>
          <w:szCs w:val="16"/>
          <w:color w:val="auto"/>
        </w:rPr>
        <w:t>or pricing structures and adversely affect our business and</w:t>
      </w:r>
    </w:p>
    <w:p>
      <w:pPr>
        <w:spacing w:after="0" w:line="204" w:lineRule="auto"/>
        <w:rPr>
          <w:sz w:val="20"/>
          <w:szCs w:val="20"/>
          <w:color w:val="auto"/>
        </w:rPr>
      </w:pPr>
      <w:r>
        <w:rPr>
          <w:rFonts w:ascii="Times New Roman" w:cs="Times New Roman" w:eastAsia="Times New Roman" w:hAnsi="Times New Roman"/>
          <w:sz w:val="16"/>
          <w:szCs w:val="16"/>
          <w:color w:val="auto"/>
        </w:rPr>
        <w:t>financial condition.</w:t>
      </w:r>
    </w:p>
    <w:p>
      <w:pPr>
        <w:spacing w:after="0" w:line="233" w:lineRule="auto"/>
        <w:rPr>
          <w:sz w:val="20"/>
          <w:szCs w:val="20"/>
          <w:color w:val="auto"/>
        </w:rPr>
      </w:pPr>
      <w:r>
        <w:rPr>
          <w:rFonts w:ascii="Times New Roman" w:cs="Times New Roman" w:eastAsia="Times New Roman" w:hAnsi="Times New Roman"/>
          <w:sz w:val="14"/>
          <w:szCs w:val="14"/>
          <w:color w:val="auto"/>
        </w:rPr>
        <w:t>If our total market share in securities decreases relative to our</w:t>
      </w:r>
    </w:p>
    <w:p>
      <w:pPr>
        <w:spacing w:after="0" w:line="203" w:lineRule="auto"/>
        <w:rPr>
          <w:sz w:val="20"/>
          <w:szCs w:val="20"/>
          <w:color w:val="auto"/>
        </w:rPr>
      </w:pPr>
      <w:r>
        <w:rPr>
          <w:rFonts w:ascii="Times New Roman" w:cs="Times New Roman" w:eastAsia="Times New Roman" w:hAnsi="Times New Roman"/>
          <w:sz w:val="16"/>
          <w:szCs w:val="16"/>
          <w:color w:val="auto"/>
        </w:rPr>
        <w:t>competitors, our venues may be viewed as less attractive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sources of liquidity. If our exchanges are perceived to be less</w:t>
      </w:r>
    </w:p>
    <w:p>
      <w:pPr>
        <w:sectPr>
          <w:pgSz w:w="11900" w:h="16840" w:orient="portrait"/>
          <w:cols w:equalWidth="0" w:num="1">
            <w:col w:w="9400"/>
          </w:cols>
          <w:pgMar w:left="1060" w:top="547" w:right="1440" w:bottom="115"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liquid, then our business, financial condition and operating</w:t>
      </w:r>
    </w:p>
    <w:p>
      <w:pPr>
        <w:spacing w:after="0" w:line="203" w:lineRule="auto"/>
        <w:rPr>
          <w:sz w:val="20"/>
          <w:szCs w:val="20"/>
          <w:color w:val="auto"/>
        </w:rPr>
      </w:pPr>
      <w:r>
        <w:rPr>
          <w:rFonts w:ascii="Times New Roman" w:cs="Times New Roman" w:eastAsia="Times New Roman" w:hAnsi="Times New Roman"/>
          <w:sz w:val="16"/>
          <w:szCs w:val="16"/>
          <w:color w:val="auto"/>
        </w:rPr>
        <w:t>results could be adversely affected.</w:t>
      </w:r>
    </w:p>
    <w:p>
      <w:pPr>
        <w:spacing w:after="0" w:line="204" w:lineRule="auto"/>
        <w:rPr>
          <w:sz w:val="20"/>
          <w:szCs w:val="20"/>
          <w:color w:val="auto"/>
        </w:rPr>
      </w:pPr>
      <w:r>
        <w:rPr>
          <w:rFonts w:ascii="Times New Roman" w:cs="Times New Roman" w:eastAsia="Times New Roman" w:hAnsi="Times New Roman"/>
          <w:sz w:val="16"/>
          <w:szCs w:val="16"/>
          <w:color w:val="auto"/>
        </w:rPr>
        <w:t>Since some of our exchanges offer clearing services in</w:t>
      </w:r>
    </w:p>
    <w:p>
      <w:pPr>
        <w:spacing w:after="0" w:line="203" w:lineRule="auto"/>
        <w:rPr>
          <w:sz w:val="20"/>
          <w:szCs w:val="20"/>
          <w:color w:val="auto"/>
        </w:rPr>
      </w:pPr>
      <w:r>
        <w:rPr>
          <w:rFonts w:ascii="Times New Roman" w:cs="Times New Roman" w:eastAsia="Times New Roman" w:hAnsi="Times New Roman"/>
          <w:sz w:val="16"/>
          <w:szCs w:val="16"/>
          <w:color w:val="auto"/>
        </w:rPr>
        <w:t>addition to trading services, a decline in market share of</w:t>
      </w:r>
    </w:p>
    <w:p>
      <w:pPr>
        <w:spacing w:after="0" w:line="204" w:lineRule="auto"/>
        <w:rPr>
          <w:sz w:val="20"/>
          <w:szCs w:val="20"/>
          <w:color w:val="auto"/>
        </w:rPr>
      </w:pPr>
      <w:r>
        <w:rPr>
          <w:rFonts w:ascii="Times New Roman" w:cs="Times New Roman" w:eastAsia="Times New Roman" w:hAnsi="Times New Roman"/>
          <w:sz w:val="16"/>
          <w:szCs w:val="16"/>
          <w:color w:val="auto"/>
        </w:rPr>
        <w:t>trading could lead to a decline in clearing and depository</w:t>
      </w:r>
    </w:p>
    <w:p>
      <w:pPr>
        <w:spacing w:after="0" w:line="232" w:lineRule="auto"/>
        <w:rPr>
          <w:sz w:val="20"/>
          <w:szCs w:val="20"/>
          <w:color w:val="auto"/>
        </w:rPr>
      </w:pPr>
      <w:r>
        <w:rPr>
          <w:rFonts w:ascii="Times New Roman" w:cs="Times New Roman" w:eastAsia="Times New Roman" w:hAnsi="Times New Roman"/>
          <w:sz w:val="14"/>
          <w:szCs w:val="14"/>
          <w:color w:val="auto"/>
        </w:rPr>
        <w:t>revenues. Declines in market share also could result in issuers</w:t>
      </w:r>
    </w:p>
    <w:p>
      <w:pPr>
        <w:spacing w:after="0" w:line="204" w:lineRule="auto"/>
        <w:rPr>
          <w:sz w:val="20"/>
          <w:szCs w:val="20"/>
          <w:color w:val="auto"/>
        </w:rPr>
      </w:pPr>
      <w:r>
        <w:rPr>
          <w:rFonts w:ascii="Times New Roman" w:cs="Times New Roman" w:eastAsia="Times New Roman" w:hAnsi="Times New Roman"/>
          <w:sz w:val="16"/>
          <w:szCs w:val="16"/>
          <w:color w:val="auto"/>
        </w:rPr>
        <w:t>viewing the value of a listing on our exchanges as less</w:t>
      </w:r>
    </w:p>
    <w:p>
      <w:pPr>
        <w:spacing w:after="0" w:line="203" w:lineRule="auto"/>
        <w:rPr>
          <w:sz w:val="20"/>
          <w:szCs w:val="20"/>
          <w:color w:val="auto"/>
        </w:rPr>
      </w:pPr>
      <w:r>
        <w:rPr>
          <w:rFonts w:ascii="Times New Roman" w:cs="Times New Roman" w:eastAsia="Times New Roman" w:hAnsi="Times New Roman"/>
          <w:sz w:val="16"/>
          <w:szCs w:val="16"/>
          <w:color w:val="auto"/>
        </w:rPr>
        <w:t>attractive, thereby adversely affecting our listing business.</w:t>
      </w:r>
    </w:p>
    <w:p>
      <w:pPr>
        <w:spacing w:after="0" w:line="233" w:lineRule="auto"/>
        <w:rPr>
          <w:sz w:val="20"/>
          <w:szCs w:val="20"/>
          <w:color w:val="auto"/>
        </w:rPr>
      </w:pPr>
      <w:r>
        <w:rPr>
          <w:rFonts w:ascii="Times New Roman" w:cs="Times New Roman" w:eastAsia="Times New Roman" w:hAnsi="Times New Roman"/>
          <w:sz w:val="14"/>
          <w:szCs w:val="14"/>
          <w:color w:val="auto"/>
        </w:rPr>
        <w:t>Finally, declines in market share of Nasdaq-listed securities,</w:t>
      </w:r>
    </w:p>
    <w:p>
      <w:pPr>
        <w:spacing w:after="0" w:line="204" w:lineRule="auto"/>
        <w:rPr>
          <w:sz w:val="20"/>
          <w:szCs w:val="20"/>
          <w:color w:val="auto"/>
        </w:rPr>
      </w:pPr>
      <w:r>
        <w:rPr>
          <w:rFonts w:ascii="Times New Roman" w:cs="Times New Roman" w:eastAsia="Times New Roman" w:hAnsi="Times New Roman"/>
          <w:sz w:val="16"/>
          <w:szCs w:val="16"/>
          <w:color w:val="auto"/>
        </w:rPr>
        <w:t>or recently adopted SEC rules and regulations, could lower</w:t>
      </w:r>
    </w:p>
    <w:p>
      <w:pPr>
        <w:spacing w:after="0" w:line="203" w:lineRule="auto"/>
        <w:rPr>
          <w:sz w:val="20"/>
          <w:szCs w:val="20"/>
          <w:color w:val="auto"/>
        </w:rPr>
      </w:pPr>
      <w:r>
        <w:rPr>
          <w:rFonts w:ascii="Times New Roman" w:cs="Times New Roman" w:eastAsia="Times New Roman" w:hAnsi="Times New Roman"/>
          <w:sz w:val="16"/>
          <w:szCs w:val="16"/>
          <w:color w:val="auto"/>
        </w:rPr>
        <w:t>The Nasdaq Stock Market’s share of tape pool revenues</w:t>
      </w:r>
    </w:p>
    <w:p>
      <w:pPr>
        <w:spacing w:after="0" w:line="204" w:lineRule="auto"/>
        <w:rPr>
          <w:sz w:val="20"/>
          <w:szCs w:val="20"/>
          <w:color w:val="auto"/>
        </w:rPr>
      </w:pPr>
      <w:r>
        <w:rPr>
          <w:rFonts w:ascii="Times New Roman" w:cs="Times New Roman" w:eastAsia="Times New Roman" w:hAnsi="Times New Roman"/>
          <w:sz w:val="16"/>
          <w:szCs w:val="16"/>
          <w:color w:val="auto"/>
        </w:rPr>
        <w:t>under the consolidated data plans, thereby reducing the</w:t>
      </w:r>
    </w:p>
    <w:p>
      <w:pPr>
        <w:spacing w:after="0" w:line="203" w:lineRule="auto"/>
        <w:rPr>
          <w:sz w:val="20"/>
          <w:szCs w:val="20"/>
          <w:color w:val="auto"/>
        </w:rPr>
      </w:pPr>
      <w:r>
        <w:rPr>
          <w:rFonts w:ascii="Times New Roman" w:cs="Times New Roman" w:eastAsia="Times New Roman" w:hAnsi="Times New Roman"/>
          <w:sz w:val="16"/>
          <w:szCs w:val="16"/>
          <w:color w:val="auto"/>
        </w:rPr>
        <w:t>revenues of our U.S. Tape plans business.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Our role in the global marketplace positions us at greater</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risk for a cyberattack.</w:t>
      </w:r>
    </w:p>
    <w:p>
      <w:pPr>
        <w:spacing w:after="0" w:line="204" w:lineRule="auto"/>
        <w:rPr>
          <w:sz w:val="20"/>
          <w:szCs w:val="20"/>
          <w:color w:val="auto"/>
        </w:rPr>
      </w:pPr>
      <w:r>
        <w:rPr>
          <w:rFonts w:ascii="Times New Roman" w:cs="Times New Roman" w:eastAsia="Times New Roman" w:hAnsi="Times New Roman"/>
          <w:sz w:val="16"/>
          <w:szCs w:val="16"/>
          <w:color w:val="auto"/>
        </w:rPr>
        <w:t>Our systems and operations are vulnerable to damage,</w:t>
      </w:r>
    </w:p>
    <w:p>
      <w:pPr>
        <w:spacing w:after="0" w:line="233" w:lineRule="auto"/>
        <w:rPr>
          <w:sz w:val="20"/>
          <w:szCs w:val="20"/>
          <w:color w:val="auto"/>
        </w:rPr>
      </w:pPr>
      <w:r>
        <w:rPr>
          <w:rFonts w:ascii="Times New Roman" w:cs="Times New Roman" w:eastAsia="Times New Roman" w:hAnsi="Times New Roman"/>
          <w:sz w:val="14"/>
          <w:szCs w:val="14"/>
          <w:color w:val="auto"/>
        </w:rPr>
        <w:t>misappropriation or disruption from security breaches. Some</w:t>
      </w:r>
    </w:p>
    <w:p>
      <w:pPr>
        <w:spacing w:after="0" w:line="203" w:lineRule="auto"/>
        <w:rPr>
          <w:sz w:val="20"/>
          <w:szCs w:val="20"/>
          <w:color w:val="auto"/>
        </w:rPr>
      </w:pPr>
      <w:r>
        <w:rPr>
          <w:rFonts w:ascii="Times New Roman" w:cs="Times New Roman" w:eastAsia="Times New Roman" w:hAnsi="Times New Roman"/>
          <w:sz w:val="16"/>
          <w:szCs w:val="16"/>
          <w:color w:val="auto"/>
        </w:rPr>
        <w:t>of these threats include attacks from foreign governments,</w:t>
      </w:r>
    </w:p>
    <w:p>
      <w:pPr>
        <w:spacing w:after="0" w:line="204" w:lineRule="auto"/>
        <w:rPr>
          <w:sz w:val="20"/>
          <w:szCs w:val="20"/>
          <w:color w:val="auto"/>
        </w:rPr>
      </w:pPr>
      <w:r>
        <w:rPr>
          <w:rFonts w:ascii="Times New Roman" w:cs="Times New Roman" w:eastAsia="Times New Roman" w:hAnsi="Times New Roman"/>
          <w:sz w:val="16"/>
          <w:szCs w:val="16"/>
          <w:color w:val="auto"/>
        </w:rPr>
        <w:t>hacktivists, insiders and criminal organizations. Foreign</w:t>
      </w:r>
    </w:p>
    <w:p>
      <w:pPr>
        <w:spacing w:after="0" w:line="203" w:lineRule="auto"/>
        <w:rPr>
          <w:sz w:val="20"/>
          <w:szCs w:val="20"/>
          <w:color w:val="auto"/>
        </w:rPr>
      </w:pPr>
      <w:r>
        <w:rPr>
          <w:rFonts w:ascii="Times New Roman" w:cs="Times New Roman" w:eastAsia="Times New Roman" w:hAnsi="Times New Roman"/>
          <w:sz w:val="16"/>
          <w:szCs w:val="16"/>
          <w:color w:val="auto"/>
        </w:rPr>
        <w:t>governments may seek to obtain a foothold in U.S. critical</w:t>
      </w:r>
    </w:p>
    <w:p>
      <w:pPr>
        <w:spacing w:after="0" w:line="219" w:lineRule="auto"/>
        <w:rPr>
          <w:sz w:val="20"/>
          <w:szCs w:val="20"/>
          <w:color w:val="auto"/>
        </w:rPr>
      </w:pPr>
      <w:r>
        <w:rPr>
          <w:rFonts w:ascii="Times New Roman" w:cs="Times New Roman" w:eastAsia="Times New Roman" w:hAnsi="Times New Roman"/>
          <w:sz w:val="16"/>
          <w:szCs w:val="16"/>
          <w:color w:val="auto"/>
        </w:rPr>
        <w:t>infrastructure, hacktivists may seek to deploy denial of</w:t>
      </w:r>
    </w:p>
    <w:p>
      <w:pPr>
        <w:spacing w:after="0" w:line="233" w:lineRule="auto"/>
        <w:rPr>
          <w:sz w:val="20"/>
          <w:szCs w:val="20"/>
          <w:color w:val="auto"/>
        </w:rPr>
      </w:pPr>
      <w:r>
        <w:rPr>
          <w:rFonts w:ascii="Times New Roman" w:cs="Times New Roman" w:eastAsia="Times New Roman" w:hAnsi="Times New Roman"/>
          <w:sz w:val="14"/>
          <w:szCs w:val="14"/>
          <w:color w:val="auto"/>
        </w:rPr>
        <w:t>service attacks to bring attention to their cause, insiders may</w:t>
      </w:r>
    </w:p>
    <w:p>
      <w:pPr>
        <w:spacing w:after="0" w:line="233" w:lineRule="auto"/>
        <w:rPr>
          <w:sz w:val="20"/>
          <w:szCs w:val="20"/>
          <w:color w:val="auto"/>
        </w:rPr>
      </w:pPr>
      <w:r>
        <w:rPr>
          <w:rFonts w:ascii="Times New Roman" w:cs="Times New Roman" w:eastAsia="Times New Roman" w:hAnsi="Times New Roman"/>
          <w:sz w:val="14"/>
          <w:szCs w:val="14"/>
          <w:color w:val="auto"/>
        </w:rPr>
        <w:t>pose a risk of human error or malicious activity and criminal</w:t>
      </w:r>
    </w:p>
    <w:p>
      <w:pPr>
        <w:spacing w:after="0" w:line="203" w:lineRule="auto"/>
        <w:rPr>
          <w:sz w:val="20"/>
          <w:szCs w:val="20"/>
          <w:color w:val="auto"/>
        </w:rPr>
      </w:pPr>
      <w:r>
        <w:rPr>
          <w:rFonts w:ascii="Times New Roman" w:cs="Times New Roman" w:eastAsia="Times New Roman" w:hAnsi="Times New Roman"/>
          <w:sz w:val="16"/>
          <w:szCs w:val="16"/>
          <w:color w:val="auto"/>
        </w:rPr>
        <w:t>organizations may seek to profit by gaining control of</w:t>
      </w:r>
    </w:p>
    <w:p>
      <w:pPr>
        <w:spacing w:after="0" w:line="204" w:lineRule="auto"/>
        <w:rPr>
          <w:sz w:val="20"/>
          <w:szCs w:val="20"/>
          <w:color w:val="auto"/>
        </w:rPr>
      </w:pPr>
      <w:r>
        <w:rPr>
          <w:rFonts w:ascii="Times New Roman" w:cs="Times New Roman" w:eastAsia="Times New Roman" w:hAnsi="Times New Roman"/>
          <w:sz w:val="16"/>
          <w:szCs w:val="16"/>
          <w:color w:val="auto"/>
        </w:rPr>
        <w:t>company systems or accounts or from stolen data via</w:t>
      </w:r>
    </w:p>
    <w:p>
      <w:pPr>
        <w:spacing w:after="0" w:line="203" w:lineRule="auto"/>
        <w:rPr>
          <w:sz w:val="20"/>
          <w:szCs w:val="20"/>
          <w:color w:val="auto"/>
        </w:rPr>
      </w:pPr>
      <w:r>
        <w:rPr>
          <w:rFonts w:ascii="Times New Roman" w:cs="Times New Roman" w:eastAsia="Times New Roman" w:hAnsi="Times New Roman"/>
          <w:sz w:val="16"/>
          <w:szCs w:val="16"/>
          <w:color w:val="auto"/>
        </w:rPr>
        <w:t>ransomware or other means, such as social engineering,</w:t>
      </w:r>
    </w:p>
    <w:p>
      <w:pPr>
        <w:spacing w:after="0" w:line="204" w:lineRule="auto"/>
        <w:rPr>
          <w:sz w:val="20"/>
          <w:szCs w:val="20"/>
          <w:color w:val="auto"/>
        </w:rPr>
      </w:pPr>
      <w:r>
        <w:rPr>
          <w:rFonts w:ascii="Times New Roman" w:cs="Times New Roman" w:eastAsia="Times New Roman" w:hAnsi="Times New Roman"/>
          <w:sz w:val="16"/>
          <w:szCs w:val="16"/>
          <w:color w:val="auto"/>
        </w:rPr>
        <w:t>including deepfake scams, compromised business email or</w:t>
      </w:r>
    </w:p>
    <w:p>
      <w:pPr>
        <w:spacing w:after="0" w:line="204" w:lineRule="auto"/>
        <w:rPr>
          <w:sz w:val="20"/>
          <w:szCs w:val="20"/>
          <w:color w:val="auto"/>
        </w:rPr>
      </w:pPr>
      <w:r>
        <w:rPr>
          <w:rFonts w:ascii="Times New Roman" w:cs="Times New Roman" w:eastAsia="Times New Roman" w:hAnsi="Times New Roman"/>
          <w:sz w:val="16"/>
          <w:szCs w:val="16"/>
          <w:color w:val="auto"/>
        </w:rPr>
        <w:t>other methods. Our hybrid work model and our global</w:t>
      </w:r>
    </w:p>
    <w:p>
      <w:pPr>
        <w:spacing w:after="0" w:line="203" w:lineRule="auto"/>
        <w:rPr>
          <w:sz w:val="20"/>
          <w:szCs w:val="20"/>
          <w:color w:val="auto"/>
        </w:rPr>
      </w:pPr>
      <w:r>
        <w:rPr>
          <w:rFonts w:ascii="Times New Roman" w:cs="Times New Roman" w:eastAsia="Times New Roman" w:hAnsi="Times New Roman"/>
          <w:sz w:val="16"/>
          <w:szCs w:val="16"/>
          <w:color w:val="auto"/>
        </w:rPr>
        <w:t>footprint elevate cybersecurity and operational risks,</w:t>
      </w:r>
    </w:p>
    <w:p>
      <w:pPr>
        <w:spacing w:after="0" w:line="233" w:lineRule="auto"/>
        <w:rPr>
          <w:sz w:val="20"/>
          <w:szCs w:val="20"/>
          <w:color w:val="auto"/>
        </w:rPr>
      </w:pPr>
      <w:r>
        <w:rPr>
          <w:rFonts w:ascii="Times New Roman" w:cs="Times New Roman" w:eastAsia="Times New Roman" w:hAnsi="Times New Roman"/>
          <w:sz w:val="14"/>
          <w:szCs w:val="14"/>
          <w:color w:val="auto"/>
        </w:rPr>
        <w:t>particularly in geographies with adversary nation-states and/</w:t>
      </w:r>
    </w:p>
    <w:p>
      <w:pPr>
        <w:spacing w:after="0" w:line="203" w:lineRule="auto"/>
        <w:rPr>
          <w:sz w:val="20"/>
          <w:szCs w:val="20"/>
          <w:color w:val="auto"/>
        </w:rPr>
      </w:pPr>
      <w:r>
        <w:rPr>
          <w:rFonts w:ascii="Times New Roman" w:cs="Times New Roman" w:eastAsia="Times New Roman" w:hAnsi="Times New Roman"/>
          <w:sz w:val="16"/>
          <w:szCs w:val="16"/>
          <w:color w:val="auto"/>
        </w:rPr>
        <w:t>or unreliable law enforcement. Given our position in the</w:t>
      </w:r>
    </w:p>
    <w:p>
      <w:pPr>
        <w:spacing w:after="0" w:line="204" w:lineRule="auto"/>
        <w:rPr>
          <w:sz w:val="20"/>
          <w:szCs w:val="20"/>
          <w:color w:val="auto"/>
        </w:rPr>
      </w:pPr>
      <w:r>
        <w:rPr>
          <w:rFonts w:ascii="Times New Roman" w:cs="Times New Roman" w:eastAsia="Times New Roman" w:hAnsi="Times New Roman"/>
          <w:sz w:val="16"/>
          <w:szCs w:val="16"/>
          <w:color w:val="auto"/>
        </w:rPr>
        <w:t>global securities industry, we may be more likely than other</w:t>
      </w:r>
    </w:p>
    <w:p>
      <w:pPr>
        <w:spacing w:after="0" w:line="203" w:lineRule="auto"/>
        <w:rPr>
          <w:sz w:val="20"/>
          <w:szCs w:val="20"/>
          <w:color w:val="auto"/>
        </w:rPr>
      </w:pPr>
      <w:r>
        <w:rPr>
          <w:rFonts w:ascii="Times New Roman" w:cs="Times New Roman" w:eastAsia="Times New Roman" w:hAnsi="Times New Roman"/>
          <w:sz w:val="16"/>
          <w:szCs w:val="16"/>
          <w:color w:val="auto"/>
        </w:rPr>
        <w:t>companies to be a direct target, or an indirect casualty, of</w:t>
      </w:r>
    </w:p>
    <w:p>
      <w:pPr>
        <w:spacing w:after="0" w:line="204" w:lineRule="auto"/>
        <w:rPr>
          <w:sz w:val="20"/>
          <w:szCs w:val="20"/>
          <w:color w:val="auto"/>
        </w:rPr>
      </w:pPr>
      <w:r>
        <w:rPr>
          <w:rFonts w:ascii="Times New Roman" w:cs="Times New Roman" w:eastAsia="Times New Roman" w:hAnsi="Times New Roman"/>
          <w:sz w:val="16"/>
          <w:szCs w:val="16"/>
          <w:color w:val="auto"/>
        </w:rPr>
        <w:t>such events. During periods of war or global geopolitical</w:t>
      </w:r>
    </w:p>
    <w:p>
      <w:pPr>
        <w:spacing w:after="0" w:line="204" w:lineRule="auto"/>
        <w:rPr>
          <w:sz w:val="20"/>
          <w:szCs w:val="20"/>
          <w:color w:val="auto"/>
        </w:rPr>
      </w:pPr>
      <w:r>
        <w:rPr>
          <w:rFonts w:ascii="Times New Roman" w:cs="Times New Roman" w:eastAsia="Times New Roman" w:hAnsi="Times New Roman"/>
          <w:sz w:val="16"/>
          <w:szCs w:val="16"/>
          <w:color w:val="auto"/>
        </w:rPr>
        <w:t>uncertainty, cyber threats may increase from foreign</w:t>
      </w:r>
    </w:p>
    <w:p>
      <w:pPr>
        <w:spacing w:after="0" w:line="232" w:lineRule="auto"/>
        <w:rPr>
          <w:sz w:val="20"/>
          <w:szCs w:val="20"/>
          <w:color w:val="auto"/>
        </w:rPr>
      </w:pPr>
      <w:r>
        <w:rPr>
          <w:rFonts w:ascii="Times New Roman" w:cs="Times New Roman" w:eastAsia="Times New Roman" w:hAnsi="Times New Roman"/>
          <w:sz w:val="14"/>
          <w:szCs w:val="14"/>
          <w:color w:val="auto"/>
        </w:rPr>
        <w:t>governments or hacktivists to our exchange infrastructure and</w:t>
      </w:r>
    </w:p>
    <w:p>
      <w:pPr>
        <w:spacing w:after="0" w:line="204" w:lineRule="auto"/>
        <w:rPr>
          <w:sz w:val="20"/>
          <w:szCs w:val="20"/>
          <w:color w:val="auto"/>
        </w:rPr>
      </w:pPr>
      <w:r>
        <w:rPr>
          <w:rFonts w:ascii="Times New Roman" w:cs="Times New Roman" w:eastAsia="Times New Roman" w:hAnsi="Times New Roman"/>
          <w:sz w:val="16"/>
          <w:szCs w:val="16"/>
          <w:color w:val="auto"/>
        </w:rPr>
        <w:t>offerings, and to our vendors and international employees.</w:t>
      </w:r>
    </w:p>
    <w:p>
      <w:pPr>
        <w:spacing w:after="0" w:line="232" w:lineRule="auto"/>
        <w:rPr>
          <w:sz w:val="20"/>
          <w:szCs w:val="20"/>
          <w:color w:val="auto"/>
        </w:rPr>
      </w:pPr>
      <w:r>
        <w:rPr>
          <w:rFonts w:ascii="Times New Roman" w:cs="Times New Roman" w:eastAsia="Times New Roman" w:hAnsi="Times New Roman"/>
          <w:sz w:val="14"/>
          <w:szCs w:val="14"/>
          <w:color w:val="auto"/>
        </w:rPr>
        <w:t>While we continue to employ and invest resources to monitor</w:t>
      </w:r>
    </w:p>
    <w:p>
      <w:pPr>
        <w:spacing w:after="0" w:line="204" w:lineRule="auto"/>
        <w:rPr>
          <w:sz w:val="20"/>
          <w:szCs w:val="20"/>
          <w:color w:val="auto"/>
        </w:rPr>
      </w:pPr>
      <w:r>
        <w:rPr>
          <w:rFonts w:ascii="Times New Roman" w:cs="Times New Roman" w:eastAsia="Times New Roman" w:hAnsi="Times New Roman"/>
          <w:sz w:val="16"/>
          <w:szCs w:val="16"/>
          <w:color w:val="auto"/>
        </w:rPr>
        <w:t>our systems and protect our infrastructure, these measures</w:t>
      </w:r>
    </w:p>
    <w:p>
      <w:pPr>
        <w:spacing w:after="0" w:line="203" w:lineRule="auto"/>
        <w:rPr>
          <w:sz w:val="20"/>
          <w:szCs w:val="20"/>
          <w:color w:val="auto"/>
        </w:rPr>
      </w:pPr>
      <w:r>
        <w:rPr>
          <w:rFonts w:ascii="Times New Roman" w:cs="Times New Roman" w:eastAsia="Times New Roman" w:hAnsi="Times New Roman"/>
          <w:sz w:val="16"/>
          <w:szCs w:val="16"/>
          <w:color w:val="auto"/>
        </w:rPr>
        <w:t>may prove insufficient due to the continuously evolving</w:t>
      </w:r>
    </w:p>
    <w:p>
      <w:pPr>
        <w:spacing w:after="0" w:line="204" w:lineRule="auto"/>
        <w:rPr>
          <w:sz w:val="20"/>
          <w:szCs w:val="20"/>
          <w:color w:val="auto"/>
        </w:rPr>
      </w:pPr>
      <w:r>
        <w:rPr>
          <w:rFonts w:ascii="Times New Roman" w:cs="Times New Roman" w:eastAsia="Times New Roman" w:hAnsi="Times New Roman"/>
          <w:sz w:val="16"/>
          <w:szCs w:val="16"/>
          <w:color w:val="auto"/>
        </w:rPr>
        <w:t>nature of threat activity. Any system issue, whether as a</w:t>
      </w:r>
    </w:p>
    <w:p>
      <w:pPr>
        <w:spacing w:after="0" w:line="203" w:lineRule="auto"/>
        <w:rPr>
          <w:sz w:val="20"/>
          <w:szCs w:val="20"/>
          <w:color w:val="auto"/>
        </w:rPr>
      </w:pPr>
      <w:r>
        <w:rPr>
          <w:rFonts w:ascii="Times New Roman" w:cs="Times New Roman" w:eastAsia="Times New Roman" w:hAnsi="Times New Roman"/>
          <w:sz w:val="16"/>
          <w:szCs w:val="16"/>
          <w:color w:val="auto"/>
        </w:rPr>
        <w:t>result of an intentional breach, collateral damage from a</w:t>
      </w:r>
    </w:p>
    <w:p>
      <w:pPr>
        <w:spacing w:after="0" w:line="233" w:lineRule="auto"/>
        <w:rPr>
          <w:sz w:val="20"/>
          <w:szCs w:val="20"/>
          <w:color w:val="auto"/>
        </w:rPr>
      </w:pPr>
      <w:r>
        <w:rPr>
          <w:rFonts w:ascii="Times New Roman" w:cs="Times New Roman" w:eastAsia="Times New Roman" w:hAnsi="Times New Roman"/>
          <w:sz w:val="14"/>
          <w:szCs w:val="14"/>
          <w:color w:val="auto"/>
        </w:rPr>
        <w:t>cybersecurity incident involving our supply chain vendors, a</w:t>
      </w:r>
    </w:p>
    <w:p>
      <w:pPr>
        <w:spacing w:after="0" w:line="204" w:lineRule="auto"/>
        <w:rPr>
          <w:sz w:val="20"/>
          <w:szCs w:val="20"/>
          <w:color w:val="auto"/>
        </w:rPr>
      </w:pPr>
      <w:r>
        <w:rPr>
          <w:rFonts w:ascii="Times New Roman" w:cs="Times New Roman" w:eastAsia="Times New Roman" w:hAnsi="Times New Roman"/>
          <w:sz w:val="16"/>
          <w:szCs w:val="16"/>
          <w:color w:val="auto"/>
        </w:rPr>
        <w:t>negligent or malicious act by an insider, or the use of AI by</w:t>
      </w:r>
    </w:p>
    <w:p>
      <w:pPr>
        <w:spacing w:after="0" w:line="232" w:lineRule="auto"/>
        <w:rPr>
          <w:sz w:val="20"/>
          <w:szCs w:val="20"/>
          <w:color w:val="auto"/>
        </w:rPr>
      </w:pPr>
      <w:r>
        <w:rPr>
          <w:rFonts w:ascii="Times New Roman" w:cs="Times New Roman" w:eastAsia="Times New Roman" w:hAnsi="Times New Roman"/>
          <w:sz w:val="14"/>
          <w:szCs w:val="14"/>
          <w:color w:val="auto"/>
        </w:rPr>
        <w:t>bad actors, including the use of such tools to engage in social</w:t>
      </w:r>
    </w:p>
    <w:p>
      <w:pPr>
        <w:spacing w:after="0" w:line="204" w:lineRule="auto"/>
        <w:rPr>
          <w:sz w:val="20"/>
          <w:szCs w:val="20"/>
          <w:color w:val="auto"/>
        </w:rPr>
      </w:pPr>
      <w:r>
        <w:rPr>
          <w:rFonts w:ascii="Times New Roman" w:cs="Times New Roman" w:eastAsia="Times New Roman" w:hAnsi="Times New Roman"/>
          <w:sz w:val="16"/>
          <w:szCs w:val="16"/>
          <w:color w:val="auto"/>
        </w:rPr>
        <w:t>engineering or similar activities, or due to a cybersecurity</w:t>
      </w:r>
    </w:p>
    <w:p>
      <w:pPr>
        <w:spacing w:after="0" w:line="203" w:lineRule="auto"/>
        <w:rPr>
          <w:sz w:val="20"/>
          <w:szCs w:val="20"/>
          <w:color w:val="auto"/>
        </w:rPr>
      </w:pPr>
      <w:r>
        <w:rPr>
          <w:rFonts w:ascii="Times New Roman" w:cs="Times New Roman" w:eastAsia="Times New Roman" w:hAnsi="Times New Roman"/>
          <w:sz w:val="16"/>
          <w:szCs w:val="16"/>
          <w:color w:val="auto"/>
        </w:rPr>
        <w:t>breach of a customer that results in a loss of our data or</w:t>
      </w:r>
    </w:p>
    <w:p>
      <w:pPr>
        <w:spacing w:after="0" w:line="204" w:lineRule="auto"/>
        <w:rPr>
          <w:sz w:val="20"/>
          <w:szCs w:val="20"/>
          <w:color w:val="auto"/>
        </w:rPr>
      </w:pPr>
      <w:r>
        <w:rPr>
          <w:rFonts w:ascii="Times New Roman" w:cs="Times New Roman" w:eastAsia="Times New Roman" w:hAnsi="Times New Roman"/>
          <w:sz w:val="16"/>
          <w:szCs w:val="16"/>
          <w:color w:val="auto"/>
        </w:rPr>
        <w:t>compromises our systems or those of our other customers</w:t>
      </w:r>
    </w:p>
    <w:p>
      <w:pPr>
        <w:spacing w:after="0" w:line="232" w:lineRule="auto"/>
        <w:rPr>
          <w:sz w:val="20"/>
          <w:szCs w:val="20"/>
          <w:color w:val="auto"/>
        </w:rPr>
      </w:pPr>
      <w:r>
        <w:rPr>
          <w:rFonts w:ascii="Times New Roman" w:cs="Times New Roman" w:eastAsia="Times New Roman" w:hAnsi="Times New Roman"/>
          <w:sz w:val="14"/>
          <w:szCs w:val="14"/>
          <w:color w:val="auto"/>
        </w:rPr>
        <w:t>utilizing the same products, could damage our reputation and</w:t>
      </w:r>
    </w:p>
    <w:p>
      <w:pPr>
        <w:spacing w:after="0" w:line="204" w:lineRule="auto"/>
        <w:rPr>
          <w:sz w:val="20"/>
          <w:szCs w:val="20"/>
          <w:color w:val="auto"/>
        </w:rPr>
      </w:pPr>
      <w:r>
        <w:rPr>
          <w:rFonts w:ascii="Times New Roman" w:cs="Times New Roman" w:eastAsia="Times New Roman" w:hAnsi="Times New Roman"/>
          <w:sz w:val="16"/>
          <w:szCs w:val="16"/>
          <w:color w:val="auto"/>
        </w:rPr>
        <w:t>result in: a loss of customers; disrupted customer</w:t>
      </w:r>
    </w:p>
    <w:p>
      <w:pPr>
        <w:spacing w:after="0" w:line="203" w:lineRule="auto"/>
        <w:rPr>
          <w:sz w:val="20"/>
          <w:szCs w:val="20"/>
          <w:color w:val="auto"/>
        </w:rPr>
      </w:pPr>
      <w:r>
        <w:rPr>
          <w:rFonts w:ascii="Times New Roman" w:cs="Times New Roman" w:eastAsia="Times New Roman" w:hAnsi="Times New Roman"/>
          <w:sz w:val="16"/>
          <w:szCs w:val="16"/>
          <w:color w:val="auto"/>
        </w:rPr>
        <w:t>relationships; the loss of our IP or sensitive data; lower</w:t>
      </w:r>
    </w:p>
    <w:p>
      <w:pPr>
        <w:spacing w:after="0" w:line="233" w:lineRule="auto"/>
        <w:rPr>
          <w:sz w:val="20"/>
          <w:szCs w:val="20"/>
          <w:color w:val="auto"/>
        </w:rPr>
      </w:pPr>
      <w:r>
        <w:rPr>
          <w:rFonts w:ascii="Times New Roman" w:cs="Times New Roman" w:eastAsia="Times New Roman" w:hAnsi="Times New Roman"/>
          <w:sz w:val="14"/>
          <w:szCs w:val="14"/>
          <w:color w:val="auto"/>
        </w:rPr>
        <w:t>trading volumes or values, significant liabilities, litigation or</w:t>
      </w:r>
    </w:p>
    <w:p>
      <w:pPr>
        <w:spacing w:after="0" w:line="204" w:lineRule="auto"/>
        <w:rPr>
          <w:sz w:val="20"/>
          <w:szCs w:val="20"/>
          <w:color w:val="auto"/>
        </w:rPr>
      </w:pPr>
      <w:r>
        <w:rPr>
          <w:rFonts w:ascii="Times New Roman" w:cs="Times New Roman" w:eastAsia="Times New Roman" w:hAnsi="Times New Roman"/>
          <w:sz w:val="16"/>
          <w:szCs w:val="16"/>
          <w:color w:val="auto"/>
        </w:rPr>
        <w:t>regulatory fines; or otherwise have a negative impact on our</w:t>
      </w:r>
    </w:p>
    <w:p>
      <w:pPr>
        <w:spacing w:after="0" w:line="203" w:lineRule="auto"/>
        <w:rPr>
          <w:sz w:val="20"/>
          <w:szCs w:val="20"/>
          <w:color w:val="auto"/>
        </w:rPr>
      </w:pPr>
      <w:r>
        <w:rPr>
          <w:rFonts w:ascii="Times New Roman" w:cs="Times New Roman" w:eastAsia="Times New Roman" w:hAnsi="Times New Roman"/>
          <w:sz w:val="16"/>
          <w:szCs w:val="16"/>
          <w:color w:val="auto"/>
        </w:rPr>
        <w:t>business, our products and services, financial condition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results. A system breach may go undetected for 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The success of our business depends on our ability to keep</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up with rapid technological and other competitive changes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affecting our industry. Specifically, we must complete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development of, successfully implement and maintain</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platforms that have the functionality, performance,</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capacity, reliability and speed required by our business and</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regulators, as well as by our customers.</w:t>
      </w:r>
    </w:p>
    <w:p>
      <w:pPr>
        <w:spacing w:after="0" w:line="204" w:lineRule="auto"/>
        <w:rPr>
          <w:sz w:val="20"/>
          <w:szCs w:val="20"/>
          <w:color w:val="auto"/>
        </w:rPr>
      </w:pPr>
      <w:r>
        <w:rPr>
          <w:rFonts w:ascii="Times New Roman" w:cs="Times New Roman" w:eastAsia="Times New Roman" w:hAnsi="Times New Roman"/>
          <w:sz w:val="16"/>
          <w:szCs w:val="16"/>
          <w:color w:val="auto"/>
        </w:rPr>
        <w:t>The markets in which we compete are characterized by</w:t>
      </w:r>
    </w:p>
    <w:p>
      <w:pPr>
        <w:spacing w:after="0" w:line="204" w:lineRule="auto"/>
        <w:rPr>
          <w:sz w:val="20"/>
          <w:szCs w:val="20"/>
          <w:color w:val="auto"/>
        </w:rPr>
      </w:pPr>
      <w:r>
        <w:rPr>
          <w:rFonts w:ascii="Times New Roman" w:cs="Times New Roman" w:eastAsia="Times New Roman" w:hAnsi="Times New Roman"/>
          <w:sz w:val="16"/>
          <w:szCs w:val="16"/>
          <w:color w:val="auto"/>
        </w:rPr>
        <w:t>rapidly changing technology, evolving industry and</w:t>
      </w:r>
    </w:p>
    <w:p>
      <w:pPr>
        <w:spacing w:after="0" w:line="203" w:lineRule="auto"/>
        <w:rPr>
          <w:sz w:val="20"/>
          <w:szCs w:val="20"/>
          <w:color w:val="auto"/>
        </w:rPr>
      </w:pPr>
      <w:r>
        <w:rPr>
          <w:rFonts w:ascii="Times New Roman" w:cs="Times New Roman" w:eastAsia="Times New Roman" w:hAnsi="Times New Roman"/>
          <w:sz w:val="16"/>
          <w:szCs w:val="16"/>
          <w:color w:val="auto"/>
        </w:rPr>
        <w:t>regulatory standards, frequent enhancements to existing</w:t>
      </w:r>
    </w:p>
    <w:p>
      <w:pPr>
        <w:spacing w:after="0" w:line="204" w:lineRule="auto"/>
        <w:rPr>
          <w:sz w:val="20"/>
          <w:szCs w:val="20"/>
          <w:color w:val="auto"/>
        </w:rPr>
      </w:pPr>
      <w:r>
        <w:rPr>
          <w:rFonts w:ascii="Times New Roman" w:cs="Times New Roman" w:eastAsia="Times New Roman" w:hAnsi="Times New Roman"/>
          <w:sz w:val="16"/>
          <w:szCs w:val="16"/>
          <w:color w:val="auto"/>
        </w:rPr>
        <w:t>products and services, the adoption of new services and</w:t>
      </w:r>
    </w:p>
    <w:p>
      <w:pPr>
        <w:spacing w:after="0" w:line="232" w:lineRule="auto"/>
        <w:rPr>
          <w:sz w:val="20"/>
          <w:szCs w:val="20"/>
          <w:color w:val="auto"/>
        </w:rPr>
      </w:pPr>
      <w:r>
        <w:rPr>
          <w:rFonts w:ascii="Times New Roman" w:cs="Times New Roman" w:eastAsia="Times New Roman" w:hAnsi="Times New Roman"/>
          <w:sz w:val="14"/>
          <w:szCs w:val="14"/>
          <w:color w:val="auto"/>
        </w:rPr>
        <w:t>products and changing customer demands. We are reliant on</w:t>
      </w:r>
    </w:p>
    <w:p>
      <w:pPr>
        <w:spacing w:after="0" w:line="204" w:lineRule="auto"/>
        <w:rPr>
          <w:sz w:val="20"/>
          <w:szCs w:val="20"/>
          <w:color w:val="auto"/>
        </w:rPr>
      </w:pPr>
      <w:r>
        <w:rPr>
          <w:rFonts w:ascii="Times New Roman" w:cs="Times New Roman" w:eastAsia="Times New Roman" w:hAnsi="Times New Roman"/>
          <w:sz w:val="16"/>
          <w:szCs w:val="16"/>
          <w:color w:val="auto"/>
        </w:rPr>
        <w:t>our customers that purchase our on-premises solutions to</w:t>
      </w:r>
    </w:p>
    <w:p>
      <w:pPr>
        <w:spacing w:after="0" w:line="203" w:lineRule="auto"/>
        <w:rPr>
          <w:sz w:val="20"/>
          <w:szCs w:val="20"/>
          <w:color w:val="auto"/>
        </w:rPr>
      </w:pPr>
      <w:r>
        <w:rPr>
          <w:rFonts w:ascii="Times New Roman" w:cs="Times New Roman" w:eastAsia="Times New Roman" w:hAnsi="Times New Roman"/>
          <w:sz w:val="16"/>
          <w:szCs w:val="16"/>
          <w:color w:val="auto"/>
        </w:rPr>
        <w:t>maintain a certain level of network infrastructure for our</w:t>
      </w:r>
    </w:p>
    <w:p>
      <w:pPr>
        <w:spacing w:after="0" w:line="204" w:lineRule="auto"/>
        <w:rPr>
          <w:sz w:val="20"/>
          <w:szCs w:val="20"/>
          <w:color w:val="auto"/>
        </w:rPr>
      </w:pPr>
      <w:r>
        <w:rPr>
          <w:rFonts w:ascii="Times New Roman" w:cs="Times New Roman" w:eastAsia="Times New Roman" w:hAnsi="Times New Roman"/>
          <w:sz w:val="16"/>
          <w:szCs w:val="16"/>
          <w:color w:val="auto"/>
        </w:rPr>
        <w:t>products to operate and to allow for our support of those</w:t>
      </w:r>
    </w:p>
    <w:p>
      <w:pPr>
        <w:spacing w:after="0" w:line="203" w:lineRule="auto"/>
        <w:rPr>
          <w:sz w:val="20"/>
          <w:szCs w:val="20"/>
          <w:color w:val="auto"/>
        </w:rPr>
      </w:pPr>
      <w:r>
        <w:rPr>
          <w:rFonts w:ascii="Times New Roman" w:cs="Times New Roman" w:eastAsia="Times New Roman" w:hAnsi="Times New Roman"/>
          <w:sz w:val="16"/>
          <w:szCs w:val="16"/>
          <w:color w:val="auto"/>
        </w:rPr>
        <w:t>products, and to secure our software and other proprietary</w:t>
      </w:r>
    </w:p>
    <w:p>
      <w:pPr>
        <w:spacing w:after="0" w:line="204" w:lineRule="auto"/>
        <w:rPr>
          <w:sz w:val="20"/>
          <w:szCs w:val="20"/>
          <w:color w:val="auto"/>
        </w:rPr>
      </w:pPr>
      <w:r>
        <w:rPr>
          <w:rFonts w:ascii="Times New Roman" w:cs="Times New Roman" w:eastAsia="Times New Roman" w:hAnsi="Times New Roman"/>
          <w:sz w:val="16"/>
          <w:szCs w:val="16"/>
          <w:color w:val="auto"/>
        </w:rPr>
        <w:t>materials stored in such systems, and there is no assurance</w:t>
      </w:r>
    </w:p>
    <w:p>
      <w:pPr>
        <w:spacing w:after="0" w:line="204" w:lineRule="auto"/>
        <w:rPr>
          <w:sz w:val="20"/>
          <w:szCs w:val="20"/>
          <w:color w:val="auto"/>
        </w:rPr>
      </w:pPr>
      <w:r>
        <w:rPr>
          <w:rFonts w:ascii="Times New Roman" w:cs="Times New Roman" w:eastAsia="Times New Roman" w:hAnsi="Times New Roman"/>
          <w:sz w:val="16"/>
          <w:szCs w:val="16"/>
          <w:color w:val="auto"/>
        </w:rPr>
        <w:t>that a customer will implement such measures. We may not</w:t>
      </w:r>
    </w:p>
    <w:p>
      <w:pPr>
        <w:spacing w:after="0" w:line="203" w:lineRule="auto"/>
        <w:rPr>
          <w:sz w:val="20"/>
          <w:szCs w:val="20"/>
          <w:color w:val="auto"/>
        </w:rPr>
      </w:pPr>
      <w:r>
        <w:rPr>
          <w:rFonts w:ascii="Times New Roman" w:cs="Times New Roman" w:eastAsia="Times New Roman" w:hAnsi="Times New Roman"/>
          <w:sz w:val="16"/>
          <w:szCs w:val="16"/>
          <w:color w:val="auto"/>
        </w:rPr>
        <w:t>be able to keep up with rapid technological and other</w:t>
      </w:r>
    </w:p>
    <w:p>
      <w:pPr>
        <w:spacing w:after="0" w:line="233" w:lineRule="auto"/>
        <w:rPr>
          <w:sz w:val="20"/>
          <w:szCs w:val="20"/>
          <w:color w:val="auto"/>
        </w:rPr>
      </w:pPr>
      <w:r>
        <w:rPr>
          <w:rFonts w:ascii="Times New Roman" w:cs="Times New Roman" w:eastAsia="Times New Roman" w:hAnsi="Times New Roman"/>
          <w:sz w:val="14"/>
          <w:szCs w:val="14"/>
          <w:color w:val="auto"/>
        </w:rPr>
        <w:t>competitive changes affecting our industry. For example, we</w:t>
      </w:r>
    </w:p>
    <w:p>
      <w:pPr>
        <w:spacing w:after="0" w:line="232" w:lineRule="auto"/>
        <w:rPr>
          <w:sz w:val="20"/>
          <w:szCs w:val="20"/>
          <w:color w:val="auto"/>
        </w:rPr>
      </w:pPr>
      <w:r>
        <w:rPr>
          <w:rFonts w:ascii="Times New Roman" w:cs="Times New Roman" w:eastAsia="Times New Roman" w:hAnsi="Times New Roman"/>
          <w:sz w:val="14"/>
          <w:szCs w:val="14"/>
          <w:color w:val="auto"/>
        </w:rPr>
        <w:t>must continue to enhance our platforms and, where relevant,</w:t>
      </w:r>
    </w:p>
    <w:p>
      <w:pPr>
        <w:spacing w:after="0" w:line="204" w:lineRule="auto"/>
        <w:rPr>
          <w:sz w:val="20"/>
          <w:szCs w:val="20"/>
          <w:color w:val="auto"/>
        </w:rPr>
      </w:pPr>
      <w:r>
        <w:rPr>
          <w:rFonts w:ascii="Times New Roman" w:cs="Times New Roman" w:eastAsia="Times New Roman" w:hAnsi="Times New Roman"/>
          <w:sz w:val="16"/>
          <w:szCs w:val="16"/>
          <w:color w:val="auto"/>
        </w:rPr>
        <w:t>our customers', to remain competitive as well as to address</w:t>
      </w:r>
    </w:p>
    <w:p>
      <w:pPr>
        <w:spacing w:after="0" w:line="203" w:lineRule="auto"/>
        <w:rPr>
          <w:sz w:val="20"/>
          <w:szCs w:val="20"/>
          <w:color w:val="auto"/>
        </w:rPr>
      </w:pPr>
      <w:r>
        <w:rPr>
          <w:rFonts w:ascii="Times New Roman" w:cs="Times New Roman" w:eastAsia="Times New Roman" w:hAnsi="Times New Roman"/>
          <w:sz w:val="16"/>
          <w:szCs w:val="16"/>
          <w:color w:val="auto"/>
        </w:rPr>
        <w:t>our regulatory responsibilities, and our business will be</w:t>
      </w:r>
    </w:p>
    <w:p>
      <w:pPr>
        <w:spacing w:after="0" w:line="204" w:lineRule="auto"/>
        <w:rPr>
          <w:sz w:val="20"/>
          <w:szCs w:val="20"/>
          <w:color w:val="auto"/>
        </w:rPr>
      </w:pPr>
      <w:r>
        <w:rPr>
          <w:rFonts w:ascii="Times New Roman" w:cs="Times New Roman" w:eastAsia="Times New Roman" w:hAnsi="Times New Roman"/>
          <w:sz w:val="16"/>
          <w:szCs w:val="16"/>
          <w:color w:val="auto"/>
        </w:rPr>
        <w:t>negatively affected if our platforms or the technology</w:t>
      </w:r>
    </w:p>
    <w:p>
      <w:pPr>
        <w:spacing w:after="0" w:line="204" w:lineRule="auto"/>
        <w:rPr>
          <w:sz w:val="20"/>
          <w:szCs w:val="20"/>
          <w:color w:val="auto"/>
        </w:rPr>
      </w:pPr>
      <w:r>
        <w:rPr>
          <w:rFonts w:ascii="Times New Roman" w:cs="Times New Roman" w:eastAsia="Times New Roman" w:hAnsi="Times New Roman"/>
          <w:sz w:val="16"/>
          <w:szCs w:val="16"/>
          <w:color w:val="auto"/>
        </w:rPr>
        <w:t>solutions we sell to our customers fail to function as</w:t>
      </w:r>
    </w:p>
    <w:p>
      <w:pPr>
        <w:spacing w:after="0" w:line="203" w:lineRule="auto"/>
        <w:rPr>
          <w:sz w:val="20"/>
          <w:szCs w:val="20"/>
          <w:color w:val="auto"/>
        </w:rPr>
      </w:pPr>
      <w:r>
        <w:rPr>
          <w:rFonts w:ascii="Times New Roman" w:cs="Times New Roman" w:eastAsia="Times New Roman" w:hAnsi="Times New Roman"/>
          <w:sz w:val="16"/>
          <w:szCs w:val="16"/>
          <w:color w:val="auto"/>
        </w:rPr>
        <w:t>expected. If we are unable to develop our platforms to</w:t>
      </w:r>
    </w:p>
    <w:p>
      <w:pPr>
        <w:spacing w:after="0" w:line="233" w:lineRule="auto"/>
        <w:rPr>
          <w:sz w:val="20"/>
          <w:szCs w:val="20"/>
          <w:color w:val="auto"/>
        </w:rPr>
      </w:pPr>
      <w:r>
        <w:rPr>
          <w:rFonts w:ascii="Times New Roman" w:cs="Times New Roman" w:eastAsia="Times New Roman" w:hAnsi="Times New Roman"/>
          <w:sz w:val="14"/>
          <w:szCs w:val="14"/>
          <w:color w:val="auto"/>
        </w:rPr>
        <w:t>include other products and markets, or if our platforms do not</w:t>
      </w:r>
    </w:p>
    <w:p>
      <w:pPr>
        <w:spacing w:after="0" w:line="203" w:lineRule="auto"/>
        <w:rPr>
          <w:sz w:val="20"/>
          <w:szCs w:val="20"/>
          <w:color w:val="auto"/>
        </w:rPr>
      </w:pPr>
      <w:r>
        <w:rPr>
          <w:rFonts w:ascii="Times New Roman" w:cs="Times New Roman" w:eastAsia="Times New Roman" w:hAnsi="Times New Roman"/>
          <w:sz w:val="16"/>
          <w:szCs w:val="16"/>
          <w:color w:val="auto"/>
        </w:rPr>
        <w:t>have the required functionality, performance, capacity,</w:t>
      </w:r>
    </w:p>
    <w:p>
      <w:pPr>
        <w:spacing w:after="0" w:line="204" w:lineRule="auto"/>
        <w:rPr>
          <w:sz w:val="20"/>
          <w:szCs w:val="20"/>
          <w:color w:val="auto"/>
        </w:rPr>
      </w:pPr>
      <w:r>
        <w:rPr>
          <w:rFonts w:ascii="Times New Roman" w:cs="Times New Roman" w:eastAsia="Times New Roman" w:hAnsi="Times New Roman"/>
          <w:sz w:val="16"/>
          <w:szCs w:val="16"/>
          <w:color w:val="auto"/>
        </w:rPr>
        <w:t>reliability and speed required by our business and our</w:t>
      </w:r>
    </w:p>
    <w:p>
      <w:pPr>
        <w:spacing w:after="0" w:line="203" w:lineRule="auto"/>
        <w:rPr>
          <w:sz w:val="20"/>
          <w:szCs w:val="20"/>
          <w:color w:val="auto"/>
        </w:rPr>
      </w:pPr>
      <w:r>
        <w:rPr>
          <w:rFonts w:ascii="Times New Roman" w:cs="Times New Roman" w:eastAsia="Times New Roman" w:hAnsi="Times New Roman"/>
          <w:sz w:val="16"/>
          <w:szCs w:val="16"/>
          <w:color w:val="auto"/>
        </w:rPr>
        <w:t>regulators, as well as by our customers, we may not be able</w:t>
      </w:r>
    </w:p>
    <w:p>
      <w:pPr>
        <w:spacing w:after="0" w:line="204" w:lineRule="auto"/>
        <w:rPr>
          <w:sz w:val="20"/>
          <w:szCs w:val="20"/>
          <w:color w:val="auto"/>
        </w:rPr>
      </w:pPr>
      <w:r>
        <w:rPr>
          <w:rFonts w:ascii="Times New Roman" w:cs="Times New Roman" w:eastAsia="Times New Roman" w:hAnsi="Times New Roman"/>
          <w:sz w:val="16"/>
          <w:szCs w:val="16"/>
          <w:color w:val="auto"/>
        </w:rPr>
        <w:t>to compete successfully. Further, our failure to anticipate or</w:t>
      </w:r>
    </w:p>
    <w:p>
      <w:pPr>
        <w:spacing w:after="0" w:line="204" w:lineRule="auto"/>
        <w:rPr>
          <w:sz w:val="20"/>
          <w:szCs w:val="20"/>
          <w:color w:val="auto"/>
        </w:rPr>
      </w:pPr>
      <w:r>
        <w:rPr>
          <w:rFonts w:ascii="Times New Roman" w:cs="Times New Roman" w:eastAsia="Times New Roman" w:hAnsi="Times New Roman"/>
          <w:sz w:val="16"/>
          <w:szCs w:val="16"/>
          <w:color w:val="auto"/>
        </w:rPr>
        <w:t>respond adequately to changes in emerging technology and</w:t>
      </w:r>
    </w:p>
    <w:p>
      <w:pPr>
        <w:spacing w:after="0" w:line="203" w:lineRule="auto"/>
        <w:rPr>
          <w:sz w:val="20"/>
          <w:szCs w:val="20"/>
          <w:color w:val="auto"/>
        </w:rPr>
      </w:pPr>
      <w:r>
        <w:rPr>
          <w:rFonts w:ascii="Times New Roman" w:cs="Times New Roman" w:eastAsia="Times New Roman" w:hAnsi="Times New Roman"/>
          <w:sz w:val="16"/>
          <w:szCs w:val="16"/>
          <w:color w:val="auto"/>
        </w:rPr>
        <w:t>customer preferences, such as trading and settlement of</w:t>
      </w:r>
    </w:p>
    <w:p>
      <w:pPr>
        <w:spacing w:after="0" w:line="204" w:lineRule="auto"/>
        <w:rPr>
          <w:sz w:val="20"/>
          <w:szCs w:val="20"/>
          <w:color w:val="auto"/>
        </w:rPr>
      </w:pPr>
      <w:r>
        <w:rPr>
          <w:rFonts w:ascii="Times New Roman" w:cs="Times New Roman" w:eastAsia="Times New Roman" w:hAnsi="Times New Roman"/>
          <w:sz w:val="16"/>
          <w:szCs w:val="16"/>
          <w:color w:val="auto"/>
        </w:rPr>
        <w:t>tokenized equity securities and ETP's or extended trading</w:t>
      </w:r>
    </w:p>
    <w:p>
      <w:pPr>
        <w:spacing w:after="0" w:line="203" w:lineRule="auto"/>
        <w:rPr>
          <w:sz w:val="20"/>
          <w:szCs w:val="20"/>
          <w:color w:val="auto"/>
        </w:rPr>
      </w:pPr>
      <w:r>
        <w:rPr>
          <w:rFonts w:ascii="Times New Roman" w:cs="Times New Roman" w:eastAsia="Times New Roman" w:hAnsi="Times New Roman"/>
          <w:sz w:val="16"/>
          <w:szCs w:val="16"/>
          <w:color w:val="auto"/>
        </w:rPr>
        <w:t>hours on our exchanges, or any significant delays in product</w:t>
      </w:r>
    </w:p>
    <w:p>
      <w:pPr>
        <w:spacing w:after="0" w:line="233" w:lineRule="auto"/>
        <w:rPr>
          <w:sz w:val="20"/>
          <w:szCs w:val="20"/>
          <w:color w:val="auto"/>
        </w:rPr>
      </w:pPr>
      <w:r>
        <w:rPr>
          <w:rFonts w:ascii="Times New Roman" w:cs="Times New Roman" w:eastAsia="Times New Roman" w:hAnsi="Times New Roman"/>
          <w:sz w:val="14"/>
          <w:szCs w:val="14"/>
          <w:color w:val="auto"/>
        </w:rPr>
        <w:t>development efforts, could have a material adverse effect on</w:t>
      </w:r>
    </w:p>
    <w:p>
      <w:pPr>
        <w:spacing w:after="0" w:line="203" w:lineRule="auto"/>
        <w:rPr>
          <w:sz w:val="20"/>
          <w:szCs w:val="20"/>
          <w:color w:val="auto"/>
        </w:rPr>
      </w:pPr>
      <w:r>
        <w:rPr>
          <w:rFonts w:ascii="Times New Roman" w:cs="Times New Roman" w:eastAsia="Times New Roman" w:hAnsi="Times New Roman"/>
          <w:sz w:val="16"/>
          <w:szCs w:val="16"/>
          <w:color w:val="auto"/>
        </w:rPr>
        <w:t>our business, financial condition and operating results.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Our AI initiatives and the use of AI in certain of our</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existing products may be unsuccessful and may give rise to</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various risks, which could adversely affect our business,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reputation, or operating results.</w:t>
      </w:r>
    </w:p>
    <w:p>
      <w:pPr>
        <w:spacing w:after="0" w:line="203" w:lineRule="auto"/>
        <w:rPr>
          <w:sz w:val="20"/>
          <w:szCs w:val="20"/>
          <w:color w:val="auto"/>
        </w:rPr>
      </w:pPr>
      <w:r>
        <w:rPr>
          <w:rFonts w:ascii="Times New Roman" w:cs="Times New Roman" w:eastAsia="Times New Roman" w:hAnsi="Times New Roman"/>
          <w:sz w:val="16"/>
          <w:szCs w:val="16"/>
          <w:color w:val="auto"/>
        </w:rPr>
        <w:t>We have made, and are continuing to make, significant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in AI including generative AI and agentic AI, to,</w:t>
      </w:r>
    </w:p>
    <w:p>
      <w:pPr>
        <w:sectPr>
          <w:pgSz w:w="11900" w:h="16840" w:orient="portrait"/>
          <w:cols w:equalWidth="0" w:num="1">
            <w:col w:w="9400"/>
          </w:cols>
          <w:pgMar w:left="1060" w:top="547" w:right="1440" w:bottom="55"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among other things, develop new products or features for our</w:t>
      </w:r>
    </w:p>
    <w:p>
      <w:pPr>
        <w:spacing w:after="0" w:line="220" w:lineRule="auto"/>
        <w:rPr>
          <w:sz w:val="20"/>
          <w:szCs w:val="20"/>
          <w:color w:val="auto"/>
        </w:rPr>
      </w:pPr>
      <w:r>
        <w:rPr>
          <w:rFonts w:ascii="Times New Roman" w:cs="Times New Roman" w:eastAsia="Times New Roman" w:hAnsi="Times New Roman"/>
          <w:sz w:val="16"/>
          <w:szCs w:val="16"/>
          <w:color w:val="auto"/>
        </w:rPr>
        <w:t>existing products, including our anti-financial crime, equity</w:t>
      </w:r>
    </w:p>
    <w:p>
      <w:pPr>
        <w:spacing w:after="0" w:line="233" w:lineRule="auto"/>
        <w:rPr>
          <w:sz w:val="20"/>
          <w:szCs w:val="20"/>
          <w:color w:val="auto"/>
        </w:rPr>
      </w:pPr>
      <w:r>
        <w:rPr>
          <w:rFonts w:ascii="Times New Roman" w:cs="Times New Roman" w:eastAsia="Times New Roman" w:hAnsi="Times New Roman"/>
          <w:sz w:val="14"/>
          <w:szCs w:val="14"/>
          <w:color w:val="auto"/>
        </w:rPr>
        <w:t>trading, investor relations, financial reporting, and investment</w:t>
      </w:r>
    </w:p>
    <w:p>
      <w:pPr>
        <w:spacing w:after="0"/>
        <w:rPr>
          <w:sz w:val="20"/>
          <w:szCs w:val="20"/>
          <w:color w:val="auto"/>
        </w:rPr>
      </w:pPr>
      <w:r>
        <w:rPr>
          <w:rFonts w:ascii="Times New Roman" w:cs="Times New Roman" w:eastAsia="Times New Roman" w:hAnsi="Times New Roman"/>
          <w:sz w:val="16"/>
          <w:szCs w:val="16"/>
          <w:color w:val="auto"/>
        </w:rPr>
        <w:t>analytics solutions, and to enhance and refine our internal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operations. As generative and agentic AI are new</w:t>
      </w:r>
    </w:p>
    <w:p>
      <w:pPr>
        <w:spacing w:after="0" w:line="207" w:lineRule="auto"/>
        <w:rPr>
          <w:sz w:val="20"/>
          <w:szCs w:val="20"/>
          <w:color w:val="auto"/>
        </w:rPr>
      </w:pPr>
      <w:r>
        <w:rPr>
          <w:rFonts w:ascii="Times New Roman" w:cs="Times New Roman" w:eastAsia="Times New Roman" w:hAnsi="Times New Roman"/>
          <w:sz w:val="16"/>
          <w:szCs w:val="16"/>
          <w:color w:val="auto"/>
        </w:rPr>
        <w:t>and evolving technologies in the early stages of commercial</w:t>
      </w:r>
    </w:p>
    <w:p>
      <w:pPr>
        <w:spacing w:after="0" w:line="204" w:lineRule="auto"/>
        <w:rPr>
          <w:sz w:val="20"/>
          <w:szCs w:val="20"/>
          <w:color w:val="auto"/>
        </w:rPr>
      </w:pPr>
      <w:r>
        <w:rPr>
          <w:rFonts w:ascii="Times New Roman" w:cs="Times New Roman" w:eastAsia="Times New Roman" w:hAnsi="Times New Roman"/>
          <w:sz w:val="16"/>
          <w:szCs w:val="16"/>
          <w:color w:val="auto"/>
        </w:rPr>
        <w:t>use, there are significant risks involved in the development</w:t>
      </w:r>
    </w:p>
    <w:p>
      <w:pPr>
        <w:spacing w:after="0" w:line="203" w:lineRule="auto"/>
        <w:rPr>
          <w:sz w:val="20"/>
          <w:szCs w:val="20"/>
          <w:color w:val="auto"/>
        </w:rPr>
      </w:pPr>
      <w:r>
        <w:rPr>
          <w:rFonts w:ascii="Times New Roman" w:cs="Times New Roman" w:eastAsia="Times New Roman" w:hAnsi="Times New Roman"/>
          <w:sz w:val="16"/>
          <w:szCs w:val="16"/>
          <w:color w:val="auto"/>
        </w:rPr>
        <w:t>and deployment of these technologies, and there can be no</w:t>
      </w:r>
    </w:p>
    <w:p>
      <w:pPr>
        <w:spacing w:after="0" w:line="204" w:lineRule="auto"/>
        <w:rPr>
          <w:sz w:val="20"/>
          <w:szCs w:val="20"/>
          <w:color w:val="auto"/>
        </w:rPr>
      </w:pPr>
      <w:r>
        <w:rPr>
          <w:rFonts w:ascii="Times New Roman" w:cs="Times New Roman" w:eastAsia="Times New Roman" w:hAnsi="Times New Roman"/>
          <w:sz w:val="16"/>
          <w:szCs w:val="16"/>
          <w:color w:val="auto"/>
        </w:rPr>
        <w:t>assurance that the use of AI will enhance our products or</w:t>
      </w:r>
    </w:p>
    <w:p>
      <w:pPr>
        <w:spacing w:after="0" w:line="232" w:lineRule="auto"/>
        <w:rPr>
          <w:sz w:val="20"/>
          <w:szCs w:val="20"/>
          <w:color w:val="auto"/>
        </w:rPr>
      </w:pPr>
      <w:r>
        <w:rPr>
          <w:rFonts w:ascii="Times New Roman" w:cs="Times New Roman" w:eastAsia="Times New Roman" w:hAnsi="Times New Roman"/>
          <w:sz w:val="14"/>
          <w:szCs w:val="14"/>
          <w:color w:val="auto"/>
        </w:rPr>
        <w:t>services or improve our business or operating results. Market</w:t>
      </w:r>
    </w:p>
    <w:p>
      <w:pPr>
        <w:spacing w:after="0" w:line="204" w:lineRule="auto"/>
        <w:rPr>
          <w:sz w:val="20"/>
          <w:szCs w:val="20"/>
          <w:color w:val="auto"/>
        </w:rPr>
      </w:pPr>
      <w:r>
        <w:rPr>
          <w:rFonts w:ascii="Times New Roman" w:cs="Times New Roman" w:eastAsia="Times New Roman" w:hAnsi="Times New Roman"/>
          <w:sz w:val="16"/>
          <w:szCs w:val="16"/>
          <w:color w:val="auto"/>
        </w:rPr>
        <w:t>acceptance of generative and agentic AI technologies is</w:t>
      </w:r>
    </w:p>
    <w:p>
      <w:pPr>
        <w:spacing w:after="0" w:line="203" w:lineRule="auto"/>
        <w:rPr>
          <w:sz w:val="20"/>
          <w:szCs w:val="20"/>
          <w:color w:val="auto"/>
        </w:rPr>
      </w:pPr>
      <w:r>
        <w:rPr>
          <w:rFonts w:ascii="Times New Roman" w:cs="Times New Roman" w:eastAsia="Times New Roman" w:hAnsi="Times New Roman"/>
          <w:sz w:val="16"/>
          <w:szCs w:val="16"/>
          <w:color w:val="auto"/>
        </w:rPr>
        <w:t>evolving, and we may be unsuccessful in our product</w:t>
      </w:r>
    </w:p>
    <w:p>
      <w:pPr>
        <w:spacing w:after="0" w:line="204" w:lineRule="auto"/>
        <w:rPr>
          <w:sz w:val="20"/>
          <w:szCs w:val="20"/>
          <w:color w:val="auto"/>
        </w:rPr>
      </w:pPr>
      <w:r>
        <w:rPr>
          <w:rFonts w:ascii="Times New Roman" w:cs="Times New Roman" w:eastAsia="Times New Roman" w:hAnsi="Times New Roman"/>
          <w:sz w:val="16"/>
          <w:szCs w:val="16"/>
          <w:color w:val="auto"/>
        </w:rPr>
        <w:t>development efforts. Moreover, our AI-related product</w:t>
      </w:r>
    </w:p>
    <w:p>
      <w:pPr>
        <w:spacing w:after="0" w:line="203" w:lineRule="auto"/>
        <w:rPr>
          <w:sz w:val="20"/>
          <w:szCs w:val="20"/>
          <w:color w:val="auto"/>
        </w:rPr>
      </w:pPr>
      <w:r>
        <w:rPr>
          <w:rFonts w:ascii="Times New Roman" w:cs="Times New Roman" w:eastAsia="Times New Roman" w:hAnsi="Times New Roman"/>
          <w:sz w:val="16"/>
          <w:szCs w:val="16"/>
          <w:color w:val="auto"/>
        </w:rPr>
        <w:t>initiatives and offerings, or use in our internal business</w:t>
      </w:r>
    </w:p>
    <w:p>
      <w:pPr>
        <w:spacing w:after="0" w:line="204" w:lineRule="auto"/>
        <w:rPr>
          <w:sz w:val="20"/>
          <w:szCs w:val="20"/>
          <w:color w:val="auto"/>
        </w:rPr>
      </w:pPr>
      <w:r>
        <w:rPr>
          <w:rFonts w:ascii="Times New Roman" w:cs="Times New Roman" w:eastAsia="Times New Roman" w:hAnsi="Times New Roman"/>
          <w:sz w:val="16"/>
          <w:szCs w:val="16"/>
          <w:color w:val="auto"/>
        </w:rPr>
        <w:t>operations, may give rise to risks related to harmful content,</w:t>
      </w:r>
    </w:p>
    <w:p>
      <w:pPr>
        <w:spacing w:after="0" w:line="233" w:lineRule="auto"/>
        <w:rPr>
          <w:sz w:val="20"/>
          <w:szCs w:val="20"/>
          <w:color w:val="auto"/>
        </w:rPr>
      </w:pPr>
      <w:r>
        <w:rPr>
          <w:rFonts w:ascii="Times New Roman" w:cs="Times New Roman" w:eastAsia="Times New Roman" w:hAnsi="Times New Roman"/>
          <w:sz w:val="14"/>
          <w:szCs w:val="14"/>
          <w:color w:val="auto"/>
        </w:rPr>
        <w:t>accuracy, bias, discrimination, autonomous decision-making</w:t>
      </w:r>
    </w:p>
    <w:p>
      <w:pPr>
        <w:spacing w:after="0" w:line="232" w:lineRule="auto"/>
        <w:rPr>
          <w:sz w:val="20"/>
          <w:szCs w:val="20"/>
          <w:color w:val="auto"/>
        </w:rPr>
      </w:pPr>
      <w:r>
        <w:rPr>
          <w:rFonts w:ascii="Times New Roman" w:cs="Times New Roman" w:eastAsia="Times New Roman" w:hAnsi="Times New Roman"/>
          <w:sz w:val="14"/>
          <w:szCs w:val="14"/>
          <w:color w:val="auto"/>
        </w:rPr>
        <w:t>or action, IP infringement, the ability to obtain IP protection,</w:t>
      </w:r>
    </w:p>
    <w:p>
      <w:pPr>
        <w:spacing w:after="0" w:line="204" w:lineRule="auto"/>
        <w:rPr>
          <w:sz w:val="20"/>
          <w:szCs w:val="20"/>
          <w:color w:val="auto"/>
        </w:rPr>
      </w:pPr>
      <w:r>
        <w:rPr>
          <w:rFonts w:ascii="Times New Roman" w:cs="Times New Roman" w:eastAsia="Times New Roman" w:hAnsi="Times New Roman"/>
          <w:sz w:val="16"/>
          <w:szCs w:val="16"/>
          <w:color w:val="auto"/>
        </w:rPr>
        <w:t>misappropriation or leakage of IP, defamation, data privacy,</w:t>
      </w:r>
    </w:p>
    <w:p>
      <w:pPr>
        <w:spacing w:after="0" w:line="232" w:lineRule="auto"/>
        <w:rPr>
          <w:sz w:val="20"/>
          <w:szCs w:val="20"/>
          <w:color w:val="auto"/>
        </w:rPr>
      </w:pPr>
      <w:r>
        <w:rPr>
          <w:rFonts w:ascii="Times New Roman" w:cs="Times New Roman" w:eastAsia="Times New Roman" w:hAnsi="Times New Roman"/>
          <w:sz w:val="14"/>
          <w:szCs w:val="14"/>
          <w:color w:val="auto"/>
        </w:rPr>
        <w:t>and cybersecurity, among others. As we integrate third-party</w:t>
      </w:r>
    </w:p>
    <w:p>
      <w:pPr>
        <w:spacing w:after="0" w:line="233" w:lineRule="auto"/>
        <w:rPr>
          <w:sz w:val="20"/>
          <w:szCs w:val="20"/>
          <w:color w:val="auto"/>
        </w:rPr>
      </w:pPr>
      <w:r>
        <w:rPr>
          <w:rFonts w:ascii="Times New Roman" w:cs="Times New Roman" w:eastAsia="Times New Roman" w:hAnsi="Times New Roman"/>
          <w:sz w:val="14"/>
          <w:szCs w:val="14"/>
          <w:color w:val="auto"/>
        </w:rPr>
        <w:t>AI models into our product initiatives and offerings, we face</w:t>
      </w:r>
    </w:p>
    <w:p>
      <w:pPr>
        <w:spacing w:after="0" w:line="233" w:lineRule="auto"/>
        <w:rPr>
          <w:sz w:val="20"/>
          <w:szCs w:val="20"/>
          <w:color w:val="auto"/>
        </w:rPr>
      </w:pPr>
      <w:r>
        <w:rPr>
          <w:rFonts w:ascii="Times New Roman" w:cs="Times New Roman" w:eastAsia="Times New Roman" w:hAnsi="Times New Roman"/>
          <w:sz w:val="14"/>
          <w:szCs w:val="14"/>
          <w:color w:val="auto"/>
        </w:rPr>
        <w:t>risks in how such third-party AI models were developed and</w:t>
      </w:r>
    </w:p>
    <w:p>
      <w:pPr>
        <w:spacing w:after="0" w:line="203" w:lineRule="auto"/>
        <w:rPr>
          <w:sz w:val="20"/>
          <w:szCs w:val="20"/>
          <w:color w:val="auto"/>
        </w:rPr>
      </w:pPr>
      <w:r>
        <w:rPr>
          <w:rFonts w:ascii="Times New Roman" w:cs="Times New Roman" w:eastAsia="Times New Roman" w:hAnsi="Times New Roman"/>
          <w:sz w:val="16"/>
          <w:szCs w:val="16"/>
          <w:color w:val="auto"/>
        </w:rPr>
        <w:t>deployed, including situations in which the third-party may</w:t>
      </w:r>
    </w:p>
    <w:p>
      <w:pPr>
        <w:spacing w:after="0" w:line="233" w:lineRule="auto"/>
        <w:rPr>
          <w:sz w:val="20"/>
          <w:szCs w:val="20"/>
          <w:color w:val="auto"/>
        </w:rPr>
      </w:pPr>
      <w:r>
        <w:rPr>
          <w:rFonts w:ascii="Times New Roman" w:cs="Times New Roman" w:eastAsia="Times New Roman" w:hAnsi="Times New Roman"/>
          <w:sz w:val="14"/>
          <w:szCs w:val="14"/>
          <w:color w:val="auto"/>
        </w:rPr>
        <w:t>lack a proper license or consent for the training data used for</w:t>
      </w:r>
    </w:p>
    <w:p>
      <w:pPr>
        <w:spacing w:after="0" w:line="204" w:lineRule="auto"/>
        <w:rPr>
          <w:sz w:val="20"/>
          <w:szCs w:val="20"/>
          <w:color w:val="auto"/>
        </w:rPr>
      </w:pPr>
      <w:r>
        <w:rPr>
          <w:rFonts w:ascii="Times New Roman" w:cs="Times New Roman" w:eastAsia="Times New Roman" w:hAnsi="Times New Roman"/>
          <w:sz w:val="16"/>
          <w:szCs w:val="16"/>
          <w:color w:val="auto"/>
        </w:rPr>
        <w:t>their model, or used insufficient safeguards regarding</w:t>
      </w:r>
    </w:p>
    <w:p>
      <w:pPr>
        <w:spacing w:after="0" w:line="232" w:lineRule="auto"/>
        <w:rPr>
          <w:sz w:val="20"/>
          <w:szCs w:val="20"/>
          <w:color w:val="auto"/>
        </w:rPr>
      </w:pPr>
      <w:r>
        <w:rPr>
          <w:rFonts w:ascii="Times New Roman" w:cs="Times New Roman" w:eastAsia="Times New Roman" w:hAnsi="Times New Roman"/>
          <w:sz w:val="14"/>
          <w:szCs w:val="14"/>
          <w:color w:val="auto"/>
        </w:rPr>
        <w:t>harmful content, accuracy, bias or other variables of the data.</w:t>
      </w:r>
    </w:p>
    <w:p>
      <w:pPr>
        <w:spacing w:after="0" w:line="204" w:lineRule="auto"/>
        <w:rPr>
          <w:sz w:val="20"/>
          <w:szCs w:val="20"/>
          <w:color w:val="auto"/>
        </w:rPr>
      </w:pPr>
      <w:r>
        <w:rPr>
          <w:rFonts w:ascii="Times New Roman" w:cs="Times New Roman" w:eastAsia="Times New Roman" w:hAnsi="Times New Roman"/>
          <w:sz w:val="16"/>
          <w:szCs w:val="16"/>
          <w:color w:val="auto"/>
        </w:rPr>
        <w:t>The use and availability of third-party AI models in our</w:t>
      </w:r>
    </w:p>
    <w:p>
      <w:pPr>
        <w:spacing w:after="0" w:line="203" w:lineRule="auto"/>
        <w:rPr>
          <w:sz w:val="20"/>
          <w:szCs w:val="20"/>
          <w:color w:val="auto"/>
        </w:rPr>
      </w:pPr>
      <w:r>
        <w:rPr>
          <w:rFonts w:ascii="Times New Roman" w:cs="Times New Roman" w:eastAsia="Times New Roman" w:hAnsi="Times New Roman"/>
          <w:sz w:val="16"/>
          <w:szCs w:val="16"/>
          <w:color w:val="auto"/>
        </w:rPr>
        <w:t>solutions may give rise to legal liability, including IP</w:t>
      </w:r>
    </w:p>
    <w:p>
      <w:pPr>
        <w:spacing w:after="0" w:line="204" w:lineRule="auto"/>
        <w:rPr>
          <w:sz w:val="20"/>
          <w:szCs w:val="20"/>
          <w:color w:val="auto"/>
        </w:rPr>
      </w:pPr>
      <w:r>
        <w:rPr>
          <w:rFonts w:ascii="Times New Roman" w:cs="Times New Roman" w:eastAsia="Times New Roman" w:hAnsi="Times New Roman"/>
          <w:sz w:val="16"/>
          <w:szCs w:val="16"/>
          <w:color w:val="auto"/>
        </w:rPr>
        <w:t>infringement claims. In addition, these risks include the</w:t>
      </w:r>
    </w:p>
    <w:p>
      <w:pPr>
        <w:spacing w:after="0" w:line="203" w:lineRule="auto"/>
        <w:rPr>
          <w:sz w:val="20"/>
          <w:szCs w:val="20"/>
          <w:color w:val="auto"/>
        </w:rPr>
      </w:pPr>
      <w:r>
        <w:rPr>
          <w:rFonts w:ascii="Times New Roman" w:cs="Times New Roman" w:eastAsia="Times New Roman" w:hAnsi="Times New Roman"/>
          <w:sz w:val="16"/>
          <w:szCs w:val="16"/>
          <w:color w:val="auto"/>
        </w:rPr>
        <w:t>possibility of the introduction of new or enhanced laws or</w:t>
      </w:r>
    </w:p>
    <w:p>
      <w:pPr>
        <w:spacing w:after="0" w:line="204" w:lineRule="auto"/>
        <w:rPr>
          <w:sz w:val="20"/>
          <w:szCs w:val="20"/>
          <w:color w:val="auto"/>
        </w:rPr>
      </w:pPr>
      <w:r>
        <w:rPr>
          <w:rFonts w:ascii="Times New Roman" w:cs="Times New Roman" w:eastAsia="Times New Roman" w:hAnsi="Times New Roman"/>
          <w:sz w:val="16"/>
          <w:szCs w:val="16"/>
          <w:color w:val="auto"/>
        </w:rPr>
        <w:t>regulations or novel enforcement of existing laws to uses of</w:t>
      </w:r>
    </w:p>
    <w:p>
      <w:pPr>
        <w:spacing w:after="0" w:line="203" w:lineRule="auto"/>
        <w:rPr>
          <w:sz w:val="20"/>
          <w:szCs w:val="20"/>
          <w:color w:val="auto"/>
        </w:rPr>
      </w:pPr>
      <w:r>
        <w:rPr>
          <w:rFonts w:ascii="Times New Roman" w:cs="Times New Roman" w:eastAsia="Times New Roman" w:hAnsi="Times New Roman"/>
          <w:sz w:val="16"/>
          <w:szCs w:val="16"/>
          <w:color w:val="auto"/>
        </w:rPr>
        <w:t>AI, for which compliance may be costly and burdensome or</w:t>
      </w:r>
    </w:p>
    <w:p>
      <w:pPr>
        <w:spacing w:after="0" w:line="204" w:lineRule="auto"/>
        <w:rPr>
          <w:sz w:val="20"/>
          <w:szCs w:val="20"/>
          <w:color w:val="auto"/>
        </w:rPr>
      </w:pPr>
      <w:r>
        <w:rPr>
          <w:rFonts w:ascii="Times New Roman" w:cs="Times New Roman" w:eastAsia="Times New Roman" w:hAnsi="Times New Roman"/>
          <w:sz w:val="16"/>
          <w:szCs w:val="16"/>
          <w:color w:val="auto"/>
        </w:rPr>
        <w:t>involve changes to our business practices or products,</w:t>
      </w:r>
    </w:p>
    <w:p>
      <w:pPr>
        <w:spacing w:after="0"/>
        <w:rPr>
          <w:sz w:val="20"/>
          <w:szCs w:val="20"/>
          <w:color w:val="auto"/>
        </w:rPr>
      </w:pPr>
      <w:r>
        <w:rPr>
          <w:rFonts w:ascii="Times New Roman" w:cs="Times New Roman" w:eastAsia="Times New Roman" w:hAnsi="Times New Roman"/>
          <w:sz w:val="16"/>
          <w:szCs w:val="16"/>
          <w:color w:val="auto"/>
        </w:rPr>
        <w:t>litigation or other legal liability, or additional oversight,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audits or enforcement under existing laws or regulations. The</w:t>
      </w:r>
    </w:p>
    <w:p>
      <w:pPr>
        <w:spacing w:after="0" w:line="237" w:lineRule="auto"/>
        <w:rPr>
          <w:sz w:val="20"/>
          <w:szCs w:val="20"/>
          <w:color w:val="auto"/>
        </w:rPr>
      </w:pPr>
      <w:r>
        <w:rPr>
          <w:rFonts w:ascii="Times New Roman" w:cs="Times New Roman" w:eastAsia="Times New Roman" w:hAnsi="Times New Roman"/>
          <w:sz w:val="16"/>
          <w:szCs w:val="16"/>
          <w:color w:val="auto"/>
        </w:rPr>
        <w:t>use of AI, including third-party AI models used in our</w:t>
      </w:r>
    </w:p>
    <w:p>
      <w:pPr>
        <w:spacing w:after="0"/>
        <w:rPr>
          <w:sz w:val="20"/>
          <w:szCs w:val="20"/>
          <w:color w:val="auto"/>
        </w:rPr>
      </w:pPr>
      <w:r>
        <w:rPr>
          <w:rFonts w:ascii="Times New Roman" w:cs="Times New Roman" w:eastAsia="Times New Roman" w:hAnsi="Times New Roman"/>
          <w:sz w:val="16"/>
          <w:szCs w:val="16"/>
          <w:color w:val="auto"/>
        </w:rPr>
        <w:t>products or solutions, may also give rise to ethical concerns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are exposed to credit, liquidity and counterparty risks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from our clearinghouse operations and third-party</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relationships that could adversely affect our financial</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position and results of operations.</w:t>
      </w:r>
    </w:p>
    <w:p>
      <w:pPr>
        <w:spacing w:after="0" w:line="203" w:lineRule="auto"/>
        <w:rPr>
          <w:sz w:val="20"/>
          <w:szCs w:val="20"/>
          <w:color w:val="auto"/>
        </w:rPr>
      </w:pPr>
      <w:r>
        <w:rPr>
          <w:rFonts w:ascii="Times New Roman" w:cs="Times New Roman" w:eastAsia="Times New Roman" w:hAnsi="Times New Roman"/>
          <w:sz w:val="16"/>
          <w:szCs w:val="16"/>
          <w:color w:val="auto"/>
        </w:rPr>
        <w:t>Our clearinghouse operations expose us to counterparty and</w:t>
      </w:r>
    </w:p>
    <w:p>
      <w:pPr>
        <w:spacing w:after="0" w:line="204" w:lineRule="auto"/>
        <w:rPr>
          <w:sz w:val="20"/>
          <w:szCs w:val="20"/>
          <w:color w:val="auto"/>
        </w:rPr>
      </w:pPr>
      <w:r>
        <w:rPr>
          <w:rFonts w:ascii="Times New Roman" w:cs="Times New Roman" w:eastAsia="Times New Roman" w:hAnsi="Times New Roman"/>
          <w:sz w:val="16"/>
          <w:szCs w:val="16"/>
          <w:color w:val="auto"/>
        </w:rPr>
        <w:t>liquidity risks, including potential defaults by clearing</w:t>
      </w:r>
    </w:p>
    <w:p>
      <w:pPr>
        <w:spacing w:after="0" w:line="232" w:lineRule="auto"/>
        <w:rPr>
          <w:sz w:val="20"/>
          <w:szCs w:val="20"/>
          <w:color w:val="auto"/>
        </w:rPr>
      </w:pPr>
      <w:r>
        <w:rPr>
          <w:rFonts w:ascii="Times New Roman" w:cs="Times New Roman" w:eastAsia="Times New Roman" w:hAnsi="Times New Roman"/>
          <w:sz w:val="14"/>
          <w:szCs w:val="14"/>
          <w:color w:val="auto"/>
        </w:rPr>
        <w:t>members and insufficiencies in margins or default funds. We</w:t>
      </w:r>
    </w:p>
    <w:p>
      <w:pPr>
        <w:spacing w:after="0" w:line="233" w:lineRule="auto"/>
        <w:rPr>
          <w:sz w:val="20"/>
          <w:szCs w:val="20"/>
          <w:color w:val="auto"/>
        </w:rPr>
      </w:pPr>
      <w:r>
        <w:rPr>
          <w:rFonts w:ascii="Times New Roman" w:cs="Times New Roman" w:eastAsia="Times New Roman" w:hAnsi="Times New Roman"/>
          <w:sz w:val="14"/>
          <w:szCs w:val="14"/>
          <w:color w:val="auto"/>
        </w:rPr>
        <w:t>guarantee cleared contracts and assume counterparty risk for</w:t>
      </w:r>
    </w:p>
    <w:p>
      <w:pPr>
        <w:spacing w:after="0" w:line="204" w:lineRule="auto"/>
        <w:rPr>
          <w:sz w:val="20"/>
          <w:szCs w:val="20"/>
          <w:color w:val="auto"/>
        </w:rPr>
      </w:pPr>
      <w:r>
        <w:rPr>
          <w:rFonts w:ascii="Times New Roman" w:cs="Times New Roman" w:eastAsia="Times New Roman" w:hAnsi="Times New Roman"/>
          <w:sz w:val="16"/>
          <w:szCs w:val="16"/>
          <w:color w:val="auto"/>
        </w:rPr>
        <w:t>all transactions cleared through Nasdaq Clearing, including</w:t>
      </w:r>
    </w:p>
    <w:p>
      <w:pPr>
        <w:spacing w:after="0" w:line="203" w:lineRule="auto"/>
        <w:rPr>
          <w:sz w:val="20"/>
          <w:szCs w:val="20"/>
          <w:color w:val="auto"/>
        </w:rPr>
      </w:pPr>
      <w:r>
        <w:rPr>
          <w:rFonts w:ascii="Times New Roman" w:cs="Times New Roman" w:eastAsia="Times New Roman" w:hAnsi="Times New Roman"/>
          <w:sz w:val="16"/>
          <w:szCs w:val="16"/>
          <w:color w:val="auto"/>
        </w:rPr>
        <w:t>equity-related and fixed-income derivatives, commodities,</w:t>
      </w:r>
    </w:p>
    <w:p>
      <w:pPr>
        <w:spacing w:after="0" w:line="204" w:lineRule="auto"/>
        <w:rPr>
          <w:sz w:val="20"/>
          <w:szCs w:val="20"/>
          <w:color w:val="auto"/>
        </w:rPr>
      </w:pPr>
      <w:r>
        <w:rPr>
          <w:rFonts w:ascii="Times New Roman" w:cs="Times New Roman" w:eastAsia="Times New Roman" w:hAnsi="Times New Roman"/>
          <w:sz w:val="16"/>
          <w:szCs w:val="16"/>
          <w:color w:val="auto"/>
        </w:rPr>
        <w:t>and repurchase agreements. While we enforce minimum</w:t>
      </w:r>
    </w:p>
    <w:p>
      <w:pPr>
        <w:spacing w:after="0" w:line="232" w:lineRule="auto"/>
        <w:rPr>
          <w:sz w:val="20"/>
          <w:szCs w:val="20"/>
          <w:color w:val="auto"/>
        </w:rPr>
      </w:pPr>
      <w:r>
        <w:rPr>
          <w:rFonts w:ascii="Times New Roman" w:cs="Times New Roman" w:eastAsia="Times New Roman" w:hAnsi="Times New Roman"/>
          <w:sz w:val="14"/>
          <w:szCs w:val="14"/>
          <w:color w:val="auto"/>
        </w:rPr>
        <w:t>financial criteria for clearing membership eligibility, require</w:t>
      </w:r>
    </w:p>
    <w:p>
      <w:pPr>
        <w:spacing w:after="0" w:line="204" w:lineRule="auto"/>
        <w:rPr>
          <w:sz w:val="20"/>
          <w:szCs w:val="20"/>
          <w:color w:val="auto"/>
        </w:rPr>
      </w:pPr>
      <w:r>
        <w:rPr>
          <w:rFonts w:ascii="Times New Roman" w:cs="Times New Roman" w:eastAsia="Times New Roman" w:hAnsi="Times New Roman"/>
          <w:sz w:val="16"/>
          <w:szCs w:val="16"/>
          <w:color w:val="auto"/>
        </w:rPr>
        <w:t>members and investors to provide collateral, and maintain</w:t>
      </w:r>
    </w:p>
    <w:p>
      <w:pPr>
        <w:spacing w:after="0" w:line="232" w:lineRule="auto"/>
        <w:rPr>
          <w:sz w:val="20"/>
          <w:szCs w:val="20"/>
          <w:color w:val="auto"/>
        </w:rPr>
      </w:pPr>
      <w:r>
        <w:rPr>
          <w:rFonts w:ascii="Times New Roman" w:cs="Times New Roman" w:eastAsia="Times New Roman" w:hAnsi="Times New Roman"/>
          <w:sz w:val="14"/>
          <w:szCs w:val="14"/>
          <w:color w:val="auto"/>
        </w:rPr>
        <w:t>established risk policies and clearing capital resources, these</w:t>
      </w:r>
    </w:p>
    <w:p>
      <w:pPr>
        <w:spacing w:after="0" w:line="204" w:lineRule="auto"/>
        <w:rPr>
          <w:sz w:val="20"/>
          <w:szCs w:val="20"/>
          <w:color w:val="auto"/>
        </w:rPr>
      </w:pPr>
      <w:r>
        <w:rPr>
          <w:rFonts w:ascii="Times New Roman" w:cs="Times New Roman" w:eastAsia="Times New Roman" w:hAnsi="Times New Roman"/>
          <w:sz w:val="16"/>
          <w:szCs w:val="16"/>
          <w:color w:val="auto"/>
        </w:rPr>
        <w:t>measures do not provide absolute assurance against defaults</w:t>
      </w:r>
    </w:p>
    <w:p>
      <w:pPr>
        <w:spacing w:after="0" w:line="203" w:lineRule="auto"/>
        <w:rPr>
          <w:sz w:val="20"/>
          <w:szCs w:val="20"/>
          <w:color w:val="auto"/>
        </w:rPr>
      </w:pPr>
      <w:r>
        <w:rPr>
          <w:rFonts w:ascii="Times New Roman" w:cs="Times New Roman" w:eastAsia="Times New Roman" w:hAnsi="Times New Roman"/>
          <w:sz w:val="16"/>
          <w:szCs w:val="16"/>
          <w:color w:val="auto"/>
        </w:rPr>
        <w:t>by our counterparties or financial losses, or that collateral</w:t>
      </w:r>
    </w:p>
    <w:p>
      <w:pPr>
        <w:spacing w:after="0" w:line="204" w:lineRule="auto"/>
        <w:rPr>
          <w:sz w:val="20"/>
          <w:szCs w:val="20"/>
          <w:color w:val="auto"/>
        </w:rPr>
      </w:pPr>
      <w:r>
        <w:rPr>
          <w:rFonts w:ascii="Times New Roman" w:cs="Times New Roman" w:eastAsia="Times New Roman" w:hAnsi="Times New Roman"/>
          <w:sz w:val="16"/>
          <w:szCs w:val="16"/>
          <w:color w:val="auto"/>
        </w:rPr>
        <w:t>provided is sufficient at all times.</w:t>
      </w:r>
    </w:p>
    <w:p>
      <w:pPr>
        <w:spacing w:after="0" w:line="204" w:lineRule="auto"/>
        <w:rPr>
          <w:sz w:val="20"/>
          <w:szCs w:val="20"/>
          <w:color w:val="auto"/>
        </w:rPr>
      </w:pPr>
      <w:r>
        <w:rPr>
          <w:rFonts w:ascii="Times New Roman" w:cs="Times New Roman" w:eastAsia="Times New Roman" w:hAnsi="Times New Roman"/>
          <w:sz w:val="16"/>
          <w:szCs w:val="16"/>
          <w:color w:val="auto"/>
        </w:rPr>
        <w:t>Additionally, we face credit risk from customers,</w:t>
      </w:r>
    </w:p>
    <w:p>
      <w:pPr>
        <w:spacing w:after="0" w:line="203" w:lineRule="auto"/>
        <w:rPr>
          <w:sz w:val="20"/>
          <w:szCs w:val="20"/>
          <w:color w:val="auto"/>
        </w:rPr>
      </w:pPr>
      <w:r>
        <w:rPr>
          <w:rFonts w:ascii="Times New Roman" w:cs="Times New Roman" w:eastAsia="Times New Roman" w:hAnsi="Times New Roman"/>
          <w:sz w:val="16"/>
          <w:szCs w:val="16"/>
          <w:color w:val="auto"/>
        </w:rPr>
        <w:t>counterparties, clearing agents, and transaction and</w:t>
      </w:r>
    </w:p>
    <w:p>
      <w:pPr>
        <w:spacing w:after="0" w:line="233" w:lineRule="auto"/>
        <w:rPr>
          <w:sz w:val="20"/>
          <w:szCs w:val="20"/>
          <w:color w:val="auto"/>
        </w:rPr>
      </w:pPr>
      <w:r>
        <w:rPr>
          <w:rFonts w:ascii="Times New Roman" w:cs="Times New Roman" w:eastAsia="Times New Roman" w:hAnsi="Times New Roman"/>
          <w:sz w:val="14"/>
          <w:szCs w:val="14"/>
          <w:color w:val="auto"/>
        </w:rPr>
        <w:t>subscription-based revenues billed in arrears, as these parties</w:t>
      </w:r>
    </w:p>
    <w:p>
      <w:pPr>
        <w:spacing w:after="0" w:line="203" w:lineRule="auto"/>
        <w:rPr>
          <w:sz w:val="20"/>
          <w:szCs w:val="20"/>
          <w:color w:val="auto"/>
        </w:rPr>
      </w:pPr>
      <w:r>
        <w:rPr>
          <w:rFonts w:ascii="Times New Roman" w:cs="Times New Roman" w:eastAsia="Times New Roman" w:hAnsi="Times New Roman"/>
          <w:sz w:val="16"/>
          <w:szCs w:val="16"/>
          <w:color w:val="auto"/>
        </w:rPr>
        <w:t>may default due to bankruptcy, lack of liquidity, operational</w:t>
      </w:r>
    </w:p>
    <w:p>
      <w:pPr>
        <w:spacing w:after="0" w:line="204" w:lineRule="auto"/>
        <w:rPr>
          <w:sz w:val="20"/>
          <w:szCs w:val="20"/>
          <w:color w:val="auto"/>
        </w:rPr>
      </w:pPr>
      <w:r>
        <w:rPr>
          <w:rFonts w:ascii="Times New Roman" w:cs="Times New Roman" w:eastAsia="Times New Roman" w:hAnsi="Times New Roman"/>
          <w:sz w:val="16"/>
          <w:szCs w:val="16"/>
          <w:color w:val="auto"/>
        </w:rPr>
        <w:t>failure, or other reasons.</w:t>
      </w:r>
    </w:p>
    <w:p>
      <w:pPr>
        <w:spacing w:after="0" w:line="233" w:lineRule="auto"/>
        <w:rPr>
          <w:sz w:val="20"/>
          <w:szCs w:val="20"/>
          <w:color w:val="auto"/>
        </w:rPr>
      </w:pPr>
      <w:r>
        <w:rPr>
          <w:rFonts w:ascii="Times New Roman" w:cs="Times New Roman" w:eastAsia="Times New Roman" w:hAnsi="Times New Roman"/>
          <w:sz w:val="14"/>
          <w:szCs w:val="14"/>
          <w:color w:val="auto"/>
        </w:rPr>
        <w:t>The financial distress or failure of counterparties could result</w:t>
      </w:r>
    </w:p>
    <w:p>
      <w:pPr>
        <w:spacing w:after="0"/>
        <w:rPr>
          <w:sz w:val="20"/>
          <w:szCs w:val="20"/>
          <w:color w:val="auto"/>
        </w:rPr>
      </w:pPr>
      <w:r>
        <w:rPr>
          <w:rFonts w:ascii="Times New Roman" w:cs="Times New Roman" w:eastAsia="Times New Roman" w:hAnsi="Times New Roman"/>
          <w:sz w:val="16"/>
          <w:szCs w:val="16"/>
          <w:color w:val="auto"/>
        </w:rPr>
        <w:t>in negative financial impact, reputational harm, regulatory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consequences, litigation or regulatory enforcement actions.</w:t>
      </w:r>
    </w:p>
    <w:p>
      <w:pPr>
        <w:spacing w:after="0" w:line="207" w:lineRule="auto"/>
        <w:rPr>
          <w:sz w:val="20"/>
          <w:szCs w:val="20"/>
          <w:color w:val="auto"/>
        </w:rPr>
      </w:pPr>
      <w:r>
        <w:rPr>
          <w:rFonts w:ascii="Times New Roman" w:cs="Times New Roman" w:eastAsia="Times New Roman" w:hAnsi="Times New Roman"/>
          <w:sz w:val="16"/>
          <w:szCs w:val="16"/>
          <w:color w:val="auto"/>
        </w:rPr>
        <w:t>Credit losses such as those described above could adversely</w:t>
      </w:r>
    </w:p>
    <w:p>
      <w:pPr>
        <w:spacing w:after="0" w:line="204" w:lineRule="auto"/>
        <w:rPr>
          <w:sz w:val="20"/>
          <w:szCs w:val="20"/>
          <w:color w:val="auto"/>
        </w:rPr>
      </w:pPr>
      <w:r>
        <w:rPr>
          <w:rFonts w:ascii="Times New Roman" w:cs="Times New Roman" w:eastAsia="Times New Roman" w:hAnsi="Times New Roman"/>
          <w:sz w:val="16"/>
          <w:szCs w:val="16"/>
          <w:color w:val="auto"/>
        </w:rPr>
        <w:t>affect our consolidated financial position and results of</w:t>
      </w:r>
    </w:p>
    <w:p>
      <w:pPr>
        <w:spacing w:after="0" w:line="203" w:lineRule="auto"/>
        <w:rPr>
          <w:sz w:val="20"/>
          <w:szCs w:val="20"/>
          <w:color w:val="auto"/>
        </w:rPr>
      </w:pPr>
      <w:r>
        <w:rPr>
          <w:rFonts w:ascii="Times New Roman" w:cs="Times New Roman" w:eastAsia="Times New Roman" w:hAnsi="Times New Roman"/>
          <w:sz w:val="16"/>
          <w:szCs w:val="16"/>
          <w:color w:val="auto"/>
        </w:rPr>
        <w:t>operations.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Stagnation or decline in the listings market could have an</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adverse effect on our revenues.</w:t>
      </w:r>
    </w:p>
    <w:p>
      <w:pPr>
        <w:spacing w:after="0" w:line="204" w:lineRule="auto"/>
        <w:rPr>
          <w:sz w:val="20"/>
          <w:szCs w:val="20"/>
          <w:color w:val="auto"/>
        </w:rPr>
      </w:pPr>
      <w:r>
        <w:rPr>
          <w:rFonts w:ascii="Times New Roman" w:cs="Times New Roman" w:eastAsia="Times New Roman" w:hAnsi="Times New Roman"/>
          <w:sz w:val="16"/>
          <w:szCs w:val="16"/>
          <w:color w:val="auto"/>
        </w:rPr>
        <w:t>The market for listings is dependent on the prosperity of</w:t>
      </w:r>
    </w:p>
    <w:p>
      <w:pPr>
        <w:spacing w:after="0" w:line="233" w:lineRule="auto"/>
        <w:rPr>
          <w:sz w:val="20"/>
          <w:szCs w:val="20"/>
          <w:color w:val="auto"/>
        </w:rPr>
      </w:pPr>
      <w:r>
        <w:rPr>
          <w:rFonts w:ascii="Times New Roman" w:cs="Times New Roman" w:eastAsia="Times New Roman" w:hAnsi="Times New Roman"/>
          <w:sz w:val="14"/>
          <w:szCs w:val="14"/>
          <w:color w:val="auto"/>
        </w:rPr>
        <w:t>companies and the availability of risk capital. A stagnation or</w:t>
      </w:r>
    </w:p>
    <w:p>
      <w:pPr>
        <w:spacing w:after="0" w:line="203" w:lineRule="auto"/>
        <w:rPr>
          <w:sz w:val="20"/>
          <w:szCs w:val="20"/>
          <w:color w:val="auto"/>
        </w:rPr>
      </w:pPr>
      <w:r>
        <w:rPr>
          <w:rFonts w:ascii="Times New Roman" w:cs="Times New Roman" w:eastAsia="Times New Roman" w:hAnsi="Times New Roman"/>
          <w:sz w:val="16"/>
          <w:szCs w:val="16"/>
          <w:color w:val="auto"/>
        </w:rPr>
        <w:t>decline in the number of new listings, or an increase in the</w:t>
      </w:r>
    </w:p>
    <w:p>
      <w:pPr>
        <w:spacing w:after="0" w:line="204" w:lineRule="auto"/>
        <w:rPr>
          <w:sz w:val="20"/>
          <w:szCs w:val="20"/>
          <w:color w:val="auto"/>
        </w:rPr>
      </w:pPr>
      <w:r>
        <w:rPr>
          <w:rFonts w:ascii="Times New Roman" w:cs="Times New Roman" w:eastAsia="Times New Roman" w:hAnsi="Times New Roman"/>
          <w:sz w:val="16"/>
          <w:szCs w:val="16"/>
          <w:color w:val="auto"/>
        </w:rPr>
        <w:t>number of delistings, either due to market factors or our</w:t>
      </w:r>
    </w:p>
    <w:p>
      <w:pPr>
        <w:spacing w:after="0" w:line="203" w:lineRule="auto"/>
        <w:rPr>
          <w:sz w:val="20"/>
          <w:szCs w:val="20"/>
          <w:color w:val="auto"/>
        </w:rPr>
      </w:pPr>
      <w:r>
        <w:rPr>
          <w:rFonts w:ascii="Times New Roman" w:cs="Times New Roman" w:eastAsia="Times New Roman" w:hAnsi="Times New Roman"/>
          <w:sz w:val="16"/>
          <w:szCs w:val="16"/>
          <w:color w:val="auto"/>
        </w:rPr>
        <w:t>listing standard changes, on The Nasdaq Stock Market and</w:t>
      </w:r>
    </w:p>
    <w:p>
      <w:pPr>
        <w:spacing w:after="0" w:line="233" w:lineRule="auto"/>
        <w:rPr>
          <w:sz w:val="20"/>
          <w:szCs w:val="20"/>
          <w:color w:val="auto"/>
        </w:rPr>
      </w:pPr>
      <w:r>
        <w:rPr>
          <w:rFonts w:ascii="Times New Roman" w:cs="Times New Roman" w:eastAsia="Times New Roman" w:hAnsi="Times New Roman"/>
          <w:sz w:val="14"/>
          <w:szCs w:val="14"/>
          <w:color w:val="auto"/>
        </w:rPr>
        <w:t>the Nasdaq Nordic and Nasdaq Baltic exchanges could cause</w:t>
      </w:r>
    </w:p>
    <w:p>
      <w:pPr>
        <w:spacing w:after="0" w:line="233" w:lineRule="auto"/>
        <w:rPr>
          <w:sz w:val="20"/>
          <w:szCs w:val="20"/>
          <w:color w:val="auto"/>
        </w:rPr>
      </w:pPr>
      <w:r>
        <w:rPr>
          <w:rFonts w:ascii="Times New Roman" w:cs="Times New Roman" w:eastAsia="Times New Roman" w:hAnsi="Times New Roman"/>
          <w:sz w:val="14"/>
          <w:szCs w:val="14"/>
          <w:color w:val="auto"/>
        </w:rPr>
        <w:t>a decrease in revenues for future years. A prolonged decrease</w:t>
      </w:r>
    </w:p>
    <w:p>
      <w:pPr>
        <w:spacing w:after="0" w:line="203" w:lineRule="auto"/>
        <w:rPr>
          <w:sz w:val="20"/>
          <w:szCs w:val="20"/>
          <w:color w:val="auto"/>
        </w:rPr>
      </w:pPr>
      <w:r>
        <w:rPr>
          <w:rFonts w:ascii="Times New Roman" w:cs="Times New Roman" w:eastAsia="Times New Roman" w:hAnsi="Times New Roman"/>
          <w:sz w:val="16"/>
          <w:szCs w:val="16"/>
          <w:color w:val="auto"/>
        </w:rPr>
        <w:t>in the number of listings, failure of existing SPACs to</w:t>
      </w:r>
    </w:p>
    <w:p>
      <w:pPr>
        <w:spacing w:after="0" w:line="233" w:lineRule="auto"/>
        <w:rPr>
          <w:sz w:val="20"/>
          <w:szCs w:val="20"/>
          <w:color w:val="auto"/>
        </w:rPr>
      </w:pPr>
      <w:r>
        <w:rPr>
          <w:rFonts w:ascii="Times New Roman" w:cs="Times New Roman" w:eastAsia="Times New Roman" w:hAnsi="Times New Roman"/>
          <w:sz w:val="14"/>
          <w:szCs w:val="14"/>
          <w:color w:val="auto"/>
        </w:rPr>
        <w:t>successfully complete transactions with target companies and</w:t>
      </w:r>
    </w:p>
    <w:p>
      <w:pPr>
        <w:spacing w:after="0" w:line="203" w:lineRule="auto"/>
        <w:rPr>
          <w:sz w:val="20"/>
          <w:szCs w:val="20"/>
          <w:color w:val="auto"/>
        </w:rPr>
      </w:pPr>
      <w:r>
        <w:rPr>
          <w:rFonts w:ascii="Times New Roman" w:cs="Times New Roman" w:eastAsia="Times New Roman" w:hAnsi="Times New Roman"/>
          <w:sz w:val="16"/>
          <w:szCs w:val="16"/>
          <w:color w:val="auto"/>
        </w:rPr>
        <w:t>dissolve or an increase in the number of delistings, could</w:t>
      </w:r>
    </w:p>
    <w:p>
      <w:pPr>
        <w:spacing w:after="0" w:line="233" w:lineRule="auto"/>
        <w:rPr>
          <w:sz w:val="20"/>
          <w:szCs w:val="20"/>
          <w:color w:val="auto"/>
        </w:rPr>
      </w:pPr>
      <w:r>
        <w:rPr>
          <w:rFonts w:ascii="Times New Roman" w:cs="Times New Roman" w:eastAsia="Times New Roman" w:hAnsi="Times New Roman"/>
          <w:sz w:val="14"/>
          <w:szCs w:val="14"/>
          <w:color w:val="auto"/>
        </w:rPr>
        <w:t>negatively impact the growth of our revenues. Our corporate</w:t>
      </w:r>
    </w:p>
    <w:p>
      <w:pPr>
        <w:spacing w:after="0" w:line="233" w:lineRule="auto"/>
        <w:rPr>
          <w:sz w:val="20"/>
          <w:szCs w:val="20"/>
          <w:color w:val="auto"/>
        </w:rPr>
      </w:pPr>
      <w:r>
        <w:rPr>
          <w:rFonts w:ascii="Times New Roman" w:cs="Times New Roman" w:eastAsia="Times New Roman" w:hAnsi="Times New Roman"/>
          <w:sz w:val="14"/>
          <w:szCs w:val="14"/>
          <w:color w:val="auto"/>
        </w:rPr>
        <w:t>solutions business is also impacted by declines in the listings</w:t>
      </w:r>
    </w:p>
    <w:p>
      <w:pPr>
        <w:spacing w:after="0" w:line="203" w:lineRule="auto"/>
        <w:rPr>
          <w:sz w:val="20"/>
          <w:szCs w:val="20"/>
          <w:color w:val="auto"/>
        </w:rPr>
      </w:pPr>
      <w:r>
        <w:rPr>
          <w:rFonts w:ascii="Times New Roman" w:cs="Times New Roman" w:eastAsia="Times New Roman" w:hAnsi="Times New Roman"/>
          <w:sz w:val="16"/>
          <w:szCs w:val="16"/>
          <w:color w:val="auto"/>
        </w:rPr>
        <w:t>market or increases in acquisitions, privatizations or</w:t>
      </w:r>
    </w:p>
    <w:p>
      <w:pPr>
        <w:spacing w:after="0" w:line="204" w:lineRule="auto"/>
        <w:rPr>
          <w:sz w:val="20"/>
          <w:szCs w:val="20"/>
          <w:color w:val="auto"/>
        </w:rPr>
      </w:pPr>
      <w:r>
        <w:rPr>
          <w:rFonts w:ascii="Times New Roman" w:cs="Times New Roman" w:eastAsia="Times New Roman" w:hAnsi="Times New Roman"/>
          <w:sz w:val="16"/>
          <w:szCs w:val="16"/>
          <w:color w:val="auto"/>
        </w:rPr>
        <w:t>bankruptcies as there may be fewer publicly-traded</w:t>
      </w:r>
    </w:p>
    <w:p>
      <w:pPr>
        <w:spacing w:after="0" w:line="203" w:lineRule="auto"/>
        <w:rPr>
          <w:sz w:val="20"/>
          <w:szCs w:val="20"/>
          <w:color w:val="auto"/>
        </w:rPr>
      </w:pPr>
      <w:r>
        <w:rPr>
          <w:rFonts w:ascii="Times New Roman" w:cs="Times New Roman" w:eastAsia="Times New Roman" w:hAnsi="Times New Roman"/>
          <w:sz w:val="16"/>
          <w:szCs w:val="16"/>
          <w:color w:val="auto"/>
        </w:rPr>
        <w:t>customers that need our products.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TRANSACTIONAL</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ACTIVITIES AND STRATEGIC RELATIONSHIPS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successfully integrate acquired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businesses, which may result in an inability to realize the</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anticipated benefits of our acquisitions.</w:t>
      </w:r>
    </w:p>
    <w:p>
      <w:pPr>
        <w:spacing w:after="0" w:line="204" w:lineRule="auto"/>
        <w:rPr>
          <w:sz w:val="20"/>
          <w:szCs w:val="20"/>
          <w:color w:val="auto"/>
        </w:rPr>
      </w:pPr>
      <w:r>
        <w:rPr>
          <w:rFonts w:ascii="Times New Roman" w:cs="Times New Roman" w:eastAsia="Times New Roman" w:hAnsi="Times New Roman"/>
          <w:sz w:val="16"/>
          <w:szCs w:val="16"/>
          <w:color w:val="auto"/>
        </w:rPr>
        <w:t>We must rationalize, coordinate and integrate the operations</w:t>
      </w:r>
    </w:p>
    <w:p>
      <w:pPr>
        <w:spacing w:after="0" w:line="203" w:lineRule="auto"/>
        <w:rPr>
          <w:sz w:val="20"/>
          <w:szCs w:val="20"/>
          <w:color w:val="auto"/>
        </w:rPr>
      </w:pPr>
      <w:r>
        <w:rPr>
          <w:rFonts w:ascii="Times New Roman" w:cs="Times New Roman" w:eastAsia="Times New Roman" w:hAnsi="Times New Roman"/>
          <w:sz w:val="16"/>
          <w:szCs w:val="16"/>
          <w:color w:val="auto"/>
        </w:rPr>
        <w:t>of our acquired businesses. This process involves complex</w:t>
      </w:r>
    </w:p>
    <w:p>
      <w:pPr>
        <w:spacing w:after="0" w:line="204" w:lineRule="auto"/>
        <w:rPr>
          <w:sz w:val="20"/>
          <w:szCs w:val="20"/>
          <w:color w:val="auto"/>
        </w:rPr>
      </w:pPr>
      <w:r>
        <w:rPr>
          <w:rFonts w:ascii="Times New Roman" w:cs="Times New Roman" w:eastAsia="Times New Roman" w:hAnsi="Times New Roman"/>
          <w:sz w:val="16"/>
          <w:szCs w:val="16"/>
          <w:color w:val="auto"/>
        </w:rPr>
        <w:t>technological, operational and personnel-related challenges,</w:t>
      </w:r>
    </w:p>
    <w:p>
      <w:pPr>
        <w:spacing w:after="0" w:line="203" w:lineRule="auto"/>
        <w:rPr>
          <w:sz w:val="20"/>
          <w:szCs w:val="20"/>
          <w:color w:val="auto"/>
        </w:rPr>
      </w:pPr>
      <w:r>
        <w:rPr>
          <w:rFonts w:ascii="Times New Roman" w:cs="Times New Roman" w:eastAsia="Times New Roman" w:hAnsi="Times New Roman"/>
          <w:sz w:val="16"/>
          <w:szCs w:val="16"/>
          <w:color w:val="auto"/>
        </w:rPr>
        <w:t>which are time-consuming and expensive and may disrupt</w:t>
      </w:r>
    </w:p>
    <w:p>
      <w:pPr>
        <w:spacing w:after="0" w:line="204" w:lineRule="auto"/>
        <w:rPr>
          <w:sz w:val="20"/>
          <w:szCs w:val="20"/>
          <w:color w:val="auto"/>
        </w:rPr>
      </w:pPr>
      <w:r>
        <w:rPr>
          <w:rFonts w:ascii="Times New Roman" w:cs="Times New Roman" w:eastAsia="Times New Roman" w:hAnsi="Times New Roman"/>
          <w:sz w:val="16"/>
          <w:szCs w:val="16"/>
          <w:color w:val="auto"/>
        </w:rPr>
        <w:t>our business. The difficulties, costs and delays that could be</w:t>
      </w:r>
    </w:p>
    <w:p>
      <w:pPr>
        <w:spacing w:after="0" w:line="203" w:lineRule="auto"/>
        <w:rPr>
          <w:sz w:val="20"/>
          <w:szCs w:val="20"/>
          <w:color w:val="auto"/>
        </w:rPr>
      </w:pPr>
      <w:r>
        <w:rPr>
          <w:rFonts w:ascii="Times New Roman" w:cs="Times New Roman" w:eastAsia="Times New Roman" w:hAnsi="Times New Roman"/>
          <w:sz w:val="16"/>
          <w:szCs w:val="16"/>
          <w:color w:val="auto"/>
        </w:rPr>
        <w:t>encountered may include:</w:t>
      </w:r>
    </w:p>
    <w:p>
      <w:pPr>
        <w:spacing w:after="0" w:line="204" w:lineRule="auto"/>
        <w:rPr>
          <w:sz w:val="20"/>
          <w:szCs w:val="20"/>
          <w:color w:val="auto"/>
        </w:rPr>
      </w:pPr>
      <w:r>
        <w:rPr>
          <w:rFonts w:ascii="Times New Roman" w:cs="Times New Roman" w:eastAsia="Times New Roman" w:hAnsi="Times New Roman"/>
          <w:sz w:val="16"/>
          <w:szCs w:val="16"/>
          <w:color w:val="auto"/>
        </w:rPr>
        <w:t>•difficulties, costs or complications in combining the</w:t>
      </w:r>
    </w:p>
    <w:p>
      <w:pPr>
        <w:spacing w:after="0" w:line="203" w:lineRule="auto"/>
        <w:rPr>
          <w:sz w:val="20"/>
          <w:szCs w:val="20"/>
          <w:color w:val="auto"/>
        </w:rPr>
      </w:pPr>
      <w:r>
        <w:rPr>
          <w:rFonts w:ascii="Times New Roman" w:cs="Times New Roman" w:eastAsia="Times New Roman" w:hAnsi="Times New Roman"/>
          <w:sz w:val="16"/>
          <w:szCs w:val="16"/>
          <w:color w:val="auto"/>
        </w:rPr>
        <w:t>companies’ operations, including technology platforms,</w:t>
      </w:r>
    </w:p>
    <w:p>
      <w:pPr>
        <w:spacing w:after="0" w:line="204" w:lineRule="auto"/>
        <w:rPr>
          <w:sz w:val="20"/>
          <w:szCs w:val="20"/>
          <w:color w:val="auto"/>
        </w:rPr>
      </w:pPr>
      <w:r>
        <w:rPr>
          <w:rFonts w:ascii="Times New Roman" w:cs="Times New Roman" w:eastAsia="Times New Roman" w:hAnsi="Times New Roman"/>
          <w:sz w:val="16"/>
          <w:szCs w:val="16"/>
          <w:color w:val="auto"/>
        </w:rPr>
        <w:t>security measures and infrastructure or regulatory or legal</w:t>
      </w:r>
    </w:p>
    <w:p>
      <w:pPr>
        <w:spacing w:after="0" w:line="204" w:lineRule="auto"/>
        <w:rPr>
          <w:sz w:val="20"/>
          <w:szCs w:val="20"/>
          <w:color w:val="auto"/>
        </w:rPr>
      </w:pPr>
      <w:r>
        <w:rPr>
          <w:rFonts w:ascii="Times New Roman" w:cs="Times New Roman" w:eastAsia="Times New Roman" w:hAnsi="Times New Roman"/>
          <w:sz w:val="16"/>
          <w:szCs w:val="16"/>
          <w:color w:val="auto"/>
        </w:rPr>
        <w:t>non-compliance that may need greater remediation than</w:t>
      </w:r>
    </w:p>
    <w:p>
      <w:pPr>
        <w:spacing w:after="0"/>
        <w:rPr>
          <w:sz w:val="20"/>
          <w:szCs w:val="20"/>
          <w:color w:val="auto"/>
        </w:rPr>
      </w:pPr>
      <w:r>
        <w:rPr>
          <w:rFonts w:ascii="Times New Roman" w:cs="Times New Roman" w:eastAsia="Times New Roman" w:hAnsi="Times New Roman"/>
          <w:sz w:val="16"/>
          <w:szCs w:val="16"/>
          <w:color w:val="auto"/>
        </w:rPr>
        <w:t>anticipated, which could lead to us not achieving the</w:t>
      </w:r>
    </w:p>
    <w:p>
      <w:pPr>
        <w:sectPr>
          <w:pgSz w:w="11900" w:h="16840" w:orient="portrait"/>
          <w:cols w:equalWidth="0" w:num="1">
            <w:col w:w="9400"/>
          </w:cols>
          <w:pgMar w:left="1060" w:top="557" w:right="1440" w:bottom="68"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synergies or efficiencies we anticipate or customers not</w:t>
      </w:r>
    </w:p>
    <w:p>
      <w:pPr>
        <w:spacing w:after="0" w:line="203" w:lineRule="auto"/>
        <w:rPr>
          <w:sz w:val="20"/>
          <w:szCs w:val="20"/>
          <w:color w:val="auto"/>
        </w:rPr>
      </w:pPr>
      <w:r>
        <w:rPr>
          <w:rFonts w:ascii="Times New Roman" w:cs="Times New Roman" w:eastAsia="Times New Roman" w:hAnsi="Times New Roman"/>
          <w:sz w:val="16"/>
          <w:szCs w:val="16"/>
          <w:color w:val="auto"/>
        </w:rPr>
        <w:t>renewing their contracts with us as we migrate platforms;</w:t>
      </w:r>
    </w:p>
    <w:p>
      <w:pPr>
        <w:spacing w:after="0" w:line="204" w:lineRule="auto"/>
        <w:rPr>
          <w:sz w:val="20"/>
          <w:szCs w:val="20"/>
          <w:color w:val="auto"/>
        </w:rPr>
      </w:pPr>
      <w:r>
        <w:rPr>
          <w:rFonts w:ascii="Times New Roman" w:cs="Times New Roman" w:eastAsia="Times New Roman" w:hAnsi="Times New Roman"/>
          <w:sz w:val="16"/>
          <w:szCs w:val="16"/>
          <w:color w:val="auto"/>
        </w:rPr>
        <w:t>•incompatibility of systems and operating methods;</w:t>
      </w:r>
    </w:p>
    <w:p>
      <w:pPr>
        <w:spacing w:after="0" w:line="203" w:lineRule="auto"/>
        <w:rPr>
          <w:sz w:val="20"/>
          <w:szCs w:val="20"/>
          <w:color w:val="auto"/>
        </w:rPr>
      </w:pPr>
      <w:r>
        <w:rPr>
          <w:rFonts w:ascii="Times New Roman" w:cs="Times New Roman" w:eastAsia="Times New Roman" w:hAnsi="Times New Roman"/>
          <w:sz w:val="16"/>
          <w:szCs w:val="16"/>
          <w:color w:val="auto"/>
        </w:rPr>
        <w:t>•reliance on, or provision of, transition services;</w:t>
      </w:r>
    </w:p>
    <w:p>
      <w:pPr>
        <w:spacing w:after="0" w:line="204" w:lineRule="auto"/>
        <w:rPr>
          <w:sz w:val="20"/>
          <w:szCs w:val="20"/>
          <w:color w:val="auto"/>
        </w:rPr>
      </w:pPr>
      <w:r>
        <w:rPr>
          <w:rFonts w:ascii="Times New Roman" w:cs="Times New Roman" w:eastAsia="Times New Roman" w:hAnsi="Times New Roman"/>
          <w:sz w:val="16"/>
          <w:szCs w:val="16"/>
          <w:color w:val="auto"/>
        </w:rPr>
        <w:t>•inability to use capital assets efficiently to develop the</w:t>
      </w:r>
    </w:p>
    <w:p>
      <w:pPr>
        <w:spacing w:after="0" w:line="203" w:lineRule="auto"/>
        <w:rPr>
          <w:sz w:val="20"/>
          <w:szCs w:val="20"/>
          <w:color w:val="auto"/>
        </w:rPr>
      </w:pPr>
      <w:r>
        <w:rPr>
          <w:rFonts w:ascii="Times New Roman" w:cs="Times New Roman" w:eastAsia="Times New Roman" w:hAnsi="Times New Roman"/>
          <w:sz w:val="16"/>
          <w:szCs w:val="16"/>
          <w:color w:val="auto"/>
        </w:rPr>
        <w:t>business of the combined company and achieve revenue</w:t>
      </w:r>
    </w:p>
    <w:p>
      <w:pPr>
        <w:spacing w:after="0" w:line="204" w:lineRule="auto"/>
        <w:rPr>
          <w:sz w:val="20"/>
          <w:szCs w:val="20"/>
          <w:color w:val="auto"/>
        </w:rPr>
      </w:pPr>
      <w:r>
        <w:rPr>
          <w:rFonts w:ascii="Times New Roman" w:cs="Times New Roman" w:eastAsia="Times New Roman" w:hAnsi="Times New Roman"/>
          <w:sz w:val="16"/>
          <w:szCs w:val="16"/>
          <w:color w:val="auto"/>
        </w:rPr>
        <w:t>growth, including cross-sell activity;</w:t>
      </w:r>
    </w:p>
    <w:p>
      <w:pPr>
        <w:spacing w:after="0" w:line="203" w:lineRule="auto"/>
        <w:rPr>
          <w:sz w:val="20"/>
          <w:szCs w:val="20"/>
          <w:color w:val="auto"/>
        </w:rPr>
      </w:pPr>
      <w:r>
        <w:rPr>
          <w:rFonts w:ascii="Times New Roman" w:cs="Times New Roman" w:eastAsia="Times New Roman" w:hAnsi="Times New Roman"/>
          <w:sz w:val="16"/>
          <w:szCs w:val="16"/>
          <w:color w:val="auto"/>
        </w:rPr>
        <w:t>•difficulties of complying with government-imposed</w:t>
      </w:r>
    </w:p>
    <w:p>
      <w:pPr>
        <w:spacing w:after="0" w:line="204" w:lineRule="auto"/>
        <w:rPr>
          <w:sz w:val="20"/>
          <w:szCs w:val="20"/>
          <w:color w:val="auto"/>
        </w:rPr>
      </w:pPr>
      <w:r>
        <w:rPr>
          <w:rFonts w:ascii="Times New Roman" w:cs="Times New Roman" w:eastAsia="Times New Roman" w:hAnsi="Times New Roman"/>
          <w:sz w:val="16"/>
          <w:szCs w:val="16"/>
          <w:color w:val="auto"/>
        </w:rPr>
        <w:t>regulations in the U.S. and abroad, which may be</w:t>
      </w:r>
    </w:p>
    <w:p>
      <w:pPr>
        <w:spacing w:after="0" w:line="203" w:lineRule="auto"/>
        <w:rPr>
          <w:sz w:val="20"/>
          <w:szCs w:val="20"/>
          <w:color w:val="auto"/>
        </w:rPr>
      </w:pPr>
      <w:r>
        <w:rPr>
          <w:rFonts w:ascii="Times New Roman" w:cs="Times New Roman" w:eastAsia="Times New Roman" w:hAnsi="Times New Roman"/>
          <w:sz w:val="16"/>
          <w:szCs w:val="16"/>
          <w:color w:val="auto"/>
        </w:rPr>
        <w:t>conflicting;</w:t>
      </w:r>
    </w:p>
    <w:p>
      <w:pPr>
        <w:spacing w:after="0" w:line="204" w:lineRule="auto"/>
        <w:rPr>
          <w:sz w:val="20"/>
          <w:szCs w:val="20"/>
          <w:color w:val="auto"/>
        </w:rPr>
      </w:pPr>
      <w:r>
        <w:rPr>
          <w:rFonts w:ascii="Times New Roman" w:cs="Times New Roman" w:eastAsia="Times New Roman" w:hAnsi="Times New Roman"/>
          <w:sz w:val="16"/>
          <w:szCs w:val="16"/>
          <w:color w:val="auto"/>
        </w:rPr>
        <w:t>•resolving possible inconsistencies in standards, controls,</w:t>
      </w:r>
    </w:p>
    <w:p>
      <w:pPr>
        <w:spacing w:after="0" w:line="204" w:lineRule="auto"/>
        <w:rPr>
          <w:sz w:val="20"/>
          <w:szCs w:val="20"/>
          <w:color w:val="auto"/>
        </w:rPr>
      </w:pPr>
      <w:r>
        <w:rPr>
          <w:rFonts w:ascii="Times New Roman" w:cs="Times New Roman" w:eastAsia="Times New Roman" w:hAnsi="Times New Roman"/>
          <w:sz w:val="16"/>
          <w:szCs w:val="16"/>
          <w:color w:val="auto"/>
        </w:rPr>
        <w:t>procedures and policies, business cultures and</w:t>
      </w:r>
    </w:p>
    <w:p>
      <w:pPr>
        <w:spacing w:after="0" w:line="203" w:lineRule="auto"/>
        <w:rPr>
          <w:sz w:val="20"/>
          <w:szCs w:val="20"/>
          <w:color w:val="auto"/>
        </w:rPr>
      </w:pPr>
      <w:r>
        <w:rPr>
          <w:rFonts w:ascii="Times New Roman" w:cs="Times New Roman" w:eastAsia="Times New Roman" w:hAnsi="Times New Roman"/>
          <w:sz w:val="16"/>
          <w:szCs w:val="16"/>
          <w:color w:val="auto"/>
        </w:rPr>
        <w:t>compensation structures;</w:t>
      </w:r>
    </w:p>
    <w:p>
      <w:pPr>
        <w:spacing w:after="0" w:line="204" w:lineRule="auto"/>
        <w:rPr>
          <w:sz w:val="20"/>
          <w:szCs w:val="20"/>
          <w:color w:val="auto"/>
        </w:rPr>
      </w:pPr>
      <w:r>
        <w:rPr>
          <w:rFonts w:ascii="Times New Roman" w:cs="Times New Roman" w:eastAsia="Times New Roman" w:hAnsi="Times New Roman"/>
          <w:sz w:val="16"/>
          <w:szCs w:val="16"/>
          <w:color w:val="auto"/>
        </w:rPr>
        <w:t>•the diversion of management’s attention from ongoing</w:t>
      </w:r>
    </w:p>
    <w:p>
      <w:pPr>
        <w:spacing w:after="0" w:line="203" w:lineRule="auto"/>
        <w:rPr>
          <w:sz w:val="20"/>
          <w:szCs w:val="20"/>
          <w:color w:val="auto"/>
        </w:rPr>
      </w:pPr>
      <w:r>
        <w:rPr>
          <w:rFonts w:ascii="Times New Roman" w:cs="Times New Roman" w:eastAsia="Times New Roman" w:hAnsi="Times New Roman"/>
          <w:sz w:val="16"/>
          <w:szCs w:val="16"/>
          <w:color w:val="auto"/>
        </w:rPr>
        <w:t>business concerns and other strategic opportunities;</w:t>
      </w:r>
    </w:p>
    <w:p>
      <w:pPr>
        <w:spacing w:after="0" w:line="204" w:lineRule="auto"/>
        <w:rPr>
          <w:sz w:val="20"/>
          <w:szCs w:val="20"/>
          <w:color w:val="auto"/>
        </w:rPr>
      </w:pPr>
      <w:r>
        <w:rPr>
          <w:rFonts w:ascii="Times New Roman" w:cs="Times New Roman" w:eastAsia="Times New Roman" w:hAnsi="Times New Roman"/>
          <w:sz w:val="16"/>
          <w:szCs w:val="16"/>
          <w:color w:val="auto"/>
        </w:rPr>
        <w:t>•difficulties in operating businesses we have not operated</w:t>
      </w:r>
    </w:p>
    <w:p>
      <w:pPr>
        <w:spacing w:after="0" w:line="203" w:lineRule="auto"/>
        <w:rPr>
          <w:sz w:val="20"/>
          <w:szCs w:val="20"/>
          <w:color w:val="auto"/>
        </w:rPr>
      </w:pPr>
      <w:r>
        <w:rPr>
          <w:rFonts w:ascii="Times New Roman" w:cs="Times New Roman" w:eastAsia="Times New Roman" w:hAnsi="Times New Roman"/>
          <w:sz w:val="16"/>
          <w:szCs w:val="16"/>
          <w:color w:val="auto"/>
        </w:rPr>
        <w:t>before;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•difficulties of integrating multiple acquired businesses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w:t>
      </w:r>
    </w:p>
    <w:p>
      <w:pPr>
        <w:spacing w:after="0" w:line="203" w:lineRule="auto"/>
        <w:rPr>
          <w:sz w:val="20"/>
          <w:szCs w:val="20"/>
          <w:color w:val="auto"/>
        </w:rPr>
      </w:pPr>
      <w:r>
        <w:rPr>
          <w:rFonts w:ascii="Times New Roman" w:cs="Times New Roman" w:eastAsia="Times New Roman" w:hAnsi="Times New Roman"/>
          <w:sz w:val="16"/>
          <w:szCs w:val="16"/>
          <w:color w:val="auto"/>
        </w:rPr>
        <w:t>Foreign acquisitions, or acquisitions involving companies</w:t>
      </w:r>
    </w:p>
    <w:p>
      <w:pPr>
        <w:spacing w:after="0" w:line="233" w:lineRule="auto"/>
        <w:rPr>
          <w:sz w:val="20"/>
          <w:szCs w:val="20"/>
          <w:color w:val="auto"/>
        </w:rPr>
      </w:pPr>
      <w:r>
        <w:rPr>
          <w:rFonts w:ascii="Times New Roman" w:cs="Times New Roman" w:eastAsia="Times New Roman" w:hAnsi="Times New Roman"/>
          <w:sz w:val="14"/>
          <w:szCs w:val="14"/>
          <w:color w:val="auto"/>
        </w:rPr>
        <w:t>with numerous foreign subsidiaries, involve risks in addition</w:t>
      </w:r>
    </w:p>
    <w:p>
      <w:pPr>
        <w:spacing w:after="0" w:line="203" w:lineRule="auto"/>
        <w:rPr>
          <w:sz w:val="20"/>
          <w:szCs w:val="20"/>
          <w:color w:val="auto"/>
        </w:rPr>
      </w:pPr>
      <w:r>
        <w:rPr>
          <w:rFonts w:ascii="Times New Roman" w:cs="Times New Roman" w:eastAsia="Times New Roman" w:hAnsi="Times New Roman"/>
          <w:sz w:val="16"/>
          <w:szCs w:val="16"/>
          <w:color w:val="auto"/>
        </w:rPr>
        <w:t>to those mentioned above, including those related to</w:t>
      </w:r>
    </w:p>
    <w:p>
      <w:pPr>
        <w:spacing w:after="0" w:line="204" w:lineRule="auto"/>
        <w:rPr>
          <w:sz w:val="20"/>
          <w:szCs w:val="20"/>
          <w:color w:val="auto"/>
        </w:rPr>
      </w:pPr>
      <w:r>
        <w:rPr>
          <w:rFonts w:ascii="Times New Roman" w:cs="Times New Roman" w:eastAsia="Times New Roman" w:hAnsi="Times New Roman"/>
          <w:sz w:val="16"/>
          <w:szCs w:val="16"/>
          <w:color w:val="auto"/>
        </w:rPr>
        <w:t>integration of operations across different cultures and</w:t>
      </w:r>
    </w:p>
    <w:p>
      <w:pPr>
        <w:spacing w:after="0" w:line="203" w:lineRule="auto"/>
        <w:rPr>
          <w:sz w:val="20"/>
          <w:szCs w:val="20"/>
          <w:color w:val="auto"/>
        </w:rPr>
      </w:pPr>
      <w:r>
        <w:rPr>
          <w:rFonts w:ascii="Times New Roman" w:cs="Times New Roman" w:eastAsia="Times New Roman" w:hAnsi="Times New Roman"/>
          <w:sz w:val="16"/>
          <w:szCs w:val="16"/>
          <w:color w:val="auto"/>
        </w:rPr>
        <w:t>languages, our ability to enforce contracts in various</w:t>
      </w:r>
    </w:p>
    <w:p>
      <w:pPr>
        <w:spacing w:after="0" w:line="204" w:lineRule="auto"/>
        <w:rPr>
          <w:sz w:val="20"/>
          <w:szCs w:val="20"/>
          <w:color w:val="auto"/>
        </w:rPr>
      </w:pPr>
      <w:r>
        <w:rPr>
          <w:rFonts w:ascii="Times New Roman" w:cs="Times New Roman" w:eastAsia="Times New Roman" w:hAnsi="Times New Roman"/>
          <w:sz w:val="16"/>
          <w:szCs w:val="16"/>
          <w:color w:val="auto"/>
        </w:rPr>
        <w:t>jurisdictions, currency risks and the particular economic,</w:t>
      </w:r>
    </w:p>
    <w:p>
      <w:pPr>
        <w:spacing w:after="0" w:line="203" w:lineRule="auto"/>
        <w:rPr>
          <w:sz w:val="20"/>
          <w:szCs w:val="20"/>
          <w:color w:val="auto"/>
        </w:rPr>
      </w:pPr>
      <w:r>
        <w:rPr>
          <w:rFonts w:ascii="Times New Roman" w:cs="Times New Roman" w:eastAsia="Times New Roman" w:hAnsi="Times New Roman"/>
          <w:sz w:val="16"/>
          <w:szCs w:val="16"/>
          <w:color w:val="auto"/>
        </w:rPr>
        <w:t>political and regulatory risks associated with specific</w:t>
      </w:r>
    </w:p>
    <w:p>
      <w:pPr>
        <w:spacing w:after="0" w:line="204" w:lineRule="auto"/>
        <w:rPr>
          <w:sz w:val="20"/>
          <w:szCs w:val="20"/>
          <w:color w:val="auto"/>
        </w:rPr>
      </w:pPr>
      <w:r>
        <w:rPr>
          <w:rFonts w:ascii="Times New Roman" w:cs="Times New Roman" w:eastAsia="Times New Roman" w:hAnsi="Times New Roman"/>
          <w:sz w:val="16"/>
          <w:szCs w:val="16"/>
          <w:color w:val="auto"/>
        </w:rPr>
        <w:t>countries. We may not be able to address these risks</w:t>
      </w:r>
    </w:p>
    <w:p>
      <w:pPr>
        <w:spacing w:after="0" w:line="204" w:lineRule="auto"/>
        <w:rPr>
          <w:sz w:val="20"/>
          <w:szCs w:val="20"/>
          <w:color w:val="auto"/>
        </w:rPr>
      </w:pPr>
      <w:r>
        <w:rPr>
          <w:rFonts w:ascii="Times New Roman" w:cs="Times New Roman" w:eastAsia="Times New Roman" w:hAnsi="Times New Roman"/>
          <w:sz w:val="16"/>
          <w:szCs w:val="16"/>
          <w:color w:val="auto"/>
        </w:rPr>
        <w:t>successfully, or at all, without incurring significant costs,</w:t>
      </w:r>
    </w:p>
    <w:p>
      <w:pPr>
        <w:spacing w:after="0" w:line="203" w:lineRule="auto"/>
        <w:rPr>
          <w:sz w:val="20"/>
          <w:szCs w:val="20"/>
          <w:color w:val="auto"/>
        </w:rPr>
      </w:pPr>
      <w:r>
        <w:rPr>
          <w:rFonts w:ascii="Times New Roman" w:cs="Times New Roman" w:eastAsia="Times New Roman" w:hAnsi="Times New Roman"/>
          <w:sz w:val="16"/>
          <w:szCs w:val="16"/>
          <w:color w:val="auto"/>
        </w:rPr>
        <w:t>delays or other operating problems that could disrupt our</w:t>
      </w:r>
    </w:p>
    <w:p>
      <w:pPr>
        <w:spacing w:after="0" w:line="204" w:lineRule="auto"/>
        <w:rPr>
          <w:sz w:val="20"/>
          <w:szCs w:val="20"/>
          <w:color w:val="auto"/>
        </w:rPr>
      </w:pPr>
      <w:r>
        <w:rPr>
          <w:rFonts w:ascii="Times New Roman" w:cs="Times New Roman" w:eastAsia="Times New Roman" w:hAnsi="Times New Roman"/>
          <w:sz w:val="16"/>
          <w:szCs w:val="16"/>
          <w:color w:val="auto"/>
        </w:rPr>
        <w:t>business and have a material adverse effect on our financial</w:t>
      </w:r>
    </w:p>
    <w:p>
      <w:pPr>
        <w:spacing w:after="0" w:line="203" w:lineRule="auto"/>
        <w:rPr>
          <w:sz w:val="20"/>
          <w:szCs w:val="20"/>
          <w:color w:val="auto"/>
        </w:rPr>
      </w:pPr>
      <w:r>
        <w:rPr>
          <w:rFonts w:ascii="Times New Roman" w:cs="Times New Roman" w:eastAsia="Times New Roman" w:hAnsi="Times New Roman"/>
          <w:sz w:val="16"/>
          <w:szCs w:val="16"/>
          <w:color w:val="auto"/>
        </w:rPr>
        <w:t>condition.</w:t>
      </w:r>
    </w:p>
    <w:p>
      <w:pPr>
        <w:spacing w:after="0" w:line="204" w:lineRule="auto"/>
        <w:rPr>
          <w:sz w:val="20"/>
          <w:szCs w:val="20"/>
          <w:color w:val="auto"/>
        </w:rPr>
      </w:pPr>
      <w:r>
        <w:rPr>
          <w:rFonts w:ascii="Times New Roman" w:cs="Times New Roman" w:eastAsia="Times New Roman" w:hAnsi="Times New Roman"/>
          <w:sz w:val="16"/>
          <w:szCs w:val="16"/>
          <w:color w:val="auto"/>
        </w:rPr>
        <w:t>For these reasons, we may not achieve the anticipated</w:t>
      </w:r>
    </w:p>
    <w:p>
      <w:pPr>
        <w:spacing w:after="0" w:line="203" w:lineRule="auto"/>
        <w:rPr>
          <w:sz w:val="20"/>
          <w:szCs w:val="20"/>
          <w:color w:val="auto"/>
        </w:rPr>
      </w:pPr>
      <w:r>
        <w:rPr>
          <w:rFonts w:ascii="Times New Roman" w:cs="Times New Roman" w:eastAsia="Times New Roman" w:hAnsi="Times New Roman"/>
          <w:sz w:val="16"/>
          <w:szCs w:val="16"/>
          <w:color w:val="auto"/>
        </w:rPr>
        <w:t>financial and strategic benefits from our acquisitions. Any</w:t>
      </w:r>
    </w:p>
    <w:p>
      <w:pPr>
        <w:spacing w:after="0" w:line="204" w:lineRule="auto"/>
        <w:rPr>
          <w:sz w:val="20"/>
          <w:szCs w:val="20"/>
          <w:color w:val="auto"/>
        </w:rPr>
      </w:pPr>
      <w:r>
        <w:rPr>
          <w:rFonts w:ascii="Times New Roman" w:cs="Times New Roman" w:eastAsia="Times New Roman" w:hAnsi="Times New Roman"/>
          <w:sz w:val="16"/>
          <w:szCs w:val="16"/>
          <w:color w:val="auto"/>
        </w:rPr>
        <w:t>actual efficiencies and synergies may be lower than we</w:t>
      </w:r>
    </w:p>
    <w:p>
      <w:pPr>
        <w:spacing w:after="0" w:line="203" w:lineRule="auto"/>
        <w:rPr>
          <w:sz w:val="20"/>
          <w:szCs w:val="20"/>
          <w:color w:val="auto"/>
        </w:rPr>
      </w:pPr>
      <w:r>
        <w:rPr>
          <w:rFonts w:ascii="Times New Roman" w:cs="Times New Roman" w:eastAsia="Times New Roman" w:hAnsi="Times New Roman"/>
          <w:sz w:val="16"/>
          <w:szCs w:val="16"/>
          <w:color w:val="auto"/>
        </w:rPr>
        <w:t>expect and may take a longer time to achieve than we</w:t>
      </w:r>
    </w:p>
    <w:p>
      <w:pPr>
        <w:spacing w:after="0" w:line="233" w:lineRule="auto"/>
        <w:rPr>
          <w:sz w:val="20"/>
          <w:szCs w:val="20"/>
          <w:color w:val="auto"/>
        </w:rPr>
      </w:pPr>
      <w:r>
        <w:rPr>
          <w:rFonts w:ascii="Times New Roman" w:cs="Times New Roman" w:eastAsia="Times New Roman" w:hAnsi="Times New Roman"/>
          <w:sz w:val="14"/>
          <w:szCs w:val="14"/>
          <w:color w:val="auto"/>
        </w:rPr>
        <w:t>anticipate, and we may fail to realize the anticipated benefits</w:t>
      </w:r>
    </w:p>
    <w:p>
      <w:pPr>
        <w:spacing w:after="0" w:line="204" w:lineRule="auto"/>
        <w:rPr>
          <w:sz w:val="20"/>
          <w:szCs w:val="20"/>
          <w:color w:val="auto"/>
        </w:rPr>
      </w:pPr>
      <w:r>
        <w:rPr>
          <w:rFonts w:ascii="Times New Roman" w:cs="Times New Roman" w:eastAsia="Times New Roman" w:hAnsi="Times New Roman"/>
          <w:sz w:val="16"/>
          <w:szCs w:val="16"/>
          <w:color w:val="auto"/>
        </w:rPr>
        <w:t>of acquisitions.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to perform certain functions, and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our business could be adversely affected if these third</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parties fail to perform as expected or experience service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interruptions affecting our operations.</w:t>
      </w:r>
    </w:p>
    <w:p>
      <w:pPr>
        <w:spacing w:after="0" w:line="203" w:lineRule="auto"/>
        <w:rPr>
          <w:sz w:val="20"/>
          <w:szCs w:val="20"/>
          <w:color w:val="auto"/>
        </w:rPr>
      </w:pPr>
      <w:r>
        <w:rPr>
          <w:rFonts w:ascii="Times New Roman" w:cs="Times New Roman" w:eastAsia="Times New Roman" w:hAnsi="Times New Roman"/>
          <w:sz w:val="16"/>
          <w:szCs w:val="16"/>
          <w:color w:val="auto"/>
        </w:rPr>
        <w:t>We rely on third parties for regulatory, data center, cloud</w:t>
      </w:r>
    </w:p>
    <w:p>
      <w:pPr>
        <w:spacing w:after="0" w:line="204" w:lineRule="auto"/>
        <w:rPr>
          <w:sz w:val="20"/>
          <w:szCs w:val="20"/>
          <w:color w:val="auto"/>
        </w:rPr>
      </w:pPr>
      <w:r>
        <w:rPr>
          <w:rFonts w:ascii="Times New Roman" w:cs="Times New Roman" w:eastAsia="Times New Roman" w:hAnsi="Times New Roman"/>
          <w:sz w:val="16"/>
          <w:szCs w:val="16"/>
          <w:color w:val="auto"/>
        </w:rPr>
        <w:t>computing, data storage and processing, connectivity, data</w:t>
      </w:r>
    </w:p>
    <w:p>
      <w:pPr>
        <w:spacing w:after="0" w:line="233" w:lineRule="auto"/>
        <w:rPr>
          <w:sz w:val="20"/>
          <w:szCs w:val="20"/>
          <w:color w:val="auto"/>
        </w:rPr>
      </w:pPr>
      <w:r>
        <w:rPr>
          <w:rFonts w:ascii="Times New Roman" w:cs="Times New Roman" w:eastAsia="Times New Roman" w:hAnsi="Times New Roman"/>
          <w:sz w:val="14"/>
          <w:szCs w:val="14"/>
          <w:color w:val="auto"/>
        </w:rPr>
        <w:t>content, clearing, maintaining markets and exchange liquidity</w:t>
      </w:r>
    </w:p>
    <w:p>
      <w:pPr>
        <w:spacing w:after="0" w:line="203" w:lineRule="auto"/>
        <w:rPr>
          <w:sz w:val="20"/>
          <w:szCs w:val="20"/>
          <w:color w:val="auto"/>
        </w:rPr>
      </w:pPr>
      <w:r>
        <w:rPr>
          <w:rFonts w:ascii="Times New Roman" w:cs="Times New Roman" w:eastAsia="Times New Roman" w:hAnsi="Times New Roman"/>
          <w:sz w:val="16"/>
          <w:szCs w:val="16"/>
          <w:color w:val="auto"/>
        </w:rPr>
        <w:t>and other services. Interruptions or delays in services from</w:t>
      </w:r>
    </w:p>
    <w:p>
      <w:pPr>
        <w:spacing w:after="0" w:line="204" w:lineRule="auto"/>
        <w:rPr>
          <w:sz w:val="20"/>
          <w:szCs w:val="20"/>
          <w:color w:val="auto"/>
        </w:rPr>
      </w:pPr>
      <w:r>
        <w:rPr>
          <w:rFonts w:ascii="Times New Roman" w:cs="Times New Roman" w:eastAsia="Times New Roman" w:hAnsi="Times New Roman"/>
          <w:sz w:val="16"/>
          <w:szCs w:val="16"/>
          <w:color w:val="auto"/>
        </w:rPr>
        <w:t>our third-party providers could impair our services or their</w:t>
      </w:r>
    </w:p>
    <w:p>
      <w:pPr>
        <w:spacing w:after="0" w:line="203" w:lineRule="auto"/>
        <w:rPr>
          <w:sz w:val="20"/>
          <w:szCs w:val="20"/>
          <w:color w:val="auto"/>
        </w:rPr>
      </w:pPr>
      <w:r>
        <w:rPr>
          <w:rFonts w:ascii="Times New Roman" w:cs="Times New Roman" w:eastAsia="Times New Roman" w:hAnsi="Times New Roman"/>
          <w:sz w:val="16"/>
          <w:szCs w:val="16"/>
          <w:color w:val="auto"/>
        </w:rPr>
        <w:t>delivery and harm our business. Upon expiration or</w:t>
      </w:r>
    </w:p>
    <w:p>
      <w:pPr>
        <w:spacing w:after="0" w:line="204" w:lineRule="auto"/>
        <w:rPr>
          <w:sz w:val="20"/>
          <w:szCs w:val="20"/>
          <w:color w:val="auto"/>
        </w:rPr>
      </w:pPr>
      <w:r>
        <w:rPr>
          <w:rFonts w:ascii="Times New Roman" w:cs="Times New Roman" w:eastAsia="Times New Roman" w:hAnsi="Times New Roman"/>
          <w:sz w:val="16"/>
          <w:szCs w:val="16"/>
          <w:color w:val="auto"/>
        </w:rPr>
        <w:t>termination of any of our agreements with third-party</w:t>
      </w:r>
    </w:p>
    <w:p>
      <w:pPr>
        <w:spacing w:after="0" w:line="233" w:lineRule="auto"/>
        <w:rPr>
          <w:sz w:val="20"/>
          <w:szCs w:val="20"/>
          <w:color w:val="auto"/>
        </w:rPr>
      </w:pPr>
      <w:r>
        <w:rPr>
          <w:rFonts w:ascii="Times New Roman" w:cs="Times New Roman" w:eastAsia="Times New Roman" w:hAnsi="Times New Roman"/>
          <w:sz w:val="14"/>
          <w:szCs w:val="14"/>
          <w:color w:val="auto"/>
        </w:rPr>
        <w:t>vendors, we may not be able to replace the services provided</w:t>
      </w:r>
    </w:p>
    <w:p>
      <w:pPr>
        <w:spacing w:after="0" w:line="203" w:lineRule="auto"/>
        <w:rPr>
          <w:sz w:val="20"/>
          <w:szCs w:val="20"/>
          <w:color w:val="auto"/>
        </w:rPr>
      </w:pPr>
      <w:r>
        <w:rPr>
          <w:rFonts w:ascii="Times New Roman" w:cs="Times New Roman" w:eastAsia="Times New Roman" w:hAnsi="Times New Roman"/>
          <w:sz w:val="16"/>
          <w:szCs w:val="16"/>
          <w:color w:val="auto"/>
        </w:rPr>
        <w:t>to us in a timely manner or on terms and conditions that are</w:t>
      </w:r>
    </w:p>
    <w:p>
      <w:pPr>
        <w:spacing w:after="0" w:line="204" w:lineRule="auto"/>
        <w:rPr>
          <w:sz w:val="20"/>
          <w:szCs w:val="20"/>
          <w:color w:val="auto"/>
        </w:rPr>
      </w:pPr>
      <w:r>
        <w:rPr>
          <w:rFonts w:ascii="Times New Roman" w:cs="Times New Roman" w:eastAsia="Times New Roman" w:hAnsi="Times New Roman"/>
          <w:sz w:val="16"/>
          <w:szCs w:val="16"/>
          <w:color w:val="auto"/>
        </w:rPr>
        <w:t>favorable to us, and a transition from one vendor to another</w:t>
      </w:r>
    </w:p>
    <w:p>
      <w:pPr>
        <w:spacing w:after="0" w:line="203" w:lineRule="auto"/>
        <w:rPr>
          <w:sz w:val="20"/>
          <w:szCs w:val="20"/>
          <w:color w:val="auto"/>
        </w:rPr>
      </w:pPr>
      <w:r>
        <w:rPr>
          <w:rFonts w:ascii="Times New Roman" w:cs="Times New Roman" w:eastAsia="Times New Roman" w:hAnsi="Times New Roman"/>
          <w:sz w:val="16"/>
          <w:szCs w:val="16"/>
          <w:color w:val="auto"/>
        </w:rPr>
        <w:t>vendor could be difficult or costly due to the complexity of</w:t>
      </w:r>
    </w:p>
    <w:p>
      <w:pPr>
        <w:spacing w:after="0" w:line="204" w:lineRule="auto"/>
        <w:rPr>
          <w:sz w:val="20"/>
          <w:szCs w:val="20"/>
          <w:color w:val="auto"/>
        </w:rPr>
      </w:pPr>
      <w:r>
        <w:rPr>
          <w:rFonts w:ascii="Times New Roman" w:cs="Times New Roman" w:eastAsia="Times New Roman" w:hAnsi="Times New Roman"/>
          <w:sz w:val="16"/>
          <w:szCs w:val="16"/>
          <w:color w:val="auto"/>
        </w:rPr>
        <w:t>our operations.</w:t>
      </w:r>
    </w:p>
    <w:p>
      <w:pPr>
        <w:spacing w:after="0" w:line="203" w:lineRule="auto"/>
        <w:rPr>
          <w:sz w:val="20"/>
          <w:szCs w:val="20"/>
          <w:color w:val="auto"/>
        </w:rPr>
      </w:pPr>
      <w:r>
        <w:rPr>
          <w:rFonts w:ascii="Times New Roman" w:cs="Times New Roman" w:eastAsia="Times New Roman" w:hAnsi="Times New Roman"/>
          <w:sz w:val="16"/>
          <w:szCs w:val="16"/>
          <w:color w:val="auto"/>
        </w:rPr>
        <w:t>Certain of our vendors may also be affected by the same</w:t>
      </w:r>
    </w:p>
    <w:p>
      <w:pPr>
        <w:spacing w:after="0" w:line="204" w:lineRule="auto"/>
        <w:rPr>
          <w:sz w:val="20"/>
          <w:szCs w:val="20"/>
          <w:color w:val="auto"/>
        </w:rPr>
      </w:pPr>
      <w:r>
        <w:rPr>
          <w:rFonts w:ascii="Times New Roman" w:cs="Times New Roman" w:eastAsia="Times New Roman" w:hAnsi="Times New Roman"/>
          <w:sz w:val="16"/>
          <w:szCs w:val="16"/>
          <w:color w:val="auto"/>
        </w:rPr>
        <w:t>disruptions affecting us, further amplifying the impact of an</w:t>
      </w:r>
    </w:p>
    <w:p>
      <w:pPr>
        <w:spacing w:after="0" w:line="233" w:lineRule="auto"/>
        <w:rPr>
          <w:sz w:val="20"/>
          <w:szCs w:val="20"/>
          <w:color w:val="auto"/>
        </w:rPr>
      </w:pPr>
      <w:r>
        <w:rPr>
          <w:rFonts w:ascii="Times New Roman" w:cs="Times New Roman" w:eastAsia="Times New Roman" w:hAnsi="Times New Roman"/>
          <w:sz w:val="14"/>
          <w:szCs w:val="14"/>
          <w:color w:val="auto"/>
        </w:rPr>
        <w:t>outage or service interruption on our offerings. To the extent</w:t>
      </w:r>
    </w:p>
    <w:p>
      <w:pPr>
        <w:spacing w:after="0" w:line="232" w:lineRule="auto"/>
        <w:rPr>
          <w:sz w:val="20"/>
          <w:szCs w:val="20"/>
          <w:color w:val="auto"/>
        </w:rPr>
      </w:pPr>
      <w:r>
        <w:rPr>
          <w:rFonts w:ascii="Times New Roman" w:cs="Times New Roman" w:eastAsia="Times New Roman" w:hAnsi="Times New Roman"/>
          <w:sz w:val="14"/>
          <w:szCs w:val="14"/>
          <w:color w:val="auto"/>
        </w:rPr>
        <w:t>that any of our vendors or other third-party service providers</w:t>
      </w:r>
    </w:p>
    <w:p>
      <w:pPr>
        <w:spacing w:after="0" w:line="204" w:lineRule="auto"/>
        <w:rPr>
          <w:sz w:val="20"/>
          <w:szCs w:val="20"/>
          <w:color w:val="auto"/>
        </w:rPr>
      </w:pPr>
      <w:r>
        <w:rPr>
          <w:rFonts w:ascii="Times New Roman" w:cs="Times New Roman" w:eastAsia="Times New Roman" w:hAnsi="Times New Roman"/>
          <w:sz w:val="16"/>
          <w:szCs w:val="16"/>
          <w:color w:val="auto"/>
        </w:rPr>
        <w:t>experience difficulties or a significant disruption, breach or</w:t>
      </w:r>
    </w:p>
    <w:p>
      <w:pPr>
        <w:spacing w:after="0" w:line="232" w:lineRule="auto"/>
        <w:rPr>
          <w:sz w:val="20"/>
          <w:szCs w:val="20"/>
          <w:color w:val="auto"/>
        </w:rPr>
      </w:pPr>
      <w:r>
        <w:rPr>
          <w:rFonts w:ascii="Times New Roman" w:cs="Times New Roman" w:eastAsia="Times New Roman" w:hAnsi="Times New Roman"/>
          <w:sz w:val="14"/>
          <w:szCs w:val="14"/>
          <w:color w:val="auto"/>
        </w:rPr>
        <w:t>outage, materially changes their business relationship with us</w:t>
      </w:r>
    </w:p>
    <w:p>
      <w:pPr>
        <w:spacing w:after="0" w:line="233" w:lineRule="auto"/>
        <w:rPr>
          <w:sz w:val="20"/>
          <w:szCs w:val="20"/>
          <w:color w:val="auto"/>
        </w:rPr>
      </w:pPr>
      <w:r>
        <w:rPr>
          <w:rFonts w:ascii="Times New Roman" w:cs="Times New Roman" w:eastAsia="Times New Roman" w:hAnsi="Times New Roman"/>
          <w:sz w:val="14"/>
          <w:szCs w:val="14"/>
          <w:color w:val="auto"/>
        </w:rPr>
        <w:t>or fails or delays for any reason to perform their obligations,</w:t>
      </w:r>
    </w:p>
    <w:p>
      <w:pPr>
        <w:spacing w:after="0"/>
        <w:rPr>
          <w:sz w:val="20"/>
          <w:szCs w:val="20"/>
          <w:color w:val="auto"/>
        </w:rPr>
      </w:pPr>
      <w:r>
        <w:rPr>
          <w:rFonts w:ascii="Times New Roman" w:cs="Times New Roman" w:eastAsia="Times New Roman" w:hAnsi="Times New Roman"/>
          <w:sz w:val="16"/>
          <w:szCs w:val="16"/>
          <w:color w:val="auto"/>
        </w:rPr>
        <w:t>including due to geopolitical instability, our business or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reputation may be materially adversely affected.</w:t>
      </w:r>
    </w:p>
    <w:p>
      <w:pPr>
        <w:spacing w:after="0" w:line="207" w:lineRule="auto"/>
        <w:rPr>
          <w:sz w:val="20"/>
          <w:szCs w:val="20"/>
          <w:color w:val="auto"/>
        </w:rPr>
      </w:pPr>
      <w:r>
        <w:rPr>
          <w:rFonts w:ascii="Times New Roman" w:cs="Times New Roman" w:eastAsia="Times New Roman" w:hAnsi="Times New Roman"/>
          <w:sz w:val="16"/>
          <w:szCs w:val="16"/>
          <w:color w:val="auto"/>
        </w:rPr>
        <w:t>Our access to cloud service provider infrastructure could be</w:t>
      </w:r>
    </w:p>
    <w:p>
      <w:pPr>
        <w:spacing w:after="0" w:line="204" w:lineRule="auto"/>
        <w:rPr>
          <w:sz w:val="20"/>
          <w:szCs w:val="20"/>
          <w:color w:val="auto"/>
        </w:rPr>
      </w:pPr>
      <w:r>
        <w:rPr>
          <w:rFonts w:ascii="Times New Roman" w:cs="Times New Roman" w:eastAsia="Times New Roman" w:hAnsi="Times New Roman"/>
          <w:sz w:val="16"/>
          <w:szCs w:val="16"/>
          <w:color w:val="auto"/>
        </w:rPr>
        <w:t>limited by a number of events, including technical or</w:t>
      </w:r>
    </w:p>
    <w:p>
      <w:pPr>
        <w:spacing w:after="0" w:line="203" w:lineRule="auto"/>
        <w:rPr>
          <w:sz w:val="20"/>
          <w:szCs w:val="20"/>
          <w:color w:val="auto"/>
        </w:rPr>
      </w:pPr>
      <w:r>
        <w:rPr>
          <w:rFonts w:ascii="Times New Roman" w:cs="Times New Roman" w:eastAsia="Times New Roman" w:hAnsi="Times New Roman"/>
          <w:sz w:val="16"/>
          <w:szCs w:val="16"/>
          <w:color w:val="auto"/>
        </w:rPr>
        <w:t>infrastructure failures, natural disasters or cybersecurity</w:t>
      </w:r>
    </w:p>
    <w:p>
      <w:pPr>
        <w:spacing w:after="0" w:line="204" w:lineRule="auto"/>
        <w:rPr>
          <w:sz w:val="20"/>
          <w:szCs w:val="20"/>
          <w:color w:val="auto"/>
        </w:rPr>
      </w:pPr>
      <w:r>
        <w:rPr>
          <w:rFonts w:ascii="Times New Roman" w:cs="Times New Roman" w:eastAsia="Times New Roman" w:hAnsi="Times New Roman"/>
          <w:sz w:val="16"/>
          <w:szCs w:val="16"/>
          <w:color w:val="auto"/>
        </w:rPr>
        <w:t>attacks. As we continue to grow our SaaS businesses, our</w:t>
      </w:r>
    </w:p>
    <w:p>
      <w:pPr>
        <w:spacing w:after="0" w:line="203" w:lineRule="auto"/>
        <w:rPr>
          <w:sz w:val="20"/>
          <w:szCs w:val="20"/>
          <w:color w:val="auto"/>
        </w:rPr>
      </w:pPr>
      <w:r>
        <w:rPr>
          <w:rFonts w:ascii="Times New Roman" w:cs="Times New Roman" w:eastAsia="Times New Roman" w:hAnsi="Times New Roman"/>
          <w:sz w:val="16"/>
          <w:szCs w:val="16"/>
          <w:color w:val="auto"/>
        </w:rPr>
        <w:t>dependency on the continuing operation and availability of</w:t>
      </w:r>
    </w:p>
    <w:p>
      <w:pPr>
        <w:spacing w:after="0" w:line="233" w:lineRule="auto"/>
        <w:rPr>
          <w:sz w:val="20"/>
          <w:szCs w:val="20"/>
          <w:color w:val="auto"/>
        </w:rPr>
      </w:pPr>
      <w:r>
        <w:rPr>
          <w:rFonts w:ascii="Times New Roman" w:cs="Times New Roman" w:eastAsia="Times New Roman" w:hAnsi="Times New Roman"/>
          <w:sz w:val="14"/>
          <w:szCs w:val="14"/>
          <w:color w:val="auto"/>
        </w:rPr>
        <w:t>these cloud service providers increases. If our cloud services</w:t>
      </w:r>
    </w:p>
    <w:p>
      <w:pPr>
        <w:spacing w:after="0" w:line="204" w:lineRule="auto"/>
        <w:rPr>
          <w:sz w:val="20"/>
          <w:szCs w:val="20"/>
          <w:color w:val="auto"/>
        </w:rPr>
      </w:pPr>
      <w:r>
        <w:rPr>
          <w:rFonts w:ascii="Times New Roman" w:cs="Times New Roman" w:eastAsia="Times New Roman" w:hAnsi="Times New Roman"/>
          <w:sz w:val="16"/>
          <w:szCs w:val="16"/>
          <w:color w:val="auto"/>
        </w:rPr>
        <w:t>from third party providers are unavailable to us for any</w:t>
      </w:r>
    </w:p>
    <w:p>
      <w:pPr>
        <w:spacing w:after="0" w:line="203" w:lineRule="auto"/>
        <w:rPr>
          <w:sz w:val="20"/>
          <w:szCs w:val="20"/>
          <w:color w:val="auto"/>
        </w:rPr>
      </w:pPr>
      <w:r>
        <w:rPr>
          <w:rFonts w:ascii="Times New Roman" w:cs="Times New Roman" w:eastAsia="Times New Roman" w:hAnsi="Times New Roman"/>
          <w:sz w:val="16"/>
          <w:szCs w:val="16"/>
          <w:color w:val="auto"/>
        </w:rPr>
        <w:t>reason, or there are cloud service disruptions or a delay or</w:t>
      </w:r>
    </w:p>
    <w:p>
      <w:pPr>
        <w:spacing w:after="0" w:line="233" w:lineRule="auto"/>
        <w:rPr>
          <w:sz w:val="20"/>
          <w:szCs w:val="20"/>
          <w:color w:val="auto"/>
        </w:rPr>
      </w:pPr>
      <w:r>
        <w:rPr>
          <w:rFonts w:ascii="Times New Roman" w:cs="Times New Roman" w:eastAsia="Times New Roman" w:hAnsi="Times New Roman"/>
          <w:sz w:val="14"/>
          <w:szCs w:val="14"/>
          <w:color w:val="auto"/>
        </w:rPr>
        <w:t>inability to access our exchanges, platforms or certain of our</w:t>
      </w:r>
    </w:p>
    <w:p>
      <w:pPr>
        <w:spacing w:after="0" w:line="232" w:lineRule="auto"/>
        <w:rPr>
          <w:sz w:val="20"/>
          <w:szCs w:val="20"/>
          <w:color w:val="auto"/>
        </w:rPr>
      </w:pPr>
      <w:r>
        <w:rPr>
          <w:rFonts w:ascii="Times New Roman" w:cs="Times New Roman" w:eastAsia="Times New Roman" w:hAnsi="Times New Roman"/>
          <w:sz w:val="14"/>
          <w:szCs w:val="14"/>
          <w:color w:val="auto"/>
        </w:rPr>
        <w:t>cloud products or features, such unavailability or delays may</w:t>
      </w:r>
    </w:p>
    <w:p>
      <w:pPr>
        <w:spacing w:after="0" w:line="233" w:lineRule="auto"/>
        <w:rPr>
          <w:sz w:val="20"/>
          <w:szCs w:val="20"/>
          <w:color w:val="auto"/>
        </w:rPr>
      </w:pPr>
      <w:r>
        <w:rPr>
          <w:rFonts w:ascii="Times New Roman" w:cs="Times New Roman" w:eastAsia="Times New Roman" w:hAnsi="Times New Roman"/>
          <w:sz w:val="14"/>
          <w:szCs w:val="14"/>
          <w:color w:val="auto"/>
        </w:rPr>
        <w:t>adversely affect our clients, which could significantly impact</w:t>
      </w:r>
    </w:p>
    <w:p>
      <w:pPr>
        <w:spacing w:after="0" w:line="204" w:lineRule="auto"/>
        <w:rPr>
          <w:sz w:val="20"/>
          <w:szCs w:val="20"/>
          <w:color w:val="auto"/>
        </w:rPr>
      </w:pPr>
      <w:r>
        <w:rPr>
          <w:rFonts w:ascii="Times New Roman" w:cs="Times New Roman" w:eastAsia="Times New Roman" w:hAnsi="Times New Roman"/>
          <w:sz w:val="16"/>
          <w:szCs w:val="16"/>
          <w:color w:val="auto"/>
        </w:rPr>
        <w:t>our reputation, operations, business, and financial results.</w:t>
      </w:r>
    </w:p>
    <w:p>
      <w:pPr>
        <w:spacing w:after="0" w:line="203" w:lineRule="auto"/>
        <w:rPr>
          <w:sz w:val="20"/>
          <w:szCs w:val="20"/>
          <w:color w:val="auto"/>
        </w:rPr>
      </w:pPr>
      <w:r>
        <w:rPr>
          <w:rFonts w:ascii="Times New Roman" w:cs="Times New Roman" w:eastAsia="Times New Roman" w:hAnsi="Times New Roman"/>
          <w:sz w:val="16"/>
          <w:szCs w:val="16"/>
          <w:color w:val="auto"/>
        </w:rPr>
        <w:t>AWS operates a platform that we use to provide exchange</w:t>
      </w:r>
    </w:p>
    <w:p>
      <w:pPr>
        <w:spacing w:after="0" w:line="204" w:lineRule="auto"/>
        <w:rPr>
          <w:sz w:val="20"/>
          <w:szCs w:val="20"/>
          <w:color w:val="auto"/>
        </w:rPr>
      </w:pPr>
      <w:r>
        <w:rPr>
          <w:rFonts w:ascii="Times New Roman" w:cs="Times New Roman" w:eastAsia="Times New Roman" w:hAnsi="Times New Roman"/>
          <w:sz w:val="16"/>
          <w:szCs w:val="16"/>
          <w:color w:val="auto"/>
        </w:rPr>
        <w:t>and other services to our clients, and therefore we are</w:t>
      </w:r>
    </w:p>
    <w:p>
      <w:pPr>
        <w:spacing w:after="0" w:line="203" w:lineRule="auto"/>
        <w:rPr>
          <w:sz w:val="20"/>
          <w:szCs w:val="20"/>
          <w:color w:val="auto"/>
        </w:rPr>
      </w:pPr>
      <w:r>
        <w:rPr>
          <w:rFonts w:ascii="Times New Roman" w:cs="Times New Roman" w:eastAsia="Times New Roman" w:hAnsi="Times New Roman"/>
          <w:sz w:val="16"/>
          <w:szCs w:val="16"/>
          <w:color w:val="auto"/>
        </w:rPr>
        <w:t>vulnerable to service outages on the AWS platform that</w:t>
      </w:r>
    </w:p>
    <w:p>
      <w:pPr>
        <w:spacing w:after="0" w:line="204" w:lineRule="auto"/>
        <w:rPr>
          <w:sz w:val="20"/>
          <w:szCs w:val="20"/>
          <w:color w:val="auto"/>
        </w:rPr>
      </w:pPr>
      <w:r>
        <w:rPr>
          <w:rFonts w:ascii="Times New Roman" w:cs="Times New Roman" w:eastAsia="Times New Roman" w:hAnsi="Times New Roman"/>
          <w:sz w:val="16"/>
          <w:szCs w:val="16"/>
          <w:color w:val="auto"/>
        </w:rPr>
        <w:t>affect Nasdaq workloads running or stored in the AWS</w:t>
      </w:r>
    </w:p>
    <w:p>
      <w:pPr>
        <w:spacing w:after="0" w:line="232" w:lineRule="auto"/>
        <w:rPr>
          <w:sz w:val="20"/>
          <w:szCs w:val="20"/>
          <w:color w:val="auto"/>
        </w:rPr>
      </w:pPr>
      <w:r>
        <w:rPr>
          <w:rFonts w:ascii="Times New Roman" w:cs="Times New Roman" w:eastAsia="Times New Roman" w:hAnsi="Times New Roman"/>
          <w:sz w:val="14"/>
          <w:szCs w:val="14"/>
          <w:color w:val="auto"/>
        </w:rPr>
        <w:t>environment. While certain of our offerings were affected by</w:t>
      </w:r>
    </w:p>
    <w:p>
      <w:pPr>
        <w:spacing w:after="0" w:line="204" w:lineRule="auto"/>
        <w:rPr>
          <w:sz w:val="20"/>
          <w:szCs w:val="20"/>
          <w:color w:val="auto"/>
        </w:rPr>
      </w:pPr>
      <w:r>
        <w:rPr>
          <w:rFonts w:ascii="Times New Roman" w:cs="Times New Roman" w:eastAsia="Times New Roman" w:hAnsi="Times New Roman"/>
          <w:sz w:val="16"/>
          <w:szCs w:val="16"/>
          <w:color w:val="auto"/>
        </w:rPr>
        <w:t>the AWS outage in October 2025, the outage did not affect</w:t>
      </w:r>
    </w:p>
    <w:p>
      <w:pPr>
        <w:spacing w:after="0" w:line="203" w:lineRule="auto"/>
        <w:rPr>
          <w:sz w:val="20"/>
          <w:szCs w:val="20"/>
          <w:color w:val="auto"/>
        </w:rPr>
      </w:pPr>
      <w:r>
        <w:rPr>
          <w:rFonts w:ascii="Times New Roman" w:cs="Times New Roman" w:eastAsia="Times New Roman" w:hAnsi="Times New Roman"/>
          <w:sz w:val="16"/>
          <w:szCs w:val="16"/>
          <w:color w:val="auto"/>
        </w:rPr>
        <w:t>trading on our exchanges. If AWS does not deliver our</w:t>
      </w:r>
    </w:p>
    <w:p>
      <w:pPr>
        <w:spacing w:after="0" w:line="204" w:lineRule="auto"/>
        <w:rPr>
          <w:sz w:val="20"/>
          <w:szCs w:val="20"/>
          <w:color w:val="auto"/>
        </w:rPr>
      </w:pPr>
      <w:r>
        <w:rPr>
          <w:rFonts w:ascii="Times New Roman" w:cs="Times New Roman" w:eastAsia="Times New Roman" w:hAnsi="Times New Roman"/>
          <w:sz w:val="16"/>
          <w:szCs w:val="16"/>
          <w:color w:val="auto"/>
        </w:rPr>
        <w:t>system requirements on time, fails to provide maintenance</w:t>
      </w:r>
    </w:p>
    <w:p>
      <w:pPr>
        <w:spacing w:after="0" w:line="203" w:lineRule="auto"/>
        <w:rPr>
          <w:sz w:val="20"/>
          <w:szCs w:val="20"/>
          <w:color w:val="auto"/>
        </w:rPr>
      </w:pPr>
      <w:r>
        <w:rPr>
          <w:rFonts w:ascii="Times New Roman" w:cs="Times New Roman" w:eastAsia="Times New Roman" w:hAnsi="Times New Roman"/>
          <w:sz w:val="16"/>
          <w:szCs w:val="16"/>
          <w:color w:val="auto"/>
        </w:rPr>
        <w:t>and support to our specifications or a migration experiences</w:t>
      </w:r>
    </w:p>
    <w:p>
      <w:pPr>
        <w:spacing w:after="0" w:line="204" w:lineRule="auto"/>
        <w:rPr>
          <w:sz w:val="20"/>
          <w:szCs w:val="20"/>
          <w:color w:val="auto"/>
        </w:rPr>
      </w:pPr>
      <w:r>
        <w:rPr>
          <w:rFonts w:ascii="Times New Roman" w:cs="Times New Roman" w:eastAsia="Times New Roman" w:hAnsi="Times New Roman"/>
          <w:sz w:val="16"/>
          <w:szCs w:val="16"/>
          <w:color w:val="auto"/>
        </w:rPr>
        <w:t>integration challenges, the successful migration of the</w:t>
      </w:r>
    </w:p>
    <w:p>
      <w:pPr>
        <w:spacing w:after="0" w:line="204" w:lineRule="auto"/>
        <w:rPr>
          <w:sz w:val="20"/>
          <w:szCs w:val="20"/>
          <w:color w:val="auto"/>
        </w:rPr>
      </w:pPr>
      <w:r>
        <w:rPr>
          <w:rFonts w:ascii="Times New Roman" w:cs="Times New Roman" w:eastAsia="Times New Roman" w:hAnsi="Times New Roman"/>
          <w:sz w:val="16"/>
          <w:szCs w:val="16"/>
          <w:color w:val="auto"/>
        </w:rPr>
        <w:t>relevant workload to, or the availability of the relevant</w:t>
      </w:r>
    </w:p>
    <w:p>
      <w:pPr>
        <w:spacing w:after="0" w:line="203" w:lineRule="auto"/>
        <w:rPr>
          <w:sz w:val="20"/>
          <w:szCs w:val="20"/>
          <w:color w:val="auto"/>
        </w:rPr>
      </w:pPr>
      <w:r>
        <w:rPr>
          <w:rFonts w:ascii="Times New Roman" w:cs="Times New Roman" w:eastAsia="Times New Roman" w:hAnsi="Times New Roman"/>
          <w:sz w:val="16"/>
          <w:szCs w:val="16"/>
          <w:color w:val="auto"/>
        </w:rPr>
        <w:t>service on, the AWS cloud platform may be significantly</w:t>
      </w:r>
    </w:p>
    <w:p>
      <w:pPr>
        <w:spacing w:after="0" w:line="204" w:lineRule="auto"/>
        <w:rPr>
          <w:sz w:val="20"/>
          <w:szCs w:val="20"/>
          <w:color w:val="auto"/>
        </w:rPr>
      </w:pPr>
      <w:r>
        <w:rPr>
          <w:rFonts w:ascii="Times New Roman" w:cs="Times New Roman" w:eastAsia="Times New Roman" w:hAnsi="Times New Roman"/>
          <w:sz w:val="16"/>
          <w:szCs w:val="16"/>
          <w:color w:val="auto"/>
        </w:rPr>
        <w:t>delayed, which may adversely affect our reputation and</w:t>
      </w:r>
    </w:p>
    <w:p>
      <w:pPr>
        <w:spacing w:after="0" w:line="203" w:lineRule="auto"/>
        <w:rPr>
          <w:sz w:val="20"/>
          <w:szCs w:val="20"/>
          <w:color w:val="auto"/>
        </w:rPr>
      </w:pPr>
      <w:r>
        <w:rPr>
          <w:rFonts w:ascii="Times New Roman" w:cs="Times New Roman" w:eastAsia="Times New Roman" w:hAnsi="Times New Roman"/>
          <w:sz w:val="16"/>
          <w:szCs w:val="16"/>
          <w:color w:val="auto"/>
        </w:rPr>
        <w:t>financial results.</w:t>
      </w:r>
    </w:p>
    <w:p>
      <w:pPr>
        <w:spacing w:after="0" w:line="204" w:lineRule="auto"/>
        <w:rPr>
          <w:sz w:val="20"/>
          <w:szCs w:val="20"/>
          <w:color w:val="auto"/>
        </w:rPr>
      </w:pPr>
      <w:r>
        <w:rPr>
          <w:rFonts w:ascii="Times New Roman" w:cs="Times New Roman" w:eastAsia="Times New Roman" w:hAnsi="Times New Roman"/>
          <w:sz w:val="16"/>
          <w:szCs w:val="16"/>
          <w:color w:val="auto"/>
        </w:rPr>
        <w:t>We also rely on members of our trading community to</w:t>
      </w:r>
    </w:p>
    <w:p>
      <w:pPr>
        <w:spacing w:after="0" w:line="232" w:lineRule="auto"/>
        <w:rPr>
          <w:sz w:val="20"/>
          <w:szCs w:val="20"/>
          <w:color w:val="auto"/>
        </w:rPr>
      </w:pPr>
      <w:r>
        <w:rPr>
          <w:rFonts w:ascii="Times New Roman" w:cs="Times New Roman" w:eastAsia="Times New Roman" w:hAnsi="Times New Roman"/>
          <w:sz w:val="14"/>
          <w:szCs w:val="14"/>
          <w:color w:val="auto"/>
        </w:rPr>
        <w:t>maintain markets and add liquidity. To the extent that any of</w:t>
      </w:r>
    </w:p>
    <w:p>
      <w:pPr>
        <w:spacing w:after="0" w:line="204" w:lineRule="auto"/>
        <w:rPr>
          <w:sz w:val="20"/>
          <w:szCs w:val="20"/>
          <w:color w:val="auto"/>
        </w:rPr>
      </w:pPr>
      <w:r>
        <w:rPr>
          <w:rFonts w:ascii="Times New Roman" w:cs="Times New Roman" w:eastAsia="Times New Roman" w:hAnsi="Times New Roman"/>
          <w:sz w:val="16"/>
          <w:szCs w:val="16"/>
          <w:color w:val="auto"/>
        </w:rPr>
        <w:t>our largest members experience difficulties, materially</w:t>
      </w:r>
    </w:p>
    <w:p>
      <w:pPr>
        <w:spacing w:after="0" w:line="203" w:lineRule="auto"/>
        <w:rPr>
          <w:sz w:val="20"/>
          <w:szCs w:val="20"/>
          <w:color w:val="auto"/>
        </w:rPr>
      </w:pPr>
      <w:r>
        <w:rPr>
          <w:rFonts w:ascii="Times New Roman" w:cs="Times New Roman" w:eastAsia="Times New Roman" w:hAnsi="Times New Roman"/>
          <w:sz w:val="16"/>
          <w:szCs w:val="16"/>
          <w:color w:val="auto"/>
        </w:rPr>
        <w:t>change their business relationship with us or are unable for</w:t>
      </w:r>
    </w:p>
    <w:p>
      <w:pPr>
        <w:spacing w:after="0" w:line="233" w:lineRule="auto"/>
        <w:rPr>
          <w:sz w:val="20"/>
          <w:szCs w:val="20"/>
          <w:color w:val="auto"/>
        </w:rPr>
      </w:pPr>
      <w:r>
        <w:rPr>
          <w:rFonts w:ascii="Times New Roman" w:cs="Times New Roman" w:eastAsia="Times New Roman" w:hAnsi="Times New Roman"/>
          <w:sz w:val="14"/>
          <w:szCs w:val="14"/>
          <w:color w:val="auto"/>
        </w:rPr>
        <w:t>any reason to perform market-making activities, our business</w:t>
      </w:r>
    </w:p>
    <w:p>
      <w:pPr>
        <w:spacing w:after="0" w:line="204" w:lineRule="auto"/>
        <w:rPr>
          <w:sz w:val="20"/>
          <w:szCs w:val="20"/>
          <w:color w:val="auto"/>
        </w:rPr>
      </w:pPr>
      <w:r>
        <w:rPr>
          <w:rFonts w:ascii="Times New Roman" w:cs="Times New Roman" w:eastAsia="Times New Roman" w:hAnsi="Times New Roman"/>
          <w:sz w:val="16"/>
          <w:szCs w:val="16"/>
          <w:color w:val="auto"/>
        </w:rPr>
        <w:t>or our reputation may be materially adversely affected.</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recognize impairments of our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goodwill, intangible assets or other long-lived assets in the</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future.</w:t>
      </w:r>
    </w:p>
    <w:p>
      <w:pPr>
        <w:spacing w:after="0" w:line="233" w:lineRule="auto"/>
        <w:rPr>
          <w:sz w:val="20"/>
          <w:szCs w:val="20"/>
          <w:color w:val="auto"/>
        </w:rPr>
      </w:pPr>
      <w:r>
        <w:rPr>
          <w:rFonts w:ascii="Times New Roman" w:cs="Times New Roman" w:eastAsia="Times New Roman" w:hAnsi="Times New Roman"/>
          <w:sz w:val="14"/>
          <w:szCs w:val="14"/>
          <w:color w:val="auto"/>
        </w:rPr>
        <w:t>Our business acquisitions typically result in the recording of</w:t>
      </w:r>
    </w:p>
    <w:p>
      <w:pPr>
        <w:spacing w:after="0"/>
        <w:rPr>
          <w:sz w:val="20"/>
          <w:szCs w:val="20"/>
          <w:color w:val="auto"/>
        </w:rPr>
      </w:pPr>
      <w:r>
        <w:rPr>
          <w:rFonts w:ascii="Times New Roman" w:cs="Times New Roman" w:eastAsia="Times New Roman" w:hAnsi="Times New Roman"/>
          <w:sz w:val="16"/>
          <w:szCs w:val="16"/>
          <w:color w:val="auto"/>
        </w:rPr>
        <w:t>goodwill and intangible assets, and the recorded values of</w:t>
      </w:r>
    </w:p>
    <w:p>
      <w:pPr>
        <w:sectPr>
          <w:pgSz w:w="11900" w:h="16840" w:orient="portrait"/>
          <w:cols w:equalWidth="0" w:num="1">
            <w:col w:w="9400"/>
          </w:cols>
          <w:pgMar w:left="1060" w:top="547" w:right="1440" w:bottom="8"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auto"/>
        </w:rPr>
        <w:t>23</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Acquisitions, divestments, investments, joint ventures and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other transactional activities may require significant</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resources and/or result in significant unanticipated losses,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costs or liabilities.</w:t>
      </w:r>
    </w:p>
    <w:p>
      <w:pPr>
        <w:spacing w:after="0" w:line="232" w:lineRule="auto"/>
        <w:rPr>
          <w:sz w:val="20"/>
          <w:szCs w:val="20"/>
          <w:color w:val="auto"/>
        </w:rPr>
      </w:pPr>
      <w:r>
        <w:rPr>
          <w:rFonts w:ascii="Times New Roman" w:cs="Times New Roman" w:eastAsia="Times New Roman" w:hAnsi="Times New Roman"/>
          <w:sz w:val="14"/>
          <w:szCs w:val="14"/>
          <w:color w:val="auto"/>
        </w:rPr>
        <w:t>Over the past several years, acquisitions, have been, or could</w:t>
      </w:r>
    </w:p>
    <w:p>
      <w:pPr>
        <w:spacing w:after="0" w:line="204" w:lineRule="auto"/>
        <w:rPr>
          <w:sz w:val="20"/>
          <w:szCs w:val="20"/>
          <w:color w:val="auto"/>
        </w:rPr>
      </w:pPr>
      <w:r>
        <w:rPr>
          <w:rFonts w:ascii="Times New Roman" w:cs="Times New Roman" w:eastAsia="Times New Roman" w:hAnsi="Times New Roman"/>
          <w:sz w:val="16"/>
          <w:szCs w:val="16"/>
          <w:color w:val="auto"/>
        </w:rPr>
        <w:t>be, significant factors in our growth. We have also divested</w:t>
      </w:r>
    </w:p>
    <w:p>
      <w:pPr>
        <w:spacing w:after="0" w:line="203" w:lineRule="auto"/>
        <w:rPr>
          <w:sz w:val="20"/>
          <w:szCs w:val="20"/>
          <w:color w:val="auto"/>
        </w:rPr>
      </w:pPr>
      <w:r>
        <w:rPr>
          <w:rFonts w:ascii="Times New Roman" w:cs="Times New Roman" w:eastAsia="Times New Roman" w:hAnsi="Times New Roman"/>
          <w:sz w:val="16"/>
          <w:szCs w:val="16"/>
          <w:color w:val="auto"/>
        </w:rPr>
        <w:t>businesses and may continue to divest additional businesses</w:t>
      </w:r>
    </w:p>
    <w:p>
      <w:pPr>
        <w:spacing w:after="0" w:line="204" w:lineRule="auto"/>
        <w:rPr>
          <w:sz w:val="20"/>
          <w:szCs w:val="20"/>
          <w:color w:val="auto"/>
        </w:rPr>
      </w:pPr>
      <w:r>
        <w:rPr>
          <w:rFonts w:ascii="Times New Roman" w:cs="Times New Roman" w:eastAsia="Times New Roman" w:hAnsi="Times New Roman"/>
          <w:sz w:val="16"/>
          <w:szCs w:val="16"/>
          <w:color w:val="auto"/>
        </w:rPr>
        <w:t>or assets in the future. Although we cannot predict our</w:t>
      </w:r>
    </w:p>
    <w:p>
      <w:pPr>
        <w:spacing w:after="0" w:line="203" w:lineRule="auto"/>
        <w:rPr>
          <w:sz w:val="20"/>
          <w:szCs w:val="20"/>
          <w:color w:val="auto"/>
        </w:rPr>
      </w:pPr>
      <w:r>
        <w:rPr>
          <w:rFonts w:ascii="Times New Roman" w:cs="Times New Roman" w:eastAsia="Times New Roman" w:hAnsi="Times New Roman"/>
          <w:sz w:val="16"/>
          <w:szCs w:val="16"/>
          <w:color w:val="auto"/>
        </w:rPr>
        <w:t>transactional activities, we believe that additional</w:t>
      </w:r>
    </w:p>
    <w:p>
      <w:pPr>
        <w:spacing w:after="0" w:line="204" w:lineRule="auto"/>
        <w:rPr>
          <w:sz w:val="20"/>
          <w:szCs w:val="20"/>
          <w:color w:val="auto"/>
        </w:rPr>
      </w:pPr>
      <w:r>
        <w:rPr>
          <w:rFonts w:ascii="Times New Roman" w:cs="Times New Roman" w:eastAsia="Times New Roman" w:hAnsi="Times New Roman"/>
          <w:sz w:val="16"/>
          <w:szCs w:val="16"/>
          <w:color w:val="auto"/>
        </w:rPr>
        <w:t>acquisitions, divestments, investments, joint ventures and</w:t>
      </w:r>
    </w:p>
    <w:p>
      <w:pPr>
        <w:spacing w:after="0" w:line="233" w:lineRule="auto"/>
        <w:rPr>
          <w:sz w:val="20"/>
          <w:szCs w:val="20"/>
          <w:color w:val="auto"/>
        </w:rPr>
      </w:pPr>
      <w:r>
        <w:rPr>
          <w:rFonts w:ascii="Times New Roman" w:cs="Times New Roman" w:eastAsia="Times New Roman" w:hAnsi="Times New Roman"/>
          <w:sz w:val="14"/>
          <w:szCs w:val="14"/>
          <w:color w:val="auto"/>
        </w:rPr>
        <w:t>other transactional activities will be important to our strategy.</w:t>
      </w:r>
    </w:p>
    <w:p>
      <w:pPr>
        <w:spacing w:after="0" w:line="203" w:lineRule="auto"/>
        <w:rPr>
          <w:sz w:val="20"/>
          <w:szCs w:val="20"/>
          <w:color w:val="auto"/>
        </w:rPr>
      </w:pPr>
      <w:r>
        <w:rPr>
          <w:rFonts w:ascii="Times New Roman" w:cs="Times New Roman" w:eastAsia="Times New Roman" w:hAnsi="Times New Roman"/>
          <w:sz w:val="16"/>
          <w:szCs w:val="16"/>
          <w:color w:val="auto"/>
        </w:rPr>
        <w:t>Such transactions may be material in size and scope. Our</w:t>
      </w:r>
    </w:p>
    <w:p>
      <w:pPr>
        <w:spacing w:after="0" w:line="204" w:lineRule="auto"/>
        <w:rPr>
          <w:sz w:val="20"/>
          <w:szCs w:val="20"/>
          <w:color w:val="auto"/>
        </w:rPr>
      </w:pPr>
      <w:r>
        <w:rPr>
          <w:rFonts w:ascii="Times New Roman" w:cs="Times New Roman" w:eastAsia="Times New Roman" w:hAnsi="Times New Roman"/>
          <w:sz w:val="16"/>
          <w:szCs w:val="16"/>
          <w:color w:val="auto"/>
        </w:rPr>
        <w:t>competitors may have greater financial resources than we</w:t>
      </w:r>
    </w:p>
    <w:p>
      <w:pPr>
        <w:spacing w:after="0" w:line="203" w:lineRule="auto"/>
        <w:rPr>
          <w:sz w:val="20"/>
          <w:szCs w:val="20"/>
          <w:color w:val="auto"/>
        </w:rPr>
      </w:pPr>
      <w:r>
        <w:rPr>
          <w:rFonts w:ascii="Times New Roman" w:cs="Times New Roman" w:eastAsia="Times New Roman" w:hAnsi="Times New Roman"/>
          <w:sz w:val="16"/>
          <w:szCs w:val="16"/>
          <w:color w:val="auto"/>
        </w:rPr>
        <w:t>have to pursue certain acquisitions.</w:t>
      </w:r>
    </w:p>
    <w:p>
      <w:pPr>
        <w:spacing w:after="0" w:line="233" w:lineRule="auto"/>
        <w:rPr>
          <w:sz w:val="20"/>
          <w:szCs w:val="20"/>
          <w:color w:val="auto"/>
        </w:rPr>
      </w:pPr>
      <w:r>
        <w:rPr>
          <w:rFonts w:ascii="Times New Roman" w:cs="Times New Roman" w:eastAsia="Times New Roman" w:hAnsi="Times New Roman"/>
          <w:sz w:val="14"/>
          <w:szCs w:val="14"/>
          <w:color w:val="auto"/>
        </w:rPr>
        <w:t>We also invest in early-stage companies through our Nasdaq</w:t>
      </w:r>
    </w:p>
    <w:p>
      <w:pPr>
        <w:spacing w:after="0" w:line="204" w:lineRule="auto"/>
        <w:rPr>
          <w:sz w:val="20"/>
          <w:szCs w:val="20"/>
          <w:color w:val="auto"/>
        </w:rPr>
      </w:pPr>
      <w:r>
        <w:rPr>
          <w:rFonts w:ascii="Times New Roman" w:cs="Times New Roman" w:eastAsia="Times New Roman" w:hAnsi="Times New Roman"/>
          <w:sz w:val="16"/>
          <w:szCs w:val="16"/>
          <w:color w:val="auto"/>
        </w:rPr>
        <w:t>Ventures program and hold minority interests in other</w:t>
      </w:r>
    </w:p>
    <w:p>
      <w:pPr>
        <w:spacing w:after="0" w:line="203" w:lineRule="auto"/>
        <w:rPr>
          <w:sz w:val="20"/>
          <w:szCs w:val="20"/>
          <w:color w:val="auto"/>
        </w:rPr>
      </w:pPr>
      <w:r>
        <w:rPr>
          <w:rFonts w:ascii="Times New Roman" w:cs="Times New Roman" w:eastAsia="Times New Roman" w:hAnsi="Times New Roman"/>
          <w:sz w:val="16"/>
          <w:szCs w:val="16"/>
          <w:color w:val="auto"/>
        </w:rPr>
        <w:t>entities. We generally do not have operational control of</w:t>
      </w:r>
    </w:p>
    <w:p>
      <w:pPr>
        <w:spacing w:after="0" w:line="204" w:lineRule="auto"/>
        <w:rPr>
          <w:sz w:val="20"/>
          <w:szCs w:val="20"/>
          <w:color w:val="auto"/>
        </w:rPr>
      </w:pPr>
      <w:r>
        <w:rPr>
          <w:rFonts w:ascii="Times New Roman" w:cs="Times New Roman" w:eastAsia="Times New Roman" w:hAnsi="Times New Roman"/>
          <w:sz w:val="16"/>
          <w:szCs w:val="16"/>
          <w:color w:val="auto"/>
        </w:rPr>
        <w:t>these entities and may have limited visibility into risk</w:t>
      </w:r>
    </w:p>
    <w:p>
      <w:pPr>
        <w:spacing w:after="0" w:line="203" w:lineRule="auto"/>
        <w:rPr>
          <w:sz w:val="20"/>
          <w:szCs w:val="20"/>
          <w:color w:val="auto"/>
        </w:rPr>
      </w:pPr>
      <w:r>
        <w:rPr>
          <w:rFonts w:ascii="Times New Roman" w:cs="Times New Roman" w:eastAsia="Times New Roman" w:hAnsi="Times New Roman"/>
          <w:sz w:val="16"/>
          <w:szCs w:val="16"/>
          <w:color w:val="auto"/>
        </w:rPr>
        <w:t>management practices. We may be subject to financial and</w:t>
      </w:r>
    </w:p>
    <w:p>
      <w:pPr>
        <w:spacing w:after="0" w:line="204" w:lineRule="auto"/>
        <w:rPr>
          <w:sz w:val="20"/>
          <w:szCs w:val="20"/>
          <w:color w:val="auto"/>
        </w:rPr>
      </w:pPr>
      <w:r>
        <w:rPr>
          <w:rFonts w:ascii="Times New Roman" w:cs="Times New Roman" w:eastAsia="Times New Roman" w:hAnsi="Times New Roman"/>
          <w:sz w:val="16"/>
          <w:szCs w:val="16"/>
          <w:color w:val="auto"/>
        </w:rPr>
        <w:t>reputational risks if there are operational failures at such</w:t>
      </w:r>
    </w:p>
    <w:p>
      <w:pPr>
        <w:spacing w:after="0" w:line="203" w:lineRule="auto"/>
        <w:rPr>
          <w:sz w:val="20"/>
          <w:szCs w:val="20"/>
          <w:color w:val="auto"/>
        </w:rPr>
      </w:pPr>
      <w:r>
        <w:rPr>
          <w:rFonts w:ascii="Times New Roman" w:cs="Times New Roman" w:eastAsia="Times New Roman" w:hAnsi="Times New Roman"/>
          <w:sz w:val="16"/>
          <w:szCs w:val="16"/>
          <w:color w:val="auto"/>
        </w:rPr>
        <w:t>companies.</w:t>
      </w:r>
    </w:p>
    <w:p>
      <w:pPr>
        <w:spacing w:after="0" w:line="204" w:lineRule="auto"/>
        <w:rPr>
          <w:sz w:val="20"/>
          <w:szCs w:val="20"/>
          <w:color w:val="auto"/>
        </w:rPr>
      </w:pPr>
      <w:r>
        <w:rPr>
          <w:rFonts w:ascii="Times New Roman" w:cs="Times New Roman" w:eastAsia="Times New Roman" w:hAnsi="Times New Roman"/>
          <w:sz w:val="16"/>
          <w:szCs w:val="16"/>
          <w:color w:val="auto"/>
        </w:rPr>
        <w:t>We may finance future transactions by issuing additional</w:t>
      </w:r>
    </w:p>
    <w:p>
      <w:pPr>
        <w:spacing w:after="0" w:line="203" w:lineRule="auto"/>
        <w:rPr>
          <w:sz w:val="20"/>
          <w:szCs w:val="20"/>
          <w:color w:val="auto"/>
        </w:rPr>
      </w:pPr>
      <w:r>
        <w:rPr>
          <w:rFonts w:ascii="Times New Roman" w:cs="Times New Roman" w:eastAsia="Times New Roman" w:hAnsi="Times New Roman"/>
          <w:sz w:val="16"/>
          <w:szCs w:val="16"/>
          <w:color w:val="auto"/>
        </w:rPr>
        <w:t>equity and/or debt. The issuance of additional equity in</w:t>
      </w:r>
    </w:p>
    <w:p>
      <w:pPr>
        <w:spacing w:after="0" w:line="204" w:lineRule="auto"/>
        <w:rPr>
          <w:sz w:val="20"/>
          <w:szCs w:val="20"/>
          <w:color w:val="auto"/>
        </w:rPr>
      </w:pPr>
      <w:r>
        <w:rPr>
          <w:rFonts w:ascii="Times New Roman" w:cs="Times New Roman" w:eastAsia="Times New Roman" w:hAnsi="Times New Roman"/>
          <w:sz w:val="16"/>
          <w:szCs w:val="16"/>
          <w:color w:val="auto"/>
        </w:rPr>
        <w:t>connection with any such transaction could be substantially</w:t>
      </w:r>
    </w:p>
    <w:p>
      <w:pPr>
        <w:spacing w:after="0" w:line="204" w:lineRule="auto"/>
        <w:rPr>
          <w:sz w:val="20"/>
          <w:szCs w:val="20"/>
          <w:color w:val="auto"/>
        </w:rPr>
      </w:pPr>
      <w:r>
        <w:rPr>
          <w:rFonts w:ascii="Times New Roman" w:cs="Times New Roman" w:eastAsia="Times New Roman" w:hAnsi="Times New Roman"/>
          <w:sz w:val="16"/>
          <w:szCs w:val="16"/>
          <w:color w:val="auto"/>
        </w:rPr>
        <w:t>dilutive to existing shareholders. In addition, the</w:t>
      </w:r>
    </w:p>
    <w:p>
      <w:pPr>
        <w:spacing w:after="0" w:line="232" w:lineRule="auto"/>
        <w:rPr>
          <w:sz w:val="20"/>
          <w:szCs w:val="20"/>
          <w:color w:val="auto"/>
        </w:rPr>
      </w:pPr>
      <w:r>
        <w:rPr>
          <w:rFonts w:ascii="Times New Roman" w:cs="Times New Roman" w:eastAsia="Times New Roman" w:hAnsi="Times New Roman"/>
          <w:sz w:val="14"/>
          <w:szCs w:val="14"/>
          <w:color w:val="auto"/>
        </w:rPr>
        <w:t>announcement or implementation of future transactions by us</w:t>
      </w:r>
    </w:p>
    <w:p>
      <w:pPr>
        <w:spacing w:after="0" w:line="204" w:lineRule="auto"/>
        <w:rPr>
          <w:sz w:val="20"/>
          <w:szCs w:val="20"/>
          <w:color w:val="auto"/>
        </w:rPr>
      </w:pPr>
      <w:r>
        <w:rPr>
          <w:rFonts w:ascii="Times New Roman" w:cs="Times New Roman" w:eastAsia="Times New Roman" w:hAnsi="Times New Roman"/>
          <w:sz w:val="16"/>
          <w:szCs w:val="16"/>
          <w:color w:val="auto"/>
        </w:rPr>
        <w:t>or others could have a material effect on the price of our</w:t>
      </w:r>
    </w:p>
    <w:p>
      <w:pPr>
        <w:spacing w:after="0" w:line="203" w:lineRule="auto"/>
        <w:rPr>
          <w:sz w:val="20"/>
          <w:szCs w:val="20"/>
          <w:color w:val="auto"/>
        </w:rPr>
      </w:pPr>
      <w:r>
        <w:rPr>
          <w:rFonts w:ascii="Times New Roman" w:cs="Times New Roman" w:eastAsia="Times New Roman" w:hAnsi="Times New Roman"/>
          <w:sz w:val="16"/>
          <w:szCs w:val="16"/>
          <w:color w:val="auto"/>
        </w:rPr>
        <w:t>common stock. The issuance of additional debt could</w:t>
      </w:r>
    </w:p>
    <w:p>
      <w:pPr>
        <w:spacing w:after="0" w:line="204" w:lineRule="auto"/>
        <w:rPr>
          <w:sz w:val="20"/>
          <w:szCs w:val="20"/>
          <w:color w:val="auto"/>
        </w:rPr>
      </w:pPr>
      <w:r>
        <w:rPr>
          <w:rFonts w:ascii="Times New Roman" w:cs="Times New Roman" w:eastAsia="Times New Roman" w:hAnsi="Times New Roman"/>
          <w:sz w:val="16"/>
          <w:szCs w:val="16"/>
          <w:color w:val="auto"/>
        </w:rPr>
        <w:t>increase our leverage substantially. Additional debt may</w:t>
      </w:r>
    </w:p>
    <w:p>
      <w:pPr>
        <w:spacing w:after="0" w:line="203" w:lineRule="auto"/>
        <w:rPr>
          <w:sz w:val="20"/>
          <w:szCs w:val="20"/>
          <w:color w:val="auto"/>
        </w:rPr>
      </w:pPr>
      <w:r>
        <w:rPr>
          <w:rFonts w:ascii="Times New Roman" w:cs="Times New Roman" w:eastAsia="Times New Roman" w:hAnsi="Times New Roman"/>
          <w:sz w:val="16"/>
          <w:szCs w:val="16"/>
          <w:color w:val="auto"/>
        </w:rPr>
        <w:t>reduce our liquidity, curtail our access to financing markets,</w:t>
      </w:r>
    </w:p>
    <w:p>
      <w:pPr>
        <w:spacing w:after="0" w:line="204" w:lineRule="auto"/>
        <w:rPr>
          <w:sz w:val="20"/>
          <w:szCs w:val="20"/>
          <w:color w:val="auto"/>
        </w:rPr>
      </w:pPr>
      <w:r>
        <w:rPr>
          <w:rFonts w:ascii="Times New Roman" w:cs="Times New Roman" w:eastAsia="Times New Roman" w:hAnsi="Times New Roman"/>
          <w:sz w:val="16"/>
          <w:szCs w:val="16"/>
          <w:color w:val="auto"/>
        </w:rPr>
        <w:t>impact our standing with credit rating agencies and increase</w:t>
      </w:r>
    </w:p>
    <w:p>
      <w:pPr>
        <w:spacing w:after="0" w:line="233" w:lineRule="auto"/>
        <w:rPr>
          <w:sz w:val="20"/>
          <w:szCs w:val="20"/>
          <w:color w:val="auto"/>
        </w:rPr>
      </w:pPr>
      <w:r>
        <w:rPr>
          <w:rFonts w:ascii="Times New Roman" w:cs="Times New Roman" w:eastAsia="Times New Roman" w:hAnsi="Times New Roman"/>
          <w:sz w:val="14"/>
          <w:szCs w:val="14"/>
          <w:color w:val="auto"/>
        </w:rPr>
        <w:t>the cash flow required for debt service. Any incremental debt</w:t>
      </w:r>
    </w:p>
    <w:p>
      <w:pPr>
        <w:spacing w:after="0" w:line="203" w:lineRule="auto"/>
        <w:rPr>
          <w:sz w:val="20"/>
          <w:szCs w:val="20"/>
          <w:color w:val="auto"/>
        </w:rPr>
      </w:pPr>
      <w:r>
        <w:rPr>
          <w:rFonts w:ascii="Times New Roman" w:cs="Times New Roman" w:eastAsia="Times New Roman" w:hAnsi="Times New Roman"/>
          <w:sz w:val="16"/>
          <w:szCs w:val="16"/>
          <w:color w:val="auto"/>
        </w:rPr>
        <w:t>incurred to finance a transaction could also place significant</w:t>
      </w:r>
    </w:p>
    <w:p>
      <w:pPr>
        <w:spacing w:after="0" w:line="204" w:lineRule="auto"/>
        <w:rPr>
          <w:sz w:val="20"/>
          <w:szCs w:val="20"/>
          <w:color w:val="auto"/>
        </w:rPr>
      </w:pPr>
      <w:r>
        <w:rPr>
          <w:rFonts w:ascii="Times New Roman" w:cs="Times New Roman" w:eastAsia="Times New Roman" w:hAnsi="Times New Roman"/>
          <w:sz w:val="16"/>
          <w:szCs w:val="16"/>
          <w:color w:val="auto"/>
        </w:rPr>
        <w:t>constraints on the operation of our business.</w:t>
      </w:r>
    </w:p>
    <w:p>
      <w:pPr>
        <w:spacing w:after="0" w:line="232" w:lineRule="auto"/>
        <w:rPr>
          <w:sz w:val="20"/>
          <w:szCs w:val="20"/>
          <w:color w:val="auto"/>
        </w:rPr>
      </w:pPr>
      <w:r>
        <w:rPr>
          <w:rFonts w:ascii="Times New Roman" w:cs="Times New Roman" w:eastAsia="Times New Roman" w:hAnsi="Times New Roman"/>
          <w:sz w:val="14"/>
          <w:szCs w:val="14"/>
          <w:color w:val="auto"/>
        </w:rPr>
        <w:t>Furthermore, any future transactions could entail a number of</w:t>
      </w:r>
    </w:p>
    <w:p>
      <w:pPr>
        <w:spacing w:after="0" w:line="204" w:lineRule="auto"/>
        <w:rPr>
          <w:sz w:val="20"/>
          <w:szCs w:val="20"/>
          <w:color w:val="auto"/>
        </w:rPr>
      </w:pPr>
      <w:r>
        <w:rPr>
          <w:rFonts w:ascii="Times New Roman" w:cs="Times New Roman" w:eastAsia="Times New Roman" w:hAnsi="Times New Roman"/>
          <w:sz w:val="16"/>
          <w:szCs w:val="16"/>
          <w:color w:val="auto"/>
        </w:rPr>
        <w:t>additional risks, including:</w:t>
      </w:r>
    </w:p>
    <w:p>
      <w:pPr>
        <w:spacing w:after="0" w:line="203" w:lineRule="auto"/>
        <w:rPr>
          <w:sz w:val="20"/>
          <w:szCs w:val="20"/>
          <w:color w:val="auto"/>
        </w:rPr>
      </w:pPr>
      <w:r>
        <w:rPr>
          <w:rFonts w:ascii="Times New Roman" w:cs="Times New Roman" w:eastAsia="Times New Roman" w:hAnsi="Times New Roman"/>
          <w:sz w:val="16"/>
          <w:szCs w:val="16"/>
          <w:color w:val="auto"/>
        </w:rPr>
        <w:t>•the inability to maintain key pre-transaction business</w:t>
      </w:r>
    </w:p>
    <w:p>
      <w:pPr>
        <w:spacing w:after="0" w:line="204" w:lineRule="auto"/>
        <w:rPr>
          <w:sz w:val="20"/>
          <w:szCs w:val="20"/>
          <w:color w:val="auto"/>
        </w:rPr>
      </w:pPr>
      <w:r>
        <w:rPr>
          <w:rFonts w:ascii="Times New Roman" w:cs="Times New Roman" w:eastAsia="Times New Roman" w:hAnsi="Times New Roman"/>
          <w:sz w:val="16"/>
          <w:szCs w:val="16"/>
          <w:color w:val="auto"/>
        </w:rPr>
        <w:t>relationships;</w:t>
      </w:r>
    </w:p>
    <w:p>
      <w:pPr>
        <w:spacing w:after="0" w:line="203" w:lineRule="auto"/>
        <w:rPr>
          <w:sz w:val="20"/>
          <w:szCs w:val="20"/>
          <w:color w:val="auto"/>
        </w:rPr>
      </w:pPr>
      <w:r>
        <w:rPr>
          <w:rFonts w:ascii="Times New Roman" w:cs="Times New Roman" w:eastAsia="Times New Roman" w:hAnsi="Times New Roman"/>
          <w:sz w:val="16"/>
          <w:szCs w:val="16"/>
          <w:color w:val="auto"/>
        </w:rPr>
        <w:t>•increased operating costs;</w:t>
      </w:r>
    </w:p>
    <w:p>
      <w:pPr>
        <w:spacing w:after="0" w:line="204" w:lineRule="auto"/>
        <w:rPr>
          <w:sz w:val="20"/>
          <w:szCs w:val="20"/>
          <w:color w:val="auto"/>
        </w:rPr>
      </w:pPr>
      <w:r>
        <w:rPr>
          <w:rFonts w:ascii="Times New Roman" w:cs="Times New Roman" w:eastAsia="Times New Roman" w:hAnsi="Times New Roman"/>
          <w:sz w:val="16"/>
          <w:szCs w:val="16"/>
          <w:color w:val="auto"/>
        </w:rPr>
        <w:t>•the inability to meet our target for return on invested</w:t>
      </w:r>
    </w:p>
    <w:p>
      <w:pPr>
        <w:spacing w:after="0" w:line="203" w:lineRule="auto"/>
        <w:rPr>
          <w:sz w:val="20"/>
          <w:szCs w:val="20"/>
          <w:color w:val="auto"/>
        </w:rPr>
      </w:pPr>
      <w:r>
        <w:rPr>
          <w:rFonts w:ascii="Times New Roman" w:cs="Times New Roman" w:eastAsia="Times New Roman" w:hAnsi="Times New Roman"/>
          <w:sz w:val="16"/>
          <w:szCs w:val="16"/>
          <w:color w:val="auto"/>
        </w:rPr>
        <w:t>capital;</w:t>
      </w:r>
    </w:p>
    <w:p>
      <w:pPr>
        <w:spacing w:after="0" w:line="204" w:lineRule="auto"/>
        <w:rPr>
          <w:sz w:val="20"/>
          <w:szCs w:val="20"/>
          <w:color w:val="auto"/>
        </w:rPr>
      </w:pPr>
      <w:r>
        <w:rPr>
          <w:rFonts w:ascii="Times New Roman" w:cs="Times New Roman" w:eastAsia="Times New Roman" w:hAnsi="Times New Roman"/>
          <w:sz w:val="16"/>
          <w:szCs w:val="16"/>
          <w:color w:val="auto"/>
        </w:rPr>
        <w:t>•increased debt obligations, which may adversely affect our</w:t>
      </w:r>
    </w:p>
    <w:p>
      <w:pPr>
        <w:spacing w:after="0" w:line="204" w:lineRule="auto"/>
        <w:rPr>
          <w:sz w:val="20"/>
          <w:szCs w:val="20"/>
          <w:color w:val="auto"/>
        </w:rPr>
      </w:pPr>
      <w:r>
        <w:rPr>
          <w:rFonts w:ascii="Times New Roman" w:cs="Times New Roman" w:eastAsia="Times New Roman" w:hAnsi="Times New Roman"/>
          <w:sz w:val="16"/>
          <w:szCs w:val="16"/>
          <w:color w:val="auto"/>
        </w:rPr>
        <w:t>targeted debt ratios;</w:t>
      </w:r>
    </w:p>
    <w:p>
      <w:pPr>
        <w:spacing w:after="0" w:line="203" w:lineRule="auto"/>
        <w:rPr>
          <w:sz w:val="20"/>
          <w:szCs w:val="20"/>
          <w:color w:val="auto"/>
        </w:rPr>
      </w:pPr>
      <w:r>
        <w:rPr>
          <w:rFonts w:ascii="Times New Roman" w:cs="Times New Roman" w:eastAsia="Times New Roman" w:hAnsi="Times New Roman"/>
          <w:sz w:val="16"/>
          <w:szCs w:val="16"/>
          <w:color w:val="auto"/>
        </w:rPr>
        <w:t>•changes in our credit rating and financing costs;</w:t>
      </w:r>
    </w:p>
    <w:p>
      <w:pPr>
        <w:spacing w:after="0" w:line="204" w:lineRule="auto"/>
        <w:rPr>
          <w:sz w:val="20"/>
          <w:szCs w:val="20"/>
          <w:color w:val="auto"/>
        </w:rPr>
      </w:pPr>
      <w:r>
        <w:rPr>
          <w:rFonts w:ascii="Times New Roman" w:cs="Times New Roman" w:eastAsia="Times New Roman" w:hAnsi="Times New Roman"/>
          <w:sz w:val="16"/>
          <w:szCs w:val="16"/>
          <w:color w:val="auto"/>
        </w:rPr>
        <w:t>•risks to the continued achievement of our strategic</w:t>
      </w:r>
    </w:p>
    <w:p>
      <w:pPr>
        <w:spacing w:after="0" w:line="203" w:lineRule="auto"/>
        <w:rPr>
          <w:sz w:val="20"/>
          <w:szCs w:val="20"/>
          <w:color w:val="auto"/>
        </w:rPr>
      </w:pPr>
      <w:r>
        <w:rPr>
          <w:rFonts w:ascii="Times New Roman" w:cs="Times New Roman" w:eastAsia="Times New Roman" w:hAnsi="Times New Roman"/>
          <w:sz w:val="16"/>
          <w:szCs w:val="16"/>
          <w:color w:val="auto"/>
        </w:rPr>
        <w:t>direction;</w:t>
      </w:r>
    </w:p>
    <w:p>
      <w:pPr>
        <w:spacing w:after="0" w:line="204" w:lineRule="auto"/>
        <w:rPr>
          <w:sz w:val="20"/>
          <w:szCs w:val="20"/>
          <w:color w:val="auto"/>
        </w:rPr>
      </w:pPr>
      <w:r>
        <w:rPr>
          <w:rFonts w:ascii="Times New Roman" w:cs="Times New Roman" w:eastAsia="Times New Roman" w:hAnsi="Times New Roman"/>
          <w:sz w:val="16"/>
          <w:szCs w:val="16"/>
          <w:color w:val="auto"/>
        </w:rPr>
        <w:t>•risks associated with divesting employees, customers or</w:t>
      </w:r>
    </w:p>
    <w:p>
      <w:pPr>
        <w:spacing w:after="0" w:line="203" w:lineRule="auto"/>
        <w:rPr>
          <w:sz w:val="20"/>
          <w:szCs w:val="20"/>
          <w:color w:val="auto"/>
        </w:rPr>
      </w:pPr>
      <w:r>
        <w:rPr>
          <w:rFonts w:ascii="Times New Roman" w:cs="Times New Roman" w:eastAsia="Times New Roman" w:hAnsi="Times New Roman"/>
          <w:sz w:val="16"/>
          <w:szCs w:val="16"/>
          <w:color w:val="auto"/>
        </w:rPr>
        <w:t>vendors when divesting businesses or assets;</w:t>
      </w:r>
    </w:p>
    <w:p>
      <w:pPr>
        <w:spacing w:after="0" w:line="204" w:lineRule="auto"/>
        <w:rPr>
          <w:sz w:val="20"/>
          <w:szCs w:val="20"/>
          <w:color w:val="auto"/>
        </w:rPr>
      </w:pPr>
      <w:r>
        <w:rPr>
          <w:rFonts w:ascii="Times New Roman" w:cs="Times New Roman" w:eastAsia="Times New Roman" w:hAnsi="Times New Roman"/>
          <w:sz w:val="16"/>
          <w:szCs w:val="16"/>
          <w:color w:val="auto"/>
        </w:rPr>
        <w:t>•declines in the value of investments;</w:t>
      </w:r>
    </w:p>
    <w:p>
      <w:pPr>
        <w:spacing w:after="0" w:line="203" w:lineRule="auto"/>
        <w:rPr>
          <w:sz w:val="20"/>
          <w:szCs w:val="20"/>
          <w:color w:val="auto"/>
        </w:rPr>
      </w:pPr>
      <w:r>
        <w:rPr>
          <w:rFonts w:ascii="Times New Roman" w:cs="Times New Roman" w:eastAsia="Times New Roman" w:hAnsi="Times New Roman"/>
          <w:sz w:val="16"/>
          <w:szCs w:val="16"/>
          <w:color w:val="auto"/>
        </w:rPr>
        <w:t>•exposure to unanticipated liabilities, including after a</w:t>
      </w:r>
    </w:p>
    <w:p>
      <w:pPr>
        <w:spacing w:after="0" w:line="204" w:lineRule="auto"/>
        <w:rPr>
          <w:sz w:val="20"/>
          <w:szCs w:val="20"/>
          <w:color w:val="auto"/>
        </w:rPr>
      </w:pPr>
      <w:r>
        <w:rPr>
          <w:rFonts w:ascii="Times New Roman" w:cs="Times New Roman" w:eastAsia="Times New Roman" w:hAnsi="Times New Roman"/>
          <w:sz w:val="16"/>
          <w:szCs w:val="16"/>
          <w:color w:val="auto"/>
        </w:rPr>
        <w:t>transaction is completed;</w:t>
      </w:r>
    </w:p>
    <w:p>
      <w:pPr>
        <w:spacing w:after="0" w:line="204" w:lineRule="auto"/>
        <w:rPr>
          <w:sz w:val="20"/>
          <w:szCs w:val="20"/>
          <w:color w:val="auto"/>
        </w:rPr>
      </w:pPr>
      <w:r>
        <w:rPr>
          <w:rFonts w:ascii="Times New Roman" w:cs="Times New Roman" w:eastAsia="Times New Roman" w:hAnsi="Times New Roman"/>
          <w:sz w:val="16"/>
          <w:szCs w:val="16"/>
          <w:color w:val="auto"/>
        </w:rPr>
        <w:t>•incurred but unreported claims for an acquired company;</w:t>
      </w:r>
    </w:p>
    <w:p>
      <w:pPr>
        <w:spacing w:after="0" w:line="203" w:lineRule="auto"/>
        <w:rPr>
          <w:sz w:val="20"/>
          <w:szCs w:val="20"/>
          <w:color w:val="auto"/>
        </w:rPr>
      </w:pPr>
      <w:r>
        <w:rPr>
          <w:rFonts w:ascii="Times New Roman" w:cs="Times New Roman" w:eastAsia="Times New Roman" w:hAnsi="Times New Roman"/>
          <w:sz w:val="16"/>
          <w:szCs w:val="16"/>
          <w:color w:val="auto"/>
        </w:rPr>
        <w:t>and</w:t>
      </w:r>
    </w:p>
    <w:p>
      <w:pPr>
        <w:spacing w:after="0" w:line="204" w:lineRule="auto"/>
        <w:rPr>
          <w:sz w:val="20"/>
          <w:szCs w:val="20"/>
          <w:color w:val="auto"/>
        </w:rPr>
      </w:pPr>
      <w:r>
        <w:rPr>
          <w:rFonts w:ascii="Times New Roman" w:cs="Times New Roman" w:eastAsia="Times New Roman" w:hAnsi="Times New Roman"/>
          <w:sz w:val="16"/>
          <w:szCs w:val="16"/>
          <w:color w:val="auto"/>
        </w:rPr>
        <w:t>•difficulties in realizing projected efficiencies and</w:t>
      </w:r>
    </w:p>
    <w:p>
      <w:pPr>
        <w:spacing w:after="0" w:line="203" w:lineRule="auto"/>
        <w:rPr>
          <w:sz w:val="20"/>
          <w:szCs w:val="20"/>
          <w:color w:val="auto"/>
        </w:rPr>
      </w:pPr>
      <w:r>
        <w:rPr>
          <w:rFonts w:ascii="Times New Roman" w:cs="Times New Roman" w:eastAsia="Times New Roman" w:hAnsi="Times New Roman"/>
          <w:sz w:val="16"/>
          <w:szCs w:val="16"/>
          <w:color w:val="auto"/>
        </w:rPr>
        <w:t>synergies.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LIQUIDITY AND CAPITAL</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RESOURCES</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A downgrade of our credit rating could increase the cost of</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our funding from the capital markets.</w:t>
      </w:r>
    </w:p>
    <w:p>
      <w:pPr>
        <w:spacing w:after="0" w:line="203" w:lineRule="auto"/>
        <w:rPr>
          <w:sz w:val="20"/>
          <w:szCs w:val="20"/>
          <w:color w:val="auto"/>
        </w:rPr>
      </w:pPr>
      <w:r>
        <w:rPr>
          <w:rFonts w:ascii="Times New Roman" w:cs="Times New Roman" w:eastAsia="Times New Roman" w:hAnsi="Times New Roman"/>
          <w:sz w:val="16"/>
          <w:szCs w:val="16"/>
          <w:color w:val="auto"/>
        </w:rPr>
        <w:t>Our debt is currently rated investment grade by two of the</w:t>
      </w:r>
    </w:p>
    <w:p>
      <w:pPr>
        <w:spacing w:after="0" w:line="204" w:lineRule="auto"/>
        <w:rPr>
          <w:sz w:val="20"/>
          <w:szCs w:val="20"/>
          <w:color w:val="auto"/>
        </w:rPr>
      </w:pPr>
      <w:r>
        <w:rPr>
          <w:rFonts w:ascii="Times New Roman" w:cs="Times New Roman" w:eastAsia="Times New Roman" w:hAnsi="Times New Roman"/>
          <w:sz w:val="16"/>
          <w:szCs w:val="16"/>
          <w:color w:val="auto"/>
        </w:rPr>
        <w:t>major rating agencies. These rating agencies regularly</w:t>
      </w:r>
    </w:p>
    <w:p>
      <w:pPr>
        <w:spacing w:after="0" w:line="203" w:lineRule="auto"/>
        <w:rPr>
          <w:sz w:val="20"/>
          <w:szCs w:val="20"/>
          <w:color w:val="auto"/>
        </w:rPr>
      </w:pPr>
      <w:r>
        <w:rPr>
          <w:rFonts w:ascii="Times New Roman" w:cs="Times New Roman" w:eastAsia="Times New Roman" w:hAnsi="Times New Roman"/>
          <w:sz w:val="16"/>
          <w:szCs w:val="16"/>
          <w:color w:val="auto"/>
        </w:rPr>
        <w:t>evaluate us, and their ratings of our long-term debt and</w:t>
      </w:r>
    </w:p>
    <w:p>
      <w:pPr>
        <w:spacing w:after="0" w:line="233" w:lineRule="auto"/>
        <w:rPr>
          <w:sz w:val="20"/>
          <w:szCs w:val="20"/>
          <w:color w:val="auto"/>
        </w:rPr>
      </w:pPr>
      <w:r>
        <w:rPr>
          <w:rFonts w:ascii="Times New Roman" w:cs="Times New Roman" w:eastAsia="Times New Roman" w:hAnsi="Times New Roman"/>
          <w:sz w:val="14"/>
          <w:szCs w:val="14"/>
          <w:color w:val="auto"/>
        </w:rPr>
        <w:t>commercial paper are based on a number of factors, including</w:t>
      </w:r>
    </w:p>
    <w:p>
      <w:pPr>
        <w:spacing w:after="0" w:line="233" w:lineRule="auto"/>
        <w:rPr>
          <w:sz w:val="20"/>
          <w:szCs w:val="20"/>
          <w:color w:val="auto"/>
        </w:rPr>
      </w:pPr>
      <w:r>
        <w:rPr>
          <w:rFonts w:ascii="Times New Roman" w:cs="Times New Roman" w:eastAsia="Times New Roman" w:hAnsi="Times New Roman"/>
          <w:sz w:val="14"/>
          <w:szCs w:val="14"/>
          <w:color w:val="auto"/>
        </w:rPr>
        <w:t>our financial strength and corporate development activity, as</w:t>
      </w:r>
    </w:p>
    <w:p>
      <w:pPr>
        <w:spacing w:after="0" w:line="203" w:lineRule="auto"/>
        <w:rPr>
          <w:sz w:val="20"/>
          <w:szCs w:val="20"/>
          <w:color w:val="auto"/>
        </w:rPr>
      </w:pPr>
      <w:r>
        <w:rPr>
          <w:rFonts w:ascii="Times New Roman" w:cs="Times New Roman" w:eastAsia="Times New Roman" w:hAnsi="Times New Roman"/>
          <w:sz w:val="16"/>
          <w:szCs w:val="16"/>
          <w:color w:val="auto"/>
        </w:rPr>
        <w:t>well as factors not entirely within our control, including</w:t>
      </w:r>
    </w:p>
    <w:p>
      <w:pPr>
        <w:spacing w:after="0" w:line="204" w:lineRule="auto"/>
        <w:rPr>
          <w:sz w:val="20"/>
          <w:szCs w:val="20"/>
          <w:color w:val="auto"/>
        </w:rPr>
      </w:pPr>
      <w:r>
        <w:rPr>
          <w:rFonts w:ascii="Times New Roman" w:cs="Times New Roman" w:eastAsia="Times New Roman" w:hAnsi="Times New Roman"/>
          <w:sz w:val="16"/>
          <w:szCs w:val="16"/>
          <w:color w:val="auto"/>
        </w:rPr>
        <w:t>conditions affecting our industry generally. There can be no</w:t>
      </w:r>
    </w:p>
    <w:p>
      <w:pPr>
        <w:spacing w:after="0" w:line="203" w:lineRule="auto"/>
        <w:rPr>
          <w:sz w:val="20"/>
          <w:szCs w:val="20"/>
          <w:color w:val="auto"/>
        </w:rPr>
      </w:pPr>
      <w:r>
        <w:rPr>
          <w:rFonts w:ascii="Times New Roman" w:cs="Times New Roman" w:eastAsia="Times New Roman" w:hAnsi="Times New Roman"/>
          <w:sz w:val="16"/>
          <w:szCs w:val="16"/>
          <w:color w:val="auto"/>
        </w:rPr>
        <w:t>assurance that we will maintain our current ratings. Our</w:t>
      </w:r>
    </w:p>
    <w:p>
      <w:pPr>
        <w:spacing w:after="0" w:line="233" w:lineRule="auto"/>
        <w:rPr>
          <w:sz w:val="20"/>
          <w:szCs w:val="20"/>
          <w:color w:val="auto"/>
        </w:rPr>
      </w:pPr>
      <w:r>
        <w:rPr>
          <w:rFonts w:ascii="Times New Roman" w:cs="Times New Roman" w:eastAsia="Times New Roman" w:hAnsi="Times New Roman"/>
          <w:sz w:val="14"/>
          <w:szCs w:val="14"/>
          <w:color w:val="auto"/>
        </w:rPr>
        <w:t>failure to maintain such ratings could reduce or eliminate our</w:t>
      </w:r>
    </w:p>
    <w:p>
      <w:pPr>
        <w:spacing w:after="0" w:line="203" w:lineRule="auto"/>
        <w:rPr>
          <w:sz w:val="20"/>
          <w:szCs w:val="20"/>
          <w:color w:val="auto"/>
        </w:rPr>
      </w:pPr>
      <w:r>
        <w:rPr>
          <w:rFonts w:ascii="Times New Roman" w:cs="Times New Roman" w:eastAsia="Times New Roman" w:hAnsi="Times New Roman"/>
          <w:sz w:val="16"/>
          <w:szCs w:val="16"/>
          <w:color w:val="auto"/>
        </w:rPr>
        <w:t>ability to issue commercial paper and adversely affect the</w:t>
      </w:r>
    </w:p>
    <w:p>
      <w:pPr>
        <w:spacing w:after="0" w:line="204" w:lineRule="auto"/>
        <w:rPr>
          <w:sz w:val="20"/>
          <w:szCs w:val="20"/>
          <w:color w:val="auto"/>
        </w:rPr>
      </w:pPr>
      <w:r>
        <w:rPr>
          <w:rFonts w:ascii="Times New Roman" w:cs="Times New Roman" w:eastAsia="Times New Roman" w:hAnsi="Times New Roman"/>
          <w:sz w:val="16"/>
          <w:szCs w:val="16"/>
          <w:color w:val="auto"/>
        </w:rPr>
        <w:t>cost and other terms upon which we are able to obtain</w:t>
      </w:r>
    </w:p>
    <w:p>
      <w:pPr>
        <w:spacing w:after="0" w:line="233" w:lineRule="auto"/>
        <w:rPr>
          <w:sz w:val="20"/>
          <w:szCs w:val="20"/>
          <w:color w:val="auto"/>
        </w:rPr>
      </w:pPr>
      <w:r>
        <w:rPr>
          <w:rFonts w:ascii="Times New Roman" w:cs="Times New Roman" w:eastAsia="Times New Roman" w:hAnsi="Times New Roman"/>
          <w:sz w:val="14"/>
          <w:szCs w:val="14"/>
          <w:color w:val="auto"/>
        </w:rPr>
        <w:t>funding and increase our cost of capital. A reduction in credit</w:t>
      </w:r>
    </w:p>
    <w:p>
      <w:pPr>
        <w:spacing w:after="0" w:line="203" w:lineRule="auto"/>
        <w:rPr>
          <w:sz w:val="20"/>
          <w:szCs w:val="20"/>
          <w:color w:val="auto"/>
        </w:rPr>
      </w:pPr>
      <w:r>
        <w:rPr>
          <w:rFonts w:ascii="Times New Roman" w:cs="Times New Roman" w:eastAsia="Times New Roman" w:hAnsi="Times New Roman"/>
          <w:sz w:val="16"/>
          <w:szCs w:val="16"/>
          <w:color w:val="auto"/>
        </w:rPr>
        <w:t>ratings would also result in increases in the cost of our</w:t>
      </w:r>
    </w:p>
    <w:p>
      <w:pPr>
        <w:spacing w:after="0" w:line="204" w:lineRule="auto"/>
        <w:rPr>
          <w:sz w:val="20"/>
          <w:szCs w:val="20"/>
          <w:color w:val="auto"/>
        </w:rPr>
      </w:pPr>
      <w:r>
        <w:rPr>
          <w:rFonts w:ascii="Times New Roman" w:cs="Times New Roman" w:eastAsia="Times New Roman" w:hAnsi="Times New Roman"/>
          <w:sz w:val="16"/>
          <w:szCs w:val="16"/>
          <w:color w:val="auto"/>
        </w:rPr>
        <w:t>commercial paper and other outstanding debt as the interest</w:t>
      </w:r>
    </w:p>
    <w:p>
      <w:pPr>
        <w:spacing w:after="0" w:line="203" w:lineRule="auto"/>
        <w:rPr>
          <w:sz w:val="20"/>
          <w:szCs w:val="20"/>
          <w:color w:val="auto"/>
        </w:rPr>
      </w:pPr>
      <w:r>
        <w:rPr>
          <w:rFonts w:ascii="Times New Roman" w:cs="Times New Roman" w:eastAsia="Times New Roman" w:hAnsi="Times New Roman"/>
          <w:sz w:val="16"/>
          <w:szCs w:val="16"/>
          <w:color w:val="auto"/>
        </w:rPr>
        <w:t>rate on the outstanding amounts under our credit facilities</w:t>
      </w:r>
    </w:p>
    <w:p>
      <w:pPr>
        <w:spacing w:after="0" w:line="204" w:lineRule="auto"/>
        <w:rPr>
          <w:sz w:val="20"/>
          <w:szCs w:val="20"/>
          <w:color w:val="auto"/>
        </w:rPr>
      </w:pPr>
      <w:r>
        <w:rPr>
          <w:rFonts w:ascii="Times New Roman" w:cs="Times New Roman" w:eastAsia="Times New Roman" w:hAnsi="Times New Roman"/>
          <w:sz w:val="16"/>
          <w:szCs w:val="16"/>
          <w:color w:val="auto"/>
        </w:rPr>
        <w:t>and our senior notes fluctuates based on our credit ratings.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leverage limits our financial flexibility, increases our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exposure to weakening economic conditions and may</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adversely affect our ability to obtain additional financing.</w:t>
      </w:r>
    </w:p>
    <w:p>
      <w:pPr>
        <w:spacing w:after="0" w:line="233" w:lineRule="auto"/>
        <w:rPr>
          <w:sz w:val="20"/>
          <w:szCs w:val="20"/>
          <w:color w:val="auto"/>
        </w:rPr>
      </w:pPr>
      <w:r>
        <w:rPr>
          <w:rFonts w:ascii="Times New Roman" w:cs="Times New Roman" w:eastAsia="Times New Roman" w:hAnsi="Times New Roman"/>
          <w:sz w:val="14"/>
          <w:szCs w:val="14"/>
          <w:color w:val="auto"/>
        </w:rPr>
        <w:t>Our indebtedness as of December 31, 2025 was $9.0 billion.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may borrow additional amounts by utilizing available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w:t>
      </w:r>
    </w:p>
    <w:p>
      <w:pPr>
        <w:spacing w:after="0" w:line="232" w:lineRule="auto"/>
        <w:rPr>
          <w:sz w:val="20"/>
          <w:szCs w:val="20"/>
          <w:color w:val="auto"/>
        </w:rPr>
      </w:pPr>
      <w:r>
        <w:rPr>
          <w:rFonts w:ascii="Times New Roman" w:cs="Times New Roman" w:eastAsia="Times New Roman" w:hAnsi="Times New Roman"/>
          <w:sz w:val="14"/>
          <w:szCs w:val="14"/>
          <w:color w:val="auto"/>
        </w:rPr>
        <w:t>credit facilities could result in an event of default. If an event</w:t>
      </w:r>
    </w:p>
    <w:p>
      <w:pPr>
        <w:spacing w:after="0" w:line="204" w:lineRule="auto"/>
        <w:rPr>
          <w:sz w:val="20"/>
          <w:szCs w:val="20"/>
          <w:color w:val="auto"/>
        </w:rPr>
      </w:pPr>
      <w:r>
        <w:rPr>
          <w:rFonts w:ascii="Times New Roman" w:cs="Times New Roman" w:eastAsia="Times New Roman" w:hAnsi="Times New Roman"/>
          <w:sz w:val="16"/>
          <w:szCs w:val="16"/>
          <w:color w:val="auto"/>
        </w:rPr>
        <w:t>of default or cross-default occurs, and we are unable to</w:t>
      </w:r>
    </w:p>
    <w:p>
      <w:pPr>
        <w:spacing w:after="0" w:line="203" w:lineRule="auto"/>
        <w:rPr>
          <w:sz w:val="20"/>
          <w:szCs w:val="20"/>
          <w:color w:val="auto"/>
        </w:rPr>
      </w:pPr>
      <w:r>
        <w:rPr>
          <w:rFonts w:ascii="Times New Roman" w:cs="Times New Roman" w:eastAsia="Times New Roman" w:hAnsi="Times New Roman"/>
          <w:sz w:val="16"/>
          <w:szCs w:val="16"/>
          <w:color w:val="auto"/>
        </w:rPr>
        <w:t>receive a waiver of default, our lenders may increase our</w:t>
      </w:r>
    </w:p>
    <w:p>
      <w:pPr>
        <w:spacing w:after="0" w:line="204" w:lineRule="auto"/>
        <w:rPr>
          <w:sz w:val="20"/>
          <w:szCs w:val="20"/>
          <w:color w:val="auto"/>
        </w:rPr>
      </w:pPr>
      <w:r>
        <w:rPr>
          <w:rFonts w:ascii="Times New Roman" w:cs="Times New Roman" w:eastAsia="Times New Roman" w:hAnsi="Times New Roman"/>
          <w:sz w:val="16"/>
          <w:szCs w:val="16"/>
          <w:color w:val="auto"/>
        </w:rPr>
        <w:t>borrowing costs, restrict our ability to obtain additional</w:t>
      </w:r>
    </w:p>
    <w:p>
      <w:pPr>
        <w:spacing w:after="0" w:line="203" w:lineRule="auto"/>
        <w:rPr>
          <w:sz w:val="20"/>
          <w:szCs w:val="20"/>
          <w:color w:val="auto"/>
        </w:rPr>
      </w:pPr>
      <w:r>
        <w:rPr>
          <w:rFonts w:ascii="Times New Roman" w:cs="Times New Roman" w:eastAsia="Times New Roman" w:hAnsi="Times New Roman"/>
          <w:sz w:val="16"/>
          <w:szCs w:val="16"/>
          <w:color w:val="auto"/>
        </w:rPr>
        <w:t>borrowings and accelerate repayment of all amounts</w:t>
      </w:r>
    </w:p>
    <w:p>
      <w:pPr>
        <w:spacing w:after="0" w:line="204" w:lineRule="auto"/>
        <w:rPr>
          <w:sz w:val="20"/>
          <w:szCs w:val="20"/>
          <w:color w:val="auto"/>
        </w:rPr>
      </w:pPr>
      <w:r>
        <w:rPr>
          <w:rFonts w:ascii="Times New Roman" w:cs="Times New Roman" w:eastAsia="Times New Roman" w:hAnsi="Times New Roman"/>
          <w:sz w:val="16"/>
          <w:szCs w:val="16"/>
          <w:color w:val="auto"/>
        </w:rPr>
        <w:t>outstanding.</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will need to invest in our operations to maintain and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grow our business and to integrate acquisitions, and we</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may need additional funds, which may not be readily</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available.</w:t>
      </w:r>
    </w:p>
    <w:p>
      <w:pPr>
        <w:spacing w:after="0" w:line="233" w:lineRule="auto"/>
        <w:rPr>
          <w:sz w:val="20"/>
          <w:szCs w:val="20"/>
          <w:color w:val="auto"/>
        </w:rPr>
      </w:pPr>
      <w:r>
        <w:rPr>
          <w:rFonts w:ascii="Times New Roman" w:cs="Times New Roman" w:eastAsia="Times New Roman" w:hAnsi="Times New Roman"/>
          <w:sz w:val="14"/>
          <w:szCs w:val="14"/>
          <w:color w:val="auto"/>
        </w:rPr>
        <w:t>We depend on the availability of adequate capital to maintain</w:t>
      </w:r>
    </w:p>
    <w:p>
      <w:pPr>
        <w:spacing w:after="0" w:line="203" w:lineRule="auto"/>
        <w:rPr>
          <w:sz w:val="20"/>
          <w:szCs w:val="20"/>
          <w:color w:val="auto"/>
        </w:rPr>
      </w:pPr>
      <w:r>
        <w:rPr>
          <w:rFonts w:ascii="Times New Roman" w:cs="Times New Roman" w:eastAsia="Times New Roman" w:hAnsi="Times New Roman"/>
          <w:sz w:val="16"/>
          <w:szCs w:val="16"/>
          <w:color w:val="auto"/>
        </w:rPr>
        <w:t>and develop our business. Although we believe that we can</w:t>
      </w:r>
    </w:p>
    <w:p>
      <w:pPr>
        <w:spacing w:after="0" w:line="204" w:lineRule="auto"/>
        <w:rPr>
          <w:sz w:val="20"/>
          <w:szCs w:val="20"/>
          <w:color w:val="auto"/>
        </w:rPr>
      </w:pPr>
      <w:r>
        <w:rPr>
          <w:rFonts w:ascii="Times New Roman" w:cs="Times New Roman" w:eastAsia="Times New Roman" w:hAnsi="Times New Roman"/>
          <w:sz w:val="16"/>
          <w:szCs w:val="16"/>
          <w:color w:val="auto"/>
        </w:rPr>
        <w:t>meet our current capital requirements from internally</w:t>
      </w:r>
    </w:p>
    <w:p>
      <w:pPr>
        <w:spacing w:after="0" w:line="203" w:lineRule="auto"/>
        <w:rPr>
          <w:sz w:val="20"/>
          <w:szCs w:val="20"/>
          <w:color w:val="auto"/>
        </w:rPr>
      </w:pPr>
      <w:r>
        <w:rPr>
          <w:rFonts w:ascii="Times New Roman" w:cs="Times New Roman" w:eastAsia="Times New Roman" w:hAnsi="Times New Roman"/>
          <w:sz w:val="16"/>
          <w:szCs w:val="16"/>
          <w:color w:val="auto"/>
        </w:rPr>
        <w:t>generated funds, cash on hand and borrowings under our</w:t>
      </w:r>
    </w:p>
    <w:p>
      <w:pPr>
        <w:spacing w:after="0" w:line="204" w:lineRule="auto"/>
        <w:rPr>
          <w:sz w:val="20"/>
          <w:szCs w:val="20"/>
          <w:color w:val="auto"/>
        </w:rPr>
      </w:pPr>
      <w:r>
        <w:rPr>
          <w:rFonts w:ascii="Times New Roman" w:cs="Times New Roman" w:eastAsia="Times New Roman" w:hAnsi="Times New Roman"/>
          <w:sz w:val="16"/>
          <w:szCs w:val="16"/>
          <w:color w:val="auto"/>
        </w:rPr>
        <w:t>revolving credit facility and commercial paper program, if</w:t>
      </w:r>
    </w:p>
    <w:p>
      <w:pPr>
        <w:spacing w:after="0" w:line="233" w:lineRule="auto"/>
        <w:rPr>
          <w:sz w:val="20"/>
          <w:szCs w:val="20"/>
          <w:color w:val="auto"/>
        </w:rPr>
      </w:pPr>
      <w:r>
        <w:rPr>
          <w:rFonts w:ascii="Times New Roman" w:cs="Times New Roman" w:eastAsia="Times New Roman" w:hAnsi="Times New Roman"/>
          <w:sz w:val="14"/>
          <w:szCs w:val="14"/>
          <w:color w:val="auto"/>
        </w:rPr>
        <w:t>the capital and credit markets experience volatility, access to</w:t>
      </w:r>
    </w:p>
    <w:p>
      <w:pPr>
        <w:spacing w:after="0"/>
        <w:rPr>
          <w:sz w:val="20"/>
          <w:szCs w:val="20"/>
          <w:color w:val="auto"/>
        </w:rPr>
      </w:pPr>
      <w:r>
        <w:rPr>
          <w:rFonts w:ascii="Times New Roman" w:cs="Times New Roman" w:eastAsia="Times New Roman" w:hAnsi="Times New Roman"/>
          <w:sz w:val="16"/>
          <w:szCs w:val="16"/>
          <w:color w:val="auto"/>
        </w:rPr>
        <w:t>capital or credit may not be available on terms acceptable to</w:t>
      </w:r>
    </w:p>
    <w:p>
      <w:pPr>
        <w:sectPr>
          <w:pgSz w:w="11900" w:h="16840" w:orient="portrait"/>
          <w:cols w:equalWidth="0" w:num="1">
            <w:col w:w="9400"/>
          </w:cols>
          <w:pgMar w:left="1060" w:top="547" w:right="1440" w:bottom="68"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auto"/>
        </w:rPr>
        <w:t>us or at all. Rising interest rates could adversely affect our</w:t>
      </w:r>
    </w:p>
    <w:p>
      <w:pPr>
        <w:spacing w:after="0" w:line="203" w:lineRule="auto"/>
        <w:rPr>
          <w:sz w:val="20"/>
          <w:szCs w:val="20"/>
          <w:color w:val="auto"/>
        </w:rPr>
      </w:pPr>
      <w:r>
        <w:rPr>
          <w:rFonts w:ascii="Times New Roman" w:cs="Times New Roman" w:eastAsia="Times New Roman" w:hAnsi="Times New Roman"/>
          <w:sz w:val="16"/>
          <w:szCs w:val="16"/>
          <w:color w:val="auto"/>
        </w:rPr>
        <w:t>ability to pursue new financing opportunities, and it may be</w:t>
      </w:r>
    </w:p>
    <w:p>
      <w:pPr>
        <w:spacing w:after="0" w:line="204" w:lineRule="auto"/>
        <w:rPr>
          <w:sz w:val="20"/>
          <w:szCs w:val="20"/>
          <w:color w:val="auto"/>
        </w:rPr>
      </w:pPr>
      <w:r>
        <w:rPr>
          <w:rFonts w:ascii="Times New Roman" w:cs="Times New Roman" w:eastAsia="Times New Roman" w:hAnsi="Times New Roman"/>
          <w:sz w:val="16"/>
          <w:szCs w:val="16"/>
          <w:color w:val="auto"/>
        </w:rPr>
        <w:t>more expensive for us to issue new debt securities. Limited</w:t>
      </w:r>
    </w:p>
    <w:p>
      <w:pPr>
        <w:spacing w:after="0" w:line="232" w:lineRule="auto"/>
        <w:rPr>
          <w:sz w:val="20"/>
          <w:szCs w:val="20"/>
          <w:color w:val="auto"/>
        </w:rPr>
      </w:pPr>
      <w:r>
        <w:rPr>
          <w:rFonts w:ascii="Times New Roman" w:cs="Times New Roman" w:eastAsia="Times New Roman" w:hAnsi="Times New Roman"/>
          <w:sz w:val="14"/>
          <w:szCs w:val="14"/>
          <w:color w:val="auto"/>
        </w:rPr>
        <w:t>access to capital or credit in the future could have an impact</w:t>
      </w:r>
    </w:p>
    <w:p>
      <w:pPr>
        <w:spacing w:after="0" w:line="204" w:lineRule="auto"/>
        <w:rPr>
          <w:sz w:val="20"/>
          <w:szCs w:val="20"/>
          <w:color w:val="auto"/>
        </w:rPr>
      </w:pPr>
      <w:r>
        <w:rPr>
          <w:rFonts w:ascii="Times New Roman" w:cs="Times New Roman" w:eastAsia="Times New Roman" w:hAnsi="Times New Roman"/>
          <w:sz w:val="16"/>
          <w:szCs w:val="16"/>
          <w:color w:val="auto"/>
        </w:rPr>
        <w:t>on our ability to refinance debt, maintain our credit rating,</w:t>
      </w:r>
    </w:p>
    <w:p>
      <w:pPr>
        <w:spacing w:after="0" w:line="232" w:lineRule="auto"/>
        <w:rPr>
          <w:sz w:val="20"/>
          <w:szCs w:val="20"/>
          <w:color w:val="auto"/>
        </w:rPr>
      </w:pPr>
      <w:r>
        <w:rPr>
          <w:rFonts w:ascii="Times New Roman" w:cs="Times New Roman" w:eastAsia="Times New Roman" w:hAnsi="Times New Roman"/>
          <w:sz w:val="14"/>
          <w:szCs w:val="14"/>
          <w:color w:val="auto"/>
        </w:rPr>
        <w:t>meet our regulatory capital requirements, engage in strategic</w:t>
      </w:r>
    </w:p>
    <w:p>
      <w:pPr>
        <w:spacing w:after="0" w:line="233" w:lineRule="auto"/>
        <w:rPr>
          <w:sz w:val="20"/>
          <w:szCs w:val="20"/>
          <w:color w:val="auto"/>
        </w:rPr>
      </w:pPr>
      <w:r>
        <w:rPr>
          <w:rFonts w:ascii="Times New Roman" w:cs="Times New Roman" w:eastAsia="Times New Roman" w:hAnsi="Times New Roman"/>
          <w:sz w:val="14"/>
          <w:szCs w:val="14"/>
          <w:color w:val="auto"/>
        </w:rPr>
        <w:t>initiatives, make acquisitions or strategic investments in other</w:t>
      </w:r>
    </w:p>
    <w:p>
      <w:pPr>
        <w:spacing w:after="0" w:line="203" w:lineRule="auto"/>
        <w:rPr>
          <w:sz w:val="20"/>
          <w:szCs w:val="20"/>
          <w:color w:val="auto"/>
        </w:rPr>
      </w:pPr>
      <w:r>
        <w:rPr>
          <w:rFonts w:ascii="Times New Roman" w:cs="Times New Roman" w:eastAsia="Times New Roman" w:hAnsi="Times New Roman"/>
          <w:sz w:val="16"/>
          <w:szCs w:val="16"/>
          <w:color w:val="auto"/>
        </w:rPr>
        <w:t>companies, pay dividends, repurchase our stock or react to</w:t>
      </w:r>
    </w:p>
    <w:p>
      <w:pPr>
        <w:spacing w:after="0" w:line="233" w:lineRule="auto"/>
        <w:rPr>
          <w:sz w:val="20"/>
          <w:szCs w:val="20"/>
          <w:color w:val="auto"/>
        </w:rPr>
      </w:pPr>
      <w:r>
        <w:rPr>
          <w:rFonts w:ascii="Times New Roman" w:cs="Times New Roman" w:eastAsia="Times New Roman" w:hAnsi="Times New Roman"/>
          <w:sz w:val="14"/>
          <w:szCs w:val="14"/>
          <w:color w:val="auto"/>
        </w:rPr>
        <w:t>changing economic and business conditions. If we are unable</w:t>
      </w:r>
    </w:p>
    <w:p>
      <w:pPr>
        <w:spacing w:after="0" w:line="204" w:lineRule="auto"/>
        <w:rPr>
          <w:sz w:val="20"/>
          <w:szCs w:val="20"/>
          <w:color w:val="auto"/>
        </w:rPr>
      </w:pPr>
      <w:r>
        <w:rPr>
          <w:rFonts w:ascii="Times New Roman" w:cs="Times New Roman" w:eastAsia="Times New Roman" w:hAnsi="Times New Roman"/>
          <w:sz w:val="16"/>
          <w:szCs w:val="16"/>
          <w:color w:val="auto"/>
        </w:rPr>
        <w:t>to fund our capital or credit requirements, it could have an</w:t>
      </w:r>
    </w:p>
    <w:p>
      <w:pPr>
        <w:spacing w:after="0" w:line="203" w:lineRule="auto"/>
        <w:rPr>
          <w:sz w:val="20"/>
          <w:szCs w:val="20"/>
          <w:color w:val="auto"/>
        </w:rPr>
      </w:pPr>
      <w:r>
        <w:rPr>
          <w:rFonts w:ascii="Times New Roman" w:cs="Times New Roman" w:eastAsia="Times New Roman" w:hAnsi="Times New Roman"/>
          <w:sz w:val="16"/>
          <w:szCs w:val="16"/>
          <w:color w:val="auto"/>
        </w:rPr>
        <w:t>adverse effect on our business, financial condition and</w:t>
      </w:r>
    </w:p>
    <w:p>
      <w:pPr>
        <w:spacing w:after="0" w:line="204" w:lineRule="auto"/>
        <w:rPr>
          <w:sz w:val="20"/>
          <w:szCs w:val="20"/>
          <w:color w:val="auto"/>
        </w:rPr>
      </w:pPr>
      <w:r>
        <w:rPr>
          <w:rFonts w:ascii="Times New Roman" w:cs="Times New Roman" w:eastAsia="Times New Roman" w:hAnsi="Times New Roman"/>
          <w:sz w:val="16"/>
          <w:szCs w:val="16"/>
          <w:color w:val="auto"/>
        </w:rPr>
        <w:t>operating results.</w:t>
      </w:r>
    </w:p>
    <w:p>
      <w:pPr>
        <w:spacing w:after="0" w:line="203" w:lineRule="auto"/>
        <w:rPr>
          <w:sz w:val="20"/>
          <w:szCs w:val="20"/>
          <w:color w:val="auto"/>
        </w:rPr>
      </w:pPr>
      <w:r>
        <w:rPr>
          <w:rFonts w:ascii="Times New Roman" w:cs="Times New Roman" w:eastAsia="Times New Roman" w:hAnsi="Times New Roman"/>
          <w:sz w:val="16"/>
          <w:szCs w:val="16"/>
          <w:color w:val="auto"/>
        </w:rPr>
        <w:t>In addition to our debt obligations, we will need to continue</w:t>
      </w:r>
    </w:p>
    <w:p>
      <w:pPr>
        <w:spacing w:after="0" w:line="204" w:lineRule="auto"/>
        <w:rPr>
          <w:sz w:val="20"/>
          <w:szCs w:val="20"/>
          <w:color w:val="auto"/>
        </w:rPr>
      </w:pPr>
      <w:r>
        <w:rPr>
          <w:rFonts w:ascii="Times New Roman" w:cs="Times New Roman" w:eastAsia="Times New Roman" w:hAnsi="Times New Roman"/>
          <w:sz w:val="16"/>
          <w:szCs w:val="16"/>
          <w:color w:val="auto"/>
        </w:rPr>
        <w:t>to invest in our operations for the foreseeable future to</w:t>
      </w:r>
    </w:p>
    <w:p>
      <w:pPr>
        <w:spacing w:after="0" w:line="203" w:lineRule="auto"/>
        <w:rPr>
          <w:sz w:val="20"/>
          <w:szCs w:val="20"/>
          <w:color w:val="auto"/>
        </w:rPr>
      </w:pPr>
      <w:r>
        <w:rPr>
          <w:rFonts w:ascii="Times New Roman" w:cs="Times New Roman" w:eastAsia="Times New Roman" w:hAnsi="Times New Roman"/>
          <w:sz w:val="16"/>
          <w:szCs w:val="16"/>
          <w:color w:val="auto"/>
        </w:rPr>
        <w:t>integrate acquired businesses and to fund new initiatives. If</w:t>
      </w:r>
    </w:p>
    <w:p>
      <w:pPr>
        <w:spacing w:after="0" w:line="204" w:lineRule="auto"/>
        <w:rPr>
          <w:sz w:val="20"/>
          <w:szCs w:val="20"/>
          <w:color w:val="auto"/>
        </w:rPr>
      </w:pPr>
      <w:r>
        <w:rPr>
          <w:rFonts w:ascii="Times New Roman" w:cs="Times New Roman" w:eastAsia="Times New Roman" w:hAnsi="Times New Roman"/>
          <w:sz w:val="16"/>
          <w:szCs w:val="16"/>
          <w:color w:val="auto"/>
        </w:rPr>
        <w:t>we do not achieve the expected operating results, we will</w:t>
      </w:r>
    </w:p>
    <w:p>
      <w:pPr>
        <w:spacing w:after="0" w:line="204" w:lineRule="auto"/>
        <w:rPr>
          <w:sz w:val="20"/>
          <w:szCs w:val="20"/>
          <w:color w:val="auto"/>
        </w:rPr>
      </w:pPr>
      <w:r>
        <w:rPr>
          <w:rFonts w:ascii="Times New Roman" w:cs="Times New Roman" w:eastAsia="Times New Roman" w:hAnsi="Times New Roman"/>
          <w:sz w:val="16"/>
          <w:szCs w:val="16"/>
          <w:color w:val="auto"/>
        </w:rPr>
        <w:t>need to reallocate our cash resources. This may include</w:t>
      </w:r>
    </w:p>
    <w:p>
      <w:pPr>
        <w:spacing w:after="0" w:line="232" w:lineRule="auto"/>
        <w:rPr>
          <w:sz w:val="20"/>
          <w:szCs w:val="20"/>
          <w:color w:val="auto"/>
        </w:rPr>
      </w:pPr>
      <w:r>
        <w:rPr>
          <w:rFonts w:ascii="Times New Roman" w:cs="Times New Roman" w:eastAsia="Times New Roman" w:hAnsi="Times New Roman"/>
          <w:sz w:val="14"/>
          <w:szCs w:val="14"/>
          <w:color w:val="auto"/>
        </w:rPr>
        <w:t>borrowing additional funds to service debt payments, which</w:t>
      </w:r>
    </w:p>
    <w:p>
      <w:pPr>
        <w:spacing w:after="0" w:line="204" w:lineRule="auto"/>
        <w:rPr>
          <w:sz w:val="20"/>
          <w:szCs w:val="20"/>
          <w:color w:val="auto"/>
        </w:rPr>
      </w:pPr>
      <w:r>
        <w:rPr>
          <w:rFonts w:ascii="Times New Roman" w:cs="Times New Roman" w:eastAsia="Times New Roman" w:hAnsi="Times New Roman"/>
          <w:sz w:val="16"/>
          <w:szCs w:val="16"/>
          <w:color w:val="auto"/>
        </w:rPr>
        <w:t>may impair our ability to make investments in our business</w:t>
      </w:r>
    </w:p>
    <w:p>
      <w:pPr>
        <w:spacing w:after="0" w:line="203" w:lineRule="auto"/>
        <w:rPr>
          <w:sz w:val="20"/>
          <w:szCs w:val="20"/>
          <w:color w:val="auto"/>
        </w:rPr>
      </w:pPr>
      <w:r>
        <w:rPr>
          <w:rFonts w:ascii="Times New Roman" w:cs="Times New Roman" w:eastAsia="Times New Roman" w:hAnsi="Times New Roman"/>
          <w:sz w:val="16"/>
          <w:szCs w:val="16"/>
          <w:color w:val="auto"/>
        </w:rPr>
        <w:t>or to integrate acquired businesses.</w:t>
      </w:r>
    </w:p>
    <w:p>
      <w:pPr>
        <w:spacing w:after="0" w:line="204" w:lineRule="auto"/>
        <w:rPr>
          <w:sz w:val="20"/>
          <w:szCs w:val="20"/>
          <w:color w:val="auto"/>
        </w:rPr>
      </w:pPr>
      <w:r>
        <w:rPr>
          <w:rFonts w:ascii="Times New Roman" w:cs="Times New Roman" w:eastAsia="Times New Roman" w:hAnsi="Times New Roman"/>
          <w:sz w:val="16"/>
          <w:szCs w:val="16"/>
          <w:color w:val="auto"/>
        </w:rPr>
        <w:t>If we need to raise funds through incurring additional debt,</w:t>
      </w:r>
    </w:p>
    <w:p>
      <w:pPr>
        <w:spacing w:after="0" w:line="203" w:lineRule="auto"/>
        <w:rPr>
          <w:sz w:val="20"/>
          <w:szCs w:val="20"/>
          <w:color w:val="auto"/>
        </w:rPr>
      </w:pPr>
      <w:r>
        <w:rPr>
          <w:rFonts w:ascii="Times New Roman" w:cs="Times New Roman" w:eastAsia="Times New Roman" w:hAnsi="Times New Roman"/>
          <w:sz w:val="16"/>
          <w:szCs w:val="16"/>
          <w:color w:val="auto"/>
        </w:rPr>
        <w:t>we may become subject to covenants more restrictive than</w:t>
      </w:r>
    </w:p>
    <w:p>
      <w:pPr>
        <w:spacing w:after="0" w:line="204" w:lineRule="auto"/>
        <w:rPr>
          <w:sz w:val="20"/>
          <w:szCs w:val="20"/>
          <w:color w:val="auto"/>
        </w:rPr>
      </w:pPr>
      <w:r>
        <w:rPr>
          <w:rFonts w:ascii="Times New Roman" w:cs="Times New Roman" w:eastAsia="Times New Roman" w:hAnsi="Times New Roman"/>
          <w:sz w:val="16"/>
          <w:szCs w:val="16"/>
          <w:color w:val="auto"/>
        </w:rPr>
        <w:t>those contained in our credit facilities, the indentures</w:t>
      </w:r>
    </w:p>
    <w:p>
      <w:pPr>
        <w:spacing w:after="0" w:line="203" w:lineRule="auto"/>
        <w:rPr>
          <w:sz w:val="20"/>
          <w:szCs w:val="20"/>
          <w:color w:val="auto"/>
        </w:rPr>
      </w:pPr>
      <w:r>
        <w:rPr>
          <w:rFonts w:ascii="Times New Roman" w:cs="Times New Roman" w:eastAsia="Times New Roman" w:hAnsi="Times New Roman"/>
          <w:sz w:val="16"/>
          <w:szCs w:val="16"/>
          <w:color w:val="auto"/>
        </w:rPr>
        <w:t>governing our notes and our other debt instruments.</w:t>
      </w:r>
    </w:p>
    <w:p>
      <w:pPr>
        <w:spacing w:after="0" w:line="233" w:lineRule="auto"/>
        <w:rPr>
          <w:sz w:val="20"/>
          <w:szCs w:val="20"/>
          <w:color w:val="auto"/>
        </w:rPr>
      </w:pPr>
      <w:r>
        <w:rPr>
          <w:rFonts w:ascii="Times New Roman" w:cs="Times New Roman" w:eastAsia="Times New Roman" w:hAnsi="Times New Roman"/>
          <w:sz w:val="14"/>
          <w:szCs w:val="14"/>
          <w:color w:val="auto"/>
        </w:rPr>
        <w:t>Furthermore, if adverse economic conditions occur, we could</w:t>
      </w:r>
    </w:p>
    <w:p>
      <w:pPr>
        <w:spacing w:after="0" w:line="204" w:lineRule="auto"/>
        <w:rPr>
          <w:sz w:val="20"/>
          <w:szCs w:val="20"/>
          <w:color w:val="auto"/>
        </w:rPr>
      </w:pPr>
      <w:r>
        <w:rPr>
          <w:rFonts w:ascii="Times New Roman" w:cs="Times New Roman" w:eastAsia="Times New Roman" w:hAnsi="Times New Roman"/>
          <w:sz w:val="16"/>
          <w:szCs w:val="16"/>
          <w:color w:val="auto"/>
        </w:rPr>
        <w:t>experience decreased revenues from our operations which</w:t>
      </w:r>
    </w:p>
    <w:p>
      <w:pPr>
        <w:spacing w:after="0" w:line="203" w:lineRule="auto"/>
        <w:rPr>
          <w:sz w:val="20"/>
          <w:szCs w:val="20"/>
          <w:color w:val="auto"/>
        </w:rPr>
      </w:pPr>
      <w:r>
        <w:rPr>
          <w:rFonts w:ascii="Times New Roman" w:cs="Times New Roman" w:eastAsia="Times New Roman" w:hAnsi="Times New Roman"/>
          <w:sz w:val="16"/>
          <w:szCs w:val="16"/>
          <w:color w:val="auto"/>
        </w:rPr>
        <w:t>could affect our ability to satisfy financial and other</w:t>
      </w:r>
    </w:p>
    <w:p>
      <w:pPr>
        <w:spacing w:after="0" w:line="204" w:lineRule="auto"/>
        <w:rPr>
          <w:sz w:val="20"/>
          <w:szCs w:val="20"/>
          <w:color w:val="auto"/>
        </w:rPr>
      </w:pPr>
      <w:r>
        <w:rPr>
          <w:rFonts w:ascii="Times New Roman" w:cs="Times New Roman" w:eastAsia="Times New Roman" w:hAnsi="Times New Roman"/>
          <w:sz w:val="16"/>
          <w:szCs w:val="16"/>
          <w:color w:val="auto"/>
        </w:rPr>
        <w:t>restrictive covenants to which we are subject under our</w:t>
      </w:r>
    </w:p>
    <w:p>
      <w:pPr>
        <w:spacing w:after="0" w:line="203" w:lineRule="auto"/>
        <w:rPr>
          <w:sz w:val="20"/>
          <w:szCs w:val="20"/>
          <w:color w:val="auto"/>
        </w:rPr>
      </w:pPr>
      <w:r>
        <w:rPr>
          <w:rFonts w:ascii="Times New Roman" w:cs="Times New Roman" w:eastAsia="Times New Roman" w:hAnsi="Times New Roman"/>
          <w:sz w:val="16"/>
          <w:szCs w:val="16"/>
          <w:color w:val="auto"/>
        </w:rPr>
        <w:t>existing indebtedness.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LEGAL AND REGULATORY</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MATTERS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We operate several of our businesses in highly regulated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industries and may be subject to censures, fines and</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enforcement proceedings if we fail to comply with</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regulatory obligations that can be ambiguous and can</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change unexpectedly.</w:t>
      </w:r>
    </w:p>
    <w:p>
      <w:pPr>
        <w:spacing w:after="0" w:line="204" w:lineRule="auto"/>
        <w:rPr>
          <w:sz w:val="20"/>
          <w:szCs w:val="20"/>
          <w:color w:val="auto"/>
        </w:rPr>
      </w:pPr>
      <w:r>
        <w:rPr>
          <w:rFonts w:ascii="Times New Roman" w:cs="Times New Roman" w:eastAsia="Times New Roman" w:hAnsi="Times New Roman"/>
          <w:sz w:val="16"/>
          <w:szCs w:val="16"/>
          <w:color w:val="auto"/>
        </w:rPr>
        <w:t>We operate several of our businesses in highly regulated</w:t>
      </w:r>
    </w:p>
    <w:p>
      <w:pPr>
        <w:spacing w:after="0" w:line="232" w:lineRule="auto"/>
        <w:rPr>
          <w:sz w:val="20"/>
          <w:szCs w:val="20"/>
          <w:color w:val="auto"/>
        </w:rPr>
      </w:pPr>
      <w:r>
        <w:rPr>
          <w:rFonts w:ascii="Times New Roman" w:cs="Times New Roman" w:eastAsia="Times New Roman" w:hAnsi="Times New Roman"/>
          <w:sz w:val="14"/>
          <w:szCs w:val="14"/>
          <w:color w:val="auto"/>
        </w:rPr>
        <w:t>industries and are subject to extensive regulation in the U.S.,</w:t>
      </w:r>
    </w:p>
    <w:p>
      <w:pPr>
        <w:spacing w:after="0" w:line="233" w:lineRule="auto"/>
        <w:rPr>
          <w:sz w:val="20"/>
          <w:szCs w:val="20"/>
          <w:color w:val="auto"/>
        </w:rPr>
      </w:pPr>
      <w:r>
        <w:rPr>
          <w:rFonts w:ascii="Times New Roman" w:cs="Times New Roman" w:eastAsia="Times New Roman" w:hAnsi="Times New Roman"/>
          <w:sz w:val="14"/>
          <w:szCs w:val="14"/>
          <w:color w:val="auto"/>
        </w:rPr>
        <w:t>Europe and Canada. The securities trading industry is subject</w:t>
      </w:r>
    </w:p>
    <w:p>
      <w:pPr>
        <w:spacing w:after="0" w:line="204" w:lineRule="auto"/>
        <w:rPr>
          <w:sz w:val="20"/>
          <w:szCs w:val="20"/>
          <w:color w:val="auto"/>
        </w:rPr>
      </w:pPr>
      <w:r>
        <w:rPr>
          <w:rFonts w:ascii="Times New Roman" w:cs="Times New Roman" w:eastAsia="Times New Roman" w:hAnsi="Times New Roman"/>
          <w:sz w:val="16"/>
          <w:szCs w:val="16"/>
          <w:color w:val="auto"/>
        </w:rPr>
        <w:t>to significant regulatory oversight and could be subject to</w:t>
      </w:r>
    </w:p>
    <w:p>
      <w:pPr>
        <w:spacing w:after="0" w:line="232" w:lineRule="auto"/>
        <w:rPr>
          <w:sz w:val="20"/>
          <w:szCs w:val="20"/>
          <w:color w:val="auto"/>
        </w:rPr>
      </w:pPr>
      <w:r>
        <w:rPr>
          <w:rFonts w:ascii="Times New Roman" w:cs="Times New Roman" w:eastAsia="Times New Roman" w:hAnsi="Times New Roman"/>
          <w:sz w:val="14"/>
          <w:szCs w:val="14"/>
          <w:color w:val="auto"/>
        </w:rPr>
        <w:t>increased governmental and public scrutiny in the future that</w:t>
      </w:r>
    </w:p>
    <w:p>
      <w:pPr>
        <w:spacing w:after="0" w:line="204" w:lineRule="auto"/>
        <w:rPr>
          <w:sz w:val="20"/>
          <w:szCs w:val="20"/>
          <w:color w:val="auto"/>
        </w:rPr>
      </w:pPr>
      <w:r>
        <w:rPr>
          <w:rFonts w:ascii="Times New Roman" w:cs="Times New Roman" w:eastAsia="Times New Roman" w:hAnsi="Times New Roman"/>
          <w:sz w:val="16"/>
          <w:szCs w:val="16"/>
          <w:color w:val="auto"/>
        </w:rPr>
        <w:t>can change in response to global conditions and events, or</w:t>
      </w:r>
    </w:p>
    <w:p>
      <w:pPr>
        <w:spacing w:after="0" w:line="203" w:lineRule="auto"/>
        <w:rPr>
          <w:sz w:val="20"/>
          <w:szCs w:val="20"/>
          <w:color w:val="auto"/>
        </w:rPr>
      </w:pPr>
      <w:r>
        <w:rPr>
          <w:rFonts w:ascii="Times New Roman" w:cs="Times New Roman" w:eastAsia="Times New Roman" w:hAnsi="Times New Roman"/>
          <w:sz w:val="16"/>
          <w:szCs w:val="16"/>
          <w:color w:val="auto"/>
        </w:rPr>
        <w:t>due to changes in trading patterns, such as due to the recent</w:t>
      </w:r>
    </w:p>
    <w:p>
      <w:pPr>
        <w:spacing w:after="0" w:line="204" w:lineRule="auto"/>
        <w:rPr>
          <w:sz w:val="20"/>
          <w:szCs w:val="20"/>
          <w:color w:val="auto"/>
        </w:rPr>
      </w:pPr>
      <w:r>
        <w:rPr>
          <w:rFonts w:ascii="Times New Roman" w:cs="Times New Roman" w:eastAsia="Times New Roman" w:hAnsi="Times New Roman"/>
          <w:sz w:val="16"/>
          <w:szCs w:val="16"/>
          <w:color w:val="auto"/>
        </w:rPr>
        <w:t>volatility involving the trading of certain stocks. Recent</w:t>
      </w:r>
    </w:p>
    <w:p>
      <w:pPr>
        <w:spacing w:after="0" w:line="203" w:lineRule="auto"/>
        <w:rPr>
          <w:sz w:val="20"/>
          <w:szCs w:val="20"/>
          <w:color w:val="auto"/>
        </w:rPr>
      </w:pPr>
      <w:r>
        <w:rPr>
          <w:rFonts w:ascii="Times New Roman" w:cs="Times New Roman" w:eastAsia="Times New Roman" w:hAnsi="Times New Roman"/>
          <w:sz w:val="16"/>
          <w:szCs w:val="16"/>
          <w:color w:val="auto"/>
        </w:rPr>
        <w:t>domestic and worldwide political developments, including</w:t>
      </w:r>
    </w:p>
    <w:p>
      <w:pPr>
        <w:spacing w:after="0" w:line="204" w:lineRule="auto"/>
        <w:rPr>
          <w:sz w:val="20"/>
          <w:szCs w:val="20"/>
          <w:color w:val="auto"/>
        </w:rPr>
      </w:pPr>
      <w:r>
        <w:rPr>
          <w:rFonts w:ascii="Times New Roman" w:cs="Times New Roman" w:eastAsia="Times New Roman" w:hAnsi="Times New Roman"/>
          <w:sz w:val="16"/>
          <w:szCs w:val="16"/>
          <w:color w:val="auto"/>
        </w:rPr>
        <w:t>shifts in digital assets trading policy and regulatory and</w:t>
      </w:r>
    </w:p>
    <w:p>
      <w:pPr>
        <w:spacing w:after="0" w:line="203" w:lineRule="auto"/>
        <w:rPr>
          <w:sz w:val="20"/>
          <w:szCs w:val="20"/>
          <w:color w:val="auto"/>
        </w:rPr>
      </w:pPr>
      <w:r>
        <w:rPr>
          <w:rFonts w:ascii="Times New Roman" w:cs="Times New Roman" w:eastAsia="Times New Roman" w:hAnsi="Times New Roman"/>
          <w:sz w:val="16"/>
          <w:szCs w:val="16"/>
          <w:color w:val="auto"/>
        </w:rPr>
        <w:t>enforcement priorities, have added additional uncertainty</w:t>
      </w:r>
    </w:p>
    <w:p>
      <w:pPr>
        <w:spacing w:after="0" w:line="204" w:lineRule="auto"/>
        <w:rPr>
          <w:sz w:val="20"/>
          <w:szCs w:val="20"/>
          <w:color w:val="auto"/>
        </w:rPr>
      </w:pPr>
      <w:r>
        <w:rPr>
          <w:rFonts w:ascii="Times New Roman" w:cs="Times New Roman" w:eastAsia="Times New Roman" w:hAnsi="Times New Roman"/>
          <w:sz w:val="16"/>
          <w:szCs w:val="16"/>
          <w:color w:val="auto"/>
        </w:rPr>
        <w:t>with respect to both new laws and regulations and</w:t>
      </w:r>
    </w:p>
    <w:p>
      <w:pPr>
        <w:spacing w:after="0" w:line="203" w:lineRule="auto"/>
        <w:rPr>
          <w:sz w:val="20"/>
          <w:szCs w:val="20"/>
          <w:color w:val="auto"/>
        </w:rPr>
      </w:pPr>
      <w:r>
        <w:rPr>
          <w:rFonts w:ascii="Times New Roman" w:cs="Times New Roman" w:eastAsia="Times New Roman" w:hAnsi="Times New Roman"/>
          <w:sz w:val="16"/>
          <w:szCs w:val="16"/>
          <w:color w:val="auto"/>
        </w:rPr>
        <w:t>interpretations or enforcement of existing laws and</w:t>
      </w:r>
    </w:p>
    <w:p>
      <w:pPr>
        <w:spacing w:after="0" w:line="204" w:lineRule="auto"/>
        <w:rPr>
          <w:sz w:val="20"/>
          <w:szCs w:val="20"/>
          <w:color w:val="auto"/>
        </w:rPr>
      </w:pPr>
      <w:r>
        <w:rPr>
          <w:rFonts w:ascii="Times New Roman" w:cs="Times New Roman" w:eastAsia="Times New Roman" w:hAnsi="Times New Roman"/>
          <w:sz w:val="16"/>
          <w:szCs w:val="16"/>
          <w:color w:val="auto"/>
        </w:rPr>
        <w:t>regulations. Changes in regulatory policies regarding</w:t>
      </w:r>
    </w:p>
    <w:p>
      <w:pPr>
        <w:spacing w:after="0" w:line="204" w:lineRule="auto"/>
        <w:rPr>
          <w:sz w:val="20"/>
          <w:szCs w:val="20"/>
          <w:color w:val="auto"/>
        </w:rPr>
      </w:pPr>
      <w:r>
        <w:rPr>
          <w:rFonts w:ascii="Times New Roman" w:cs="Times New Roman" w:eastAsia="Times New Roman" w:hAnsi="Times New Roman"/>
          <w:sz w:val="16"/>
          <w:szCs w:val="16"/>
          <w:color w:val="auto"/>
        </w:rPr>
        <w:t>tokenized securities, synthetic assets or other digital assets</w:t>
      </w:r>
    </w:p>
    <w:p>
      <w:pPr>
        <w:spacing w:after="0" w:line="203" w:lineRule="auto"/>
        <w:rPr>
          <w:sz w:val="20"/>
          <w:szCs w:val="20"/>
          <w:color w:val="auto"/>
        </w:rPr>
      </w:pPr>
      <w:r>
        <w:rPr>
          <w:rFonts w:ascii="Times New Roman" w:cs="Times New Roman" w:eastAsia="Times New Roman" w:hAnsi="Times New Roman"/>
          <w:sz w:val="16"/>
          <w:szCs w:val="16"/>
          <w:color w:val="auto"/>
        </w:rPr>
        <w:t>may enable new market entrants and competitors to offer</w:t>
      </w:r>
    </w:p>
    <w:p>
      <w:pPr>
        <w:spacing w:after="0" w:line="204" w:lineRule="auto"/>
        <w:rPr>
          <w:sz w:val="20"/>
          <w:szCs w:val="20"/>
          <w:color w:val="auto"/>
        </w:rPr>
      </w:pPr>
      <w:r>
        <w:rPr>
          <w:rFonts w:ascii="Times New Roman" w:cs="Times New Roman" w:eastAsia="Times New Roman" w:hAnsi="Times New Roman"/>
          <w:sz w:val="16"/>
          <w:szCs w:val="16"/>
          <w:color w:val="auto"/>
        </w:rPr>
        <w:t>these products under a different, less onerous regulatory</w:t>
      </w:r>
    </w:p>
    <w:p>
      <w:pPr>
        <w:spacing w:after="0" w:line="232" w:lineRule="auto"/>
        <w:rPr>
          <w:sz w:val="20"/>
          <w:szCs w:val="20"/>
          <w:color w:val="auto"/>
        </w:rPr>
      </w:pPr>
      <w:r>
        <w:rPr>
          <w:rFonts w:ascii="Times New Roman" w:cs="Times New Roman" w:eastAsia="Times New Roman" w:hAnsi="Times New Roman"/>
          <w:sz w:val="14"/>
          <w:szCs w:val="14"/>
          <w:color w:val="auto"/>
        </w:rPr>
        <w:t>regime, which may affect our business, clients and results of</w:t>
      </w:r>
    </w:p>
    <w:p>
      <w:pPr>
        <w:spacing w:after="0" w:line="204" w:lineRule="auto"/>
        <w:rPr>
          <w:sz w:val="20"/>
          <w:szCs w:val="20"/>
          <w:color w:val="auto"/>
        </w:rPr>
      </w:pPr>
      <w:r>
        <w:rPr>
          <w:rFonts w:ascii="Times New Roman" w:cs="Times New Roman" w:eastAsia="Times New Roman" w:hAnsi="Times New Roman"/>
          <w:sz w:val="16"/>
          <w:szCs w:val="16"/>
          <w:color w:val="auto"/>
        </w:rPr>
        <w:t>operations.</w:t>
      </w:r>
    </w:p>
    <w:p>
      <w:pPr>
        <w:spacing w:after="0" w:line="232" w:lineRule="auto"/>
        <w:rPr>
          <w:sz w:val="20"/>
          <w:szCs w:val="20"/>
          <w:color w:val="auto"/>
        </w:rPr>
      </w:pPr>
      <w:r>
        <w:rPr>
          <w:rFonts w:ascii="Times New Roman" w:cs="Times New Roman" w:eastAsia="Times New Roman" w:hAnsi="Times New Roman"/>
          <w:sz w:val="14"/>
          <w:szCs w:val="14"/>
          <w:color w:val="auto"/>
        </w:rPr>
        <w:t>Our ability to comply with complex and changing regulation</w:t>
      </w:r>
    </w:p>
    <w:p>
      <w:pPr>
        <w:spacing w:after="0" w:line="233" w:lineRule="auto"/>
        <w:rPr>
          <w:sz w:val="20"/>
          <w:szCs w:val="20"/>
          <w:color w:val="auto"/>
        </w:rPr>
      </w:pPr>
      <w:r>
        <w:rPr>
          <w:rFonts w:ascii="Times New Roman" w:cs="Times New Roman" w:eastAsia="Times New Roman" w:hAnsi="Times New Roman"/>
          <w:sz w:val="14"/>
          <w:szCs w:val="14"/>
          <w:color w:val="auto"/>
        </w:rPr>
        <w:t>is largely dependent on our establishment and maintenance of</w:t>
      </w:r>
    </w:p>
    <w:p>
      <w:pPr>
        <w:spacing w:after="0" w:line="204" w:lineRule="auto"/>
        <w:rPr>
          <w:sz w:val="20"/>
          <w:szCs w:val="20"/>
          <w:color w:val="auto"/>
        </w:rPr>
      </w:pPr>
      <w:r>
        <w:rPr>
          <w:rFonts w:ascii="Times New Roman" w:cs="Times New Roman" w:eastAsia="Times New Roman" w:hAnsi="Times New Roman"/>
          <w:sz w:val="16"/>
          <w:szCs w:val="16"/>
          <w:color w:val="auto"/>
        </w:rPr>
        <w:t>compliance, audit and reporting systems that can quickly</w:t>
      </w:r>
    </w:p>
    <w:p>
      <w:pPr>
        <w:spacing w:after="0" w:line="232" w:lineRule="auto"/>
        <w:rPr>
          <w:sz w:val="20"/>
          <w:szCs w:val="20"/>
          <w:color w:val="auto"/>
        </w:rPr>
      </w:pPr>
      <w:r>
        <w:rPr>
          <w:rFonts w:ascii="Times New Roman" w:cs="Times New Roman" w:eastAsia="Times New Roman" w:hAnsi="Times New Roman"/>
          <w:sz w:val="14"/>
          <w:szCs w:val="14"/>
          <w:color w:val="auto"/>
        </w:rPr>
        <w:t>adapt and respond, as well as our ability to attract and retain</w:t>
      </w:r>
    </w:p>
    <w:p>
      <w:pPr>
        <w:spacing w:after="0" w:line="204" w:lineRule="auto"/>
        <w:rPr>
          <w:sz w:val="20"/>
          <w:szCs w:val="20"/>
          <w:color w:val="auto"/>
        </w:rPr>
      </w:pPr>
      <w:r>
        <w:rPr>
          <w:rFonts w:ascii="Times New Roman" w:cs="Times New Roman" w:eastAsia="Times New Roman" w:hAnsi="Times New Roman"/>
          <w:sz w:val="16"/>
          <w:szCs w:val="16"/>
          <w:color w:val="auto"/>
        </w:rPr>
        <w:t>qualified compliance and other risk management personnel.</w:t>
      </w:r>
    </w:p>
    <w:p>
      <w:pPr>
        <w:spacing w:after="0" w:line="203" w:lineRule="auto"/>
        <w:rPr>
          <w:sz w:val="20"/>
          <w:szCs w:val="20"/>
          <w:color w:val="auto"/>
        </w:rPr>
      </w:pPr>
      <w:r>
        <w:rPr>
          <w:rFonts w:ascii="Times New Roman" w:cs="Times New Roman" w:eastAsia="Times New Roman" w:hAnsi="Times New Roman"/>
          <w:sz w:val="16"/>
          <w:szCs w:val="16"/>
          <w:color w:val="auto"/>
        </w:rPr>
        <w:t>There is no assurance that our policies and procedures will</w:t>
      </w:r>
    </w:p>
    <w:p>
      <w:pPr>
        <w:spacing w:after="0" w:line="204" w:lineRule="auto"/>
        <w:rPr>
          <w:sz w:val="20"/>
          <w:szCs w:val="20"/>
          <w:color w:val="auto"/>
        </w:rPr>
      </w:pPr>
      <w:r>
        <w:rPr>
          <w:rFonts w:ascii="Times New Roman" w:cs="Times New Roman" w:eastAsia="Times New Roman" w:hAnsi="Times New Roman"/>
          <w:sz w:val="16"/>
          <w:szCs w:val="16"/>
          <w:color w:val="auto"/>
        </w:rPr>
        <w:t>always be effective or that we will always be successful in</w:t>
      </w:r>
    </w:p>
    <w:p>
      <w:pPr>
        <w:spacing w:after="0"/>
        <w:rPr>
          <w:sz w:val="20"/>
          <w:szCs w:val="20"/>
          <w:color w:val="auto"/>
        </w:rPr>
      </w:pPr>
      <w:r>
        <w:rPr>
          <w:rFonts w:ascii="Times New Roman" w:cs="Times New Roman" w:eastAsia="Times New Roman" w:hAnsi="Times New Roman"/>
          <w:sz w:val="14"/>
          <w:szCs w:val="14"/>
          <w:color w:val="auto"/>
        </w:rPr>
        <w:t>monitoring or evaluating the risks to which we are or may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w:t>
      </w:r>
    </w:p>
    <w:p>
      <w:pPr>
        <w:spacing w:after="0" w:line="203" w:lineRule="auto"/>
        <w:rPr>
          <w:sz w:val="20"/>
          <w:szCs w:val="20"/>
          <w:color w:val="auto"/>
        </w:rPr>
      </w:pPr>
      <w:r>
        <w:rPr>
          <w:rFonts w:ascii="Times New Roman" w:cs="Times New Roman" w:eastAsia="Times New Roman" w:hAnsi="Times New Roman"/>
          <w:sz w:val="16"/>
          <w:szCs w:val="16"/>
          <w:color w:val="auto"/>
        </w:rPr>
        <w:t>pricing structure, must be reviewed and in many cases</w:t>
      </w:r>
    </w:p>
    <w:p>
      <w:pPr>
        <w:spacing w:after="0" w:line="204" w:lineRule="auto"/>
        <w:rPr>
          <w:sz w:val="20"/>
          <w:szCs w:val="20"/>
          <w:color w:val="auto"/>
        </w:rPr>
      </w:pPr>
      <w:r>
        <w:rPr>
          <w:rFonts w:ascii="Times New Roman" w:cs="Times New Roman" w:eastAsia="Times New Roman" w:hAnsi="Times New Roman"/>
          <w:sz w:val="16"/>
          <w:szCs w:val="16"/>
          <w:color w:val="auto"/>
        </w:rPr>
        <w:t>explicitly approved by the SEC. The SEC may approve,</w:t>
      </w:r>
    </w:p>
    <w:p>
      <w:pPr>
        <w:spacing w:after="0" w:line="203" w:lineRule="auto"/>
        <w:rPr>
          <w:sz w:val="20"/>
          <w:szCs w:val="20"/>
          <w:color w:val="auto"/>
        </w:rPr>
      </w:pPr>
      <w:r>
        <w:rPr>
          <w:rFonts w:ascii="Times New Roman" w:cs="Times New Roman" w:eastAsia="Times New Roman" w:hAnsi="Times New Roman"/>
          <w:sz w:val="16"/>
          <w:szCs w:val="16"/>
          <w:color w:val="auto"/>
        </w:rPr>
        <w:t>disapprove, or recommend changes to proposals that we</w:t>
      </w:r>
    </w:p>
    <w:p>
      <w:pPr>
        <w:spacing w:after="0" w:line="204" w:lineRule="auto"/>
        <w:rPr>
          <w:sz w:val="20"/>
          <w:szCs w:val="20"/>
          <w:color w:val="auto"/>
        </w:rPr>
      </w:pPr>
      <w:r>
        <w:rPr>
          <w:rFonts w:ascii="Times New Roman" w:cs="Times New Roman" w:eastAsia="Times New Roman" w:hAnsi="Times New Roman"/>
          <w:sz w:val="16"/>
          <w:szCs w:val="16"/>
          <w:color w:val="auto"/>
        </w:rPr>
        <w:t>submit. In addition, the SEC may delay either the approval</w:t>
      </w:r>
    </w:p>
    <w:p>
      <w:pPr>
        <w:spacing w:after="0" w:line="203" w:lineRule="auto"/>
        <w:rPr>
          <w:sz w:val="20"/>
          <w:szCs w:val="20"/>
          <w:color w:val="auto"/>
        </w:rPr>
      </w:pPr>
      <w:r>
        <w:rPr>
          <w:rFonts w:ascii="Times New Roman" w:cs="Times New Roman" w:eastAsia="Times New Roman" w:hAnsi="Times New Roman"/>
          <w:sz w:val="16"/>
          <w:szCs w:val="16"/>
          <w:color w:val="auto"/>
        </w:rPr>
        <w:t>process or the initiation of the public comment process.</w:t>
      </w:r>
    </w:p>
    <w:p>
      <w:pPr>
        <w:spacing w:after="0" w:line="233" w:lineRule="auto"/>
        <w:rPr>
          <w:sz w:val="20"/>
          <w:szCs w:val="20"/>
          <w:color w:val="auto"/>
        </w:rPr>
      </w:pPr>
      <w:r>
        <w:rPr>
          <w:rFonts w:ascii="Times New Roman" w:cs="Times New Roman" w:eastAsia="Times New Roman" w:hAnsi="Times New Roman"/>
          <w:sz w:val="14"/>
          <w:szCs w:val="14"/>
          <w:color w:val="auto"/>
        </w:rPr>
        <w:t>Favorable SEC rulings and interpretations can be challenged</w:t>
      </w:r>
    </w:p>
    <w:p>
      <w:pPr>
        <w:spacing w:after="0" w:line="203" w:lineRule="auto"/>
        <w:rPr>
          <w:sz w:val="20"/>
          <w:szCs w:val="20"/>
          <w:color w:val="auto"/>
        </w:rPr>
      </w:pPr>
      <w:r>
        <w:rPr>
          <w:rFonts w:ascii="Times New Roman" w:cs="Times New Roman" w:eastAsia="Times New Roman" w:hAnsi="Times New Roman"/>
          <w:sz w:val="16"/>
          <w:szCs w:val="16"/>
          <w:color w:val="auto"/>
        </w:rPr>
        <w:t>in and reversed by federal courts of appeals, reducing or</w:t>
      </w:r>
    </w:p>
    <w:p>
      <w:pPr>
        <w:spacing w:after="0" w:line="233" w:lineRule="auto"/>
        <w:rPr>
          <w:sz w:val="20"/>
          <w:szCs w:val="20"/>
          <w:color w:val="auto"/>
        </w:rPr>
      </w:pPr>
      <w:r>
        <w:rPr>
          <w:rFonts w:ascii="Times New Roman" w:cs="Times New Roman" w:eastAsia="Times New Roman" w:hAnsi="Times New Roman"/>
          <w:sz w:val="14"/>
          <w:szCs w:val="14"/>
          <w:color w:val="auto"/>
        </w:rPr>
        <w:t>eliminating the value of such prior interpretations. Any delay</w:t>
      </w:r>
    </w:p>
    <w:p>
      <w:pPr>
        <w:spacing w:after="0" w:line="233" w:lineRule="auto"/>
        <w:rPr>
          <w:sz w:val="20"/>
          <w:szCs w:val="20"/>
          <w:color w:val="auto"/>
        </w:rPr>
      </w:pPr>
      <w:r>
        <w:rPr>
          <w:rFonts w:ascii="Times New Roman" w:cs="Times New Roman" w:eastAsia="Times New Roman" w:hAnsi="Times New Roman"/>
          <w:sz w:val="14"/>
          <w:szCs w:val="14"/>
          <w:color w:val="auto"/>
        </w:rPr>
        <w:t>in approving changes, or the altering of any proposed change,</w:t>
      </w:r>
    </w:p>
    <w:p>
      <w:pPr>
        <w:spacing w:after="0" w:line="203" w:lineRule="auto"/>
        <w:rPr>
          <w:sz w:val="20"/>
          <w:szCs w:val="20"/>
          <w:color w:val="auto"/>
        </w:rPr>
      </w:pPr>
      <w:r>
        <w:rPr>
          <w:rFonts w:ascii="Times New Roman" w:cs="Times New Roman" w:eastAsia="Times New Roman" w:hAnsi="Times New Roman"/>
          <w:sz w:val="16"/>
          <w:szCs w:val="16"/>
          <w:color w:val="auto"/>
        </w:rPr>
        <w:t>could have an adverse effect on our business, financial</w:t>
      </w:r>
    </w:p>
    <w:p>
      <w:pPr>
        <w:spacing w:after="0" w:line="204" w:lineRule="auto"/>
        <w:rPr>
          <w:sz w:val="20"/>
          <w:szCs w:val="20"/>
          <w:color w:val="auto"/>
        </w:rPr>
      </w:pPr>
      <w:r>
        <w:rPr>
          <w:rFonts w:ascii="Times New Roman" w:cs="Times New Roman" w:eastAsia="Times New Roman" w:hAnsi="Times New Roman"/>
          <w:sz w:val="16"/>
          <w:szCs w:val="16"/>
          <w:color w:val="auto"/>
        </w:rPr>
        <w:t>condition and operating results.</w:t>
      </w:r>
    </w:p>
    <w:p>
      <w:pPr>
        <w:spacing w:after="0" w:line="203" w:lineRule="auto"/>
        <w:rPr>
          <w:sz w:val="20"/>
          <w:szCs w:val="20"/>
          <w:color w:val="auto"/>
        </w:rPr>
      </w:pPr>
      <w:r>
        <w:rPr>
          <w:rFonts w:ascii="Times New Roman" w:cs="Times New Roman" w:eastAsia="Times New Roman" w:hAnsi="Times New Roman"/>
          <w:sz w:val="16"/>
          <w:szCs w:val="16"/>
          <w:color w:val="auto"/>
        </w:rPr>
        <w:t>We must compete not only with non-exchanges, such as</w:t>
      </w:r>
    </w:p>
    <w:p>
      <w:pPr>
        <w:spacing w:after="0" w:line="204" w:lineRule="auto"/>
        <w:rPr>
          <w:sz w:val="20"/>
          <w:szCs w:val="20"/>
          <w:color w:val="auto"/>
        </w:rPr>
      </w:pPr>
      <w:r>
        <w:rPr>
          <w:rFonts w:ascii="Times New Roman" w:cs="Times New Roman" w:eastAsia="Times New Roman" w:hAnsi="Times New Roman"/>
          <w:sz w:val="16"/>
          <w:szCs w:val="16"/>
          <w:color w:val="auto"/>
        </w:rPr>
        <w:t>ATSs that are not subject to the same SEC approval</w:t>
      </w:r>
    </w:p>
    <w:p>
      <w:pPr>
        <w:spacing w:after="0" w:line="204" w:lineRule="auto"/>
        <w:rPr>
          <w:sz w:val="20"/>
          <w:szCs w:val="20"/>
          <w:color w:val="auto"/>
        </w:rPr>
      </w:pPr>
      <w:r>
        <w:rPr>
          <w:rFonts w:ascii="Times New Roman" w:cs="Times New Roman" w:eastAsia="Times New Roman" w:hAnsi="Times New Roman"/>
          <w:sz w:val="16"/>
          <w:szCs w:val="16"/>
          <w:color w:val="auto"/>
        </w:rPr>
        <w:t>requirements and processes, but also with other exchanges</w:t>
      </w:r>
    </w:p>
    <w:p>
      <w:pPr>
        <w:spacing w:after="0" w:line="203" w:lineRule="auto"/>
        <w:rPr>
          <w:sz w:val="20"/>
          <w:szCs w:val="20"/>
          <w:color w:val="auto"/>
        </w:rPr>
      </w:pPr>
      <w:r>
        <w:rPr>
          <w:rFonts w:ascii="Times New Roman" w:cs="Times New Roman" w:eastAsia="Times New Roman" w:hAnsi="Times New Roman"/>
          <w:sz w:val="16"/>
          <w:szCs w:val="16"/>
          <w:color w:val="auto"/>
        </w:rPr>
        <w:t>that may have lower regulation and surveillance costs than</w:t>
      </w:r>
    </w:p>
    <w:p>
      <w:pPr>
        <w:spacing w:after="0" w:line="233" w:lineRule="auto"/>
        <w:rPr>
          <w:sz w:val="20"/>
          <w:szCs w:val="20"/>
          <w:color w:val="auto"/>
        </w:rPr>
      </w:pPr>
      <w:r>
        <w:rPr>
          <w:rFonts w:ascii="Times New Roman" w:cs="Times New Roman" w:eastAsia="Times New Roman" w:hAnsi="Times New Roman"/>
          <w:sz w:val="14"/>
          <w:szCs w:val="14"/>
          <w:color w:val="auto"/>
        </w:rPr>
        <w:t>us. There is a risk that trading will shift to exchanges or non-</w:t>
      </w:r>
    </w:p>
    <w:p>
      <w:pPr>
        <w:spacing w:after="0" w:line="203" w:lineRule="auto"/>
        <w:rPr>
          <w:sz w:val="20"/>
          <w:szCs w:val="20"/>
          <w:color w:val="auto"/>
        </w:rPr>
      </w:pPr>
      <w:r>
        <w:rPr>
          <w:rFonts w:ascii="Times New Roman" w:cs="Times New Roman" w:eastAsia="Times New Roman" w:hAnsi="Times New Roman"/>
          <w:sz w:val="16"/>
          <w:szCs w:val="16"/>
          <w:color w:val="auto"/>
        </w:rPr>
        <w:t>exchanges that charge lower fees because, among other</w:t>
      </w:r>
    </w:p>
    <w:p>
      <w:pPr>
        <w:spacing w:after="0" w:line="204" w:lineRule="auto"/>
        <w:rPr>
          <w:sz w:val="20"/>
          <w:szCs w:val="20"/>
          <w:color w:val="auto"/>
        </w:rPr>
      </w:pPr>
      <w:r>
        <w:rPr>
          <w:rFonts w:ascii="Times New Roman" w:cs="Times New Roman" w:eastAsia="Times New Roman" w:hAnsi="Times New Roman"/>
          <w:sz w:val="16"/>
          <w:szCs w:val="16"/>
          <w:color w:val="auto"/>
        </w:rPr>
        <w:t>reasons, they invest less in regulation.</w:t>
      </w:r>
    </w:p>
    <w:p>
      <w:pPr>
        <w:spacing w:after="0" w:line="203" w:lineRule="auto"/>
        <w:rPr>
          <w:sz w:val="20"/>
          <w:szCs w:val="20"/>
          <w:color w:val="auto"/>
        </w:rPr>
      </w:pPr>
      <w:r>
        <w:rPr>
          <w:rFonts w:ascii="Times New Roman" w:cs="Times New Roman" w:eastAsia="Times New Roman" w:hAnsi="Times New Roman"/>
          <w:sz w:val="16"/>
          <w:szCs w:val="16"/>
          <w:color w:val="auto"/>
        </w:rPr>
        <w:t>In 2016, the SEC approved a plan for Nasdaq and other</w:t>
      </w:r>
    </w:p>
    <w:p>
      <w:pPr>
        <w:spacing w:after="0" w:line="204" w:lineRule="auto"/>
        <w:rPr>
          <w:sz w:val="20"/>
          <w:szCs w:val="20"/>
          <w:color w:val="auto"/>
        </w:rPr>
      </w:pPr>
      <w:r>
        <w:rPr>
          <w:rFonts w:ascii="Times New Roman" w:cs="Times New Roman" w:eastAsia="Times New Roman" w:hAnsi="Times New Roman"/>
          <w:sz w:val="16"/>
          <w:szCs w:val="16"/>
          <w:color w:val="auto"/>
        </w:rPr>
        <w:t>exchanges to establish a CAT to improve regulators’ ability</w:t>
      </w:r>
    </w:p>
    <w:p>
      <w:pPr>
        <w:spacing w:after="0" w:line="204" w:lineRule="auto"/>
        <w:rPr>
          <w:sz w:val="20"/>
          <w:szCs w:val="20"/>
          <w:color w:val="auto"/>
        </w:rPr>
      </w:pPr>
      <w:r>
        <w:rPr>
          <w:rFonts w:ascii="Times New Roman" w:cs="Times New Roman" w:eastAsia="Times New Roman" w:hAnsi="Times New Roman"/>
          <w:sz w:val="16"/>
          <w:szCs w:val="16"/>
          <w:color w:val="auto"/>
        </w:rPr>
        <w:t>to monitor trading activity. Implementation of a CAT has</w:t>
      </w:r>
    </w:p>
    <w:p>
      <w:pPr>
        <w:spacing w:after="0" w:line="203" w:lineRule="auto"/>
        <w:rPr>
          <w:sz w:val="20"/>
          <w:szCs w:val="20"/>
          <w:color w:val="auto"/>
        </w:rPr>
      </w:pPr>
      <w:r>
        <w:rPr>
          <w:rFonts w:ascii="Times New Roman" w:cs="Times New Roman" w:eastAsia="Times New Roman" w:hAnsi="Times New Roman"/>
          <w:sz w:val="16"/>
          <w:szCs w:val="16"/>
          <w:color w:val="auto"/>
        </w:rPr>
        <w:t>resulted in significant additional expenditures, including to</w:t>
      </w:r>
    </w:p>
    <w:p>
      <w:pPr>
        <w:spacing w:after="0" w:line="204" w:lineRule="auto"/>
        <w:rPr>
          <w:sz w:val="20"/>
          <w:szCs w:val="20"/>
          <w:color w:val="auto"/>
        </w:rPr>
      </w:pPr>
      <w:r>
        <w:rPr>
          <w:rFonts w:ascii="Times New Roman" w:cs="Times New Roman" w:eastAsia="Times New Roman" w:hAnsi="Times New Roman"/>
          <w:sz w:val="16"/>
          <w:szCs w:val="16"/>
          <w:color w:val="auto"/>
        </w:rPr>
        <w:t>implement the costly and complex new technology. In</w:t>
      </w:r>
    </w:p>
    <w:p>
      <w:pPr>
        <w:spacing w:after="0" w:line="203" w:lineRule="auto"/>
        <w:rPr>
          <w:sz w:val="20"/>
          <w:szCs w:val="20"/>
          <w:color w:val="auto"/>
        </w:rPr>
      </w:pPr>
      <w:r>
        <w:rPr>
          <w:rFonts w:ascii="Times New Roman" w:cs="Times New Roman" w:eastAsia="Times New Roman" w:hAnsi="Times New Roman"/>
          <w:sz w:val="16"/>
          <w:szCs w:val="16"/>
          <w:color w:val="auto"/>
        </w:rPr>
        <w:t>September 2023, the SEC approved a “Funding Model” for</w:t>
      </w:r>
    </w:p>
    <w:p>
      <w:pPr>
        <w:spacing w:after="0" w:line="204" w:lineRule="auto"/>
        <w:rPr>
          <w:sz w:val="20"/>
          <w:szCs w:val="20"/>
          <w:color w:val="auto"/>
        </w:rPr>
      </w:pPr>
      <w:r>
        <w:rPr>
          <w:rFonts w:ascii="Times New Roman" w:cs="Times New Roman" w:eastAsia="Times New Roman" w:hAnsi="Times New Roman"/>
          <w:sz w:val="16"/>
          <w:szCs w:val="16"/>
          <w:color w:val="auto"/>
        </w:rPr>
        <w:t>the CAT that allocated one-third of CAT expenses to the</w:t>
      </w:r>
    </w:p>
    <w:p>
      <w:pPr>
        <w:spacing w:after="0" w:line="232" w:lineRule="auto"/>
        <w:rPr>
          <w:sz w:val="20"/>
          <w:szCs w:val="20"/>
          <w:color w:val="auto"/>
        </w:rPr>
      </w:pPr>
      <w:r>
        <w:rPr>
          <w:rFonts w:ascii="Times New Roman" w:cs="Times New Roman" w:eastAsia="Times New Roman" w:hAnsi="Times New Roman"/>
          <w:sz w:val="14"/>
          <w:szCs w:val="14"/>
          <w:color w:val="auto"/>
        </w:rPr>
        <w:t>SROs, including Nasdaq, and two-thirds of CAT expenses to</w:t>
      </w:r>
    </w:p>
    <w:p>
      <w:pPr>
        <w:spacing w:after="0" w:line="204" w:lineRule="auto"/>
        <w:rPr>
          <w:sz w:val="20"/>
          <w:szCs w:val="20"/>
          <w:color w:val="auto"/>
        </w:rPr>
      </w:pPr>
      <w:r>
        <w:rPr>
          <w:rFonts w:ascii="Times New Roman" w:cs="Times New Roman" w:eastAsia="Times New Roman" w:hAnsi="Times New Roman"/>
          <w:sz w:val="16"/>
          <w:szCs w:val="16"/>
          <w:color w:val="auto"/>
        </w:rPr>
        <w:t>the industry. This SEC approval order was appealed to the</w:t>
      </w:r>
    </w:p>
    <w:p>
      <w:pPr>
        <w:spacing w:after="0" w:line="233" w:lineRule="auto"/>
        <w:rPr>
          <w:sz w:val="20"/>
          <w:szCs w:val="20"/>
          <w:color w:val="auto"/>
        </w:rPr>
      </w:pPr>
      <w:r>
        <w:rPr>
          <w:rFonts w:ascii="Times New Roman" w:cs="Times New Roman" w:eastAsia="Times New Roman" w:hAnsi="Times New Roman"/>
          <w:sz w:val="14"/>
          <w:szCs w:val="14"/>
          <w:color w:val="auto"/>
        </w:rPr>
        <w:t>11th Circuit U.S. Court of Appeals, which issued an opinion</w:t>
      </w:r>
    </w:p>
    <w:p>
      <w:pPr>
        <w:spacing w:after="0" w:line="203" w:lineRule="auto"/>
        <w:rPr>
          <w:sz w:val="20"/>
          <w:szCs w:val="20"/>
          <w:color w:val="auto"/>
        </w:rPr>
      </w:pPr>
      <w:r>
        <w:rPr>
          <w:rFonts w:ascii="Times New Roman" w:cs="Times New Roman" w:eastAsia="Times New Roman" w:hAnsi="Times New Roman"/>
          <w:sz w:val="16"/>
          <w:szCs w:val="16"/>
          <w:color w:val="auto"/>
        </w:rPr>
        <w:t>in July 2025 vacating the Funding Model. The court's</w:t>
      </w:r>
    </w:p>
    <w:p>
      <w:pPr>
        <w:spacing w:after="0" w:line="204" w:lineRule="auto"/>
        <w:rPr>
          <w:sz w:val="20"/>
          <w:szCs w:val="20"/>
          <w:color w:val="auto"/>
        </w:rPr>
      </w:pPr>
      <w:r>
        <w:rPr>
          <w:rFonts w:ascii="Times New Roman" w:cs="Times New Roman" w:eastAsia="Times New Roman" w:hAnsi="Times New Roman"/>
          <w:sz w:val="16"/>
          <w:szCs w:val="16"/>
          <w:color w:val="auto"/>
        </w:rPr>
        <w:t>decision was subject to a temporary stay that expired at the</w:t>
      </w:r>
    </w:p>
    <w:p>
      <w:pPr>
        <w:spacing w:after="0" w:line="203" w:lineRule="auto"/>
        <w:rPr>
          <w:sz w:val="20"/>
          <w:szCs w:val="20"/>
          <w:color w:val="auto"/>
        </w:rPr>
      </w:pPr>
      <w:r>
        <w:rPr>
          <w:rFonts w:ascii="Times New Roman" w:cs="Times New Roman" w:eastAsia="Times New Roman" w:hAnsi="Times New Roman"/>
          <w:sz w:val="16"/>
          <w:szCs w:val="16"/>
          <w:color w:val="auto"/>
        </w:rPr>
        <w:t>end of November 2025. As a result, we may be subject to a</w:t>
      </w:r>
    </w:p>
    <w:p>
      <w:pPr>
        <w:spacing w:after="0" w:line="204" w:lineRule="auto"/>
        <w:rPr>
          <w:sz w:val="20"/>
          <w:szCs w:val="20"/>
          <w:color w:val="auto"/>
        </w:rPr>
      </w:pPr>
      <w:r>
        <w:rPr>
          <w:rFonts w:ascii="Times New Roman" w:cs="Times New Roman" w:eastAsia="Times New Roman" w:hAnsi="Times New Roman"/>
          <w:sz w:val="16"/>
          <w:szCs w:val="16"/>
          <w:color w:val="auto"/>
        </w:rPr>
        <w:t>delay in recovering expenses or be unable to recover those</w:t>
      </w:r>
    </w:p>
    <w:p>
      <w:pPr>
        <w:spacing w:after="0" w:line="203" w:lineRule="auto"/>
        <w:rPr>
          <w:sz w:val="20"/>
          <w:szCs w:val="20"/>
          <w:color w:val="auto"/>
        </w:rPr>
      </w:pPr>
      <w:r>
        <w:rPr>
          <w:rFonts w:ascii="Times New Roman" w:cs="Times New Roman" w:eastAsia="Times New Roman" w:hAnsi="Times New Roman"/>
          <w:sz w:val="16"/>
          <w:szCs w:val="16"/>
          <w:color w:val="auto"/>
        </w:rPr>
        <w:t>expenses. The SROs have yet to seek reimbursement for a</w:t>
      </w:r>
    </w:p>
    <w:p>
      <w:pPr>
        <w:spacing w:after="0" w:line="204" w:lineRule="auto"/>
        <w:rPr>
          <w:sz w:val="20"/>
          <w:szCs w:val="20"/>
          <w:color w:val="auto"/>
        </w:rPr>
      </w:pPr>
      <w:r>
        <w:rPr>
          <w:rFonts w:ascii="Times New Roman" w:cs="Times New Roman" w:eastAsia="Times New Roman" w:hAnsi="Times New Roman"/>
          <w:sz w:val="16"/>
          <w:szCs w:val="16"/>
          <w:color w:val="auto"/>
        </w:rPr>
        <w:t>portion of their expenses related to delivery of certain</w:t>
      </w:r>
    </w:p>
    <w:p>
      <w:pPr>
        <w:spacing w:after="0" w:line="233" w:lineRule="auto"/>
        <w:rPr>
          <w:sz w:val="20"/>
          <w:szCs w:val="20"/>
          <w:color w:val="auto"/>
        </w:rPr>
      </w:pPr>
      <w:r>
        <w:rPr>
          <w:rFonts w:ascii="Times New Roman" w:cs="Times New Roman" w:eastAsia="Times New Roman" w:hAnsi="Times New Roman"/>
          <w:sz w:val="14"/>
          <w:szCs w:val="14"/>
          <w:color w:val="auto"/>
        </w:rPr>
        <w:t>technology. If the SEC determines that we failed to timely or</w:t>
      </w:r>
    </w:p>
    <w:p>
      <w:pPr>
        <w:spacing w:after="0"/>
        <w:rPr>
          <w:sz w:val="20"/>
          <w:szCs w:val="20"/>
          <w:color w:val="auto"/>
        </w:rPr>
      </w:pPr>
      <w:r>
        <w:rPr>
          <w:rFonts w:ascii="Times New Roman" w:cs="Times New Roman" w:eastAsia="Times New Roman" w:hAnsi="Times New Roman"/>
          <w:sz w:val="16"/>
          <w:szCs w:val="16"/>
          <w:color w:val="auto"/>
        </w:rPr>
        <w:t>properly deliver the technology, we may forfeit recovery of</w:t>
      </w:r>
    </w:p>
    <w:p>
      <w:pPr>
        <w:sectPr>
          <w:pgSz w:w="11900" w:h="16840" w:orient="portrait"/>
          <w:cols w:equalWidth="0" w:num="1">
            <w:col w:w="9400"/>
          </w:cols>
          <w:pgMar w:left="1060" w:top="547" w:right="1440" w:bottom="8"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an undetermined portion of those expenses. As of December</w:t>
      </w:r>
    </w:p>
    <w:p>
      <w:pPr>
        <w:spacing w:after="0" w:line="220" w:lineRule="auto"/>
        <w:rPr>
          <w:sz w:val="20"/>
          <w:szCs w:val="20"/>
          <w:color w:val="auto"/>
        </w:rPr>
      </w:pPr>
      <w:r>
        <w:rPr>
          <w:rFonts w:ascii="Times New Roman" w:cs="Times New Roman" w:eastAsia="Times New Roman" w:hAnsi="Times New Roman"/>
          <w:sz w:val="16"/>
          <w:szCs w:val="16"/>
          <w:color w:val="auto"/>
        </w:rPr>
        <w:t>31, 2025, we have an outstanding net receivable of $99</w:t>
      </w:r>
    </w:p>
    <w:p>
      <w:pPr>
        <w:spacing w:after="0" w:line="233" w:lineRule="auto"/>
        <w:rPr>
          <w:sz w:val="20"/>
          <w:szCs w:val="20"/>
          <w:color w:val="auto"/>
        </w:rPr>
      </w:pPr>
      <w:r>
        <w:rPr>
          <w:rFonts w:ascii="Times New Roman" w:cs="Times New Roman" w:eastAsia="Times New Roman" w:hAnsi="Times New Roman"/>
          <w:sz w:val="14"/>
          <w:szCs w:val="14"/>
          <w:color w:val="auto"/>
        </w:rPr>
        <w:t>million in connection with our portion of expenses related to</w:t>
      </w:r>
    </w:p>
    <w:p>
      <w:pPr>
        <w:spacing w:after="0" w:line="203" w:lineRule="auto"/>
        <w:rPr>
          <w:sz w:val="20"/>
          <w:szCs w:val="20"/>
          <w:color w:val="auto"/>
        </w:rPr>
      </w:pPr>
      <w:r>
        <w:rPr>
          <w:rFonts w:ascii="Times New Roman" w:cs="Times New Roman" w:eastAsia="Times New Roman" w:hAnsi="Times New Roman"/>
          <w:sz w:val="16"/>
          <w:szCs w:val="16"/>
          <w:color w:val="auto"/>
        </w:rPr>
        <w:t>the CAT implementation.</w:t>
      </w:r>
    </w:p>
    <w:p>
      <w:pPr>
        <w:spacing w:after="0" w:line="204" w:lineRule="auto"/>
        <w:rPr>
          <w:sz w:val="20"/>
          <w:szCs w:val="20"/>
          <w:color w:val="auto"/>
        </w:rPr>
      </w:pPr>
      <w:r>
        <w:rPr>
          <w:rFonts w:ascii="Times New Roman" w:cs="Times New Roman" w:eastAsia="Times New Roman" w:hAnsi="Times New Roman"/>
          <w:sz w:val="16"/>
          <w:szCs w:val="16"/>
          <w:color w:val="auto"/>
        </w:rPr>
        <w:t>In addition, our registered broker-dealer subsidiaries are</w:t>
      </w:r>
    </w:p>
    <w:p>
      <w:pPr>
        <w:spacing w:after="0" w:line="203" w:lineRule="auto"/>
        <w:rPr>
          <w:sz w:val="20"/>
          <w:szCs w:val="20"/>
          <w:color w:val="auto"/>
        </w:rPr>
      </w:pPr>
      <w:r>
        <w:rPr>
          <w:rFonts w:ascii="Times New Roman" w:cs="Times New Roman" w:eastAsia="Times New Roman" w:hAnsi="Times New Roman"/>
          <w:sz w:val="16"/>
          <w:szCs w:val="16"/>
          <w:color w:val="auto"/>
        </w:rPr>
        <w:t>subject to regulation by the SEC, FINRA and other SROs.</w:t>
      </w:r>
    </w:p>
    <w:p>
      <w:pPr>
        <w:spacing w:after="0" w:line="204" w:lineRule="auto"/>
        <w:rPr>
          <w:sz w:val="20"/>
          <w:szCs w:val="20"/>
          <w:color w:val="auto"/>
        </w:rPr>
      </w:pPr>
      <w:r>
        <w:rPr>
          <w:rFonts w:ascii="Times New Roman" w:cs="Times New Roman" w:eastAsia="Times New Roman" w:hAnsi="Times New Roman"/>
          <w:sz w:val="16"/>
          <w:szCs w:val="16"/>
          <w:color w:val="auto"/>
        </w:rPr>
        <w:t>These subsidiaries are subject to regulatory requirements</w:t>
      </w:r>
    </w:p>
    <w:p>
      <w:pPr>
        <w:spacing w:after="0" w:line="204" w:lineRule="auto"/>
        <w:rPr>
          <w:sz w:val="20"/>
          <w:szCs w:val="20"/>
          <w:color w:val="auto"/>
        </w:rPr>
      </w:pPr>
      <w:r>
        <w:rPr>
          <w:rFonts w:ascii="Times New Roman" w:cs="Times New Roman" w:eastAsia="Times New Roman" w:hAnsi="Times New Roman"/>
          <w:sz w:val="16"/>
          <w:szCs w:val="16"/>
          <w:color w:val="auto"/>
        </w:rPr>
        <w:t>intended to ensure their general financial soundness and</w:t>
      </w:r>
    </w:p>
    <w:p>
      <w:pPr>
        <w:spacing w:after="0" w:line="203" w:lineRule="auto"/>
        <w:rPr>
          <w:sz w:val="20"/>
          <w:szCs w:val="20"/>
          <w:color w:val="auto"/>
        </w:rPr>
      </w:pPr>
      <w:r>
        <w:rPr>
          <w:rFonts w:ascii="Times New Roman" w:cs="Times New Roman" w:eastAsia="Times New Roman" w:hAnsi="Times New Roman"/>
          <w:sz w:val="16"/>
          <w:szCs w:val="16"/>
          <w:color w:val="auto"/>
        </w:rPr>
        <w:t>liquidity, which require that they comply with certain</w:t>
      </w:r>
    </w:p>
    <w:p>
      <w:pPr>
        <w:spacing w:after="0" w:line="233" w:lineRule="auto"/>
        <w:rPr>
          <w:sz w:val="20"/>
          <w:szCs w:val="20"/>
          <w:color w:val="auto"/>
        </w:rPr>
      </w:pPr>
      <w:r>
        <w:rPr>
          <w:rFonts w:ascii="Times New Roman" w:cs="Times New Roman" w:eastAsia="Times New Roman" w:hAnsi="Times New Roman"/>
          <w:sz w:val="14"/>
          <w:szCs w:val="14"/>
          <w:color w:val="auto"/>
        </w:rPr>
        <w:t>minimum capital requirements. The SEC and FINRA impose</w:t>
      </w:r>
    </w:p>
    <w:p>
      <w:pPr>
        <w:spacing w:after="0" w:line="203" w:lineRule="auto"/>
        <w:rPr>
          <w:sz w:val="20"/>
          <w:szCs w:val="20"/>
          <w:color w:val="auto"/>
        </w:rPr>
      </w:pPr>
      <w:r>
        <w:rPr>
          <w:rFonts w:ascii="Times New Roman" w:cs="Times New Roman" w:eastAsia="Times New Roman" w:hAnsi="Times New Roman"/>
          <w:sz w:val="16"/>
          <w:szCs w:val="16"/>
          <w:color w:val="auto"/>
        </w:rPr>
        <w:t>rules that require notification when a broker-dealer’s net</w:t>
      </w:r>
    </w:p>
    <w:p>
      <w:pPr>
        <w:spacing w:after="0" w:line="233" w:lineRule="auto"/>
        <w:rPr>
          <w:sz w:val="20"/>
          <w:szCs w:val="20"/>
          <w:color w:val="auto"/>
        </w:rPr>
      </w:pPr>
      <w:r>
        <w:rPr>
          <w:rFonts w:ascii="Times New Roman" w:cs="Times New Roman" w:eastAsia="Times New Roman" w:hAnsi="Times New Roman"/>
          <w:sz w:val="14"/>
          <w:szCs w:val="14"/>
          <w:color w:val="auto"/>
        </w:rPr>
        <w:t>capital falls below certain predefined criteria, dictate the ratio</w:t>
      </w:r>
    </w:p>
    <w:p>
      <w:pPr>
        <w:spacing w:after="0" w:line="204" w:lineRule="auto"/>
        <w:rPr>
          <w:sz w:val="20"/>
          <w:szCs w:val="20"/>
          <w:color w:val="auto"/>
        </w:rPr>
      </w:pPr>
      <w:r>
        <w:rPr>
          <w:rFonts w:ascii="Times New Roman" w:cs="Times New Roman" w:eastAsia="Times New Roman" w:hAnsi="Times New Roman"/>
          <w:sz w:val="16"/>
          <w:szCs w:val="16"/>
          <w:color w:val="auto"/>
        </w:rPr>
        <w:t>of debt to equity in the regulatory capital composition of a</w:t>
      </w:r>
    </w:p>
    <w:p>
      <w:pPr>
        <w:spacing w:after="0" w:line="203" w:lineRule="auto"/>
        <w:rPr>
          <w:sz w:val="20"/>
          <w:szCs w:val="20"/>
          <w:color w:val="auto"/>
        </w:rPr>
      </w:pPr>
      <w:r>
        <w:rPr>
          <w:rFonts w:ascii="Times New Roman" w:cs="Times New Roman" w:eastAsia="Times New Roman" w:hAnsi="Times New Roman"/>
          <w:sz w:val="16"/>
          <w:szCs w:val="16"/>
          <w:color w:val="auto"/>
        </w:rPr>
        <w:t>broker-dealer and constrain the ability of a broker-dealer to</w:t>
      </w:r>
    </w:p>
    <w:p>
      <w:pPr>
        <w:spacing w:after="0" w:line="204" w:lineRule="auto"/>
        <w:rPr>
          <w:sz w:val="20"/>
          <w:szCs w:val="20"/>
          <w:color w:val="auto"/>
        </w:rPr>
      </w:pPr>
      <w:r>
        <w:rPr>
          <w:rFonts w:ascii="Times New Roman" w:cs="Times New Roman" w:eastAsia="Times New Roman" w:hAnsi="Times New Roman"/>
          <w:sz w:val="16"/>
          <w:szCs w:val="16"/>
          <w:color w:val="auto"/>
        </w:rPr>
        <w:t>expand its business under certain circumstances.</w:t>
      </w:r>
    </w:p>
    <w:p>
      <w:pPr>
        <w:spacing w:after="0" w:line="203" w:lineRule="auto"/>
        <w:rPr>
          <w:sz w:val="20"/>
          <w:szCs w:val="20"/>
          <w:color w:val="auto"/>
        </w:rPr>
      </w:pPr>
      <w:r>
        <w:rPr>
          <w:rFonts w:ascii="Times New Roman" w:cs="Times New Roman" w:eastAsia="Times New Roman" w:hAnsi="Times New Roman"/>
          <w:sz w:val="16"/>
          <w:szCs w:val="16"/>
          <w:color w:val="auto"/>
        </w:rPr>
        <w:t>Additionally, the SEC’s Uniform Net Capital Rule and</w:t>
      </w:r>
    </w:p>
    <w:p>
      <w:pPr>
        <w:spacing w:after="0" w:line="233" w:lineRule="auto"/>
        <w:rPr>
          <w:sz w:val="20"/>
          <w:szCs w:val="20"/>
          <w:color w:val="auto"/>
        </w:rPr>
      </w:pPr>
      <w:r>
        <w:rPr>
          <w:rFonts w:ascii="Times New Roman" w:cs="Times New Roman" w:eastAsia="Times New Roman" w:hAnsi="Times New Roman"/>
          <w:sz w:val="14"/>
          <w:szCs w:val="14"/>
          <w:color w:val="auto"/>
        </w:rPr>
        <w:t>FINRA rules impose certain requirements that may have the</w:t>
      </w:r>
    </w:p>
    <w:p>
      <w:pPr>
        <w:spacing w:after="0" w:line="203" w:lineRule="auto"/>
        <w:rPr>
          <w:sz w:val="20"/>
          <w:szCs w:val="20"/>
          <w:color w:val="auto"/>
        </w:rPr>
      </w:pPr>
      <w:r>
        <w:rPr>
          <w:rFonts w:ascii="Times New Roman" w:cs="Times New Roman" w:eastAsia="Times New Roman" w:hAnsi="Times New Roman"/>
          <w:sz w:val="16"/>
          <w:szCs w:val="16"/>
          <w:color w:val="auto"/>
        </w:rPr>
        <w:t>effect of prohibiting a broker-dealer from distributing or</w:t>
      </w:r>
    </w:p>
    <w:p>
      <w:pPr>
        <w:spacing w:after="0" w:line="233" w:lineRule="auto"/>
        <w:rPr>
          <w:sz w:val="20"/>
          <w:szCs w:val="20"/>
          <w:color w:val="auto"/>
        </w:rPr>
      </w:pPr>
      <w:r>
        <w:rPr>
          <w:rFonts w:ascii="Times New Roman" w:cs="Times New Roman" w:eastAsia="Times New Roman" w:hAnsi="Times New Roman"/>
          <w:sz w:val="14"/>
          <w:szCs w:val="14"/>
          <w:color w:val="auto"/>
        </w:rPr>
        <w:t>withdrawing capital and requiring prior notice to the SEC and</w:t>
      </w:r>
    </w:p>
    <w:p>
      <w:pPr>
        <w:spacing w:after="0" w:line="204" w:lineRule="auto"/>
        <w:rPr>
          <w:sz w:val="20"/>
          <w:szCs w:val="20"/>
          <w:color w:val="auto"/>
        </w:rPr>
      </w:pPr>
      <w:r>
        <w:rPr>
          <w:rFonts w:ascii="Times New Roman" w:cs="Times New Roman" w:eastAsia="Times New Roman" w:hAnsi="Times New Roman"/>
          <w:sz w:val="16"/>
          <w:szCs w:val="16"/>
          <w:color w:val="auto"/>
        </w:rPr>
        <w:t>FINRA for certain withdrawals of capital. Any failure to</w:t>
      </w:r>
    </w:p>
    <w:p>
      <w:pPr>
        <w:spacing w:after="0" w:line="203" w:lineRule="auto"/>
        <w:rPr>
          <w:sz w:val="20"/>
          <w:szCs w:val="20"/>
          <w:color w:val="auto"/>
        </w:rPr>
      </w:pPr>
      <w:r>
        <w:rPr>
          <w:rFonts w:ascii="Times New Roman" w:cs="Times New Roman" w:eastAsia="Times New Roman" w:hAnsi="Times New Roman"/>
          <w:sz w:val="16"/>
          <w:szCs w:val="16"/>
          <w:color w:val="auto"/>
        </w:rPr>
        <w:t>comply with these broker-dealer regulations could have a</w:t>
      </w:r>
    </w:p>
    <w:p>
      <w:pPr>
        <w:spacing w:after="0" w:line="204" w:lineRule="auto"/>
        <w:rPr>
          <w:sz w:val="20"/>
          <w:szCs w:val="20"/>
          <w:color w:val="auto"/>
        </w:rPr>
      </w:pPr>
      <w:r>
        <w:rPr>
          <w:rFonts w:ascii="Times New Roman" w:cs="Times New Roman" w:eastAsia="Times New Roman" w:hAnsi="Times New Roman"/>
          <w:sz w:val="16"/>
          <w:szCs w:val="16"/>
          <w:color w:val="auto"/>
        </w:rPr>
        <w:t>material adverse effect on the operation of our business,</w:t>
      </w:r>
    </w:p>
    <w:p>
      <w:pPr>
        <w:spacing w:after="0" w:line="203" w:lineRule="auto"/>
        <w:rPr>
          <w:sz w:val="20"/>
          <w:szCs w:val="20"/>
          <w:color w:val="auto"/>
        </w:rPr>
      </w:pPr>
      <w:r>
        <w:rPr>
          <w:rFonts w:ascii="Times New Roman" w:cs="Times New Roman" w:eastAsia="Times New Roman" w:hAnsi="Times New Roman"/>
          <w:sz w:val="16"/>
          <w:szCs w:val="16"/>
          <w:color w:val="auto"/>
        </w:rPr>
        <w:t>financial condition and operating results.</w:t>
      </w:r>
    </w:p>
    <w:p>
      <w:pPr>
        <w:spacing w:after="0" w:line="233" w:lineRule="auto"/>
        <w:rPr>
          <w:sz w:val="20"/>
          <w:szCs w:val="20"/>
          <w:color w:val="auto"/>
        </w:rPr>
      </w:pPr>
      <w:r>
        <w:rPr>
          <w:rFonts w:ascii="Times New Roman" w:cs="Times New Roman" w:eastAsia="Times New Roman" w:hAnsi="Times New Roman"/>
          <w:sz w:val="14"/>
          <w:szCs w:val="14"/>
          <w:color w:val="auto"/>
        </w:rPr>
        <w:t>Our non-U.S. business is subject to regulatory oversight in all</w:t>
      </w:r>
    </w:p>
    <w:p>
      <w:pPr>
        <w:spacing w:after="0" w:line="233" w:lineRule="auto"/>
        <w:rPr>
          <w:sz w:val="20"/>
          <w:szCs w:val="20"/>
          <w:color w:val="auto"/>
        </w:rPr>
      </w:pPr>
      <w:r>
        <w:rPr>
          <w:rFonts w:ascii="Times New Roman" w:cs="Times New Roman" w:eastAsia="Times New Roman" w:hAnsi="Times New Roman"/>
          <w:sz w:val="14"/>
          <w:szCs w:val="14"/>
          <w:color w:val="auto"/>
        </w:rPr>
        <w:t>the countries in which we operate regulated businesses, such</w:t>
      </w:r>
    </w:p>
    <w:p>
      <w:pPr>
        <w:spacing w:after="0" w:line="203" w:lineRule="auto"/>
        <w:rPr>
          <w:sz w:val="20"/>
          <w:szCs w:val="20"/>
          <w:color w:val="auto"/>
        </w:rPr>
      </w:pPr>
      <w:r>
        <w:rPr>
          <w:rFonts w:ascii="Times New Roman" w:cs="Times New Roman" w:eastAsia="Times New Roman" w:hAnsi="Times New Roman"/>
          <w:sz w:val="16"/>
          <w:szCs w:val="16"/>
          <w:color w:val="auto"/>
        </w:rPr>
        <w:t>as exchanges, clearinghouses or central securities</w:t>
      </w:r>
    </w:p>
    <w:p>
      <w:pPr>
        <w:spacing w:after="0" w:line="204" w:lineRule="auto"/>
        <w:rPr>
          <w:sz w:val="20"/>
          <w:szCs w:val="20"/>
          <w:color w:val="auto"/>
        </w:rPr>
      </w:pPr>
      <w:r>
        <w:rPr>
          <w:rFonts w:ascii="Times New Roman" w:cs="Times New Roman" w:eastAsia="Times New Roman" w:hAnsi="Times New Roman"/>
          <w:sz w:val="16"/>
          <w:szCs w:val="16"/>
          <w:color w:val="auto"/>
        </w:rPr>
        <w:t>depositories. In these countries, we have received</w:t>
      </w:r>
    </w:p>
    <w:p>
      <w:pPr>
        <w:spacing w:after="0" w:line="203" w:lineRule="auto"/>
        <w:rPr>
          <w:sz w:val="20"/>
          <w:szCs w:val="20"/>
          <w:color w:val="auto"/>
        </w:rPr>
      </w:pPr>
      <w:r>
        <w:rPr>
          <w:rFonts w:ascii="Times New Roman" w:cs="Times New Roman" w:eastAsia="Times New Roman" w:hAnsi="Times New Roman"/>
          <w:sz w:val="16"/>
          <w:szCs w:val="16"/>
          <w:color w:val="auto"/>
        </w:rPr>
        <w:t>authorization from the relevant authorities to conduct our</w:t>
      </w:r>
    </w:p>
    <w:p>
      <w:pPr>
        <w:spacing w:after="0" w:line="204" w:lineRule="auto"/>
        <w:rPr>
          <w:sz w:val="20"/>
          <w:szCs w:val="20"/>
          <w:color w:val="auto"/>
        </w:rPr>
      </w:pPr>
      <w:r>
        <w:rPr>
          <w:rFonts w:ascii="Times New Roman" w:cs="Times New Roman" w:eastAsia="Times New Roman" w:hAnsi="Times New Roman"/>
          <w:sz w:val="16"/>
          <w:szCs w:val="16"/>
          <w:color w:val="auto"/>
        </w:rPr>
        <w:t>regulated business activities. The authorities may issue</w:t>
      </w:r>
    </w:p>
    <w:p>
      <w:pPr>
        <w:spacing w:after="0" w:line="233" w:lineRule="auto"/>
        <w:rPr>
          <w:sz w:val="20"/>
          <w:szCs w:val="20"/>
          <w:color w:val="auto"/>
        </w:rPr>
      </w:pPr>
      <w:r>
        <w:rPr>
          <w:rFonts w:ascii="Times New Roman" w:cs="Times New Roman" w:eastAsia="Times New Roman" w:hAnsi="Times New Roman"/>
          <w:sz w:val="14"/>
          <w:szCs w:val="14"/>
          <w:color w:val="auto"/>
        </w:rPr>
        <w:t>regulatory fines or may ultimately revoke our authorizations</w:t>
      </w:r>
    </w:p>
    <w:p>
      <w:pPr>
        <w:spacing w:after="0" w:line="203" w:lineRule="auto"/>
        <w:rPr>
          <w:sz w:val="20"/>
          <w:szCs w:val="20"/>
          <w:color w:val="auto"/>
        </w:rPr>
      </w:pPr>
      <w:r>
        <w:rPr>
          <w:rFonts w:ascii="Times New Roman" w:cs="Times New Roman" w:eastAsia="Times New Roman" w:hAnsi="Times New Roman"/>
          <w:sz w:val="16"/>
          <w:szCs w:val="16"/>
          <w:color w:val="auto"/>
        </w:rPr>
        <w:t>if we do not suitably carry out our regulated business</w:t>
      </w:r>
    </w:p>
    <w:p>
      <w:pPr>
        <w:spacing w:after="0" w:line="233" w:lineRule="auto"/>
        <w:rPr>
          <w:sz w:val="20"/>
          <w:szCs w:val="20"/>
          <w:color w:val="auto"/>
        </w:rPr>
      </w:pPr>
      <w:r>
        <w:rPr>
          <w:rFonts w:ascii="Times New Roman" w:cs="Times New Roman" w:eastAsia="Times New Roman" w:hAnsi="Times New Roman"/>
          <w:sz w:val="14"/>
          <w:szCs w:val="14"/>
          <w:color w:val="auto"/>
        </w:rPr>
        <w:t>activities. The authorities are also entitled to request that we</w:t>
      </w:r>
    </w:p>
    <w:p>
      <w:pPr>
        <w:spacing w:after="0" w:line="203" w:lineRule="auto"/>
        <w:rPr>
          <w:sz w:val="20"/>
          <w:szCs w:val="20"/>
          <w:color w:val="auto"/>
        </w:rPr>
      </w:pPr>
      <w:r>
        <w:rPr>
          <w:rFonts w:ascii="Times New Roman" w:cs="Times New Roman" w:eastAsia="Times New Roman" w:hAnsi="Times New Roman"/>
          <w:sz w:val="16"/>
          <w:szCs w:val="16"/>
          <w:color w:val="auto"/>
        </w:rPr>
        <w:t>adopt measures in order to ensure that we continue to fulfill</w:t>
      </w:r>
    </w:p>
    <w:p>
      <w:pPr>
        <w:spacing w:after="0" w:line="204" w:lineRule="auto"/>
        <w:rPr>
          <w:sz w:val="20"/>
          <w:szCs w:val="20"/>
          <w:color w:val="auto"/>
        </w:rPr>
      </w:pPr>
      <w:r>
        <w:rPr>
          <w:rFonts w:ascii="Times New Roman" w:cs="Times New Roman" w:eastAsia="Times New Roman" w:hAnsi="Times New Roman"/>
          <w:sz w:val="16"/>
          <w:szCs w:val="16"/>
          <w:color w:val="auto"/>
        </w:rPr>
        <w:t>the authorities’ requirements. We are also subject to current</w:t>
      </w:r>
    </w:p>
    <w:p>
      <w:pPr>
        <w:spacing w:after="0" w:line="203" w:lineRule="auto"/>
        <w:rPr>
          <w:sz w:val="20"/>
          <w:szCs w:val="20"/>
          <w:color w:val="auto"/>
        </w:rPr>
      </w:pPr>
      <w:r>
        <w:rPr>
          <w:rFonts w:ascii="Times New Roman" w:cs="Times New Roman" w:eastAsia="Times New Roman" w:hAnsi="Times New Roman"/>
          <w:sz w:val="16"/>
          <w:szCs w:val="16"/>
          <w:color w:val="auto"/>
        </w:rPr>
        <w:t>and forthcoming regulations applicable to the financial</w:t>
      </w:r>
    </w:p>
    <w:p>
      <w:pPr>
        <w:spacing w:after="0" w:line="204" w:lineRule="auto"/>
        <w:rPr>
          <w:sz w:val="20"/>
          <w:szCs w:val="20"/>
          <w:color w:val="auto"/>
        </w:rPr>
      </w:pPr>
      <w:r>
        <w:rPr>
          <w:rFonts w:ascii="Times New Roman" w:cs="Times New Roman" w:eastAsia="Times New Roman" w:hAnsi="Times New Roman"/>
          <w:sz w:val="16"/>
          <w:szCs w:val="16"/>
          <w:color w:val="auto"/>
        </w:rPr>
        <w:t>services sector generally including, but not limited to,</w:t>
      </w:r>
    </w:p>
    <w:p>
      <w:pPr>
        <w:spacing w:after="0" w:line="204" w:lineRule="auto"/>
        <w:rPr>
          <w:sz w:val="20"/>
          <w:szCs w:val="20"/>
          <w:color w:val="auto"/>
        </w:rPr>
      </w:pPr>
      <w:r>
        <w:rPr>
          <w:rFonts w:ascii="Times New Roman" w:cs="Times New Roman" w:eastAsia="Times New Roman" w:hAnsi="Times New Roman"/>
          <w:sz w:val="16"/>
          <w:szCs w:val="16"/>
          <w:color w:val="auto"/>
        </w:rPr>
        <w:t>DORA. Such regulations may impact our operational,</w:t>
      </w:r>
    </w:p>
    <w:p>
      <w:pPr>
        <w:spacing w:after="0" w:line="203" w:lineRule="auto"/>
        <w:rPr>
          <w:sz w:val="20"/>
          <w:szCs w:val="20"/>
          <w:color w:val="auto"/>
        </w:rPr>
      </w:pPr>
      <w:r>
        <w:rPr>
          <w:rFonts w:ascii="Times New Roman" w:cs="Times New Roman" w:eastAsia="Times New Roman" w:hAnsi="Times New Roman"/>
          <w:sz w:val="16"/>
          <w:szCs w:val="16"/>
          <w:color w:val="auto"/>
        </w:rPr>
        <w:t>contracting and compliance costs by requiring the</w:t>
      </w:r>
    </w:p>
    <w:p>
      <w:pPr>
        <w:spacing w:after="0" w:line="204" w:lineRule="auto"/>
        <w:rPr>
          <w:sz w:val="20"/>
          <w:szCs w:val="20"/>
          <w:color w:val="auto"/>
        </w:rPr>
      </w:pPr>
      <w:r>
        <w:rPr>
          <w:rFonts w:ascii="Times New Roman" w:cs="Times New Roman" w:eastAsia="Times New Roman" w:hAnsi="Times New Roman"/>
          <w:sz w:val="16"/>
          <w:szCs w:val="16"/>
          <w:color w:val="auto"/>
        </w:rPr>
        <w:t>implementation of new risk management procedures,</w:t>
      </w:r>
    </w:p>
    <w:p>
      <w:pPr>
        <w:spacing w:after="0" w:line="203" w:lineRule="auto"/>
        <w:rPr>
          <w:sz w:val="20"/>
          <w:szCs w:val="20"/>
          <w:color w:val="auto"/>
        </w:rPr>
      </w:pPr>
      <w:r>
        <w:rPr>
          <w:rFonts w:ascii="Times New Roman" w:cs="Times New Roman" w:eastAsia="Times New Roman" w:hAnsi="Times New Roman"/>
          <w:sz w:val="16"/>
          <w:szCs w:val="16"/>
          <w:color w:val="auto"/>
        </w:rPr>
        <w:t>requirements for procuring information and communication</w:t>
      </w:r>
    </w:p>
    <w:p>
      <w:pPr>
        <w:spacing w:after="0" w:line="204" w:lineRule="auto"/>
        <w:rPr>
          <w:sz w:val="20"/>
          <w:szCs w:val="20"/>
          <w:color w:val="auto"/>
        </w:rPr>
      </w:pPr>
      <w:r>
        <w:rPr>
          <w:rFonts w:ascii="Times New Roman" w:cs="Times New Roman" w:eastAsia="Times New Roman" w:hAnsi="Times New Roman"/>
          <w:sz w:val="16"/>
          <w:szCs w:val="16"/>
          <w:color w:val="auto"/>
        </w:rPr>
        <w:t>technology services, and ongoing processes to monitor</w:t>
      </w:r>
    </w:p>
    <w:p>
      <w:pPr>
        <w:spacing w:after="0" w:line="203" w:lineRule="auto"/>
        <w:rPr>
          <w:sz w:val="20"/>
          <w:szCs w:val="20"/>
          <w:color w:val="auto"/>
        </w:rPr>
      </w:pPr>
      <w:r>
        <w:rPr>
          <w:rFonts w:ascii="Times New Roman" w:cs="Times New Roman" w:eastAsia="Times New Roman" w:hAnsi="Times New Roman"/>
          <w:sz w:val="16"/>
          <w:szCs w:val="16"/>
          <w:color w:val="auto"/>
        </w:rPr>
        <w:t>compliance; failure to maintain compliance may cause us to</w:t>
      </w:r>
    </w:p>
    <w:p>
      <w:pPr>
        <w:spacing w:after="0" w:line="204" w:lineRule="auto"/>
        <w:rPr>
          <w:sz w:val="20"/>
          <w:szCs w:val="20"/>
          <w:color w:val="auto"/>
        </w:rPr>
      </w:pPr>
      <w:r>
        <w:rPr>
          <w:rFonts w:ascii="Times New Roman" w:cs="Times New Roman" w:eastAsia="Times New Roman" w:hAnsi="Times New Roman"/>
          <w:sz w:val="16"/>
          <w:szCs w:val="16"/>
          <w:color w:val="auto"/>
        </w:rPr>
        <w:t>be subject to regulatory actions and fines. Additionally, we</w:t>
      </w:r>
    </w:p>
    <w:p>
      <w:pPr>
        <w:spacing w:after="0"/>
        <w:rPr>
          <w:sz w:val="20"/>
          <w:szCs w:val="20"/>
          <w:color w:val="auto"/>
        </w:rPr>
      </w:pPr>
      <w:r>
        <w:rPr>
          <w:rFonts w:ascii="Times New Roman" w:cs="Times New Roman" w:eastAsia="Times New Roman" w:hAnsi="Times New Roman"/>
          <w:sz w:val="16"/>
          <w:szCs w:val="16"/>
          <w:color w:val="auto"/>
        </w:rPr>
        <w:t>are subject to the obligations under the Benchmarks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w:t>
      </w:r>
    </w:p>
    <w:p>
      <w:pPr>
        <w:spacing w:after="0" w:line="232" w:lineRule="auto"/>
        <w:rPr>
          <w:sz w:val="20"/>
          <w:szCs w:val="20"/>
          <w:color w:val="auto"/>
        </w:rPr>
      </w:pPr>
      <w:r>
        <w:rPr>
          <w:rFonts w:ascii="Times New Roman" w:cs="Times New Roman" w:eastAsia="Times New Roman" w:hAnsi="Times New Roman"/>
          <w:sz w:val="14"/>
          <w:szCs w:val="14"/>
          <w:color w:val="auto"/>
        </w:rPr>
        <w:t>considering regulating digital assets, tokenization of equities,</w:t>
      </w:r>
    </w:p>
    <w:p>
      <w:pPr>
        <w:spacing w:after="0" w:line="204" w:lineRule="auto"/>
        <w:rPr>
          <w:sz w:val="20"/>
          <w:szCs w:val="20"/>
          <w:color w:val="auto"/>
        </w:rPr>
      </w:pPr>
      <w:r>
        <w:rPr>
          <w:rFonts w:ascii="Times New Roman" w:cs="Times New Roman" w:eastAsia="Times New Roman" w:hAnsi="Times New Roman"/>
          <w:sz w:val="16"/>
          <w:szCs w:val="16"/>
          <w:color w:val="auto"/>
        </w:rPr>
        <w:t>and prediction markets. The outcome of those deliberations</w:t>
      </w:r>
    </w:p>
    <w:p>
      <w:pPr>
        <w:spacing w:after="0" w:line="232" w:lineRule="auto"/>
        <w:rPr>
          <w:sz w:val="20"/>
          <w:szCs w:val="20"/>
          <w:color w:val="auto"/>
        </w:rPr>
      </w:pPr>
      <w:r>
        <w:rPr>
          <w:rFonts w:ascii="Times New Roman" w:cs="Times New Roman" w:eastAsia="Times New Roman" w:hAnsi="Times New Roman"/>
          <w:sz w:val="14"/>
          <w:szCs w:val="14"/>
          <w:color w:val="auto"/>
        </w:rPr>
        <w:t>could adversely impact our current markets and future plans.</w:t>
      </w:r>
    </w:p>
    <w:p>
      <w:pPr>
        <w:spacing w:after="0" w:line="233" w:lineRule="auto"/>
        <w:rPr>
          <w:sz w:val="20"/>
          <w:szCs w:val="20"/>
          <w:color w:val="auto"/>
        </w:rPr>
      </w:pPr>
      <w:r>
        <w:rPr>
          <w:rFonts w:ascii="Times New Roman" w:cs="Times New Roman" w:eastAsia="Times New Roman" w:hAnsi="Times New Roman"/>
          <w:sz w:val="14"/>
          <w:szCs w:val="14"/>
          <w:color w:val="auto"/>
        </w:rPr>
        <w:t>Our regulated businesses can be severely impacted by policy</w:t>
      </w:r>
    </w:p>
    <w:p>
      <w:pPr>
        <w:spacing w:after="0" w:line="203" w:lineRule="auto"/>
        <w:rPr>
          <w:sz w:val="20"/>
          <w:szCs w:val="20"/>
          <w:color w:val="auto"/>
        </w:rPr>
      </w:pPr>
      <w:r>
        <w:rPr>
          <w:rFonts w:ascii="Times New Roman" w:cs="Times New Roman" w:eastAsia="Times New Roman" w:hAnsi="Times New Roman"/>
          <w:sz w:val="16"/>
          <w:szCs w:val="16"/>
          <w:color w:val="auto"/>
        </w:rPr>
        <w:t>decisions. In September 2024, the SEC adopted a rule that</w:t>
      </w:r>
    </w:p>
    <w:p>
      <w:pPr>
        <w:spacing w:after="0" w:line="204" w:lineRule="auto"/>
        <w:rPr>
          <w:sz w:val="20"/>
          <w:szCs w:val="20"/>
          <w:color w:val="auto"/>
        </w:rPr>
      </w:pPr>
      <w:r>
        <w:rPr>
          <w:rFonts w:ascii="Times New Roman" w:cs="Times New Roman" w:eastAsia="Times New Roman" w:hAnsi="Times New Roman"/>
          <w:sz w:val="16"/>
          <w:szCs w:val="16"/>
          <w:color w:val="auto"/>
        </w:rPr>
        <w:t>would significantly reduce the fees that exchanges are</w:t>
      </w:r>
    </w:p>
    <w:p>
      <w:pPr>
        <w:spacing w:after="0" w:line="203" w:lineRule="auto"/>
        <w:rPr>
          <w:sz w:val="20"/>
          <w:szCs w:val="20"/>
          <w:color w:val="auto"/>
        </w:rPr>
      </w:pPr>
      <w:r>
        <w:rPr>
          <w:rFonts w:ascii="Times New Roman" w:cs="Times New Roman" w:eastAsia="Times New Roman" w:hAnsi="Times New Roman"/>
          <w:sz w:val="16"/>
          <w:szCs w:val="16"/>
          <w:color w:val="auto"/>
        </w:rPr>
        <w:t>permitted to charge for access to liquidity quoted on the</w:t>
      </w:r>
    </w:p>
    <w:p>
      <w:pPr>
        <w:spacing w:after="0" w:line="204" w:lineRule="auto"/>
        <w:rPr>
          <w:sz w:val="20"/>
          <w:szCs w:val="20"/>
          <w:color w:val="auto"/>
        </w:rPr>
      </w:pPr>
      <w:r>
        <w:rPr>
          <w:rFonts w:ascii="Times New Roman" w:cs="Times New Roman" w:eastAsia="Times New Roman" w:hAnsi="Times New Roman"/>
          <w:sz w:val="16"/>
          <w:szCs w:val="16"/>
          <w:color w:val="auto"/>
        </w:rPr>
        <w:t>exchange, with a resulting reduction in the ability of</w:t>
      </w:r>
    </w:p>
    <w:p>
      <w:pPr>
        <w:spacing w:after="0" w:line="204" w:lineRule="auto"/>
        <w:rPr>
          <w:sz w:val="20"/>
          <w:szCs w:val="20"/>
          <w:color w:val="auto"/>
        </w:rPr>
      </w:pPr>
      <w:r>
        <w:rPr>
          <w:rFonts w:ascii="Times New Roman" w:cs="Times New Roman" w:eastAsia="Times New Roman" w:hAnsi="Times New Roman"/>
          <w:sz w:val="16"/>
          <w:szCs w:val="16"/>
          <w:color w:val="auto"/>
        </w:rPr>
        <w:t>exchanges to pay rebates to attract liquidity. Nasdaq</w:t>
      </w:r>
    </w:p>
    <w:p>
      <w:pPr>
        <w:spacing w:after="0" w:line="203" w:lineRule="auto"/>
        <w:rPr>
          <w:sz w:val="20"/>
          <w:szCs w:val="20"/>
          <w:color w:val="auto"/>
        </w:rPr>
      </w:pPr>
      <w:r>
        <w:rPr>
          <w:rFonts w:ascii="Times New Roman" w:cs="Times New Roman" w:eastAsia="Times New Roman" w:hAnsi="Times New Roman"/>
          <w:sz w:val="16"/>
          <w:szCs w:val="16"/>
          <w:color w:val="auto"/>
        </w:rPr>
        <w:t>petitioned the U.S. Court of Appeals for the District of</w:t>
      </w:r>
    </w:p>
    <w:p>
      <w:pPr>
        <w:spacing w:after="0" w:line="233" w:lineRule="auto"/>
        <w:rPr>
          <w:sz w:val="20"/>
          <w:szCs w:val="20"/>
          <w:color w:val="auto"/>
        </w:rPr>
      </w:pPr>
      <w:r>
        <w:rPr>
          <w:rFonts w:ascii="Times New Roman" w:cs="Times New Roman" w:eastAsia="Times New Roman" w:hAnsi="Times New Roman"/>
          <w:sz w:val="14"/>
          <w:szCs w:val="14"/>
          <w:color w:val="auto"/>
        </w:rPr>
        <w:t>Columbia Circuit to vacate the proposed rule, and in October</w:t>
      </w:r>
    </w:p>
    <w:p>
      <w:pPr>
        <w:spacing w:after="0" w:line="203" w:lineRule="auto"/>
        <w:rPr>
          <w:sz w:val="20"/>
          <w:szCs w:val="20"/>
          <w:color w:val="auto"/>
        </w:rPr>
      </w:pPr>
      <w:r>
        <w:rPr>
          <w:rFonts w:ascii="Times New Roman" w:cs="Times New Roman" w:eastAsia="Times New Roman" w:hAnsi="Times New Roman"/>
          <w:sz w:val="16"/>
          <w:szCs w:val="16"/>
          <w:color w:val="auto"/>
        </w:rPr>
        <w:t>2025, Nasdaq's petition for review was denied. The SEC</w:t>
      </w:r>
    </w:p>
    <w:p>
      <w:pPr>
        <w:spacing w:after="0" w:line="233" w:lineRule="auto"/>
        <w:rPr>
          <w:sz w:val="20"/>
          <w:szCs w:val="20"/>
          <w:color w:val="auto"/>
        </w:rPr>
      </w:pPr>
      <w:r>
        <w:rPr>
          <w:rFonts w:ascii="Times New Roman" w:cs="Times New Roman" w:eastAsia="Times New Roman" w:hAnsi="Times New Roman"/>
          <w:sz w:val="14"/>
          <w:szCs w:val="14"/>
          <w:color w:val="auto"/>
        </w:rPr>
        <w:t>issued temporary exemptive relief from compliance with the</w:t>
      </w:r>
    </w:p>
    <w:p>
      <w:pPr>
        <w:spacing w:after="0" w:line="204" w:lineRule="auto"/>
        <w:rPr>
          <w:sz w:val="20"/>
          <w:szCs w:val="20"/>
          <w:color w:val="auto"/>
        </w:rPr>
      </w:pPr>
      <w:r>
        <w:rPr>
          <w:rFonts w:ascii="Times New Roman" w:cs="Times New Roman" w:eastAsia="Times New Roman" w:hAnsi="Times New Roman"/>
          <w:sz w:val="16"/>
          <w:szCs w:val="16"/>
          <w:color w:val="auto"/>
        </w:rPr>
        <w:t>portions of the rule that Nasdaq challenged until November</w:t>
      </w:r>
    </w:p>
    <w:p>
      <w:pPr>
        <w:spacing w:after="0" w:line="203" w:lineRule="auto"/>
        <w:rPr>
          <w:sz w:val="20"/>
          <w:szCs w:val="20"/>
          <w:color w:val="auto"/>
        </w:rPr>
      </w:pPr>
      <w:r>
        <w:rPr>
          <w:rFonts w:ascii="Times New Roman" w:cs="Times New Roman" w:eastAsia="Times New Roman" w:hAnsi="Times New Roman"/>
          <w:sz w:val="16"/>
          <w:szCs w:val="16"/>
          <w:color w:val="auto"/>
        </w:rPr>
        <w:t>2026. Since the rule was not vacated, we will adjust our</w:t>
      </w:r>
    </w:p>
    <w:p>
      <w:pPr>
        <w:spacing w:after="0" w:line="204" w:lineRule="auto"/>
        <w:rPr>
          <w:sz w:val="20"/>
          <w:szCs w:val="20"/>
          <w:color w:val="auto"/>
        </w:rPr>
      </w:pPr>
      <w:r>
        <w:rPr>
          <w:rFonts w:ascii="Times New Roman" w:cs="Times New Roman" w:eastAsia="Times New Roman" w:hAnsi="Times New Roman"/>
          <w:sz w:val="16"/>
          <w:szCs w:val="16"/>
          <w:color w:val="auto"/>
        </w:rPr>
        <w:t>business model in accordance with the rule, and the</w:t>
      </w:r>
    </w:p>
    <w:p>
      <w:pPr>
        <w:spacing w:after="0" w:line="232" w:lineRule="auto"/>
        <w:rPr>
          <w:sz w:val="20"/>
          <w:szCs w:val="20"/>
          <w:color w:val="auto"/>
        </w:rPr>
      </w:pPr>
      <w:r>
        <w:rPr>
          <w:rFonts w:ascii="Times New Roman" w:cs="Times New Roman" w:eastAsia="Times New Roman" w:hAnsi="Times New Roman"/>
          <w:sz w:val="14"/>
          <w:szCs w:val="14"/>
          <w:color w:val="auto"/>
        </w:rPr>
        <w:t>implementation of the rule in November 2026 may adversely</w:t>
      </w:r>
    </w:p>
    <w:p>
      <w:pPr>
        <w:spacing w:after="0" w:line="204" w:lineRule="auto"/>
        <w:rPr>
          <w:sz w:val="20"/>
          <w:szCs w:val="20"/>
          <w:color w:val="auto"/>
        </w:rPr>
      </w:pPr>
      <w:r>
        <w:rPr>
          <w:rFonts w:ascii="Times New Roman" w:cs="Times New Roman" w:eastAsia="Times New Roman" w:hAnsi="Times New Roman"/>
          <w:sz w:val="16"/>
          <w:szCs w:val="16"/>
          <w:color w:val="auto"/>
        </w:rPr>
        <w:t>impact our business and revenue.</w:t>
      </w:r>
    </w:p>
    <w:p>
      <w:pPr>
        <w:spacing w:after="0" w:line="232" w:lineRule="auto"/>
        <w:rPr>
          <w:sz w:val="20"/>
          <w:szCs w:val="20"/>
          <w:color w:val="auto"/>
        </w:rPr>
      </w:pPr>
      <w:r>
        <w:rPr>
          <w:rFonts w:ascii="Times New Roman" w:cs="Times New Roman" w:eastAsia="Times New Roman" w:hAnsi="Times New Roman"/>
          <w:sz w:val="14"/>
          <w:szCs w:val="14"/>
          <w:color w:val="auto"/>
        </w:rPr>
        <w:t>In Canada, all new marketplace fees and changes to existing</w:t>
      </w:r>
    </w:p>
    <w:p>
      <w:pPr>
        <w:spacing w:after="0" w:line="204" w:lineRule="auto"/>
        <w:rPr>
          <w:sz w:val="20"/>
          <w:szCs w:val="20"/>
          <w:color w:val="auto"/>
        </w:rPr>
      </w:pPr>
      <w:r>
        <w:rPr>
          <w:rFonts w:ascii="Times New Roman" w:cs="Times New Roman" w:eastAsia="Times New Roman" w:hAnsi="Times New Roman"/>
          <w:sz w:val="16"/>
          <w:szCs w:val="16"/>
          <w:color w:val="auto"/>
        </w:rPr>
        <w:t>fees, including trading and market data fees, must be filed</w:t>
      </w:r>
    </w:p>
    <w:p>
      <w:pPr>
        <w:spacing w:after="0" w:line="203" w:lineRule="auto"/>
        <w:rPr>
          <w:sz w:val="20"/>
          <w:szCs w:val="20"/>
          <w:color w:val="auto"/>
        </w:rPr>
      </w:pPr>
      <w:r>
        <w:rPr>
          <w:rFonts w:ascii="Times New Roman" w:cs="Times New Roman" w:eastAsia="Times New Roman" w:hAnsi="Times New Roman"/>
          <w:sz w:val="16"/>
          <w:szCs w:val="16"/>
          <w:color w:val="auto"/>
        </w:rPr>
        <w:t>with and approved by the Ontario Securities Commission.</w:t>
      </w:r>
    </w:p>
    <w:p>
      <w:pPr>
        <w:spacing w:after="0" w:line="233" w:lineRule="auto"/>
        <w:rPr>
          <w:sz w:val="20"/>
          <w:szCs w:val="20"/>
          <w:color w:val="auto"/>
        </w:rPr>
      </w:pPr>
      <w:r>
        <w:rPr>
          <w:rFonts w:ascii="Times New Roman" w:cs="Times New Roman" w:eastAsia="Times New Roman" w:hAnsi="Times New Roman"/>
          <w:sz w:val="14"/>
          <w:szCs w:val="14"/>
          <w:color w:val="auto"/>
        </w:rPr>
        <w:t>The Canadian Securities Administrators adopted a Data Fees</w:t>
      </w:r>
    </w:p>
    <w:p>
      <w:pPr>
        <w:spacing w:after="0" w:line="204" w:lineRule="auto"/>
        <w:rPr>
          <w:sz w:val="20"/>
          <w:szCs w:val="20"/>
          <w:color w:val="auto"/>
        </w:rPr>
      </w:pPr>
      <w:r>
        <w:rPr>
          <w:rFonts w:ascii="Times New Roman" w:cs="Times New Roman" w:eastAsia="Times New Roman" w:hAnsi="Times New Roman"/>
          <w:sz w:val="16"/>
          <w:szCs w:val="16"/>
          <w:color w:val="auto"/>
        </w:rPr>
        <w:t>Methodology that restricts the total amount of fees that can</w:t>
      </w:r>
    </w:p>
    <w:p>
      <w:pPr>
        <w:spacing w:after="0" w:line="203" w:lineRule="auto"/>
        <w:rPr>
          <w:sz w:val="20"/>
          <w:szCs w:val="20"/>
          <w:color w:val="auto"/>
        </w:rPr>
      </w:pPr>
      <w:r>
        <w:rPr>
          <w:rFonts w:ascii="Times New Roman" w:cs="Times New Roman" w:eastAsia="Times New Roman" w:hAnsi="Times New Roman"/>
          <w:sz w:val="16"/>
          <w:szCs w:val="16"/>
          <w:color w:val="auto"/>
        </w:rPr>
        <w:t>be charged for professional uses by all marketplaces to a</w:t>
      </w:r>
    </w:p>
    <w:p>
      <w:pPr>
        <w:spacing w:after="0" w:line="233" w:lineRule="auto"/>
        <w:rPr>
          <w:sz w:val="20"/>
          <w:szCs w:val="20"/>
          <w:color w:val="auto"/>
        </w:rPr>
      </w:pPr>
      <w:r>
        <w:rPr>
          <w:rFonts w:ascii="Times New Roman" w:cs="Times New Roman" w:eastAsia="Times New Roman" w:hAnsi="Times New Roman"/>
          <w:sz w:val="14"/>
          <w:szCs w:val="14"/>
          <w:color w:val="auto"/>
        </w:rPr>
        <w:t>reference benchmark. Currently, all marketplaces are subject</w:t>
      </w:r>
    </w:p>
    <w:p>
      <w:pPr>
        <w:spacing w:after="0" w:line="233" w:lineRule="auto"/>
        <w:rPr>
          <w:sz w:val="20"/>
          <w:szCs w:val="20"/>
          <w:color w:val="auto"/>
        </w:rPr>
      </w:pPr>
      <w:r>
        <w:rPr>
          <w:rFonts w:ascii="Times New Roman" w:cs="Times New Roman" w:eastAsia="Times New Roman" w:hAnsi="Times New Roman"/>
          <w:sz w:val="14"/>
          <w:szCs w:val="14"/>
          <w:color w:val="auto"/>
        </w:rPr>
        <w:t>to annual reviews of their market data fees tying market data</w:t>
      </w:r>
    </w:p>
    <w:p>
      <w:pPr>
        <w:spacing w:after="0" w:line="203" w:lineRule="auto"/>
        <w:rPr>
          <w:sz w:val="20"/>
          <w:szCs w:val="20"/>
          <w:color w:val="auto"/>
        </w:rPr>
      </w:pPr>
      <w:r>
        <w:rPr>
          <w:rFonts w:ascii="Times New Roman" w:cs="Times New Roman" w:eastAsia="Times New Roman" w:hAnsi="Times New Roman"/>
          <w:sz w:val="16"/>
          <w:szCs w:val="16"/>
          <w:color w:val="auto"/>
        </w:rPr>
        <w:t>revenues to pre- and post-trade market share metrics.</w:t>
      </w:r>
    </w:p>
    <w:p>
      <w:pPr>
        <w:spacing w:after="0" w:line="204" w:lineRule="auto"/>
        <w:rPr>
          <w:sz w:val="20"/>
          <w:szCs w:val="20"/>
          <w:color w:val="auto"/>
        </w:rPr>
      </w:pPr>
      <w:r>
        <w:rPr>
          <w:rFonts w:ascii="Times New Roman" w:cs="Times New Roman" w:eastAsia="Times New Roman" w:hAnsi="Times New Roman"/>
          <w:sz w:val="16"/>
          <w:szCs w:val="16"/>
          <w:color w:val="auto"/>
        </w:rPr>
        <w:t>Permitted fee ranges are based on an interim domestic</w:t>
      </w:r>
    </w:p>
    <w:p>
      <w:pPr>
        <w:spacing w:after="0" w:line="203" w:lineRule="auto"/>
        <w:rPr>
          <w:sz w:val="20"/>
          <w:szCs w:val="20"/>
          <w:color w:val="auto"/>
        </w:rPr>
      </w:pPr>
      <w:r>
        <w:rPr>
          <w:rFonts w:ascii="Times New Roman" w:cs="Times New Roman" w:eastAsia="Times New Roman" w:hAnsi="Times New Roman"/>
          <w:sz w:val="16"/>
          <w:szCs w:val="16"/>
          <w:color w:val="auto"/>
        </w:rPr>
        <w:t>benchmark that is subject to change to an international</w:t>
      </w:r>
    </w:p>
    <w:p>
      <w:pPr>
        <w:spacing w:after="0" w:line="233" w:lineRule="auto"/>
        <w:rPr>
          <w:sz w:val="20"/>
          <w:szCs w:val="20"/>
          <w:color w:val="auto"/>
        </w:rPr>
      </w:pPr>
      <w:r>
        <w:rPr>
          <w:rFonts w:ascii="Times New Roman" w:cs="Times New Roman" w:eastAsia="Times New Roman" w:hAnsi="Times New Roman"/>
          <w:sz w:val="14"/>
          <w:szCs w:val="14"/>
          <w:color w:val="auto"/>
        </w:rPr>
        <w:t>benchmark, which could lower the permitted fees charged by</w:t>
      </w:r>
    </w:p>
    <w:p>
      <w:pPr>
        <w:spacing w:after="0" w:line="203" w:lineRule="auto"/>
        <w:rPr>
          <w:sz w:val="20"/>
          <w:szCs w:val="20"/>
          <w:color w:val="auto"/>
        </w:rPr>
      </w:pPr>
      <w:r>
        <w:rPr>
          <w:rFonts w:ascii="Times New Roman" w:cs="Times New Roman" w:eastAsia="Times New Roman" w:hAnsi="Times New Roman"/>
          <w:sz w:val="16"/>
          <w:szCs w:val="16"/>
          <w:color w:val="auto"/>
        </w:rPr>
        <w:t>marketplaces, which could adversely impact our revenues.</w:t>
      </w:r>
    </w:p>
    <w:p>
      <w:pPr>
        <w:spacing w:after="0" w:line="233" w:lineRule="auto"/>
        <w:rPr>
          <w:sz w:val="20"/>
          <w:szCs w:val="20"/>
          <w:color w:val="auto"/>
        </w:rPr>
      </w:pPr>
      <w:r>
        <w:rPr>
          <w:rFonts w:ascii="Times New Roman" w:cs="Times New Roman" w:eastAsia="Times New Roman" w:hAnsi="Times New Roman"/>
          <w:sz w:val="14"/>
          <w:szCs w:val="14"/>
          <w:color w:val="auto"/>
        </w:rPr>
        <w:t>Our European exchanges currently offer market data products</w:t>
      </w:r>
    </w:p>
    <w:p>
      <w:pPr>
        <w:spacing w:after="0" w:line="204" w:lineRule="auto"/>
        <w:rPr>
          <w:sz w:val="20"/>
          <w:szCs w:val="20"/>
          <w:color w:val="auto"/>
        </w:rPr>
      </w:pPr>
      <w:r>
        <w:rPr>
          <w:rFonts w:ascii="Times New Roman" w:cs="Times New Roman" w:eastAsia="Times New Roman" w:hAnsi="Times New Roman"/>
          <w:sz w:val="16"/>
          <w:szCs w:val="16"/>
          <w:color w:val="auto"/>
        </w:rPr>
        <w:t>to customers on a non-discriminatory and reasonable</w:t>
      </w:r>
    </w:p>
    <w:p>
      <w:pPr>
        <w:spacing w:after="0" w:line="203" w:lineRule="auto"/>
        <w:rPr>
          <w:sz w:val="20"/>
          <w:szCs w:val="20"/>
          <w:color w:val="auto"/>
        </w:rPr>
      </w:pPr>
      <w:r>
        <w:rPr>
          <w:rFonts w:ascii="Times New Roman" w:cs="Times New Roman" w:eastAsia="Times New Roman" w:hAnsi="Times New Roman"/>
          <w:sz w:val="16"/>
          <w:szCs w:val="16"/>
          <w:color w:val="auto"/>
        </w:rPr>
        <w:t>commercial basis. The MiFID II/MiFIR rules entail that the</w:t>
      </w:r>
    </w:p>
    <w:p>
      <w:pPr>
        <w:spacing w:after="0" w:line="204" w:lineRule="auto"/>
        <w:rPr>
          <w:sz w:val="20"/>
          <w:szCs w:val="20"/>
          <w:color w:val="auto"/>
        </w:rPr>
      </w:pPr>
      <w:r>
        <w:rPr>
          <w:rFonts w:ascii="Times New Roman" w:cs="Times New Roman" w:eastAsia="Times New Roman" w:hAnsi="Times New Roman"/>
          <w:sz w:val="16"/>
          <w:szCs w:val="16"/>
          <w:color w:val="auto"/>
        </w:rPr>
        <w:t>price for regulated market data such as pre- and post-trade</w:t>
      </w:r>
    </w:p>
    <w:p>
      <w:pPr>
        <w:spacing w:after="0" w:line="219" w:lineRule="auto"/>
        <w:rPr>
          <w:sz w:val="20"/>
          <w:szCs w:val="20"/>
          <w:color w:val="auto"/>
        </w:rPr>
      </w:pPr>
      <w:r>
        <w:rPr>
          <w:rFonts w:ascii="Times New Roman" w:cs="Times New Roman" w:eastAsia="Times New Roman" w:hAnsi="Times New Roman"/>
          <w:sz w:val="16"/>
          <w:szCs w:val="16"/>
          <w:color w:val="auto"/>
        </w:rPr>
        <w:t>data shall be based on cost plus a reasonable margin.</w:t>
      </w:r>
    </w:p>
    <w:p>
      <w:pPr>
        <w:spacing w:after="0" w:line="233" w:lineRule="auto"/>
        <w:rPr>
          <w:sz w:val="20"/>
          <w:szCs w:val="20"/>
          <w:color w:val="auto"/>
        </w:rPr>
      </w:pPr>
      <w:r>
        <w:rPr>
          <w:rFonts w:ascii="Times New Roman" w:cs="Times New Roman" w:eastAsia="Times New Roman" w:hAnsi="Times New Roman"/>
          <w:sz w:val="14"/>
          <w:szCs w:val="14"/>
          <w:color w:val="auto"/>
        </w:rPr>
        <w:t>However, these terms are not clearly defined. There is a risk</w:t>
      </w:r>
    </w:p>
    <w:p>
      <w:pPr>
        <w:spacing w:after="0" w:line="203" w:lineRule="auto"/>
        <w:rPr>
          <w:sz w:val="20"/>
          <w:szCs w:val="20"/>
          <w:color w:val="auto"/>
        </w:rPr>
      </w:pPr>
      <w:r>
        <w:rPr>
          <w:rFonts w:ascii="Times New Roman" w:cs="Times New Roman" w:eastAsia="Times New Roman" w:hAnsi="Times New Roman"/>
          <w:sz w:val="16"/>
          <w:szCs w:val="16"/>
          <w:color w:val="auto"/>
        </w:rPr>
        <w:t>that a different interpretation of these terms may influence</w:t>
      </w:r>
    </w:p>
    <w:p>
      <w:pPr>
        <w:spacing w:after="0" w:line="204" w:lineRule="auto"/>
        <w:rPr>
          <w:sz w:val="20"/>
          <w:szCs w:val="20"/>
          <w:color w:val="auto"/>
        </w:rPr>
      </w:pPr>
      <w:r>
        <w:rPr>
          <w:rFonts w:ascii="Times New Roman" w:cs="Times New Roman" w:eastAsia="Times New Roman" w:hAnsi="Times New Roman"/>
          <w:sz w:val="16"/>
          <w:szCs w:val="16"/>
          <w:color w:val="auto"/>
        </w:rPr>
        <w:t>the fees for European market data products adversely. In</w:t>
      </w:r>
    </w:p>
    <w:p>
      <w:pPr>
        <w:spacing w:after="0" w:line="203" w:lineRule="auto"/>
        <w:rPr>
          <w:sz w:val="20"/>
          <w:szCs w:val="20"/>
          <w:color w:val="auto"/>
        </w:rPr>
      </w:pPr>
      <w:r>
        <w:rPr>
          <w:rFonts w:ascii="Times New Roman" w:cs="Times New Roman" w:eastAsia="Times New Roman" w:hAnsi="Times New Roman"/>
          <w:sz w:val="16"/>
          <w:szCs w:val="16"/>
          <w:color w:val="auto"/>
        </w:rPr>
        <w:t>addition, any future actions by European Union institutions</w:t>
      </w:r>
    </w:p>
    <w:p>
      <w:pPr>
        <w:spacing w:after="0" w:line="204" w:lineRule="auto"/>
        <w:rPr>
          <w:sz w:val="20"/>
          <w:szCs w:val="20"/>
          <w:color w:val="auto"/>
        </w:rPr>
      </w:pPr>
      <w:r>
        <w:rPr>
          <w:rFonts w:ascii="Times New Roman" w:cs="Times New Roman" w:eastAsia="Times New Roman" w:hAnsi="Times New Roman"/>
          <w:sz w:val="16"/>
          <w:szCs w:val="16"/>
          <w:color w:val="auto"/>
        </w:rPr>
        <w:t>could affect our ability to offer market data products in the</w:t>
      </w:r>
    </w:p>
    <w:p>
      <w:pPr>
        <w:spacing w:after="0" w:line="203" w:lineRule="auto"/>
        <w:rPr>
          <w:sz w:val="20"/>
          <w:szCs w:val="20"/>
          <w:color w:val="auto"/>
        </w:rPr>
      </w:pPr>
      <w:r>
        <w:rPr>
          <w:rFonts w:ascii="Times New Roman" w:cs="Times New Roman" w:eastAsia="Times New Roman" w:hAnsi="Times New Roman"/>
          <w:sz w:val="16"/>
          <w:szCs w:val="16"/>
          <w:color w:val="auto"/>
        </w:rPr>
        <w:t>same manner as today, thereby causing an adverse effect on</w:t>
      </w:r>
    </w:p>
    <w:p>
      <w:pPr>
        <w:spacing w:after="0" w:line="204" w:lineRule="auto"/>
        <w:rPr>
          <w:sz w:val="20"/>
          <w:szCs w:val="20"/>
          <w:color w:val="auto"/>
        </w:rPr>
      </w:pPr>
      <w:r>
        <w:rPr>
          <w:rFonts w:ascii="Times New Roman" w:cs="Times New Roman" w:eastAsia="Times New Roman" w:hAnsi="Times New Roman"/>
          <w:sz w:val="16"/>
          <w:szCs w:val="16"/>
          <w:color w:val="auto"/>
        </w:rPr>
        <w:t>our market data revenues.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litigation risks, risks from compliance</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obligations and associated enforcement risks, and other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liabilities.</w:t>
      </w:r>
    </w:p>
    <w:p>
      <w:pPr>
        <w:spacing w:after="0" w:line="232" w:lineRule="auto"/>
        <w:rPr>
          <w:sz w:val="20"/>
          <w:szCs w:val="20"/>
          <w:color w:val="auto"/>
        </w:rPr>
      </w:pPr>
      <w:r>
        <w:rPr>
          <w:rFonts w:ascii="Times New Roman" w:cs="Times New Roman" w:eastAsia="Times New Roman" w:hAnsi="Times New Roman"/>
          <w:sz w:val="14"/>
          <w:szCs w:val="14"/>
          <w:color w:val="auto"/>
        </w:rPr>
        <w:t>Many aspects of our business potentially involve substantial</w:t>
      </w:r>
    </w:p>
    <w:p>
      <w:pPr>
        <w:spacing w:after="0" w:line="204" w:lineRule="auto"/>
        <w:rPr>
          <w:sz w:val="20"/>
          <w:szCs w:val="20"/>
          <w:color w:val="auto"/>
        </w:rPr>
      </w:pPr>
      <w:r>
        <w:rPr>
          <w:rFonts w:ascii="Times New Roman" w:cs="Times New Roman" w:eastAsia="Times New Roman" w:hAnsi="Times New Roman"/>
          <w:sz w:val="16"/>
          <w:szCs w:val="16"/>
          <w:color w:val="auto"/>
        </w:rPr>
        <w:t>liability risks. Although under current law we are immune</w:t>
      </w:r>
    </w:p>
    <w:p>
      <w:pPr>
        <w:spacing w:after="0" w:line="232" w:lineRule="auto"/>
        <w:rPr>
          <w:sz w:val="20"/>
          <w:szCs w:val="20"/>
          <w:color w:val="auto"/>
        </w:rPr>
      </w:pPr>
      <w:r>
        <w:rPr>
          <w:rFonts w:ascii="Times New Roman" w:cs="Times New Roman" w:eastAsia="Times New Roman" w:hAnsi="Times New Roman"/>
          <w:sz w:val="14"/>
          <w:szCs w:val="14"/>
          <w:color w:val="auto"/>
        </w:rPr>
        <w:t>from private suits arising from conduct within our regulatory</w:t>
      </w:r>
    </w:p>
    <w:p>
      <w:pPr>
        <w:spacing w:after="0" w:line="204" w:lineRule="auto"/>
        <w:rPr>
          <w:sz w:val="20"/>
          <w:szCs w:val="20"/>
          <w:color w:val="auto"/>
        </w:rPr>
      </w:pPr>
      <w:r>
        <w:rPr>
          <w:rFonts w:ascii="Times New Roman" w:cs="Times New Roman" w:eastAsia="Times New Roman" w:hAnsi="Times New Roman"/>
          <w:sz w:val="16"/>
          <w:szCs w:val="16"/>
          <w:color w:val="auto"/>
        </w:rPr>
        <w:t>authority and from acts and forbearances incident to the</w:t>
      </w:r>
    </w:p>
    <w:p>
      <w:pPr>
        <w:spacing w:after="0" w:line="203" w:lineRule="auto"/>
        <w:rPr>
          <w:sz w:val="20"/>
          <w:szCs w:val="20"/>
          <w:color w:val="auto"/>
        </w:rPr>
      </w:pPr>
      <w:r>
        <w:rPr>
          <w:rFonts w:ascii="Times New Roman" w:cs="Times New Roman" w:eastAsia="Times New Roman" w:hAnsi="Times New Roman"/>
          <w:sz w:val="16"/>
          <w:szCs w:val="16"/>
          <w:color w:val="auto"/>
        </w:rPr>
        <w:t>exercise of our regulatory authority, this immunity only</w:t>
      </w:r>
    </w:p>
    <w:p>
      <w:pPr>
        <w:spacing w:after="0" w:line="204" w:lineRule="auto"/>
        <w:rPr>
          <w:sz w:val="20"/>
          <w:szCs w:val="20"/>
          <w:color w:val="auto"/>
        </w:rPr>
      </w:pPr>
      <w:r>
        <w:rPr>
          <w:rFonts w:ascii="Times New Roman" w:cs="Times New Roman" w:eastAsia="Times New Roman" w:hAnsi="Times New Roman"/>
          <w:sz w:val="16"/>
          <w:szCs w:val="16"/>
          <w:color w:val="auto"/>
        </w:rPr>
        <w:t>covers certain of our activities in the U.S., and we could be</w:t>
      </w:r>
    </w:p>
    <w:p>
      <w:pPr>
        <w:spacing w:after="0" w:line="204" w:lineRule="auto"/>
        <w:rPr>
          <w:sz w:val="20"/>
          <w:szCs w:val="20"/>
          <w:color w:val="auto"/>
        </w:rPr>
      </w:pPr>
      <w:r>
        <w:rPr>
          <w:rFonts w:ascii="Times New Roman" w:cs="Times New Roman" w:eastAsia="Times New Roman" w:hAnsi="Times New Roman"/>
          <w:sz w:val="16"/>
          <w:szCs w:val="16"/>
          <w:color w:val="auto"/>
        </w:rPr>
        <w:t>exposed to liability under national and local laws, court</w:t>
      </w:r>
    </w:p>
    <w:p>
      <w:pPr>
        <w:spacing w:after="0"/>
        <w:rPr>
          <w:sz w:val="20"/>
          <w:szCs w:val="20"/>
          <w:color w:val="auto"/>
        </w:rPr>
      </w:pPr>
      <w:r>
        <w:rPr>
          <w:rFonts w:ascii="Times New Roman" w:cs="Times New Roman" w:eastAsia="Times New Roman" w:hAnsi="Times New Roman"/>
          <w:sz w:val="16"/>
          <w:szCs w:val="16"/>
          <w:color w:val="auto"/>
        </w:rPr>
        <w:t>decisions and rules and regulations promulgated by</w:t>
      </w:r>
    </w:p>
    <w:p>
      <w:pPr>
        <w:sectPr>
          <w:pgSz w:w="11900" w:h="16840" w:orient="portrait"/>
          <w:cols w:equalWidth="0" w:num="1">
            <w:col w:w="9400"/>
          </w:cols>
          <w:pgMar w:left="1060" w:top="557" w:right="1440" w:bottom="92"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regulatory agencies.</w:t>
      </w:r>
    </w:p>
    <w:p>
      <w:pPr>
        <w:spacing w:after="0" w:line="232" w:lineRule="auto"/>
        <w:rPr>
          <w:sz w:val="20"/>
          <w:szCs w:val="20"/>
          <w:color w:val="auto"/>
        </w:rPr>
      </w:pPr>
      <w:r>
        <w:rPr>
          <w:rFonts w:ascii="Times New Roman" w:cs="Times New Roman" w:eastAsia="Times New Roman" w:hAnsi="Times New Roman"/>
          <w:sz w:val="14"/>
          <w:szCs w:val="14"/>
          <w:color w:val="auto"/>
        </w:rPr>
        <w:t>We face risks related to compliance with economic sanctions</w:t>
      </w:r>
    </w:p>
    <w:p>
      <w:pPr>
        <w:spacing w:after="0" w:line="204" w:lineRule="auto"/>
        <w:rPr>
          <w:sz w:val="20"/>
          <w:szCs w:val="20"/>
          <w:color w:val="auto"/>
        </w:rPr>
      </w:pPr>
      <w:r>
        <w:rPr>
          <w:rFonts w:ascii="Times New Roman" w:cs="Times New Roman" w:eastAsia="Times New Roman" w:hAnsi="Times New Roman"/>
          <w:sz w:val="16"/>
          <w:szCs w:val="16"/>
          <w:color w:val="auto"/>
        </w:rPr>
        <w:t>(including those administered by the U.S. Office of Foreign</w:t>
      </w:r>
    </w:p>
    <w:p>
      <w:pPr>
        <w:spacing w:after="0" w:line="203" w:lineRule="auto"/>
        <w:rPr>
          <w:sz w:val="20"/>
          <w:szCs w:val="20"/>
          <w:color w:val="auto"/>
        </w:rPr>
      </w:pPr>
      <w:r>
        <w:rPr>
          <w:rFonts w:ascii="Times New Roman" w:cs="Times New Roman" w:eastAsia="Times New Roman" w:hAnsi="Times New Roman"/>
          <w:sz w:val="16"/>
          <w:szCs w:val="16"/>
          <w:color w:val="auto"/>
        </w:rPr>
        <w:t>Assets Control), export controls, corruption (including the</w:t>
      </w:r>
    </w:p>
    <w:p>
      <w:pPr>
        <w:spacing w:after="0" w:line="204" w:lineRule="auto"/>
        <w:rPr>
          <w:sz w:val="20"/>
          <w:szCs w:val="20"/>
          <w:color w:val="auto"/>
        </w:rPr>
      </w:pPr>
      <w:r>
        <w:rPr>
          <w:rFonts w:ascii="Times New Roman" w:cs="Times New Roman" w:eastAsia="Times New Roman" w:hAnsi="Times New Roman"/>
          <w:sz w:val="16"/>
          <w:szCs w:val="16"/>
          <w:color w:val="auto"/>
        </w:rPr>
        <w:t>U.S. Foreign Corrupt Practices Act) and money laundering.</w:t>
      </w:r>
    </w:p>
    <w:p>
      <w:pPr>
        <w:spacing w:after="0" w:line="203" w:lineRule="auto"/>
        <w:rPr>
          <w:sz w:val="20"/>
          <w:szCs w:val="20"/>
          <w:color w:val="auto"/>
        </w:rPr>
      </w:pPr>
      <w:r>
        <w:rPr>
          <w:rFonts w:ascii="Times New Roman" w:cs="Times New Roman" w:eastAsia="Times New Roman" w:hAnsi="Times New Roman"/>
          <w:sz w:val="16"/>
          <w:szCs w:val="16"/>
          <w:color w:val="auto"/>
        </w:rPr>
        <w:t>While we maintain compliance programs to prevent and</w:t>
      </w:r>
    </w:p>
    <w:p>
      <w:pPr>
        <w:spacing w:after="0" w:line="233" w:lineRule="auto"/>
        <w:rPr>
          <w:sz w:val="20"/>
          <w:szCs w:val="20"/>
          <w:color w:val="auto"/>
        </w:rPr>
      </w:pPr>
      <w:r>
        <w:rPr>
          <w:rFonts w:ascii="Times New Roman" w:cs="Times New Roman" w:eastAsia="Times New Roman" w:hAnsi="Times New Roman"/>
          <w:sz w:val="14"/>
          <w:szCs w:val="14"/>
          <w:color w:val="auto"/>
        </w:rPr>
        <w:t>detect potential violations, such programs cannot completely</w:t>
      </w:r>
    </w:p>
    <w:p>
      <w:pPr>
        <w:spacing w:after="0" w:line="203" w:lineRule="auto"/>
        <w:rPr>
          <w:sz w:val="20"/>
          <w:szCs w:val="20"/>
          <w:color w:val="auto"/>
        </w:rPr>
      </w:pPr>
      <w:r>
        <w:rPr>
          <w:rFonts w:ascii="Times New Roman" w:cs="Times New Roman" w:eastAsia="Times New Roman" w:hAnsi="Times New Roman"/>
          <w:sz w:val="16"/>
          <w:szCs w:val="16"/>
          <w:color w:val="auto"/>
        </w:rPr>
        <w:t>eliminate the risk of non-compliance. Since our Financial</w:t>
      </w:r>
    </w:p>
    <w:p>
      <w:pPr>
        <w:spacing w:after="0" w:line="204" w:lineRule="auto"/>
        <w:rPr>
          <w:sz w:val="20"/>
          <w:szCs w:val="20"/>
          <w:color w:val="auto"/>
        </w:rPr>
      </w:pPr>
      <w:r>
        <w:rPr>
          <w:rFonts w:ascii="Times New Roman" w:cs="Times New Roman" w:eastAsia="Times New Roman" w:hAnsi="Times New Roman"/>
          <w:sz w:val="16"/>
          <w:szCs w:val="16"/>
          <w:color w:val="auto"/>
        </w:rPr>
        <w:t>Crime Management Technology and surveillance solutions</w:t>
      </w:r>
    </w:p>
    <w:p>
      <w:pPr>
        <w:spacing w:after="0" w:line="204" w:lineRule="auto"/>
        <w:rPr>
          <w:sz w:val="20"/>
          <w:szCs w:val="20"/>
          <w:color w:val="auto"/>
        </w:rPr>
      </w:pPr>
      <w:r>
        <w:rPr>
          <w:rFonts w:ascii="Times New Roman" w:cs="Times New Roman" w:eastAsia="Times New Roman" w:hAnsi="Times New Roman"/>
          <w:sz w:val="16"/>
          <w:szCs w:val="16"/>
          <w:color w:val="auto"/>
        </w:rPr>
        <w:t>are important offerings, a significant compliance event</w:t>
      </w:r>
    </w:p>
    <w:p>
      <w:pPr>
        <w:spacing w:after="0" w:line="203" w:lineRule="auto"/>
        <w:rPr>
          <w:sz w:val="20"/>
          <w:szCs w:val="20"/>
          <w:color w:val="auto"/>
        </w:rPr>
      </w:pPr>
      <w:r>
        <w:rPr>
          <w:rFonts w:ascii="Times New Roman" w:cs="Times New Roman" w:eastAsia="Times New Roman" w:hAnsi="Times New Roman"/>
          <w:sz w:val="16"/>
          <w:szCs w:val="16"/>
          <w:color w:val="auto"/>
        </w:rPr>
        <w:t>involving one of these areas could more negatively impact</w:t>
      </w:r>
    </w:p>
    <w:p>
      <w:pPr>
        <w:spacing w:after="0" w:line="233" w:lineRule="auto"/>
        <w:rPr>
          <w:sz w:val="20"/>
          <w:szCs w:val="20"/>
          <w:color w:val="auto"/>
        </w:rPr>
      </w:pPr>
      <w:r>
        <w:rPr>
          <w:rFonts w:ascii="Times New Roman" w:cs="Times New Roman" w:eastAsia="Times New Roman" w:hAnsi="Times New Roman"/>
          <w:sz w:val="14"/>
          <w:szCs w:val="14"/>
          <w:color w:val="auto"/>
        </w:rPr>
        <w:t>our business than a comparable business without this service</w:t>
      </w:r>
    </w:p>
    <w:p>
      <w:pPr>
        <w:spacing w:after="0" w:line="203" w:lineRule="auto"/>
        <w:rPr>
          <w:sz w:val="20"/>
          <w:szCs w:val="20"/>
          <w:color w:val="auto"/>
        </w:rPr>
      </w:pPr>
      <w:r>
        <w:rPr>
          <w:rFonts w:ascii="Times New Roman" w:cs="Times New Roman" w:eastAsia="Times New Roman" w:hAnsi="Times New Roman"/>
          <w:sz w:val="16"/>
          <w:szCs w:val="16"/>
          <w:color w:val="auto"/>
        </w:rPr>
        <w:t>offering.</w:t>
      </w:r>
    </w:p>
    <w:p>
      <w:pPr>
        <w:spacing w:after="0" w:line="204" w:lineRule="auto"/>
        <w:rPr>
          <w:sz w:val="20"/>
          <w:szCs w:val="20"/>
          <w:color w:val="auto"/>
        </w:rPr>
      </w:pPr>
      <w:r>
        <w:rPr>
          <w:rFonts w:ascii="Times New Roman" w:cs="Times New Roman" w:eastAsia="Times New Roman" w:hAnsi="Times New Roman"/>
          <w:sz w:val="16"/>
          <w:szCs w:val="16"/>
          <w:color w:val="auto"/>
        </w:rPr>
        <w:t>Liability could also result from disputes over the terms of a</w:t>
      </w:r>
    </w:p>
    <w:p>
      <w:pPr>
        <w:spacing w:after="0" w:line="203" w:lineRule="auto"/>
        <w:rPr>
          <w:sz w:val="20"/>
          <w:szCs w:val="20"/>
          <w:color w:val="auto"/>
        </w:rPr>
      </w:pPr>
      <w:r>
        <w:rPr>
          <w:rFonts w:ascii="Times New Roman" w:cs="Times New Roman" w:eastAsia="Times New Roman" w:hAnsi="Times New Roman"/>
          <w:sz w:val="16"/>
          <w:szCs w:val="16"/>
          <w:color w:val="auto"/>
        </w:rPr>
        <w:t>trade, claims that a system failure or delay cost a customer</w:t>
      </w:r>
    </w:p>
    <w:p>
      <w:pPr>
        <w:spacing w:after="0" w:line="233" w:lineRule="auto"/>
        <w:rPr>
          <w:sz w:val="20"/>
          <w:szCs w:val="20"/>
          <w:color w:val="auto"/>
        </w:rPr>
      </w:pPr>
      <w:r>
        <w:rPr>
          <w:rFonts w:ascii="Times New Roman" w:cs="Times New Roman" w:eastAsia="Times New Roman" w:hAnsi="Times New Roman"/>
          <w:sz w:val="14"/>
          <w:szCs w:val="14"/>
          <w:color w:val="auto"/>
        </w:rPr>
        <w:t>money, claims we entered into an unauthorized transaction or</w:t>
      </w:r>
    </w:p>
    <w:p>
      <w:pPr>
        <w:spacing w:after="0" w:line="204" w:lineRule="auto"/>
        <w:rPr>
          <w:sz w:val="20"/>
          <w:szCs w:val="20"/>
          <w:color w:val="auto"/>
        </w:rPr>
      </w:pPr>
      <w:r>
        <w:rPr>
          <w:rFonts w:ascii="Times New Roman" w:cs="Times New Roman" w:eastAsia="Times New Roman" w:hAnsi="Times New Roman"/>
          <w:sz w:val="16"/>
          <w:szCs w:val="16"/>
          <w:color w:val="auto"/>
        </w:rPr>
        <w:t>claims that we provided materially false or misleading</w:t>
      </w:r>
    </w:p>
    <w:p>
      <w:pPr>
        <w:spacing w:after="0" w:line="203" w:lineRule="auto"/>
        <w:rPr>
          <w:sz w:val="20"/>
          <w:szCs w:val="20"/>
          <w:color w:val="auto"/>
        </w:rPr>
      </w:pPr>
      <w:r>
        <w:rPr>
          <w:rFonts w:ascii="Times New Roman" w:cs="Times New Roman" w:eastAsia="Times New Roman" w:hAnsi="Times New Roman"/>
          <w:sz w:val="16"/>
          <w:szCs w:val="16"/>
          <w:color w:val="auto"/>
        </w:rPr>
        <w:t>statements in connection with a securities transaction.</w:t>
      </w:r>
    </w:p>
    <w:p>
      <w:pPr>
        <w:spacing w:after="0" w:line="204" w:lineRule="auto"/>
        <w:rPr>
          <w:sz w:val="20"/>
          <w:szCs w:val="20"/>
          <w:color w:val="auto"/>
        </w:rPr>
      </w:pPr>
      <w:r>
        <w:rPr>
          <w:rFonts w:ascii="Times New Roman" w:cs="Times New Roman" w:eastAsia="Times New Roman" w:hAnsi="Times New Roman"/>
          <w:sz w:val="16"/>
          <w:szCs w:val="16"/>
          <w:color w:val="auto"/>
        </w:rPr>
        <w:t>Although we carry insurance that may limit our risk of</w:t>
      </w:r>
    </w:p>
    <w:p>
      <w:pPr>
        <w:spacing w:after="0" w:line="203" w:lineRule="auto"/>
        <w:rPr>
          <w:sz w:val="20"/>
          <w:szCs w:val="20"/>
          <w:color w:val="auto"/>
        </w:rPr>
      </w:pPr>
      <w:r>
        <w:rPr>
          <w:rFonts w:ascii="Times New Roman" w:cs="Times New Roman" w:eastAsia="Times New Roman" w:hAnsi="Times New Roman"/>
          <w:sz w:val="16"/>
          <w:szCs w:val="16"/>
          <w:color w:val="auto"/>
        </w:rPr>
        <w:t>damages in some cases, we still may incur significant legal</w:t>
      </w:r>
    </w:p>
    <w:p>
      <w:pPr>
        <w:spacing w:after="0" w:line="204" w:lineRule="auto"/>
        <w:rPr>
          <w:sz w:val="20"/>
          <w:szCs w:val="20"/>
          <w:color w:val="auto"/>
        </w:rPr>
      </w:pPr>
      <w:r>
        <w:rPr>
          <w:rFonts w:ascii="Times New Roman" w:cs="Times New Roman" w:eastAsia="Times New Roman" w:hAnsi="Times New Roman"/>
          <w:sz w:val="16"/>
          <w:szCs w:val="16"/>
          <w:color w:val="auto"/>
        </w:rPr>
        <w:t>expenses and may sustain uncovered losses or losses in</w:t>
      </w:r>
    </w:p>
    <w:p>
      <w:pPr>
        <w:spacing w:after="0" w:line="233" w:lineRule="auto"/>
        <w:rPr>
          <w:sz w:val="20"/>
          <w:szCs w:val="20"/>
          <w:color w:val="auto"/>
        </w:rPr>
      </w:pPr>
      <w:r>
        <w:rPr>
          <w:rFonts w:ascii="Times New Roman" w:cs="Times New Roman" w:eastAsia="Times New Roman" w:hAnsi="Times New Roman"/>
          <w:sz w:val="14"/>
          <w:szCs w:val="14"/>
          <w:color w:val="auto"/>
        </w:rPr>
        <w:t>excess of available insurance that would affect our business,</w:t>
      </w:r>
    </w:p>
    <w:p>
      <w:pPr>
        <w:spacing w:after="0" w:line="203" w:lineRule="auto"/>
        <w:rPr>
          <w:sz w:val="20"/>
          <w:szCs w:val="20"/>
          <w:color w:val="auto"/>
        </w:rPr>
      </w:pPr>
      <w:r>
        <w:rPr>
          <w:rFonts w:ascii="Times New Roman" w:cs="Times New Roman" w:eastAsia="Times New Roman" w:hAnsi="Times New Roman"/>
          <w:sz w:val="16"/>
          <w:szCs w:val="16"/>
          <w:color w:val="auto"/>
        </w:rPr>
        <w:t>financial condition and results of operations.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We have self-regulatory obligations and also operate for-</w:t>
      </w:r>
    </w:p>
    <w:p>
      <w:pPr>
        <w:spacing w:after="0"/>
        <w:rPr>
          <w:sz w:val="20"/>
          <w:szCs w:val="20"/>
          <w:color w:val="auto"/>
        </w:rPr>
      </w:pPr>
      <w:r>
        <w:rPr>
          <w:rFonts w:ascii="Times New Roman" w:cs="Times New Roman" w:eastAsia="Times New Roman" w:hAnsi="Times New Roman"/>
          <w:sz w:val="16"/>
          <w:szCs w:val="16"/>
          <w:b w:val="1"/>
          <w:bCs w:val="1"/>
          <w:i w:val="1"/>
          <w:iCs w:val="1"/>
          <w:color w:val="auto"/>
        </w:rPr>
        <w:t>profit businesses, and these two roles may create conflicts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w:t>
      </w:r>
    </w:p>
    <w:p>
      <w:pPr>
        <w:spacing w:after="0" w:line="203" w:lineRule="auto"/>
        <w:rPr>
          <w:sz w:val="20"/>
          <w:szCs w:val="20"/>
          <w:color w:val="auto"/>
        </w:rPr>
      </w:pPr>
      <w:r>
        <w:rPr>
          <w:rFonts w:ascii="Times New Roman" w:cs="Times New Roman" w:eastAsia="Times New Roman" w:hAnsi="Times New Roman"/>
          <w:sz w:val="16"/>
          <w:szCs w:val="16"/>
          <w:color w:val="auto"/>
        </w:rPr>
        <w:t>data sovereignty, and resiliency regulations may impact the</w:t>
      </w:r>
    </w:p>
    <w:p>
      <w:pPr>
        <w:spacing w:after="0" w:line="204" w:lineRule="auto"/>
        <w:rPr>
          <w:sz w:val="20"/>
          <w:szCs w:val="20"/>
          <w:color w:val="auto"/>
        </w:rPr>
      </w:pPr>
      <w:r>
        <w:rPr>
          <w:rFonts w:ascii="Times New Roman" w:cs="Times New Roman" w:eastAsia="Times New Roman" w:hAnsi="Times New Roman"/>
          <w:sz w:val="16"/>
          <w:szCs w:val="16"/>
          <w:color w:val="auto"/>
        </w:rPr>
        <w:t>requirements and cost of delivery for impacted systems and</w:t>
      </w:r>
    </w:p>
    <w:p>
      <w:pPr>
        <w:spacing w:after="0" w:line="232" w:lineRule="auto"/>
        <w:rPr>
          <w:sz w:val="20"/>
          <w:szCs w:val="20"/>
          <w:color w:val="auto"/>
        </w:rPr>
      </w:pPr>
      <w:r>
        <w:rPr>
          <w:rFonts w:ascii="Times New Roman" w:cs="Times New Roman" w:eastAsia="Times New Roman" w:hAnsi="Times New Roman"/>
          <w:sz w:val="14"/>
          <w:szCs w:val="14"/>
          <w:color w:val="auto"/>
        </w:rPr>
        <w:t>services and, in the event of an incident, increase the cost and</w:t>
      </w:r>
    </w:p>
    <w:p>
      <w:pPr>
        <w:spacing w:after="0" w:line="204" w:lineRule="auto"/>
        <w:rPr>
          <w:sz w:val="20"/>
          <w:szCs w:val="20"/>
          <w:color w:val="auto"/>
        </w:rPr>
      </w:pPr>
      <w:r>
        <w:rPr>
          <w:rFonts w:ascii="Times New Roman" w:cs="Times New Roman" w:eastAsia="Times New Roman" w:hAnsi="Times New Roman"/>
          <w:sz w:val="16"/>
          <w:szCs w:val="16"/>
          <w:color w:val="auto"/>
        </w:rPr>
        <w:t>complexity of our response and the potential financial and</w:t>
      </w:r>
    </w:p>
    <w:p>
      <w:pPr>
        <w:spacing w:after="0" w:line="203" w:lineRule="auto"/>
        <w:rPr>
          <w:sz w:val="20"/>
          <w:szCs w:val="20"/>
          <w:color w:val="auto"/>
        </w:rPr>
      </w:pPr>
      <w:r>
        <w:rPr>
          <w:rFonts w:ascii="Times New Roman" w:cs="Times New Roman" w:eastAsia="Times New Roman" w:hAnsi="Times New Roman"/>
          <w:sz w:val="16"/>
          <w:szCs w:val="16"/>
          <w:color w:val="auto"/>
        </w:rPr>
        <w:t>reputation impact from fines or private litigation. These</w:t>
      </w:r>
    </w:p>
    <w:p>
      <w:pPr>
        <w:spacing w:after="0" w:line="204" w:lineRule="auto"/>
        <w:rPr>
          <w:sz w:val="20"/>
          <w:szCs w:val="20"/>
          <w:color w:val="auto"/>
        </w:rPr>
      </w:pPr>
      <w:r>
        <w:rPr>
          <w:rFonts w:ascii="Times New Roman" w:cs="Times New Roman" w:eastAsia="Times New Roman" w:hAnsi="Times New Roman"/>
          <w:sz w:val="16"/>
          <w:szCs w:val="16"/>
          <w:color w:val="auto"/>
        </w:rPr>
        <w:t>regulations may also impact customer decision making and</w:t>
      </w:r>
    </w:p>
    <w:p>
      <w:pPr>
        <w:spacing w:after="0" w:line="203" w:lineRule="auto"/>
        <w:rPr>
          <w:sz w:val="20"/>
          <w:szCs w:val="20"/>
          <w:color w:val="auto"/>
        </w:rPr>
      </w:pPr>
      <w:r>
        <w:rPr>
          <w:rFonts w:ascii="Times New Roman" w:cs="Times New Roman" w:eastAsia="Times New Roman" w:hAnsi="Times New Roman"/>
          <w:sz w:val="16"/>
          <w:szCs w:val="16"/>
          <w:color w:val="auto"/>
        </w:rPr>
        <w:t>conditions on contracting for our services.</w:t>
      </w:r>
    </w:p>
    <w:p>
      <w:pPr>
        <w:spacing w:after="0" w:line="233" w:lineRule="auto"/>
        <w:rPr>
          <w:sz w:val="20"/>
          <w:szCs w:val="20"/>
          <w:color w:val="auto"/>
        </w:rPr>
      </w:pPr>
      <w:r>
        <w:rPr>
          <w:rFonts w:ascii="Times New Roman" w:cs="Times New Roman" w:eastAsia="Times New Roman" w:hAnsi="Times New Roman"/>
          <w:sz w:val="14"/>
          <w:szCs w:val="14"/>
          <w:color w:val="auto"/>
        </w:rPr>
        <w:t>Our businesses and internal operations rely on the processing</w:t>
      </w:r>
    </w:p>
    <w:p>
      <w:pPr>
        <w:spacing w:after="0" w:line="204" w:lineRule="auto"/>
        <w:rPr>
          <w:sz w:val="20"/>
          <w:szCs w:val="20"/>
          <w:color w:val="auto"/>
        </w:rPr>
      </w:pPr>
      <w:r>
        <w:rPr>
          <w:rFonts w:ascii="Times New Roman" w:cs="Times New Roman" w:eastAsia="Times New Roman" w:hAnsi="Times New Roman"/>
          <w:sz w:val="16"/>
          <w:szCs w:val="16"/>
          <w:color w:val="auto"/>
        </w:rPr>
        <w:t>of data in many jurisdictions and the movement of data,</w:t>
      </w:r>
    </w:p>
    <w:p>
      <w:pPr>
        <w:spacing w:after="0" w:line="203" w:lineRule="auto"/>
        <w:rPr>
          <w:sz w:val="20"/>
          <w:szCs w:val="20"/>
          <w:color w:val="auto"/>
        </w:rPr>
      </w:pPr>
      <w:r>
        <w:rPr>
          <w:rFonts w:ascii="Times New Roman" w:cs="Times New Roman" w:eastAsia="Times New Roman" w:hAnsi="Times New Roman"/>
          <w:sz w:val="16"/>
          <w:szCs w:val="16"/>
          <w:color w:val="auto"/>
        </w:rPr>
        <w:t>including personal data, across national borders. Legal and</w:t>
      </w:r>
    </w:p>
    <w:p>
      <w:pPr>
        <w:spacing w:after="0" w:line="233" w:lineRule="auto"/>
        <w:rPr>
          <w:sz w:val="20"/>
          <w:szCs w:val="20"/>
          <w:color w:val="auto"/>
        </w:rPr>
      </w:pPr>
      <w:r>
        <w:rPr>
          <w:rFonts w:ascii="Times New Roman" w:cs="Times New Roman" w:eastAsia="Times New Roman" w:hAnsi="Times New Roman"/>
          <w:sz w:val="14"/>
          <w:szCs w:val="14"/>
          <w:color w:val="auto"/>
        </w:rPr>
        <w:t>contractual requirements relating to the processing, including,</w:t>
      </w:r>
    </w:p>
    <w:p>
      <w:pPr>
        <w:spacing w:after="0" w:line="203" w:lineRule="auto"/>
        <w:rPr>
          <w:sz w:val="20"/>
          <w:szCs w:val="20"/>
          <w:color w:val="auto"/>
        </w:rPr>
      </w:pPr>
      <w:r>
        <w:rPr>
          <w:rFonts w:ascii="Times New Roman" w:cs="Times New Roman" w:eastAsia="Times New Roman" w:hAnsi="Times New Roman"/>
          <w:sz w:val="16"/>
          <w:szCs w:val="16"/>
          <w:color w:val="auto"/>
        </w:rPr>
        <w:t>but not limited to, collection, storage, handling, use,</w:t>
      </w:r>
    </w:p>
    <w:p>
      <w:pPr>
        <w:spacing w:after="0" w:line="204" w:lineRule="auto"/>
        <w:rPr>
          <w:sz w:val="20"/>
          <w:szCs w:val="20"/>
          <w:color w:val="auto"/>
        </w:rPr>
      </w:pPr>
      <w:r>
        <w:rPr>
          <w:rFonts w:ascii="Times New Roman" w:cs="Times New Roman" w:eastAsia="Times New Roman" w:hAnsi="Times New Roman"/>
          <w:sz w:val="16"/>
          <w:szCs w:val="16"/>
          <w:color w:val="auto"/>
        </w:rPr>
        <w:t>disclosure, transfer and security, and brokering, of personal</w:t>
      </w:r>
    </w:p>
    <w:p>
      <w:pPr>
        <w:spacing w:after="0" w:line="233" w:lineRule="auto"/>
        <w:rPr>
          <w:sz w:val="20"/>
          <w:szCs w:val="20"/>
          <w:color w:val="auto"/>
        </w:rPr>
      </w:pPr>
      <w:r>
        <w:rPr>
          <w:rFonts w:ascii="Times New Roman" w:cs="Times New Roman" w:eastAsia="Times New Roman" w:hAnsi="Times New Roman"/>
          <w:sz w:val="14"/>
          <w:szCs w:val="14"/>
          <w:color w:val="auto"/>
        </w:rPr>
        <w:t>data continue to evolve and regulatory scrutiny and customer</w:t>
      </w:r>
    </w:p>
    <w:p>
      <w:pPr>
        <w:spacing w:after="0" w:line="203" w:lineRule="auto"/>
        <w:rPr>
          <w:sz w:val="20"/>
          <w:szCs w:val="20"/>
          <w:color w:val="auto"/>
        </w:rPr>
      </w:pPr>
      <w:r>
        <w:rPr>
          <w:rFonts w:ascii="Times New Roman" w:cs="Times New Roman" w:eastAsia="Times New Roman" w:hAnsi="Times New Roman"/>
          <w:sz w:val="16"/>
          <w:szCs w:val="16"/>
          <w:color w:val="auto"/>
        </w:rPr>
        <w:t>requirements in this area are increasing around the world.</w:t>
      </w:r>
    </w:p>
    <w:p>
      <w:pPr>
        <w:spacing w:after="0" w:line="204" w:lineRule="auto"/>
        <w:rPr>
          <w:sz w:val="20"/>
          <w:szCs w:val="20"/>
          <w:color w:val="auto"/>
        </w:rPr>
      </w:pPr>
      <w:r>
        <w:rPr>
          <w:rFonts w:ascii="Times New Roman" w:cs="Times New Roman" w:eastAsia="Times New Roman" w:hAnsi="Times New Roman"/>
          <w:sz w:val="16"/>
          <w:szCs w:val="16"/>
          <w:color w:val="auto"/>
        </w:rPr>
        <w:t>Significant uncertainty exists as privacy and data protection</w:t>
      </w:r>
    </w:p>
    <w:p>
      <w:pPr>
        <w:spacing w:after="0" w:line="203" w:lineRule="auto"/>
        <w:rPr>
          <w:sz w:val="20"/>
          <w:szCs w:val="20"/>
          <w:color w:val="auto"/>
        </w:rPr>
      </w:pPr>
      <w:r>
        <w:rPr>
          <w:rFonts w:ascii="Times New Roman" w:cs="Times New Roman" w:eastAsia="Times New Roman" w:hAnsi="Times New Roman"/>
          <w:sz w:val="16"/>
          <w:szCs w:val="16"/>
          <w:color w:val="auto"/>
        </w:rPr>
        <w:t>laws may be interpreted and applied differently across</w:t>
      </w:r>
    </w:p>
    <w:p>
      <w:pPr>
        <w:spacing w:after="0" w:line="204" w:lineRule="auto"/>
        <w:rPr>
          <w:sz w:val="20"/>
          <w:szCs w:val="20"/>
          <w:color w:val="auto"/>
        </w:rPr>
      </w:pPr>
      <w:r>
        <w:rPr>
          <w:rFonts w:ascii="Times New Roman" w:cs="Times New Roman" w:eastAsia="Times New Roman" w:hAnsi="Times New Roman"/>
          <w:sz w:val="16"/>
          <w:szCs w:val="16"/>
          <w:color w:val="auto"/>
        </w:rPr>
        <w:t>jurisdictions and may create inconsistent or conflicting</w:t>
      </w:r>
    </w:p>
    <w:p>
      <w:pPr>
        <w:spacing w:after="0" w:line="203" w:lineRule="auto"/>
        <w:rPr>
          <w:sz w:val="20"/>
          <w:szCs w:val="20"/>
          <w:color w:val="auto"/>
        </w:rPr>
      </w:pPr>
      <w:r>
        <w:rPr>
          <w:rFonts w:ascii="Times New Roman" w:cs="Times New Roman" w:eastAsia="Times New Roman" w:hAnsi="Times New Roman"/>
          <w:sz w:val="16"/>
          <w:szCs w:val="16"/>
          <w:color w:val="auto"/>
        </w:rPr>
        <w:t>requirements with privacy and other laws to which we are</w:t>
      </w:r>
    </w:p>
    <w:p>
      <w:pPr>
        <w:spacing w:after="0" w:line="204" w:lineRule="auto"/>
        <w:rPr>
          <w:sz w:val="20"/>
          <w:szCs w:val="20"/>
          <w:color w:val="auto"/>
        </w:rPr>
      </w:pPr>
      <w:r>
        <w:rPr>
          <w:rFonts w:ascii="Times New Roman" w:cs="Times New Roman" w:eastAsia="Times New Roman" w:hAnsi="Times New Roman"/>
          <w:sz w:val="16"/>
          <w:szCs w:val="16"/>
          <w:color w:val="auto"/>
        </w:rPr>
        <w:t>subject.</w:t>
      </w:r>
    </w:p>
    <w:p>
      <w:pPr>
        <w:spacing w:after="0" w:line="233" w:lineRule="auto"/>
        <w:rPr>
          <w:sz w:val="20"/>
          <w:szCs w:val="20"/>
          <w:color w:val="auto"/>
        </w:rPr>
      </w:pPr>
      <w:r>
        <w:rPr>
          <w:rFonts w:ascii="Times New Roman" w:cs="Times New Roman" w:eastAsia="Times New Roman" w:hAnsi="Times New Roman"/>
          <w:sz w:val="14"/>
          <w:szCs w:val="14"/>
          <w:color w:val="auto"/>
        </w:rPr>
        <w:t>Laws and regulations such as the European Union and United</w:t>
      </w:r>
    </w:p>
    <w:p>
      <w:pPr>
        <w:spacing w:after="0" w:line="232" w:lineRule="auto"/>
        <w:rPr>
          <w:sz w:val="20"/>
          <w:szCs w:val="20"/>
          <w:color w:val="auto"/>
        </w:rPr>
      </w:pPr>
      <w:r>
        <w:rPr>
          <w:rFonts w:ascii="Times New Roman" w:cs="Times New Roman" w:eastAsia="Times New Roman" w:hAnsi="Times New Roman"/>
          <w:sz w:val="14"/>
          <w:szCs w:val="14"/>
          <w:color w:val="auto"/>
        </w:rPr>
        <w:t>Kingdom General Data Protection Regulation, the California</w:t>
      </w:r>
    </w:p>
    <w:p>
      <w:pPr>
        <w:spacing w:after="0" w:line="204" w:lineRule="auto"/>
        <w:rPr>
          <w:sz w:val="20"/>
          <w:szCs w:val="20"/>
          <w:color w:val="auto"/>
        </w:rPr>
      </w:pPr>
      <w:r>
        <w:rPr>
          <w:rFonts w:ascii="Times New Roman" w:cs="Times New Roman" w:eastAsia="Times New Roman" w:hAnsi="Times New Roman"/>
          <w:sz w:val="16"/>
          <w:szCs w:val="16"/>
          <w:color w:val="auto"/>
        </w:rPr>
        <w:t>Privacy Rights Act and other comparable laws and</w:t>
      </w:r>
    </w:p>
    <w:p>
      <w:pPr>
        <w:spacing w:after="0" w:line="232" w:lineRule="auto"/>
        <w:rPr>
          <w:sz w:val="20"/>
          <w:szCs w:val="20"/>
          <w:color w:val="auto"/>
        </w:rPr>
      </w:pPr>
      <w:r>
        <w:rPr>
          <w:rFonts w:ascii="Times New Roman" w:cs="Times New Roman" w:eastAsia="Times New Roman" w:hAnsi="Times New Roman"/>
          <w:sz w:val="14"/>
          <w:szCs w:val="14"/>
          <w:color w:val="auto"/>
        </w:rPr>
        <w:t>regulations adopted globally and within the United States and</w:t>
      </w:r>
    </w:p>
    <w:p>
      <w:pPr>
        <w:spacing w:after="0" w:line="204" w:lineRule="auto"/>
        <w:rPr>
          <w:sz w:val="20"/>
          <w:szCs w:val="20"/>
          <w:color w:val="auto"/>
        </w:rPr>
      </w:pPr>
      <w:r>
        <w:rPr>
          <w:rFonts w:ascii="Times New Roman" w:cs="Times New Roman" w:eastAsia="Times New Roman" w:hAnsi="Times New Roman"/>
          <w:sz w:val="16"/>
          <w:szCs w:val="16"/>
          <w:color w:val="auto"/>
        </w:rPr>
        <w:t>Canada can apply to our processing of their residents’</w:t>
      </w:r>
    </w:p>
    <w:p>
      <w:pPr>
        <w:spacing w:after="0" w:line="203" w:lineRule="auto"/>
        <w:rPr>
          <w:sz w:val="20"/>
          <w:szCs w:val="20"/>
          <w:color w:val="auto"/>
        </w:rPr>
      </w:pPr>
      <w:r>
        <w:rPr>
          <w:rFonts w:ascii="Times New Roman" w:cs="Times New Roman" w:eastAsia="Times New Roman" w:hAnsi="Times New Roman"/>
          <w:sz w:val="16"/>
          <w:szCs w:val="16"/>
          <w:color w:val="auto"/>
        </w:rPr>
        <w:t>personal data by Nasdaq legal entities regardless of the</w:t>
      </w:r>
    </w:p>
    <w:p>
      <w:pPr>
        <w:spacing w:after="0" w:line="204" w:lineRule="auto"/>
        <w:rPr>
          <w:sz w:val="20"/>
          <w:szCs w:val="20"/>
          <w:color w:val="auto"/>
        </w:rPr>
      </w:pPr>
      <w:r>
        <w:rPr>
          <w:rFonts w:ascii="Times New Roman" w:cs="Times New Roman" w:eastAsia="Times New Roman" w:hAnsi="Times New Roman"/>
          <w:sz w:val="16"/>
          <w:szCs w:val="16"/>
          <w:color w:val="auto"/>
        </w:rPr>
        <w:t>location of such entities; such laws may also require our</w:t>
      </w:r>
    </w:p>
    <w:p>
      <w:pPr>
        <w:spacing w:after="0" w:line="203" w:lineRule="auto"/>
        <w:rPr>
          <w:sz w:val="20"/>
          <w:szCs w:val="20"/>
          <w:color w:val="auto"/>
        </w:rPr>
      </w:pPr>
      <w:r>
        <w:rPr>
          <w:rFonts w:ascii="Times New Roman" w:cs="Times New Roman" w:eastAsia="Times New Roman" w:hAnsi="Times New Roman"/>
          <w:sz w:val="16"/>
          <w:szCs w:val="16"/>
          <w:color w:val="auto"/>
        </w:rPr>
        <w:t>customers located in such jurisdictions to contractually</w:t>
      </w:r>
    </w:p>
    <w:p>
      <w:pPr>
        <w:spacing w:after="0" w:line="204" w:lineRule="auto"/>
        <w:rPr>
          <w:sz w:val="20"/>
          <w:szCs w:val="20"/>
          <w:color w:val="auto"/>
        </w:rPr>
      </w:pPr>
      <w:r>
        <w:rPr>
          <w:rFonts w:ascii="Times New Roman" w:cs="Times New Roman" w:eastAsia="Times New Roman" w:hAnsi="Times New Roman"/>
          <w:sz w:val="16"/>
          <w:szCs w:val="16"/>
          <w:color w:val="auto"/>
        </w:rPr>
        <w:t>obligate our compliance.</w:t>
      </w:r>
    </w:p>
    <w:p>
      <w:pPr>
        <w:spacing w:after="0" w:line="204" w:lineRule="auto"/>
        <w:rPr>
          <w:sz w:val="20"/>
          <w:szCs w:val="20"/>
          <w:color w:val="auto"/>
        </w:rPr>
      </w:pPr>
      <w:r>
        <w:rPr>
          <w:rFonts w:ascii="Times New Roman" w:cs="Times New Roman" w:eastAsia="Times New Roman" w:hAnsi="Times New Roman"/>
          <w:sz w:val="16"/>
          <w:szCs w:val="16"/>
          <w:color w:val="auto"/>
        </w:rPr>
        <w:t>In addition to directly applying to some of our business</w:t>
      </w:r>
    </w:p>
    <w:p>
      <w:pPr>
        <w:spacing w:after="0" w:line="203" w:lineRule="auto"/>
        <w:rPr>
          <w:sz w:val="20"/>
          <w:szCs w:val="20"/>
          <w:color w:val="auto"/>
        </w:rPr>
      </w:pPr>
      <w:r>
        <w:rPr>
          <w:rFonts w:ascii="Times New Roman" w:cs="Times New Roman" w:eastAsia="Times New Roman" w:hAnsi="Times New Roman"/>
          <w:sz w:val="16"/>
          <w:szCs w:val="16"/>
          <w:color w:val="auto"/>
        </w:rPr>
        <w:t>activities, these laws and industry-specific regulations, such</w:t>
      </w:r>
    </w:p>
    <w:p>
      <w:pPr>
        <w:spacing w:after="0" w:line="204" w:lineRule="auto"/>
        <w:rPr>
          <w:sz w:val="20"/>
          <w:szCs w:val="20"/>
          <w:color w:val="auto"/>
        </w:rPr>
      </w:pPr>
      <w:r>
        <w:rPr>
          <w:rFonts w:ascii="Times New Roman" w:cs="Times New Roman" w:eastAsia="Times New Roman" w:hAnsi="Times New Roman"/>
          <w:sz w:val="16"/>
          <w:szCs w:val="16"/>
          <w:color w:val="auto"/>
        </w:rPr>
        <w:t>as the Health Insurance Portability and Accountability Act</w:t>
      </w:r>
    </w:p>
    <w:p>
      <w:pPr>
        <w:spacing w:after="0" w:line="203" w:lineRule="auto"/>
        <w:rPr>
          <w:sz w:val="20"/>
          <w:szCs w:val="20"/>
          <w:color w:val="auto"/>
        </w:rPr>
      </w:pPr>
      <w:r>
        <w:rPr>
          <w:rFonts w:ascii="Times New Roman" w:cs="Times New Roman" w:eastAsia="Times New Roman" w:hAnsi="Times New Roman"/>
          <w:sz w:val="16"/>
          <w:szCs w:val="16"/>
          <w:color w:val="auto"/>
        </w:rPr>
        <w:t>and the Gramm-Leach-Bliley Act, impact many of our</w:t>
      </w:r>
    </w:p>
    <w:p>
      <w:pPr>
        <w:spacing w:after="0" w:line="204" w:lineRule="auto"/>
        <w:rPr>
          <w:sz w:val="20"/>
          <w:szCs w:val="20"/>
          <w:color w:val="auto"/>
        </w:rPr>
      </w:pPr>
      <w:r>
        <w:rPr>
          <w:rFonts w:ascii="Times New Roman" w:cs="Times New Roman" w:eastAsia="Times New Roman" w:hAnsi="Times New Roman"/>
          <w:sz w:val="16"/>
          <w:szCs w:val="16"/>
          <w:color w:val="auto"/>
        </w:rPr>
        <w:t>customers, which may affect their decisions to purchase our</w:t>
      </w:r>
    </w:p>
    <w:p>
      <w:pPr>
        <w:spacing w:after="0" w:line="203" w:lineRule="auto"/>
        <w:rPr>
          <w:sz w:val="20"/>
          <w:szCs w:val="20"/>
          <w:color w:val="auto"/>
        </w:rPr>
      </w:pPr>
      <w:r>
        <w:rPr>
          <w:rFonts w:ascii="Times New Roman" w:cs="Times New Roman" w:eastAsia="Times New Roman" w:hAnsi="Times New Roman"/>
          <w:sz w:val="16"/>
          <w:szCs w:val="16"/>
          <w:color w:val="auto"/>
        </w:rPr>
        <w:t>services. As a supplier to such customers, regulators may</w:t>
      </w:r>
    </w:p>
    <w:p>
      <w:pPr>
        <w:spacing w:after="0" w:line="204" w:lineRule="auto"/>
        <w:rPr>
          <w:sz w:val="20"/>
          <w:szCs w:val="20"/>
          <w:color w:val="auto"/>
        </w:rPr>
      </w:pPr>
      <w:r>
        <w:rPr>
          <w:rFonts w:ascii="Times New Roman" w:cs="Times New Roman" w:eastAsia="Times New Roman" w:hAnsi="Times New Roman"/>
          <w:sz w:val="16"/>
          <w:szCs w:val="16"/>
          <w:color w:val="auto"/>
        </w:rPr>
        <w:t>engage in direct enforcement actions or seek to impose</w:t>
      </w:r>
    </w:p>
    <w:p>
      <w:pPr>
        <w:spacing w:after="0" w:line="203" w:lineRule="auto"/>
        <w:rPr>
          <w:sz w:val="20"/>
          <w:szCs w:val="20"/>
          <w:color w:val="auto"/>
        </w:rPr>
      </w:pPr>
      <w:r>
        <w:rPr>
          <w:rFonts w:ascii="Times New Roman" w:cs="Times New Roman" w:eastAsia="Times New Roman" w:hAnsi="Times New Roman"/>
          <w:sz w:val="16"/>
          <w:szCs w:val="16"/>
          <w:color w:val="auto"/>
        </w:rPr>
        <w:t>liability on us if we do not comply with applicable</w:t>
      </w:r>
    </w:p>
    <w:p>
      <w:pPr>
        <w:spacing w:after="0" w:line="204" w:lineRule="auto"/>
        <w:rPr>
          <w:sz w:val="20"/>
          <w:szCs w:val="20"/>
          <w:color w:val="auto"/>
        </w:rPr>
      </w:pPr>
      <w:r>
        <w:rPr>
          <w:rFonts w:ascii="Times New Roman" w:cs="Times New Roman" w:eastAsia="Times New Roman" w:hAnsi="Times New Roman"/>
          <w:sz w:val="16"/>
          <w:szCs w:val="16"/>
          <w:color w:val="auto"/>
        </w:rPr>
        <w:t>regulations. Our efforts to comply with privacy and data</w:t>
      </w:r>
    </w:p>
    <w:p>
      <w:pPr>
        <w:spacing w:after="0" w:line="203" w:lineRule="auto"/>
        <w:rPr>
          <w:sz w:val="20"/>
          <w:szCs w:val="20"/>
          <w:color w:val="auto"/>
        </w:rPr>
      </w:pPr>
      <w:r>
        <w:rPr>
          <w:rFonts w:ascii="Times New Roman" w:cs="Times New Roman" w:eastAsia="Times New Roman" w:hAnsi="Times New Roman"/>
          <w:sz w:val="16"/>
          <w:szCs w:val="16"/>
          <w:color w:val="auto"/>
        </w:rPr>
        <w:t>protection laws may entail substantial expenses, may divert</w:t>
      </w:r>
    </w:p>
    <w:p>
      <w:pPr>
        <w:spacing w:after="0" w:line="204" w:lineRule="auto"/>
        <w:rPr>
          <w:sz w:val="20"/>
          <w:szCs w:val="20"/>
          <w:color w:val="auto"/>
        </w:rPr>
      </w:pPr>
      <w:r>
        <w:rPr>
          <w:rFonts w:ascii="Times New Roman" w:cs="Times New Roman" w:eastAsia="Times New Roman" w:hAnsi="Times New Roman"/>
          <w:sz w:val="16"/>
          <w:szCs w:val="16"/>
          <w:color w:val="auto"/>
        </w:rPr>
        <w:t>resources from other initiatives and projects, and could</w:t>
      </w:r>
    </w:p>
    <w:p>
      <w:pPr>
        <w:spacing w:after="0" w:line="204" w:lineRule="auto"/>
        <w:rPr>
          <w:sz w:val="20"/>
          <w:szCs w:val="20"/>
          <w:color w:val="auto"/>
        </w:rPr>
      </w:pPr>
      <w:r>
        <w:rPr>
          <w:rFonts w:ascii="Times New Roman" w:cs="Times New Roman" w:eastAsia="Times New Roman" w:hAnsi="Times New Roman"/>
          <w:sz w:val="16"/>
          <w:szCs w:val="16"/>
          <w:color w:val="auto"/>
        </w:rPr>
        <w:t>impact the services that we offer. The enactment of more</w:t>
      </w:r>
    </w:p>
    <w:p>
      <w:pPr>
        <w:spacing w:after="0" w:line="203" w:lineRule="auto"/>
        <w:rPr>
          <w:sz w:val="20"/>
          <w:szCs w:val="20"/>
          <w:color w:val="auto"/>
        </w:rPr>
      </w:pPr>
      <w:r>
        <w:rPr>
          <w:rFonts w:ascii="Times New Roman" w:cs="Times New Roman" w:eastAsia="Times New Roman" w:hAnsi="Times New Roman"/>
          <w:sz w:val="16"/>
          <w:szCs w:val="16"/>
          <w:color w:val="auto"/>
        </w:rPr>
        <w:t>restrictive laws, rules or regulations, future enforcement</w:t>
      </w:r>
    </w:p>
    <w:p>
      <w:pPr>
        <w:spacing w:after="0" w:line="204" w:lineRule="auto"/>
        <w:rPr>
          <w:sz w:val="20"/>
          <w:szCs w:val="20"/>
          <w:color w:val="auto"/>
        </w:rPr>
      </w:pPr>
      <w:r>
        <w:rPr>
          <w:rFonts w:ascii="Times New Roman" w:cs="Times New Roman" w:eastAsia="Times New Roman" w:hAnsi="Times New Roman"/>
          <w:sz w:val="16"/>
          <w:szCs w:val="16"/>
          <w:color w:val="auto"/>
        </w:rPr>
        <w:t>actions or investigations, or the creation of new rights to</w:t>
      </w:r>
    </w:p>
    <w:p>
      <w:pPr>
        <w:spacing w:after="0" w:line="203" w:lineRule="auto"/>
        <w:rPr>
          <w:sz w:val="20"/>
          <w:szCs w:val="20"/>
          <w:color w:val="auto"/>
        </w:rPr>
      </w:pPr>
      <w:r>
        <w:rPr>
          <w:rFonts w:ascii="Times New Roman" w:cs="Times New Roman" w:eastAsia="Times New Roman" w:hAnsi="Times New Roman"/>
          <w:sz w:val="16"/>
          <w:szCs w:val="16"/>
          <w:color w:val="auto"/>
        </w:rPr>
        <w:t>pursue damages could impact us through increased costs or</w:t>
      </w:r>
    </w:p>
    <w:p>
      <w:pPr>
        <w:spacing w:after="0" w:line="233" w:lineRule="auto"/>
        <w:rPr>
          <w:sz w:val="20"/>
          <w:szCs w:val="20"/>
          <w:color w:val="auto"/>
        </w:rPr>
      </w:pPr>
      <w:r>
        <w:rPr>
          <w:rFonts w:ascii="Times New Roman" w:cs="Times New Roman" w:eastAsia="Times New Roman" w:hAnsi="Times New Roman"/>
          <w:sz w:val="14"/>
          <w:szCs w:val="14"/>
          <w:color w:val="auto"/>
        </w:rPr>
        <w:t>restrictions on our business, and noncompliance could result</w:t>
      </w:r>
    </w:p>
    <w:p>
      <w:pPr>
        <w:spacing w:after="0" w:line="203" w:lineRule="auto"/>
        <w:rPr>
          <w:sz w:val="20"/>
          <w:szCs w:val="20"/>
          <w:color w:val="auto"/>
        </w:rPr>
      </w:pPr>
      <w:r>
        <w:rPr>
          <w:rFonts w:ascii="Times New Roman" w:cs="Times New Roman" w:eastAsia="Times New Roman" w:hAnsi="Times New Roman"/>
          <w:sz w:val="16"/>
          <w:szCs w:val="16"/>
          <w:color w:val="auto"/>
        </w:rPr>
        <w:t>in regulatory penalties and significant legal liability.</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Changes in tax laws, regulations or policies could have a</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material adverse effect on our financial results.</w:t>
      </w:r>
    </w:p>
    <w:p>
      <w:pPr>
        <w:spacing w:after="0" w:line="203" w:lineRule="auto"/>
        <w:rPr>
          <w:sz w:val="20"/>
          <w:szCs w:val="20"/>
          <w:color w:val="auto"/>
        </w:rPr>
      </w:pPr>
      <w:r>
        <w:rPr>
          <w:rFonts w:ascii="Times New Roman" w:cs="Times New Roman" w:eastAsia="Times New Roman" w:hAnsi="Times New Roman"/>
          <w:sz w:val="16"/>
          <w:szCs w:val="16"/>
          <w:color w:val="auto"/>
        </w:rPr>
        <w:t>Changes in tax laws, regulations, trade policies or other</w:t>
      </w:r>
    </w:p>
    <w:p>
      <w:pPr>
        <w:spacing w:after="0" w:line="204" w:lineRule="auto"/>
        <w:rPr>
          <w:sz w:val="20"/>
          <w:szCs w:val="20"/>
          <w:color w:val="auto"/>
        </w:rPr>
      </w:pPr>
      <w:r>
        <w:rPr>
          <w:rFonts w:ascii="Times New Roman" w:cs="Times New Roman" w:eastAsia="Times New Roman" w:hAnsi="Times New Roman"/>
          <w:sz w:val="16"/>
          <w:szCs w:val="16"/>
          <w:color w:val="auto"/>
        </w:rPr>
        <w:t>policies could result in us having to pay higher taxes or</w:t>
      </w:r>
    </w:p>
    <w:p>
      <w:pPr>
        <w:spacing w:after="0" w:line="203" w:lineRule="auto"/>
        <w:rPr>
          <w:sz w:val="20"/>
          <w:szCs w:val="20"/>
          <w:color w:val="auto"/>
        </w:rPr>
      </w:pPr>
      <w:r>
        <w:rPr>
          <w:rFonts w:ascii="Times New Roman" w:cs="Times New Roman" w:eastAsia="Times New Roman" w:hAnsi="Times New Roman"/>
          <w:sz w:val="16"/>
          <w:szCs w:val="16"/>
          <w:color w:val="auto"/>
        </w:rPr>
        <w:t>operating expenses, which may reduce our net income, or</w:t>
      </w:r>
    </w:p>
    <w:p>
      <w:pPr>
        <w:spacing w:after="0" w:line="204" w:lineRule="auto"/>
        <w:rPr>
          <w:sz w:val="20"/>
          <w:szCs w:val="20"/>
          <w:color w:val="auto"/>
        </w:rPr>
      </w:pPr>
      <w:r>
        <w:rPr>
          <w:rFonts w:ascii="Times New Roman" w:cs="Times New Roman" w:eastAsia="Times New Roman" w:hAnsi="Times New Roman"/>
          <w:sz w:val="16"/>
          <w:szCs w:val="16"/>
          <w:color w:val="auto"/>
        </w:rPr>
        <w:t>could adversely affect our ability to continue our capital</w:t>
      </w:r>
    </w:p>
    <w:p>
      <w:pPr>
        <w:spacing w:after="0" w:line="232" w:lineRule="auto"/>
        <w:rPr>
          <w:sz w:val="20"/>
          <w:szCs w:val="20"/>
          <w:color w:val="auto"/>
        </w:rPr>
      </w:pPr>
      <w:r>
        <w:rPr>
          <w:rFonts w:ascii="Times New Roman" w:cs="Times New Roman" w:eastAsia="Times New Roman" w:hAnsi="Times New Roman"/>
          <w:sz w:val="14"/>
          <w:szCs w:val="14"/>
          <w:color w:val="auto"/>
        </w:rPr>
        <w:t>allocation program, purchase additional energy tax credits or</w:t>
      </w:r>
    </w:p>
    <w:p>
      <w:pPr>
        <w:spacing w:after="0" w:line="204" w:lineRule="auto"/>
        <w:rPr>
          <w:sz w:val="20"/>
          <w:szCs w:val="20"/>
          <w:color w:val="auto"/>
        </w:rPr>
      </w:pPr>
      <w:r>
        <w:rPr>
          <w:rFonts w:ascii="Times New Roman" w:cs="Times New Roman" w:eastAsia="Times New Roman" w:hAnsi="Times New Roman"/>
          <w:sz w:val="16"/>
          <w:szCs w:val="16"/>
          <w:color w:val="auto"/>
        </w:rPr>
        <w:t>effect strategic transactions in a tax-favorable manner. In</w:t>
      </w:r>
    </w:p>
    <w:p>
      <w:pPr>
        <w:spacing w:after="0" w:line="203" w:lineRule="auto"/>
        <w:rPr>
          <w:sz w:val="20"/>
          <w:szCs w:val="20"/>
          <w:color w:val="auto"/>
        </w:rPr>
      </w:pPr>
      <w:r>
        <w:rPr>
          <w:rFonts w:ascii="Times New Roman" w:cs="Times New Roman" w:eastAsia="Times New Roman" w:hAnsi="Times New Roman"/>
          <w:sz w:val="16"/>
          <w:szCs w:val="16"/>
          <w:color w:val="auto"/>
        </w:rPr>
        <w:t>addition, such changes, including federal or state financial</w:t>
      </w:r>
    </w:p>
    <w:p>
      <w:pPr>
        <w:spacing w:after="0" w:line="204" w:lineRule="auto"/>
        <w:rPr>
          <w:sz w:val="20"/>
          <w:szCs w:val="20"/>
          <w:color w:val="auto"/>
        </w:rPr>
      </w:pPr>
      <w:r>
        <w:rPr>
          <w:rFonts w:ascii="Times New Roman" w:cs="Times New Roman" w:eastAsia="Times New Roman" w:hAnsi="Times New Roman"/>
          <w:sz w:val="16"/>
          <w:szCs w:val="16"/>
          <w:color w:val="auto"/>
        </w:rPr>
        <w:t>transaction taxes, may increase the cost of our offerings or</w:t>
      </w:r>
    </w:p>
    <w:p>
      <w:pPr>
        <w:spacing w:after="0" w:line="204" w:lineRule="auto"/>
        <w:rPr>
          <w:sz w:val="20"/>
          <w:szCs w:val="20"/>
          <w:color w:val="auto"/>
        </w:rPr>
      </w:pPr>
      <w:r>
        <w:rPr>
          <w:rFonts w:ascii="Times New Roman" w:cs="Times New Roman" w:eastAsia="Times New Roman" w:hAnsi="Times New Roman"/>
          <w:sz w:val="16"/>
          <w:szCs w:val="16"/>
          <w:color w:val="auto"/>
        </w:rPr>
        <w:t>services, which may cause our clients to reduce their use of</w:t>
      </w:r>
    </w:p>
    <w:p>
      <w:pPr>
        <w:spacing w:after="0" w:line="203" w:lineRule="auto"/>
        <w:rPr>
          <w:sz w:val="20"/>
          <w:szCs w:val="20"/>
          <w:color w:val="auto"/>
        </w:rPr>
      </w:pPr>
      <w:r>
        <w:rPr>
          <w:rFonts w:ascii="Times New Roman" w:cs="Times New Roman" w:eastAsia="Times New Roman" w:hAnsi="Times New Roman"/>
          <w:sz w:val="16"/>
          <w:szCs w:val="16"/>
          <w:color w:val="auto"/>
        </w:rPr>
        <w:t>our services. Any changes to laws, regulations, policies or</w:t>
      </w:r>
    </w:p>
    <w:p>
      <w:pPr>
        <w:spacing w:after="0" w:line="204" w:lineRule="auto"/>
        <w:rPr>
          <w:sz w:val="20"/>
          <w:szCs w:val="20"/>
          <w:color w:val="auto"/>
        </w:rPr>
      </w:pPr>
      <w:r>
        <w:rPr>
          <w:rFonts w:ascii="Times New Roman" w:cs="Times New Roman" w:eastAsia="Times New Roman" w:hAnsi="Times New Roman"/>
          <w:sz w:val="16"/>
          <w:szCs w:val="16"/>
          <w:color w:val="auto"/>
        </w:rPr>
        <w:t>other legal restrictions regarding the employment, staffing,</w:t>
      </w:r>
    </w:p>
    <w:p>
      <w:pPr>
        <w:spacing w:after="0" w:line="232" w:lineRule="auto"/>
        <w:rPr>
          <w:sz w:val="20"/>
          <w:szCs w:val="20"/>
          <w:color w:val="auto"/>
        </w:rPr>
      </w:pPr>
      <w:r>
        <w:rPr>
          <w:rFonts w:ascii="Times New Roman" w:cs="Times New Roman" w:eastAsia="Times New Roman" w:hAnsi="Times New Roman"/>
          <w:sz w:val="14"/>
          <w:szCs w:val="14"/>
          <w:color w:val="auto"/>
        </w:rPr>
        <w:t>supervision or business activities of international or non-U.S.</w:t>
      </w:r>
    </w:p>
    <w:p>
      <w:pPr>
        <w:spacing w:after="0" w:line="204" w:lineRule="auto"/>
        <w:rPr>
          <w:sz w:val="20"/>
          <w:szCs w:val="20"/>
          <w:color w:val="auto"/>
        </w:rPr>
      </w:pPr>
      <w:r>
        <w:rPr>
          <w:rFonts w:ascii="Times New Roman" w:cs="Times New Roman" w:eastAsia="Times New Roman" w:hAnsi="Times New Roman"/>
          <w:sz w:val="16"/>
          <w:szCs w:val="16"/>
          <w:color w:val="auto"/>
        </w:rPr>
        <w:t>citizen employees of U.S. companies may adversely affect</w:t>
      </w:r>
    </w:p>
    <w:p>
      <w:pPr>
        <w:spacing w:after="0" w:line="203" w:lineRule="auto"/>
        <w:rPr>
          <w:sz w:val="20"/>
          <w:szCs w:val="20"/>
          <w:color w:val="auto"/>
        </w:rPr>
      </w:pPr>
      <w:r>
        <w:rPr>
          <w:rFonts w:ascii="Times New Roman" w:cs="Times New Roman" w:eastAsia="Times New Roman" w:hAnsi="Times New Roman"/>
          <w:sz w:val="16"/>
          <w:szCs w:val="16"/>
          <w:color w:val="auto"/>
        </w:rPr>
        <w:t>our results of operations.</w:t>
      </w:r>
    </w:p>
    <w:p>
      <w:pPr>
        <w:spacing w:after="0" w:line="233" w:lineRule="auto"/>
        <w:rPr>
          <w:sz w:val="20"/>
          <w:szCs w:val="20"/>
          <w:color w:val="auto"/>
        </w:rPr>
      </w:pPr>
      <w:r>
        <w:rPr>
          <w:rFonts w:ascii="Times New Roman" w:cs="Times New Roman" w:eastAsia="Times New Roman" w:hAnsi="Times New Roman"/>
          <w:sz w:val="14"/>
          <w:szCs w:val="14"/>
          <w:color w:val="auto"/>
        </w:rPr>
        <w:t>Some of our subsidiaries are subject to tax in the jurisdictions</w:t>
      </w:r>
    </w:p>
    <w:p>
      <w:pPr>
        <w:spacing w:after="0" w:line="233" w:lineRule="auto"/>
        <w:rPr>
          <w:sz w:val="20"/>
          <w:szCs w:val="20"/>
          <w:color w:val="auto"/>
        </w:rPr>
      </w:pPr>
      <w:r>
        <w:rPr>
          <w:rFonts w:ascii="Times New Roman" w:cs="Times New Roman" w:eastAsia="Times New Roman" w:hAnsi="Times New Roman"/>
          <w:sz w:val="14"/>
          <w:szCs w:val="14"/>
          <w:color w:val="auto"/>
        </w:rPr>
        <w:t>in which they are organized or operate, and in computing our</w:t>
      </w:r>
    </w:p>
    <w:p>
      <w:pPr>
        <w:spacing w:after="0" w:line="203" w:lineRule="auto"/>
        <w:rPr>
          <w:sz w:val="20"/>
          <w:szCs w:val="20"/>
          <w:color w:val="auto"/>
        </w:rPr>
      </w:pPr>
      <w:r>
        <w:rPr>
          <w:rFonts w:ascii="Times New Roman" w:cs="Times New Roman" w:eastAsia="Times New Roman" w:hAnsi="Times New Roman"/>
          <w:sz w:val="16"/>
          <w:szCs w:val="16"/>
          <w:color w:val="auto"/>
        </w:rPr>
        <w:t>tax obligation in these jurisdictions, we take various tax</w:t>
      </w:r>
    </w:p>
    <w:p>
      <w:pPr>
        <w:spacing w:after="0" w:line="204" w:lineRule="auto"/>
        <w:rPr>
          <w:sz w:val="20"/>
          <w:szCs w:val="20"/>
          <w:color w:val="auto"/>
        </w:rPr>
      </w:pPr>
      <w:r>
        <w:rPr>
          <w:rFonts w:ascii="Times New Roman" w:cs="Times New Roman" w:eastAsia="Times New Roman" w:hAnsi="Times New Roman"/>
          <w:sz w:val="16"/>
          <w:szCs w:val="16"/>
          <w:color w:val="auto"/>
        </w:rPr>
        <w:t>positions. We cannot ensure that upon review of these</w:t>
      </w:r>
    </w:p>
    <w:p>
      <w:pPr>
        <w:spacing w:after="0" w:line="203" w:lineRule="auto"/>
        <w:rPr>
          <w:sz w:val="20"/>
          <w:szCs w:val="20"/>
          <w:color w:val="auto"/>
        </w:rPr>
      </w:pPr>
      <w:r>
        <w:rPr>
          <w:rFonts w:ascii="Times New Roman" w:cs="Times New Roman" w:eastAsia="Times New Roman" w:hAnsi="Times New Roman"/>
          <w:sz w:val="16"/>
          <w:szCs w:val="16"/>
          <w:color w:val="auto"/>
        </w:rPr>
        <w:t>positions, the applicable authorities will agree with our</w:t>
      </w:r>
    </w:p>
    <w:p>
      <w:pPr>
        <w:spacing w:after="0" w:line="204" w:lineRule="auto"/>
        <w:rPr>
          <w:sz w:val="20"/>
          <w:szCs w:val="20"/>
          <w:color w:val="auto"/>
        </w:rPr>
      </w:pPr>
      <w:r>
        <w:rPr>
          <w:rFonts w:ascii="Times New Roman" w:cs="Times New Roman" w:eastAsia="Times New Roman" w:hAnsi="Times New Roman"/>
          <w:sz w:val="16"/>
          <w:szCs w:val="16"/>
          <w:color w:val="auto"/>
        </w:rPr>
        <w:t>positions. A successful challenge by a tax authority could</w:t>
      </w:r>
    </w:p>
    <w:p>
      <w:pPr>
        <w:spacing w:after="0" w:line="203" w:lineRule="auto"/>
        <w:rPr>
          <w:sz w:val="20"/>
          <w:szCs w:val="20"/>
          <w:color w:val="auto"/>
        </w:rPr>
      </w:pPr>
      <w:r>
        <w:rPr>
          <w:rFonts w:ascii="Times New Roman" w:cs="Times New Roman" w:eastAsia="Times New Roman" w:hAnsi="Times New Roman"/>
          <w:sz w:val="16"/>
          <w:szCs w:val="16"/>
          <w:color w:val="auto"/>
        </w:rPr>
        <w:t>result in additional taxes imposed on our clients or our</w:t>
      </w:r>
    </w:p>
    <w:p>
      <w:pPr>
        <w:spacing w:after="0" w:line="204" w:lineRule="auto"/>
        <w:rPr>
          <w:sz w:val="20"/>
          <w:szCs w:val="20"/>
          <w:color w:val="auto"/>
        </w:rPr>
      </w:pPr>
      <w:r>
        <w:rPr>
          <w:rFonts w:ascii="Times New Roman" w:cs="Times New Roman" w:eastAsia="Times New Roman" w:hAnsi="Times New Roman"/>
          <w:sz w:val="16"/>
          <w:szCs w:val="16"/>
          <w:color w:val="auto"/>
        </w:rPr>
        <w:t>subsidiaries.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AND BRAND REPUTATION</w:t>
      </w:r>
    </w:p>
    <w:p>
      <w:pPr>
        <w:spacing w:after="0"/>
        <w:rPr>
          <w:sz w:val="20"/>
          <w:szCs w:val="20"/>
          <w:color w:val="auto"/>
        </w:rPr>
      </w:pPr>
      <w:r>
        <w:rPr>
          <w:rFonts w:ascii="Times New Roman" w:cs="Times New Roman" w:eastAsia="Times New Roman" w:hAnsi="Times New Roman"/>
          <w:sz w:val="16"/>
          <w:szCs w:val="16"/>
          <w:b w:val="1"/>
          <w:bCs w:val="1"/>
          <w:i w:val="1"/>
          <w:iCs w:val="1"/>
          <w:color w:val="auto"/>
        </w:rPr>
        <w:t>Damage to our reputation or brand name could have a</w:t>
      </w:r>
    </w:p>
    <w:p>
      <w:pPr>
        <w:sectPr>
          <w:pgSz w:w="11900" w:h="16840" w:orient="portrait"/>
          <w:cols w:equalWidth="0" w:num="1">
            <w:col w:w="9400"/>
          </w:cols>
          <w:pgMar w:left="1060" w:top="547" w:right="1440" w:bottom="44"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adverse effect on our businesses.</w:t>
      </w:r>
    </w:p>
    <w:p>
      <w:pPr>
        <w:spacing w:after="0" w:line="232" w:lineRule="auto"/>
        <w:rPr>
          <w:sz w:val="20"/>
          <w:szCs w:val="20"/>
          <w:color w:val="auto"/>
        </w:rPr>
      </w:pPr>
      <w:r>
        <w:rPr>
          <w:rFonts w:ascii="Times New Roman" w:cs="Times New Roman" w:eastAsia="Times New Roman" w:hAnsi="Times New Roman"/>
          <w:sz w:val="14"/>
          <w:szCs w:val="14"/>
          <w:color w:val="auto"/>
        </w:rPr>
        <w:t>One of our competitive strengths is our strong reputation and</w:t>
      </w:r>
    </w:p>
    <w:p>
      <w:pPr>
        <w:spacing w:after="0" w:line="233" w:lineRule="auto"/>
        <w:rPr>
          <w:sz w:val="20"/>
          <w:szCs w:val="20"/>
          <w:color w:val="auto"/>
        </w:rPr>
      </w:pPr>
      <w:r>
        <w:rPr>
          <w:rFonts w:ascii="Times New Roman" w:cs="Times New Roman" w:eastAsia="Times New Roman" w:hAnsi="Times New Roman"/>
          <w:sz w:val="14"/>
          <w:szCs w:val="14"/>
          <w:color w:val="auto"/>
        </w:rPr>
        <w:t>brand name. Various issues may give rise to reputational risk,</w:t>
      </w:r>
    </w:p>
    <w:p>
      <w:pPr>
        <w:spacing w:after="0" w:line="203" w:lineRule="auto"/>
        <w:rPr>
          <w:sz w:val="20"/>
          <w:szCs w:val="20"/>
          <w:color w:val="auto"/>
        </w:rPr>
      </w:pPr>
      <w:r>
        <w:rPr>
          <w:rFonts w:ascii="Times New Roman" w:cs="Times New Roman" w:eastAsia="Times New Roman" w:hAnsi="Times New Roman"/>
          <w:sz w:val="16"/>
          <w:szCs w:val="16"/>
          <w:color w:val="auto"/>
        </w:rPr>
        <w:t>including issues relating to:</w:t>
      </w:r>
    </w:p>
    <w:p>
      <w:pPr>
        <w:spacing w:after="0" w:line="233" w:lineRule="auto"/>
        <w:rPr>
          <w:sz w:val="20"/>
          <w:szCs w:val="20"/>
          <w:color w:val="auto"/>
        </w:rPr>
      </w:pPr>
      <w:r>
        <w:rPr>
          <w:rFonts w:ascii="Times New Roman" w:cs="Times New Roman" w:eastAsia="Times New Roman" w:hAnsi="Times New Roman"/>
          <w:sz w:val="14"/>
          <w:szCs w:val="14"/>
          <w:color w:val="auto"/>
        </w:rPr>
        <w:t>•our ability to maintain the security of our data and systems;</w:t>
      </w:r>
    </w:p>
    <w:p>
      <w:pPr>
        <w:spacing w:after="0" w:line="204" w:lineRule="auto"/>
        <w:rPr>
          <w:sz w:val="20"/>
          <w:szCs w:val="20"/>
          <w:color w:val="auto"/>
        </w:rPr>
      </w:pPr>
      <w:r>
        <w:rPr>
          <w:rFonts w:ascii="Times New Roman" w:cs="Times New Roman" w:eastAsia="Times New Roman" w:hAnsi="Times New Roman"/>
          <w:sz w:val="16"/>
          <w:szCs w:val="16"/>
          <w:color w:val="auto"/>
        </w:rPr>
        <w:t>•the quality and reliability of our technology platforms and</w:t>
      </w:r>
    </w:p>
    <w:p>
      <w:pPr>
        <w:spacing w:after="0"/>
        <w:rPr>
          <w:sz w:val="20"/>
          <w:szCs w:val="20"/>
          <w:color w:val="auto"/>
        </w:rPr>
      </w:pPr>
      <w:r>
        <w:rPr>
          <w:rFonts w:ascii="Times New Roman" w:cs="Times New Roman" w:eastAsia="Times New Roman" w:hAnsi="Times New Roman"/>
          <w:sz w:val="16"/>
          <w:szCs w:val="16"/>
          <w:color w:val="auto"/>
        </w:rPr>
        <w:t>systems;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w:t>
      </w:r>
    </w:p>
    <w:p>
      <w:pPr>
        <w:spacing w:after="0" w:line="203" w:lineRule="auto"/>
        <w:rPr>
          <w:sz w:val="20"/>
          <w:szCs w:val="20"/>
          <w:color w:val="auto"/>
        </w:rPr>
      </w:pPr>
      <w:r>
        <w:rPr>
          <w:rFonts w:ascii="Times New Roman" w:cs="Times New Roman" w:eastAsia="Times New Roman" w:hAnsi="Times New Roman"/>
          <w:sz w:val="16"/>
          <w:szCs w:val="16"/>
          <w:color w:val="auto"/>
        </w:rPr>
        <w:t>Negative publicity or misrepresentations by third parties,</w:t>
      </w:r>
    </w:p>
    <w:p>
      <w:pPr>
        <w:spacing w:after="0" w:line="204" w:lineRule="auto"/>
        <w:rPr>
          <w:sz w:val="20"/>
          <w:szCs w:val="20"/>
          <w:color w:val="auto"/>
        </w:rPr>
      </w:pPr>
      <w:r>
        <w:rPr>
          <w:rFonts w:ascii="Times New Roman" w:cs="Times New Roman" w:eastAsia="Times New Roman" w:hAnsi="Times New Roman"/>
          <w:sz w:val="16"/>
          <w:szCs w:val="16"/>
          <w:color w:val="auto"/>
        </w:rPr>
        <w:t>particularly on social media, may adversely impact our</w:t>
      </w:r>
    </w:p>
    <w:p>
      <w:pPr>
        <w:spacing w:after="0" w:line="203" w:lineRule="auto"/>
        <w:rPr>
          <w:sz w:val="20"/>
          <w:szCs w:val="20"/>
          <w:color w:val="auto"/>
        </w:rPr>
      </w:pPr>
      <w:r>
        <w:rPr>
          <w:rFonts w:ascii="Times New Roman" w:cs="Times New Roman" w:eastAsia="Times New Roman" w:hAnsi="Times New Roman"/>
          <w:sz w:val="16"/>
          <w:szCs w:val="16"/>
          <w:color w:val="auto"/>
        </w:rPr>
        <w:t>credibility as a leader in the global capital markets and as a</w:t>
      </w:r>
    </w:p>
    <w:p>
      <w:pPr>
        <w:spacing w:after="0" w:line="204" w:lineRule="auto"/>
        <w:rPr>
          <w:sz w:val="20"/>
          <w:szCs w:val="20"/>
          <w:color w:val="auto"/>
        </w:rPr>
      </w:pPr>
      <w:r>
        <w:rPr>
          <w:rFonts w:ascii="Times New Roman" w:cs="Times New Roman" w:eastAsia="Times New Roman" w:hAnsi="Times New Roman"/>
          <w:sz w:val="16"/>
          <w:szCs w:val="16"/>
          <w:color w:val="auto"/>
        </w:rPr>
        <w:t>source for data and analytics. This may have an adverse</w:t>
      </w:r>
    </w:p>
    <w:p>
      <w:pPr>
        <w:spacing w:after="0" w:line="232" w:lineRule="auto"/>
        <w:rPr>
          <w:sz w:val="20"/>
          <w:szCs w:val="20"/>
          <w:color w:val="auto"/>
        </w:rPr>
      </w:pPr>
      <w:r>
        <w:rPr>
          <w:rFonts w:ascii="Times New Roman" w:cs="Times New Roman" w:eastAsia="Times New Roman" w:hAnsi="Times New Roman"/>
          <w:sz w:val="14"/>
          <w:szCs w:val="14"/>
          <w:color w:val="auto"/>
        </w:rPr>
        <w:t>effect on our brands, business and operating results. Damage</w:t>
      </w:r>
    </w:p>
    <w:p>
      <w:pPr>
        <w:spacing w:after="0" w:line="204" w:lineRule="auto"/>
        <w:rPr>
          <w:sz w:val="20"/>
          <w:szCs w:val="20"/>
          <w:color w:val="auto"/>
        </w:rPr>
      </w:pPr>
      <w:r>
        <w:rPr>
          <w:rFonts w:ascii="Times New Roman" w:cs="Times New Roman" w:eastAsia="Times New Roman" w:hAnsi="Times New Roman"/>
          <w:sz w:val="16"/>
          <w:szCs w:val="16"/>
          <w:color w:val="auto"/>
        </w:rPr>
        <w:t>to our reputation could cause some issuers not to list their</w:t>
      </w:r>
    </w:p>
    <w:p>
      <w:pPr>
        <w:spacing w:after="0" w:line="232" w:lineRule="auto"/>
        <w:rPr>
          <w:sz w:val="20"/>
          <w:szCs w:val="20"/>
          <w:color w:val="auto"/>
        </w:rPr>
      </w:pPr>
      <w:r>
        <w:rPr>
          <w:rFonts w:ascii="Times New Roman" w:cs="Times New Roman" w:eastAsia="Times New Roman" w:hAnsi="Times New Roman"/>
          <w:sz w:val="14"/>
          <w:szCs w:val="14"/>
          <w:color w:val="auto"/>
        </w:rPr>
        <w:t>securities on our exchanges or switch to a different exchange.</w:t>
      </w:r>
    </w:p>
    <w:p>
      <w:pPr>
        <w:spacing w:after="0" w:line="204" w:lineRule="auto"/>
        <w:rPr>
          <w:sz w:val="20"/>
          <w:szCs w:val="20"/>
          <w:color w:val="auto"/>
        </w:rPr>
      </w:pPr>
      <w:r>
        <w:rPr>
          <w:rFonts w:ascii="Times New Roman" w:cs="Times New Roman" w:eastAsia="Times New Roman" w:hAnsi="Times New Roman"/>
          <w:sz w:val="16"/>
          <w:szCs w:val="16"/>
          <w:color w:val="auto"/>
        </w:rPr>
        <w:t>Reputational damage may also reduce trading volumes or</w:t>
      </w:r>
    </w:p>
    <w:p>
      <w:pPr>
        <w:spacing w:after="0" w:line="203" w:lineRule="auto"/>
        <w:rPr>
          <w:sz w:val="20"/>
          <w:szCs w:val="20"/>
          <w:color w:val="auto"/>
        </w:rPr>
      </w:pPr>
      <w:r>
        <w:rPr>
          <w:rFonts w:ascii="Times New Roman" w:cs="Times New Roman" w:eastAsia="Times New Roman" w:hAnsi="Times New Roman"/>
          <w:sz w:val="16"/>
          <w:szCs w:val="16"/>
          <w:color w:val="auto"/>
        </w:rPr>
        <w:t>values on our exchanges or cause us to lose customers. This</w:t>
      </w:r>
    </w:p>
    <w:p>
      <w:pPr>
        <w:spacing w:after="0" w:line="233" w:lineRule="auto"/>
        <w:rPr>
          <w:sz w:val="20"/>
          <w:szCs w:val="20"/>
          <w:color w:val="auto"/>
        </w:rPr>
      </w:pPr>
      <w:r>
        <w:rPr>
          <w:rFonts w:ascii="Times New Roman" w:cs="Times New Roman" w:eastAsia="Times New Roman" w:hAnsi="Times New Roman"/>
          <w:sz w:val="14"/>
          <w:szCs w:val="14"/>
          <w:color w:val="auto"/>
        </w:rPr>
        <w:t>may have a material adverse effect on our business, financial</w:t>
      </w:r>
    </w:p>
    <w:p>
      <w:pPr>
        <w:spacing w:after="0" w:line="204" w:lineRule="auto"/>
        <w:rPr>
          <w:sz w:val="20"/>
          <w:szCs w:val="20"/>
          <w:color w:val="auto"/>
        </w:rPr>
      </w:pPr>
      <w:r>
        <w:rPr>
          <w:rFonts w:ascii="Times New Roman" w:cs="Times New Roman" w:eastAsia="Times New Roman" w:hAnsi="Times New Roman"/>
          <w:sz w:val="16"/>
          <w:szCs w:val="16"/>
          <w:color w:val="auto"/>
        </w:rPr>
        <w:t>condition and operating results.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Failure to meet customer expectations or deadlines for the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implementation of our products could result in negative</w:t>
      </w:r>
    </w:p>
    <w:p>
      <w:pP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publicity, losses and reduced sales, each of which may harm</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our reputation, business and results of operations.</w:t>
      </w:r>
    </w:p>
    <w:p>
      <w:pPr>
        <w:spacing w:after="0" w:line="203" w:lineRule="auto"/>
        <w:rPr>
          <w:sz w:val="20"/>
          <w:szCs w:val="20"/>
          <w:color w:val="auto"/>
        </w:rPr>
      </w:pPr>
      <w:r>
        <w:rPr>
          <w:rFonts w:ascii="Times New Roman" w:cs="Times New Roman" w:eastAsia="Times New Roman" w:hAnsi="Times New Roman"/>
          <w:sz w:val="16"/>
          <w:szCs w:val="16"/>
          <w:color w:val="auto"/>
        </w:rPr>
        <w:t>We generally mutually agree with our customers on the</w:t>
      </w:r>
    </w:p>
    <w:p>
      <w:pPr>
        <w:spacing w:after="0" w:line="204" w:lineRule="auto"/>
        <w:rPr>
          <w:sz w:val="20"/>
          <w:szCs w:val="20"/>
          <w:color w:val="auto"/>
        </w:rPr>
      </w:pPr>
      <w:r>
        <w:rPr>
          <w:rFonts w:ascii="Times New Roman" w:cs="Times New Roman" w:eastAsia="Times New Roman" w:hAnsi="Times New Roman"/>
          <w:sz w:val="16"/>
          <w:szCs w:val="16"/>
          <w:color w:val="auto"/>
        </w:rPr>
        <w:t>duration, budget and costs associated with the</w:t>
      </w:r>
    </w:p>
    <w:p>
      <w:pPr>
        <w:spacing w:after="0" w:line="204" w:lineRule="auto"/>
        <w:rPr>
          <w:sz w:val="20"/>
          <w:szCs w:val="20"/>
          <w:color w:val="auto"/>
        </w:rPr>
      </w:pPr>
      <w:r>
        <w:rPr>
          <w:rFonts w:ascii="Times New Roman" w:cs="Times New Roman" w:eastAsia="Times New Roman" w:hAnsi="Times New Roman"/>
          <w:sz w:val="16"/>
          <w:szCs w:val="16"/>
          <w:color w:val="auto"/>
        </w:rPr>
        <w:t>implementation of certain of our products, particularly our</w:t>
      </w:r>
    </w:p>
    <w:p>
      <w:pPr>
        <w:spacing w:after="0" w:line="232" w:lineRule="auto"/>
        <w:rPr>
          <w:sz w:val="20"/>
          <w:szCs w:val="20"/>
          <w:color w:val="auto"/>
        </w:rPr>
      </w:pPr>
      <w:r>
        <w:rPr>
          <w:rFonts w:ascii="Times New Roman" w:cs="Times New Roman" w:eastAsia="Times New Roman" w:hAnsi="Times New Roman"/>
          <w:sz w:val="14"/>
          <w:szCs w:val="14"/>
          <w:color w:val="auto"/>
        </w:rPr>
        <w:t>market technology large-scale market infrastructure projects.</w:t>
      </w:r>
    </w:p>
    <w:p>
      <w:pPr>
        <w:spacing w:after="0" w:line="204" w:lineRule="auto"/>
        <w:rPr>
          <w:sz w:val="20"/>
          <w:szCs w:val="20"/>
          <w:color w:val="auto"/>
        </w:rPr>
      </w:pPr>
      <w:r>
        <w:rPr>
          <w:rFonts w:ascii="Times New Roman" w:cs="Times New Roman" w:eastAsia="Times New Roman" w:hAnsi="Times New Roman"/>
          <w:sz w:val="16"/>
          <w:szCs w:val="16"/>
          <w:color w:val="auto"/>
        </w:rPr>
        <w:t>Various factors may cause implementations to be delayed,</w:t>
      </w:r>
    </w:p>
    <w:p>
      <w:pPr>
        <w:spacing w:after="0" w:line="203" w:lineRule="auto"/>
        <w:rPr>
          <w:sz w:val="20"/>
          <w:szCs w:val="20"/>
          <w:color w:val="auto"/>
        </w:rPr>
      </w:pPr>
      <w:r>
        <w:rPr>
          <w:rFonts w:ascii="Times New Roman" w:cs="Times New Roman" w:eastAsia="Times New Roman" w:hAnsi="Times New Roman"/>
          <w:sz w:val="16"/>
          <w:szCs w:val="16"/>
          <w:color w:val="auto"/>
        </w:rPr>
        <w:t>inefficient or otherwise unsuccessful, including due to</w:t>
      </w:r>
    </w:p>
    <w:p>
      <w:pPr>
        <w:spacing w:after="0" w:line="204" w:lineRule="auto"/>
        <w:rPr>
          <w:sz w:val="20"/>
          <w:szCs w:val="20"/>
          <w:color w:val="auto"/>
        </w:rPr>
      </w:pPr>
      <w:r>
        <w:rPr>
          <w:rFonts w:ascii="Times New Roman" w:cs="Times New Roman" w:eastAsia="Times New Roman" w:hAnsi="Times New Roman"/>
          <w:sz w:val="16"/>
          <w:szCs w:val="16"/>
          <w:color w:val="auto"/>
        </w:rPr>
        <w:t>unforeseen project complexities, our deployment of</w:t>
      </w:r>
    </w:p>
    <w:p>
      <w:pPr>
        <w:spacing w:after="0" w:line="232" w:lineRule="auto"/>
        <w:rPr>
          <w:sz w:val="20"/>
          <w:szCs w:val="20"/>
          <w:color w:val="auto"/>
        </w:rPr>
      </w:pPr>
      <w:r>
        <w:rPr>
          <w:rFonts w:ascii="Times New Roman" w:cs="Times New Roman" w:eastAsia="Times New Roman" w:hAnsi="Times New Roman"/>
          <w:sz w:val="14"/>
          <w:szCs w:val="14"/>
          <w:color w:val="auto"/>
        </w:rPr>
        <w:t>insufficient resources or other external factors. The effects of</w:t>
      </w:r>
    </w:p>
    <w:p>
      <w:pPr>
        <w:spacing w:after="0" w:line="204" w:lineRule="auto"/>
        <w:rPr>
          <w:sz w:val="20"/>
          <w:szCs w:val="20"/>
          <w:color w:val="auto"/>
        </w:rPr>
      </w:pPr>
      <w:r>
        <w:rPr>
          <w:rFonts w:ascii="Times New Roman" w:cs="Times New Roman" w:eastAsia="Times New Roman" w:hAnsi="Times New Roman"/>
          <w:sz w:val="16"/>
          <w:szCs w:val="16"/>
          <w:color w:val="auto"/>
        </w:rPr>
        <w:t>a failure to meet an implementation schedule could include</w:t>
      </w:r>
    </w:p>
    <w:p>
      <w:pPr>
        <w:spacing w:after="0" w:line="233" w:lineRule="auto"/>
        <w:rPr>
          <w:sz w:val="20"/>
          <w:szCs w:val="20"/>
          <w:color w:val="auto"/>
        </w:rPr>
      </w:pPr>
      <w:r>
        <w:rPr>
          <w:rFonts w:ascii="Times New Roman" w:cs="Times New Roman" w:eastAsia="Times New Roman" w:hAnsi="Times New Roman"/>
          <w:sz w:val="14"/>
          <w:szCs w:val="14"/>
          <w:color w:val="auto"/>
        </w:rPr>
        <w:t>monetary credits for current or future service engagements, a</w:t>
      </w:r>
    </w:p>
    <w:p>
      <w:pPr>
        <w:spacing w:after="0" w:line="203" w:lineRule="auto"/>
        <w:rPr>
          <w:sz w:val="20"/>
          <w:szCs w:val="20"/>
          <w:color w:val="auto"/>
        </w:rPr>
      </w:pPr>
      <w:r>
        <w:rPr>
          <w:rFonts w:ascii="Times New Roman" w:cs="Times New Roman" w:eastAsia="Times New Roman" w:hAnsi="Times New Roman"/>
          <w:sz w:val="16"/>
          <w:szCs w:val="16"/>
          <w:color w:val="auto"/>
        </w:rPr>
        <w:t>reduction in fees for the project, or the expenditure of</w:t>
      </w:r>
    </w:p>
    <w:p>
      <w:pPr>
        <w:spacing w:after="0" w:line="233" w:lineRule="auto"/>
        <w:rPr>
          <w:sz w:val="20"/>
          <w:szCs w:val="20"/>
          <w:color w:val="auto"/>
        </w:rPr>
      </w:pPr>
      <w:r>
        <w:rPr>
          <w:rFonts w:ascii="Times New Roman" w:cs="Times New Roman" w:eastAsia="Times New Roman" w:hAnsi="Times New Roman"/>
          <w:sz w:val="14"/>
          <w:szCs w:val="14"/>
          <w:color w:val="auto"/>
        </w:rPr>
        <w:t>additional expenses to mitigate such delays. In addition, time-</w:t>
      </w:r>
    </w:p>
    <w:p>
      <w:pPr>
        <w:spacing w:after="0" w:line="232" w:lineRule="auto"/>
        <w:rPr>
          <w:sz w:val="20"/>
          <w:szCs w:val="20"/>
          <w:color w:val="auto"/>
        </w:rPr>
      </w:pPr>
      <w:r>
        <w:rPr>
          <w:rFonts w:ascii="Times New Roman" w:cs="Times New Roman" w:eastAsia="Times New Roman" w:hAnsi="Times New Roman"/>
          <w:sz w:val="14"/>
          <w:szCs w:val="14"/>
          <w:color w:val="auto"/>
        </w:rPr>
        <w:t>consuming implementations may also increase the personnel</w:t>
      </w:r>
    </w:p>
    <w:p>
      <w:pPr>
        <w:spacing w:after="0" w:line="204" w:lineRule="auto"/>
        <w:rPr>
          <w:sz w:val="20"/>
          <w:szCs w:val="20"/>
          <w:color w:val="auto"/>
        </w:rPr>
      </w:pPr>
      <w:r>
        <w:rPr>
          <w:rFonts w:ascii="Times New Roman" w:cs="Times New Roman" w:eastAsia="Times New Roman" w:hAnsi="Times New Roman"/>
          <w:sz w:val="16"/>
          <w:szCs w:val="16"/>
          <w:color w:val="auto"/>
        </w:rPr>
        <w:t>we must allocate to such customer, thereby increasing our</w:t>
      </w:r>
    </w:p>
    <w:p>
      <w:pPr>
        <w:spacing w:after="0" w:line="203" w:lineRule="auto"/>
        <w:rPr>
          <w:sz w:val="20"/>
          <w:szCs w:val="20"/>
          <w:color w:val="auto"/>
        </w:rPr>
      </w:pPr>
      <w:r>
        <w:rPr>
          <w:rFonts w:ascii="Times New Roman" w:cs="Times New Roman" w:eastAsia="Times New Roman" w:hAnsi="Times New Roman"/>
          <w:sz w:val="16"/>
          <w:szCs w:val="16"/>
          <w:color w:val="auto"/>
        </w:rPr>
        <w:t>costs and diverting attention from other projects.</w:t>
      </w:r>
    </w:p>
    <w:p>
      <w:pPr>
        <w:spacing w:after="0" w:line="204" w:lineRule="auto"/>
        <w:rPr>
          <w:sz w:val="20"/>
          <w:szCs w:val="20"/>
          <w:color w:val="auto"/>
        </w:rPr>
      </w:pPr>
      <w:r>
        <w:rPr>
          <w:rFonts w:ascii="Times New Roman" w:cs="Times New Roman" w:eastAsia="Times New Roman" w:hAnsi="Times New Roman"/>
          <w:sz w:val="16"/>
          <w:szCs w:val="16"/>
          <w:color w:val="auto"/>
        </w:rPr>
        <w:t>Unsuccessful, lengthy, or costly customer implementation</w:t>
      </w:r>
    </w:p>
    <w:p>
      <w:pPr>
        <w:spacing w:after="0" w:line="204" w:lineRule="auto"/>
        <w:rPr>
          <w:sz w:val="20"/>
          <w:szCs w:val="20"/>
          <w:color w:val="auto"/>
        </w:rPr>
      </w:pPr>
      <w:r>
        <w:rPr>
          <w:rFonts w:ascii="Times New Roman" w:cs="Times New Roman" w:eastAsia="Times New Roman" w:hAnsi="Times New Roman"/>
          <w:sz w:val="16"/>
          <w:szCs w:val="16"/>
          <w:color w:val="auto"/>
        </w:rPr>
        <w:t>projects could result in claims from customers, decreased</w:t>
      </w:r>
    </w:p>
    <w:p>
      <w:pPr>
        <w:spacing w:after="0" w:line="203" w:lineRule="auto"/>
        <w:rPr>
          <w:sz w:val="20"/>
          <w:szCs w:val="20"/>
          <w:color w:val="auto"/>
        </w:rPr>
      </w:pPr>
      <w:r>
        <w:rPr>
          <w:rFonts w:ascii="Times New Roman" w:cs="Times New Roman" w:eastAsia="Times New Roman" w:hAnsi="Times New Roman"/>
          <w:sz w:val="16"/>
          <w:szCs w:val="16"/>
          <w:color w:val="auto"/>
        </w:rPr>
        <w:t>customer satisfaction, harm to our reputation, and</w:t>
      </w:r>
    </w:p>
    <w:p>
      <w:pPr>
        <w:spacing w:after="0" w:line="204" w:lineRule="auto"/>
        <w:rPr>
          <w:sz w:val="20"/>
          <w:szCs w:val="20"/>
          <w:color w:val="auto"/>
        </w:rPr>
      </w:pPr>
      <w:r>
        <w:rPr>
          <w:rFonts w:ascii="Times New Roman" w:cs="Times New Roman" w:eastAsia="Times New Roman" w:hAnsi="Times New Roman"/>
          <w:sz w:val="16"/>
          <w:szCs w:val="16"/>
          <w:color w:val="auto"/>
        </w:rPr>
        <w:t>opportunities for competitors to displace us, each of which</w:t>
      </w:r>
    </w:p>
    <w:p>
      <w:pPr>
        <w:spacing w:after="0" w:line="203" w:lineRule="auto"/>
        <w:rPr>
          <w:sz w:val="20"/>
          <w:szCs w:val="20"/>
          <w:color w:val="auto"/>
        </w:rPr>
      </w:pPr>
      <w:r>
        <w:rPr>
          <w:rFonts w:ascii="Times New Roman" w:cs="Times New Roman" w:eastAsia="Times New Roman" w:hAnsi="Times New Roman"/>
          <w:sz w:val="16"/>
          <w:szCs w:val="16"/>
          <w:color w:val="auto"/>
        </w:rPr>
        <w:t>could have an adverse effect on our reputation, business and</w:t>
      </w:r>
    </w:p>
    <w:p>
      <w:pPr>
        <w:spacing w:after="0" w:line="204" w:lineRule="auto"/>
        <w:rPr>
          <w:sz w:val="20"/>
          <w:szCs w:val="20"/>
          <w:color w:val="auto"/>
        </w:rPr>
      </w:pPr>
      <w:r>
        <w:rPr>
          <w:rFonts w:ascii="Times New Roman" w:cs="Times New Roman" w:eastAsia="Times New Roman" w:hAnsi="Times New Roman"/>
          <w:sz w:val="16"/>
          <w:szCs w:val="16"/>
          <w:color w:val="auto"/>
        </w:rPr>
        <w:t>results of operations.</w:t>
      </w:r>
    </w:p>
    <w:p>
      <w:pP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Our reputation or business could be negatively impacted by</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evolving and conflicting stakeholder expectations regarding</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sustainability matters and our reporting of such matters.</w:t>
      </w:r>
    </w:p>
    <w:p>
      <w:pPr>
        <w:spacing w:after="0" w:line="203" w:lineRule="auto"/>
        <w:rPr>
          <w:sz w:val="20"/>
          <w:szCs w:val="20"/>
          <w:color w:val="auto"/>
        </w:rPr>
      </w:pPr>
      <w:r>
        <w:rPr>
          <w:rFonts w:ascii="Times New Roman" w:cs="Times New Roman" w:eastAsia="Times New Roman" w:hAnsi="Times New Roman"/>
          <w:sz w:val="16"/>
          <w:szCs w:val="16"/>
          <w:color w:val="auto"/>
        </w:rPr>
        <w:t>We communicate certain sustainability-related initiatives,</w:t>
      </w:r>
    </w:p>
    <w:p>
      <w:pPr>
        <w:spacing w:after="0" w:line="233" w:lineRule="auto"/>
        <w:rPr>
          <w:sz w:val="20"/>
          <w:szCs w:val="20"/>
          <w:color w:val="auto"/>
        </w:rPr>
      </w:pPr>
      <w:r>
        <w:rPr>
          <w:rFonts w:ascii="Times New Roman" w:cs="Times New Roman" w:eastAsia="Times New Roman" w:hAnsi="Times New Roman"/>
          <w:sz w:val="14"/>
          <w:szCs w:val="14"/>
          <w:color w:val="auto"/>
        </w:rPr>
        <w:t>goals, and/or commitments regarding environmental matters,</w:t>
      </w:r>
    </w:p>
    <w:p>
      <w:pPr>
        <w:spacing w:after="0" w:line="232" w:lineRule="auto"/>
        <w:rPr>
          <w:sz w:val="20"/>
          <w:szCs w:val="20"/>
          <w:color w:val="auto"/>
        </w:rPr>
      </w:pPr>
      <w:r>
        <w:rPr>
          <w:rFonts w:ascii="Times New Roman" w:cs="Times New Roman" w:eastAsia="Times New Roman" w:hAnsi="Times New Roman"/>
          <w:sz w:val="14"/>
          <w:szCs w:val="14"/>
          <w:color w:val="auto"/>
        </w:rPr>
        <w:t>social matters, vendors and suppliers and other matters in our</w:t>
      </w:r>
    </w:p>
    <w:p>
      <w:pPr>
        <w:spacing w:after="0" w:line="204" w:lineRule="auto"/>
        <w:rPr>
          <w:sz w:val="20"/>
          <w:szCs w:val="20"/>
          <w:color w:val="auto"/>
        </w:rPr>
      </w:pPr>
      <w:r>
        <w:rPr>
          <w:rFonts w:ascii="Times New Roman" w:cs="Times New Roman" w:eastAsia="Times New Roman" w:hAnsi="Times New Roman"/>
          <w:sz w:val="16"/>
          <w:szCs w:val="16"/>
          <w:color w:val="auto"/>
        </w:rPr>
        <w:t>annual Sustainability Report, Task Force on Climate-related</w:t>
      </w:r>
    </w:p>
    <w:p>
      <w:pPr>
        <w:spacing w:after="0" w:line="203" w:lineRule="auto"/>
        <w:rPr>
          <w:sz w:val="20"/>
          <w:szCs w:val="20"/>
          <w:color w:val="auto"/>
        </w:rPr>
      </w:pPr>
      <w:r>
        <w:rPr>
          <w:rFonts w:ascii="Times New Roman" w:cs="Times New Roman" w:eastAsia="Times New Roman" w:hAnsi="Times New Roman"/>
          <w:sz w:val="16"/>
          <w:szCs w:val="16"/>
          <w:color w:val="auto"/>
        </w:rPr>
        <w:t>Financial Disclosures Report, on our website, in our filings</w:t>
      </w:r>
    </w:p>
    <w:p>
      <w:pPr>
        <w:spacing w:after="0" w:line="204" w:lineRule="auto"/>
        <w:rPr>
          <w:sz w:val="20"/>
          <w:szCs w:val="20"/>
          <w:color w:val="auto"/>
        </w:rPr>
      </w:pPr>
      <w:r>
        <w:rPr>
          <w:rFonts w:ascii="Times New Roman" w:cs="Times New Roman" w:eastAsia="Times New Roman" w:hAnsi="Times New Roman"/>
          <w:sz w:val="16"/>
          <w:szCs w:val="16"/>
          <w:color w:val="auto"/>
        </w:rPr>
        <w:t>with the SEC and elsewhere. These goals or commitments</w:t>
      </w:r>
    </w:p>
    <w:p>
      <w:pPr>
        <w:spacing w:after="0" w:line="203" w:lineRule="auto"/>
        <w:rPr>
          <w:sz w:val="20"/>
          <w:szCs w:val="20"/>
          <w:color w:val="auto"/>
        </w:rPr>
      </w:pPr>
      <w:r>
        <w:rPr>
          <w:rFonts w:ascii="Times New Roman" w:cs="Times New Roman" w:eastAsia="Times New Roman" w:hAnsi="Times New Roman"/>
          <w:sz w:val="16"/>
          <w:szCs w:val="16"/>
          <w:color w:val="auto"/>
        </w:rPr>
        <w:t>could be difficult to achieve and costly to implement.</w:t>
      </w:r>
    </w:p>
    <w:p>
      <w:pPr>
        <w:spacing w:after="0" w:line="233" w:lineRule="auto"/>
        <w:rPr>
          <w:sz w:val="20"/>
          <w:szCs w:val="20"/>
          <w:color w:val="auto"/>
        </w:rPr>
      </w:pPr>
      <w:r>
        <w:rPr>
          <w:rFonts w:ascii="Times New Roman" w:cs="Times New Roman" w:eastAsia="Times New Roman" w:hAnsi="Times New Roman"/>
          <w:sz w:val="14"/>
          <w:szCs w:val="14"/>
          <w:color w:val="auto"/>
        </w:rPr>
        <w:t>Stakeholder expectations regarding sustainability matters are</w:t>
      </w:r>
    </w:p>
    <w:p>
      <w:pPr>
        <w:spacing w:after="0" w:line="204" w:lineRule="auto"/>
        <w:rPr>
          <w:sz w:val="20"/>
          <w:szCs w:val="20"/>
          <w:color w:val="auto"/>
        </w:rPr>
      </w:pPr>
      <w:r>
        <w:rPr>
          <w:rFonts w:ascii="Times New Roman" w:cs="Times New Roman" w:eastAsia="Times New Roman" w:hAnsi="Times New Roman"/>
          <w:sz w:val="16"/>
          <w:szCs w:val="16"/>
          <w:color w:val="auto"/>
        </w:rPr>
        <w:t>evolving and can be divergent, with some stakeholders</w:t>
      </w:r>
    </w:p>
    <w:p>
      <w:pPr>
        <w:spacing w:after="0" w:line="203" w:lineRule="auto"/>
        <w:rPr>
          <w:sz w:val="20"/>
          <w:szCs w:val="20"/>
          <w:color w:val="auto"/>
        </w:rPr>
      </w:pPr>
      <w:r>
        <w:rPr>
          <w:rFonts w:ascii="Times New Roman" w:cs="Times New Roman" w:eastAsia="Times New Roman" w:hAnsi="Times New Roman"/>
          <w:sz w:val="16"/>
          <w:szCs w:val="16"/>
          <w:color w:val="auto"/>
        </w:rPr>
        <w:t>demanding more action and disclosure while others oppose</w:t>
      </w:r>
    </w:p>
    <w:p>
      <w:pPr>
        <w:spacing w:after="0" w:line="204" w:lineRule="auto"/>
        <w:rPr>
          <w:sz w:val="20"/>
          <w:szCs w:val="20"/>
          <w:color w:val="auto"/>
        </w:rPr>
      </w:pPr>
      <w:r>
        <w:rPr>
          <w:rFonts w:ascii="Times New Roman" w:cs="Times New Roman" w:eastAsia="Times New Roman" w:hAnsi="Times New Roman"/>
          <w:sz w:val="16"/>
          <w:szCs w:val="16"/>
          <w:color w:val="auto"/>
        </w:rPr>
        <w:t>such efforts. In addition, we could be criticized for the</w:t>
      </w:r>
    </w:p>
    <w:p>
      <w:pPr>
        <w:spacing w:after="0" w:line="203" w:lineRule="auto"/>
        <w:rPr>
          <w:sz w:val="20"/>
          <w:szCs w:val="20"/>
          <w:color w:val="auto"/>
        </w:rPr>
      </w:pPr>
      <w:r>
        <w:rPr>
          <w:rFonts w:ascii="Times New Roman" w:cs="Times New Roman" w:eastAsia="Times New Roman" w:hAnsi="Times New Roman"/>
          <w:sz w:val="16"/>
          <w:szCs w:val="16"/>
          <w:color w:val="auto"/>
        </w:rPr>
        <w:t>timing, scope or nature of these initiatives, goals, or</w:t>
      </w:r>
    </w:p>
    <w:p>
      <w:pPr>
        <w:spacing w:after="0" w:line="204" w:lineRule="auto"/>
        <w:rPr>
          <w:sz w:val="20"/>
          <w:szCs w:val="20"/>
          <w:color w:val="auto"/>
        </w:rPr>
      </w:pPr>
      <w:r>
        <w:rPr>
          <w:rFonts w:ascii="Times New Roman" w:cs="Times New Roman" w:eastAsia="Times New Roman" w:hAnsi="Times New Roman"/>
          <w:sz w:val="16"/>
          <w:szCs w:val="16"/>
          <w:color w:val="auto"/>
        </w:rPr>
        <w:t>commitments, or for any revisions to them. We could be</w:t>
      </w:r>
    </w:p>
    <w:p>
      <w:pPr>
        <w:spacing w:after="0" w:line="203" w:lineRule="auto"/>
        <w:rPr>
          <w:sz w:val="20"/>
          <w:szCs w:val="20"/>
          <w:color w:val="auto"/>
        </w:rPr>
      </w:pPr>
      <w:r>
        <w:rPr>
          <w:rFonts w:ascii="Times New Roman" w:cs="Times New Roman" w:eastAsia="Times New Roman" w:hAnsi="Times New Roman"/>
          <w:sz w:val="16"/>
          <w:szCs w:val="16"/>
          <w:color w:val="auto"/>
        </w:rPr>
        <w:t>subject to litigation or regulatory enforcement actions</w:t>
      </w:r>
    </w:p>
    <w:p>
      <w:pPr>
        <w:spacing w:after="0" w:line="204" w:lineRule="auto"/>
        <w:rPr>
          <w:sz w:val="20"/>
          <w:szCs w:val="20"/>
          <w:color w:val="auto"/>
        </w:rPr>
      </w:pPr>
      <w:r>
        <w:rPr>
          <w:rFonts w:ascii="Times New Roman" w:cs="Times New Roman" w:eastAsia="Times New Roman" w:hAnsi="Times New Roman"/>
          <w:sz w:val="16"/>
          <w:szCs w:val="16"/>
          <w:color w:val="auto"/>
        </w:rPr>
        <w:t>regarding the accuracy, adequacy, or completeness of our</w:t>
      </w:r>
    </w:p>
    <w:p>
      <w:pPr>
        <w:spacing w:after="0" w:line="204" w:lineRule="auto"/>
        <w:rPr>
          <w:sz w:val="20"/>
          <w:szCs w:val="20"/>
          <w:color w:val="auto"/>
        </w:rPr>
      </w:pPr>
      <w:r>
        <w:rPr>
          <w:rFonts w:ascii="Times New Roman" w:cs="Times New Roman" w:eastAsia="Times New Roman" w:hAnsi="Times New Roman"/>
          <w:sz w:val="16"/>
          <w:szCs w:val="16"/>
          <w:color w:val="auto"/>
        </w:rPr>
        <w:t>sustainability-related disclosures. Our actual or perceived</w:t>
      </w:r>
    </w:p>
    <w:p>
      <w:pPr>
        <w:spacing w:after="0" w:line="203" w:lineRule="auto"/>
        <w:rPr>
          <w:sz w:val="20"/>
          <w:szCs w:val="20"/>
          <w:color w:val="auto"/>
        </w:rPr>
      </w:pPr>
      <w:r>
        <w:rPr>
          <w:rFonts w:ascii="Times New Roman" w:cs="Times New Roman" w:eastAsia="Times New Roman" w:hAnsi="Times New Roman"/>
          <w:sz w:val="16"/>
          <w:szCs w:val="16"/>
          <w:color w:val="auto"/>
        </w:rPr>
        <w:t>failure to achieve, or stakeholder dissatisfaction of, our</w:t>
      </w:r>
    </w:p>
    <w:p>
      <w:pPr>
        <w:spacing w:after="0" w:line="233" w:lineRule="auto"/>
        <w:rPr>
          <w:sz w:val="20"/>
          <w:szCs w:val="20"/>
          <w:color w:val="auto"/>
        </w:rPr>
      </w:pPr>
      <w:r>
        <w:rPr>
          <w:rFonts w:ascii="Times New Roman" w:cs="Times New Roman" w:eastAsia="Times New Roman" w:hAnsi="Times New Roman"/>
          <w:sz w:val="14"/>
          <w:szCs w:val="14"/>
          <w:color w:val="auto"/>
        </w:rPr>
        <w:t>sustainability-related goals or commitments could negatively</w:t>
      </w:r>
    </w:p>
    <w:p>
      <w:pPr>
        <w:spacing w:after="0" w:line="203" w:lineRule="auto"/>
        <w:rPr>
          <w:sz w:val="20"/>
          <w:szCs w:val="20"/>
          <w:color w:val="auto"/>
        </w:rPr>
      </w:pPr>
      <w:r>
        <w:rPr>
          <w:rFonts w:ascii="Times New Roman" w:cs="Times New Roman" w:eastAsia="Times New Roman" w:hAnsi="Times New Roman"/>
          <w:sz w:val="16"/>
          <w:szCs w:val="16"/>
          <w:color w:val="auto"/>
        </w:rPr>
        <w:t>impact our reputation or otherwise materially harm our</w:t>
      </w:r>
    </w:p>
    <w:p>
      <w:pPr>
        <w:spacing w:after="0" w:line="204" w:lineRule="auto"/>
        <w:rPr>
          <w:sz w:val="20"/>
          <w:szCs w:val="20"/>
          <w:color w:val="auto"/>
        </w:rPr>
      </w:pPr>
      <w:r>
        <w:rPr>
          <w:rFonts w:ascii="Times New Roman" w:cs="Times New Roman" w:eastAsia="Times New Roman" w:hAnsi="Times New Roman"/>
          <w:sz w:val="16"/>
          <w:szCs w:val="16"/>
          <w:color w:val="auto"/>
        </w:rPr>
        <w:t>business.</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Failure to protect our IP rights, or allegations that we have</w:t>
      </w:r>
    </w:p>
    <w:p>
      <w:pP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infringed on the IP rights of others, could harm our brand-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building efforts and ability to compete effectively.</w:t>
      </w:r>
    </w:p>
    <w:p>
      <w:pPr>
        <w:spacing w:after="0" w:line="203" w:lineRule="auto"/>
        <w:rPr>
          <w:sz w:val="20"/>
          <w:szCs w:val="20"/>
          <w:color w:val="auto"/>
        </w:rPr>
      </w:pPr>
      <w:r>
        <w:rPr>
          <w:rFonts w:ascii="Times New Roman" w:cs="Times New Roman" w:eastAsia="Times New Roman" w:hAnsi="Times New Roman"/>
          <w:sz w:val="16"/>
          <w:szCs w:val="16"/>
          <w:color w:val="auto"/>
        </w:rPr>
        <w:t>To protect our IP rights, we rely on a combination of</w:t>
      </w:r>
    </w:p>
    <w:p>
      <w:pPr>
        <w:spacing w:after="0" w:line="204" w:lineRule="auto"/>
        <w:rPr>
          <w:sz w:val="20"/>
          <w:szCs w:val="20"/>
          <w:color w:val="auto"/>
        </w:rPr>
      </w:pPr>
      <w:r>
        <w:rPr>
          <w:rFonts w:ascii="Times New Roman" w:cs="Times New Roman" w:eastAsia="Times New Roman" w:hAnsi="Times New Roman"/>
          <w:sz w:val="16"/>
          <w:szCs w:val="16"/>
          <w:color w:val="auto"/>
        </w:rPr>
        <w:t>trademark laws, copyright laws, patent laws, trade secret</w:t>
      </w:r>
    </w:p>
    <w:p>
      <w:pPr>
        <w:spacing w:after="0" w:line="203" w:lineRule="auto"/>
        <w:rPr>
          <w:sz w:val="20"/>
          <w:szCs w:val="20"/>
          <w:color w:val="auto"/>
        </w:rPr>
      </w:pPr>
      <w:r>
        <w:rPr>
          <w:rFonts w:ascii="Times New Roman" w:cs="Times New Roman" w:eastAsia="Times New Roman" w:hAnsi="Times New Roman"/>
          <w:sz w:val="16"/>
          <w:szCs w:val="16"/>
          <w:color w:val="auto"/>
        </w:rPr>
        <w:t>protection, confidentiality agreements and other contractual</w:t>
      </w:r>
    </w:p>
    <w:p>
      <w:pPr>
        <w:spacing w:after="0" w:line="204" w:lineRule="auto"/>
        <w:rPr>
          <w:sz w:val="20"/>
          <w:szCs w:val="20"/>
          <w:color w:val="auto"/>
        </w:rPr>
      </w:pPr>
      <w:r>
        <w:rPr>
          <w:rFonts w:ascii="Times New Roman" w:cs="Times New Roman" w:eastAsia="Times New Roman" w:hAnsi="Times New Roman"/>
          <w:sz w:val="16"/>
          <w:szCs w:val="16"/>
          <w:color w:val="auto"/>
        </w:rPr>
        <w:t>arrangements with our affiliates, clients, strategic partners,</w:t>
      </w:r>
    </w:p>
    <w:p>
      <w:pPr>
        <w:spacing w:after="0" w:line="233" w:lineRule="auto"/>
        <w:rPr>
          <w:sz w:val="20"/>
          <w:szCs w:val="20"/>
          <w:color w:val="auto"/>
        </w:rPr>
      </w:pPr>
      <w:r>
        <w:rPr>
          <w:rFonts w:ascii="Times New Roman" w:cs="Times New Roman" w:eastAsia="Times New Roman" w:hAnsi="Times New Roman"/>
          <w:sz w:val="14"/>
          <w:szCs w:val="14"/>
          <w:color w:val="auto"/>
        </w:rPr>
        <w:t>employees and others. However, the efforts we have taken to</w:t>
      </w:r>
    </w:p>
    <w:p>
      <w:pPr>
        <w:spacing w:after="0" w:line="203" w:lineRule="auto"/>
        <w:rPr>
          <w:sz w:val="20"/>
          <w:szCs w:val="20"/>
          <w:color w:val="auto"/>
        </w:rPr>
      </w:pPr>
      <w:r>
        <w:rPr>
          <w:rFonts w:ascii="Times New Roman" w:cs="Times New Roman" w:eastAsia="Times New Roman" w:hAnsi="Times New Roman"/>
          <w:sz w:val="16"/>
          <w:szCs w:val="16"/>
          <w:color w:val="auto"/>
        </w:rPr>
        <w:t>protect our IP and proprietary rights might not be sufficient,</w:t>
      </w:r>
    </w:p>
    <w:p>
      <w:pPr>
        <w:spacing w:after="0" w:line="233" w:lineRule="auto"/>
        <w:rPr>
          <w:sz w:val="20"/>
          <w:szCs w:val="20"/>
          <w:color w:val="auto"/>
        </w:rPr>
      </w:pPr>
      <w:r>
        <w:rPr>
          <w:rFonts w:ascii="Times New Roman" w:cs="Times New Roman" w:eastAsia="Times New Roman" w:hAnsi="Times New Roman"/>
          <w:sz w:val="14"/>
          <w:szCs w:val="14"/>
          <w:color w:val="auto"/>
        </w:rPr>
        <w:t>or effective, at stopping unauthorized use of those rights. We</w:t>
      </w:r>
    </w:p>
    <w:p>
      <w:pPr>
        <w:spacing w:after="0" w:line="203" w:lineRule="auto"/>
        <w:rPr>
          <w:sz w:val="20"/>
          <w:szCs w:val="20"/>
          <w:color w:val="auto"/>
        </w:rPr>
      </w:pPr>
      <w:r>
        <w:rPr>
          <w:rFonts w:ascii="Times New Roman" w:cs="Times New Roman" w:eastAsia="Times New Roman" w:hAnsi="Times New Roman"/>
          <w:sz w:val="16"/>
          <w:szCs w:val="16"/>
          <w:color w:val="auto"/>
        </w:rPr>
        <w:t>may be unable to detect the unauthorized use of, or take</w:t>
      </w:r>
    </w:p>
    <w:p>
      <w:pPr>
        <w:spacing w:after="0" w:line="204" w:lineRule="auto"/>
        <w:rPr>
          <w:sz w:val="20"/>
          <w:szCs w:val="20"/>
          <w:color w:val="auto"/>
        </w:rPr>
      </w:pPr>
      <w:r>
        <w:rPr>
          <w:rFonts w:ascii="Times New Roman" w:cs="Times New Roman" w:eastAsia="Times New Roman" w:hAnsi="Times New Roman"/>
          <w:sz w:val="16"/>
          <w:szCs w:val="16"/>
          <w:color w:val="auto"/>
        </w:rPr>
        <w:t>appropriate steps to enforce, our IP rights.</w:t>
      </w:r>
    </w:p>
    <w:p>
      <w:pPr>
        <w:spacing w:after="0" w:line="203" w:lineRule="auto"/>
        <w:rPr>
          <w:sz w:val="20"/>
          <w:szCs w:val="20"/>
          <w:color w:val="auto"/>
        </w:rPr>
      </w:pPr>
      <w:r>
        <w:rPr>
          <w:rFonts w:ascii="Times New Roman" w:cs="Times New Roman" w:eastAsia="Times New Roman" w:hAnsi="Times New Roman"/>
          <w:sz w:val="16"/>
          <w:szCs w:val="16"/>
          <w:color w:val="auto"/>
        </w:rPr>
        <w:t>We have registered, or applied to register, our trademarks in</w:t>
      </w:r>
    </w:p>
    <w:p>
      <w:pPr>
        <w:spacing w:after="0" w:line="204" w:lineRule="auto"/>
        <w:rPr>
          <w:sz w:val="20"/>
          <w:szCs w:val="20"/>
          <w:color w:val="auto"/>
        </w:rPr>
      </w:pPr>
      <w:r>
        <w:rPr>
          <w:rFonts w:ascii="Times New Roman" w:cs="Times New Roman" w:eastAsia="Times New Roman" w:hAnsi="Times New Roman"/>
          <w:sz w:val="16"/>
          <w:szCs w:val="16"/>
          <w:color w:val="auto"/>
        </w:rPr>
        <w:t>the United States and in over 50 foreign jurisdictions and</w:t>
      </w:r>
    </w:p>
    <w:p>
      <w:pPr>
        <w:spacing w:after="0" w:line="204" w:lineRule="auto"/>
        <w:rPr>
          <w:sz w:val="20"/>
          <w:szCs w:val="20"/>
          <w:color w:val="auto"/>
        </w:rPr>
      </w:pPr>
      <w:r>
        <w:rPr>
          <w:rFonts w:ascii="Times New Roman" w:cs="Times New Roman" w:eastAsia="Times New Roman" w:hAnsi="Times New Roman"/>
          <w:sz w:val="16"/>
          <w:szCs w:val="16"/>
          <w:color w:val="auto"/>
        </w:rPr>
        <w:t>have pending U.S. and foreign applications for other</w:t>
      </w:r>
    </w:p>
    <w:p>
      <w:pPr>
        <w:spacing w:after="0" w:line="203" w:lineRule="auto"/>
        <w:rPr>
          <w:sz w:val="20"/>
          <w:szCs w:val="20"/>
          <w:color w:val="auto"/>
        </w:rPr>
      </w:pPr>
      <w:r>
        <w:rPr>
          <w:rFonts w:ascii="Times New Roman" w:cs="Times New Roman" w:eastAsia="Times New Roman" w:hAnsi="Times New Roman"/>
          <w:sz w:val="16"/>
          <w:szCs w:val="16"/>
          <w:color w:val="auto"/>
        </w:rPr>
        <w:t>trademarks. We also maintain copyright protection for</w:t>
      </w:r>
    </w:p>
    <w:p>
      <w:pPr>
        <w:spacing w:after="0"/>
        <w:rPr>
          <w:sz w:val="20"/>
          <w:szCs w:val="20"/>
          <w:color w:val="auto"/>
        </w:rPr>
      </w:pPr>
      <w:r>
        <w:rPr>
          <w:rFonts w:ascii="Times New Roman" w:cs="Times New Roman" w:eastAsia="Times New Roman" w:hAnsi="Times New Roman"/>
          <w:sz w:val="14"/>
          <w:szCs w:val="14"/>
          <w:color w:val="auto"/>
        </w:rPr>
        <w:t>software products and pursue patent protection for inventions</w:t>
      </w:r>
    </w:p>
    <w:p>
      <w:pPr>
        <w:spacing w:after="0" w:line="212" w:lineRule="auto"/>
        <w:rPr>
          <w:sz w:val="20"/>
          <w:szCs w:val="20"/>
          <w:color w:val="auto"/>
        </w:rPr>
      </w:pPr>
      <w:r>
        <w:rPr>
          <w:rFonts w:ascii="Times New Roman" w:cs="Times New Roman" w:eastAsia="Times New Roman" w:hAnsi="Times New Roman"/>
          <w:sz w:val="16"/>
          <w:szCs w:val="16"/>
          <w:color w:val="auto"/>
        </w:rPr>
        <w:t>developed by us. We hold a number of patents, patent</w:t>
      </w:r>
    </w:p>
    <w:p>
      <w:pPr>
        <w:spacing w:after="0" w:line="204" w:lineRule="auto"/>
        <w:rPr>
          <w:sz w:val="20"/>
          <w:szCs w:val="20"/>
          <w:color w:val="auto"/>
        </w:rPr>
      </w:pPr>
      <w:r>
        <w:rPr>
          <w:rFonts w:ascii="Times New Roman" w:cs="Times New Roman" w:eastAsia="Times New Roman" w:hAnsi="Times New Roman"/>
          <w:sz w:val="16"/>
          <w:szCs w:val="16"/>
          <w:color w:val="auto"/>
        </w:rPr>
        <w:t>applications and licenses in the United States and other</w:t>
      </w:r>
    </w:p>
    <w:p>
      <w:pPr>
        <w:spacing w:after="0" w:line="203" w:lineRule="auto"/>
        <w:rPr>
          <w:sz w:val="20"/>
          <w:szCs w:val="20"/>
          <w:color w:val="auto"/>
        </w:rPr>
      </w:pPr>
      <w:r>
        <w:rPr>
          <w:rFonts w:ascii="Times New Roman" w:cs="Times New Roman" w:eastAsia="Times New Roman" w:hAnsi="Times New Roman"/>
          <w:sz w:val="16"/>
          <w:szCs w:val="16"/>
          <w:color w:val="auto"/>
        </w:rPr>
        <w:t>foreign jurisdictions. However, effective trademark,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copyright, patent and trade secret protection might not be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We are a holding company that depends on cash flow from</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subsidiaries to meet our obligations, and any</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restrictions on our subsidiaries’ ability to pay dividends or</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make other payments to us may have a material adverse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effect on our results of operations and financial condition.</w:t>
      </w:r>
    </w:p>
    <w:p>
      <w:pPr>
        <w:spacing w:after="0" w:line="203" w:lineRule="auto"/>
        <w:rPr>
          <w:sz w:val="20"/>
          <w:szCs w:val="20"/>
          <w:color w:val="auto"/>
        </w:rPr>
      </w:pPr>
      <w:r>
        <w:rPr>
          <w:rFonts w:ascii="Times New Roman" w:cs="Times New Roman" w:eastAsia="Times New Roman" w:hAnsi="Times New Roman"/>
          <w:sz w:val="16"/>
          <w:szCs w:val="16"/>
          <w:color w:val="auto"/>
        </w:rPr>
        <w:t>As a holding company, we require dividends and other</w:t>
      </w:r>
    </w:p>
    <w:p>
      <w:pPr>
        <w:spacing w:after="0" w:line="204" w:lineRule="auto"/>
        <w:rPr>
          <w:sz w:val="20"/>
          <w:szCs w:val="20"/>
          <w:color w:val="auto"/>
        </w:rPr>
      </w:pPr>
      <w:r>
        <w:rPr>
          <w:rFonts w:ascii="Times New Roman" w:cs="Times New Roman" w:eastAsia="Times New Roman" w:hAnsi="Times New Roman"/>
          <w:sz w:val="16"/>
          <w:szCs w:val="16"/>
          <w:color w:val="auto"/>
        </w:rPr>
        <w:t>payments from our subsidiaries to meet cash requirements.</w:t>
      </w:r>
    </w:p>
    <w:p>
      <w:pPr>
        <w:spacing w:after="0"/>
        <w:rPr>
          <w:sz w:val="20"/>
          <w:szCs w:val="20"/>
          <w:color w:val="auto"/>
        </w:rPr>
      </w:pPr>
      <w:r>
        <w:rPr>
          <w:rFonts w:ascii="Times New Roman" w:cs="Times New Roman" w:eastAsia="Times New Roman" w:hAnsi="Times New Roman"/>
          <w:sz w:val="16"/>
          <w:szCs w:val="16"/>
          <w:color w:val="auto"/>
        </w:rPr>
        <w:t>Minimum capital requirements mandated by regulatory</w:t>
      </w:r>
    </w:p>
    <w:p>
      <w:pPr>
        <w:sectPr>
          <w:pgSz w:w="11900" w:h="16840" w:orient="portrait"/>
          <w:cols w:equalWidth="0" w:num="1">
            <w:col w:w="9400"/>
          </w:cols>
          <w:pgMar w:left="1060" w:top="547" w:right="1440" w:bottom="1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authorities having jurisdiction over some of our regulated</w:t>
      </w:r>
    </w:p>
    <w:p>
      <w:pPr>
        <w:spacing w:after="0" w:line="203" w:lineRule="auto"/>
        <w:rPr>
          <w:sz w:val="20"/>
          <w:szCs w:val="20"/>
          <w:color w:val="auto"/>
        </w:rPr>
      </w:pPr>
      <w:r>
        <w:rPr>
          <w:rFonts w:ascii="Times New Roman" w:cs="Times New Roman" w:eastAsia="Times New Roman" w:hAnsi="Times New Roman"/>
          <w:sz w:val="16"/>
          <w:szCs w:val="16"/>
          <w:color w:val="auto"/>
        </w:rPr>
        <w:t>subsidiaries indirectly restrict the amount of dividends that</w:t>
      </w:r>
    </w:p>
    <w:p>
      <w:pPr>
        <w:spacing w:after="0" w:line="204" w:lineRule="auto"/>
        <w:rPr>
          <w:sz w:val="20"/>
          <w:szCs w:val="20"/>
          <w:color w:val="auto"/>
        </w:rPr>
      </w:pPr>
      <w:r>
        <w:rPr>
          <w:rFonts w:ascii="Times New Roman" w:cs="Times New Roman" w:eastAsia="Times New Roman" w:hAnsi="Times New Roman"/>
          <w:sz w:val="16"/>
          <w:szCs w:val="16"/>
          <w:color w:val="auto"/>
        </w:rPr>
        <w:t>can be paid upstream.</w:t>
      </w:r>
    </w:p>
    <w:p>
      <w:pPr>
        <w:spacing w:after="0" w:line="203" w:lineRule="auto"/>
        <w:rPr>
          <w:sz w:val="20"/>
          <w:szCs w:val="20"/>
          <w:color w:val="auto"/>
        </w:rPr>
      </w:pPr>
      <w:r>
        <w:rPr>
          <w:rFonts w:ascii="Times New Roman" w:cs="Times New Roman" w:eastAsia="Times New Roman" w:hAnsi="Times New Roman"/>
          <w:sz w:val="16"/>
          <w:szCs w:val="16"/>
          <w:color w:val="auto"/>
        </w:rPr>
        <w:t>If our subsidiaries are unable to pay dividends and make</w:t>
      </w:r>
    </w:p>
    <w:p>
      <w:pPr>
        <w:spacing w:after="0" w:line="204" w:lineRule="auto"/>
        <w:rPr>
          <w:sz w:val="20"/>
          <w:szCs w:val="20"/>
          <w:color w:val="auto"/>
        </w:rPr>
      </w:pPr>
      <w:r>
        <w:rPr>
          <w:rFonts w:ascii="Times New Roman" w:cs="Times New Roman" w:eastAsia="Times New Roman" w:hAnsi="Times New Roman"/>
          <w:sz w:val="16"/>
          <w:szCs w:val="16"/>
          <w:color w:val="auto"/>
        </w:rPr>
        <w:t>other payments to us when needed, or if regulators or</w:t>
      </w:r>
    </w:p>
    <w:p>
      <w:pPr>
        <w:spacing w:after="0" w:line="203" w:lineRule="auto"/>
        <w:rPr>
          <w:sz w:val="20"/>
          <w:szCs w:val="20"/>
          <w:color w:val="auto"/>
        </w:rPr>
      </w:pPr>
      <w:r>
        <w:rPr>
          <w:rFonts w:ascii="Times New Roman" w:cs="Times New Roman" w:eastAsia="Times New Roman" w:hAnsi="Times New Roman"/>
          <w:sz w:val="16"/>
          <w:szCs w:val="16"/>
          <w:color w:val="auto"/>
        </w:rPr>
        <w:t>counterparties require us to increase capital deployed in</w:t>
      </w:r>
    </w:p>
    <w:p>
      <w:pPr>
        <w:spacing w:after="0" w:line="204" w:lineRule="auto"/>
        <w:rPr>
          <w:sz w:val="20"/>
          <w:szCs w:val="20"/>
          <w:color w:val="auto"/>
        </w:rPr>
      </w:pPr>
      <w:r>
        <w:rPr>
          <w:rFonts w:ascii="Times New Roman" w:cs="Times New Roman" w:eastAsia="Times New Roman" w:hAnsi="Times New Roman"/>
          <w:sz w:val="16"/>
          <w:szCs w:val="16"/>
          <w:color w:val="auto"/>
        </w:rPr>
        <w:t>certain of our regulated subsidiaries, we may be unable to</w:t>
      </w:r>
    </w:p>
    <w:p>
      <w:pPr>
        <w:spacing w:after="0" w:line="232" w:lineRule="auto"/>
        <w:rPr>
          <w:sz w:val="20"/>
          <w:szCs w:val="20"/>
          <w:color w:val="auto"/>
        </w:rPr>
      </w:pPr>
      <w:r>
        <w:rPr>
          <w:rFonts w:ascii="Times New Roman" w:cs="Times New Roman" w:eastAsia="Times New Roman" w:hAnsi="Times New Roman"/>
          <w:sz w:val="14"/>
          <w:szCs w:val="14"/>
          <w:color w:val="auto"/>
        </w:rPr>
        <w:t>satisfy our obligations, which would have a material adverse</w:t>
      </w:r>
    </w:p>
    <w:p>
      <w:pPr>
        <w:spacing w:after="0" w:line="204" w:lineRule="auto"/>
        <w:rPr>
          <w:sz w:val="20"/>
          <w:szCs w:val="20"/>
          <w:color w:val="auto"/>
        </w:rPr>
      </w:pPr>
      <w:r>
        <w:rPr>
          <w:rFonts w:ascii="Times New Roman" w:cs="Times New Roman" w:eastAsia="Times New Roman" w:hAnsi="Times New Roman"/>
          <w:sz w:val="16"/>
          <w:szCs w:val="16"/>
          <w:color w:val="auto"/>
        </w:rPr>
        <w:t>effect on our business, financial condition and operating</w:t>
      </w:r>
    </w:p>
    <w:p>
      <w:pPr>
        <w:spacing w:after="0" w:line="203" w:lineRule="auto"/>
        <w:rPr>
          <w:sz w:val="20"/>
          <w:szCs w:val="20"/>
          <w:color w:val="auto"/>
        </w:rPr>
      </w:pPr>
      <w:r>
        <w:rPr>
          <w:rFonts w:ascii="Times New Roman" w:cs="Times New Roman" w:eastAsia="Times New Roman" w:hAnsi="Times New Roman"/>
          <w:sz w:val="16"/>
          <w:szCs w:val="16"/>
          <w:color w:val="auto"/>
        </w:rPr>
        <w:t>results.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operating results,</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which may adversely affect the market price of our common</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stock.</w:t>
      </w:r>
    </w:p>
    <w:p>
      <w:pPr>
        <w:spacing w:after="0" w:line="204" w:lineRule="auto"/>
        <w:rPr>
          <w:sz w:val="20"/>
          <w:szCs w:val="20"/>
          <w:color w:val="auto"/>
        </w:rPr>
      </w:pPr>
      <w:r>
        <w:rPr>
          <w:rFonts w:ascii="Times New Roman" w:cs="Times New Roman" w:eastAsia="Times New Roman" w:hAnsi="Times New Roman"/>
          <w:sz w:val="16"/>
          <w:szCs w:val="16"/>
          <w:color w:val="auto"/>
        </w:rPr>
        <w:t>Our industry is risky and unpredictable and is directly</w:t>
      </w:r>
    </w:p>
    <w:p>
      <w:pPr>
        <w:spacing w:after="0" w:line="203" w:lineRule="auto"/>
        <w:rPr>
          <w:sz w:val="20"/>
          <w:szCs w:val="20"/>
          <w:color w:val="auto"/>
        </w:rPr>
      </w:pPr>
      <w:r>
        <w:rPr>
          <w:rFonts w:ascii="Times New Roman" w:cs="Times New Roman" w:eastAsia="Times New Roman" w:hAnsi="Times New Roman"/>
          <w:sz w:val="16"/>
          <w:szCs w:val="16"/>
          <w:color w:val="auto"/>
        </w:rPr>
        <w:t>affected by many national and international factors beyond</w:t>
      </w:r>
    </w:p>
    <w:p>
      <w:pPr>
        <w:spacing w:after="0" w:line="204" w:lineRule="auto"/>
        <w:rPr>
          <w:sz w:val="20"/>
          <w:szCs w:val="20"/>
          <w:color w:val="auto"/>
        </w:rPr>
      </w:pPr>
      <w:r>
        <w:rPr>
          <w:rFonts w:ascii="Times New Roman" w:cs="Times New Roman" w:eastAsia="Times New Roman" w:hAnsi="Times New Roman"/>
          <w:sz w:val="16"/>
          <w:szCs w:val="16"/>
          <w:color w:val="auto"/>
        </w:rPr>
        <w:t>our control, including:</w:t>
      </w:r>
    </w:p>
    <w:p>
      <w:pPr>
        <w:spacing w:after="0" w:line="203" w:lineRule="auto"/>
        <w:rPr>
          <w:sz w:val="20"/>
          <w:szCs w:val="20"/>
          <w:color w:val="auto"/>
        </w:rPr>
      </w:pPr>
      <w:r>
        <w:rPr>
          <w:rFonts w:ascii="Times New Roman" w:cs="Times New Roman" w:eastAsia="Times New Roman" w:hAnsi="Times New Roman"/>
          <w:sz w:val="16"/>
          <w:szCs w:val="16"/>
          <w:color w:val="auto"/>
        </w:rPr>
        <w:t>•economic, political and geopolitical market conditions;</w:t>
      </w:r>
    </w:p>
    <w:p>
      <w:pPr>
        <w:spacing w:after="0" w:line="204" w:lineRule="auto"/>
        <w:rPr>
          <w:sz w:val="20"/>
          <w:szCs w:val="20"/>
          <w:color w:val="auto"/>
        </w:rPr>
      </w:pPr>
      <w:r>
        <w:rPr>
          <w:rFonts w:ascii="Times New Roman" w:cs="Times New Roman" w:eastAsia="Times New Roman" w:hAnsi="Times New Roman"/>
          <w:sz w:val="16"/>
          <w:szCs w:val="16"/>
          <w:color w:val="auto"/>
        </w:rPr>
        <w:t>•evolving market or customer preferences for solutions</w:t>
      </w:r>
    </w:p>
    <w:p>
      <w:pPr>
        <w:spacing w:after="0" w:line="204" w:lineRule="auto"/>
        <w:rPr>
          <w:sz w:val="20"/>
          <w:szCs w:val="20"/>
          <w:color w:val="auto"/>
        </w:rPr>
      </w:pPr>
      <w:r>
        <w:rPr>
          <w:rFonts w:ascii="Times New Roman" w:cs="Times New Roman" w:eastAsia="Times New Roman" w:hAnsi="Times New Roman"/>
          <w:sz w:val="16"/>
          <w:szCs w:val="16"/>
          <w:color w:val="auto"/>
        </w:rPr>
        <w:t>provided locally or outside of the U.S.;</w:t>
      </w:r>
    </w:p>
    <w:p>
      <w:pPr>
        <w:spacing w:after="0" w:line="203" w:lineRule="auto"/>
        <w:rPr>
          <w:sz w:val="20"/>
          <w:szCs w:val="20"/>
          <w:color w:val="auto"/>
        </w:rPr>
      </w:pPr>
      <w:r>
        <w:rPr>
          <w:rFonts w:ascii="Times New Roman" w:cs="Times New Roman" w:eastAsia="Times New Roman" w:hAnsi="Times New Roman"/>
          <w:sz w:val="16"/>
          <w:szCs w:val="16"/>
          <w:color w:val="auto"/>
        </w:rPr>
        <w:t>•natural disasters, terrorism, pandemics, war or other</w:t>
      </w:r>
    </w:p>
    <w:p>
      <w:pPr>
        <w:spacing w:after="0" w:line="204" w:lineRule="auto"/>
        <w:rPr>
          <w:sz w:val="20"/>
          <w:szCs w:val="20"/>
          <w:color w:val="auto"/>
        </w:rPr>
      </w:pPr>
      <w:r>
        <w:rPr>
          <w:rFonts w:ascii="Times New Roman" w:cs="Times New Roman" w:eastAsia="Times New Roman" w:hAnsi="Times New Roman"/>
          <w:sz w:val="16"/>
          <w:szCs w:val="16"/>
          <w:color w:val="auto"/>
        </w:rPr>
        <w:t>catastrophes;</w:t>
      </w:r>
    </w:p>
    <w:p>
      <w:pPr>
        <w:spacing w:after="0" w:line="203" w:lineRule="auto"/>
        <w:rPr>
          <w:sz w:val="20"/>
          <w:szCs w:val="20"/>
          <w:color w:val="auto"/>
        </w:rPr>
      </w:pPr>
      <w:r>
        <w:rPr>
          <w:rFonts w:ascii="Times New Roman" w:cs="Times New Roman" w:eastAsia="Times New Roman" w:hAnsi="Times New Roman"/>
          <w:sz w:val="16"/>
          <w:szCs w:val="16"/>
          <w:color w:val="auto"/>
        </w:rPr>
        <w:t>•broad trends in finance and technology;</w:t>
      </w:r>
    </w:p>
    <w:p>
      <w:pPr>
        <w:spacing w:after="0" w:line="204" w:lineRule="auto"/>
        <w:rPr>
          <w:sz w:val="20"/>
          <w:szCs w:val="20"/>
          <w:color w:val="auto"/>
        </w:rPr>
      </w:pPr>
      <w:r>
        <w:rPr>
          <w:rFonts w:ascii="Times New Roman" w:cs="Times New Roman" w:eastAsia="Times New Roman" w:hAnsi="Times New Roman"/>
          <w:sz w:val="16"/>
          <w:szCs w:val="16"/>
          <w:color w:val="auto"/>
        </w:rPr>
        <w:t>•changes in price levels and volatility in the stock markets;</w:t>
      </w:r>
    </w:p>
    <w:p>
      <w:pPr>
        <w:spacing w:after="0" w:line="203" w:lineRule="auto"/>
        <w:rPr>
          <w:sz w:val="20"/>
          <w:szCs w:val="20"/>
          <w:color w:val="auto"/>
        </w:rPr>
      </w:pPr>
      <w:r>
        <w:rPr>
          <w:rFonts w:ascii="Times New Roman" w:cs="Times New Roman" w:eastAsia="Times New Roman" w:hAnsi="Times New Roman"/>
          <w:sz w:val="16"/>
          <w:szCs w:val="16"/>
          <w:color w:val="auto"/>
        </w:rPr>
        <w:t>•the level and volatility of interest rates;</w:t>
      </w:r>
    </w:p>
    <w:p>
      <w:pPr>
        <w:spacing w:after="0" w:line="204" w:lineRule="auto"/>
        <w:rPr>
          <w:sz w:val="20"/>
          <w:szCs w:val="20"/>
          <w:color w:val="auto"/>
        </w:rPr>
      </w:pPr>
      <w:r>
        <w:rPr>
          <w:rFonts w:ascii="Times New Roman" w:cs="Times New Roman" w:eastAsia="Times New Roman" w:hAnsi="Times New Roman"/>
          <w:sz w:val="16"/>
          <w:szCs w:val="16"/>
          <w:color w:val="auto"/>
        </w:rPr>
        <w:t>•volatility in commodity markets, including the energy</w:t>
      </w:r>
    </w:p>
    <w:p>
      <w:pPr>
        <w:spacing w:after="0" w:line="203" w:lineRule="auto"/>
        <w:rPr>
          <w:sz w:val="20"/>
          <w:szCs w:val="20"/>
          <w:color w:val="auto"/>
        </w:rPr>
      </w:pPr>
      <w:r>
        <w:rPr>
          <w:rFonts w:ascii="Times New Roman" w:cs="Times New Roman" w:eastAsia="Times New Roman" w:hAnsi="Times New Roman"/>
          <w:sz w:val="16"/>
          <w:szCs w:val="16"/>
          <w:color w:val="auto"/>
        </w:rPr>
        <w:t>markets;</w:t>
      </w:r>
    </w:p>
    <w:p>
      <w:pPr>
        <w:spacing w:after="0" w:line="204" w:lineRule="auto"/>
        <w:rPr>
          <w:sz w:val="20"/>
          <w:szCs w:val="20"/>
          <w:color w:val="auto"/>
        </w:rPr>
      </w:pPr>
      <w:r>
        <w:rPr>
          <w:rFonts w:ascii="Times New Roman" w:cs="Times New Roman" w:eastAsia="Times New Roman" w:hAnsi="Times New Roman"/>
          <w:sz w:val="16"/>
          <w:szCs w:val="16"/>
          <w:color w:val="auto"/>
        </w:rPr>
        <w:t>•inflation;</w:t>
      </w:r>
    </w:p>
    <w:p>
      <w:pPr>
        <w:spacing w:after="0" w:line="204" w:lineRule="auto"/>
        <w:rPr>
          <w:sz w:val="20"/>
          <w:szCs w:val="20"/>
          <w:color w:val="auto"/>
        </w:rPr>
      </w:pPr>
      <w:r>
        <w:rPr>
          <w:rFonts w:ascii="Times New Roman" w:cs="Times New Roman" w:eastAsia="Times New Roman" w:hAnsi="Times New Roman"/>
          <w:sz w:val="16"/>
          <w:szCs w:val="16"/>
          <w:color w:val="auto"/>
        </w:rPr>
        <w:t>•disruptions or delays in our supply chains;</w:t>
      </w:r>
    </w:p>
    <w:p>
      <w:pPr>
        <w:spacing w:after="0" w:line="203" w:lineRule="auto"/>
        <w:rPr>
          <w:sz w:val="20"/>
          <w:szCs w:val="20"/>
          <w:color w:val="auto"/>
        </w:rPr>
      </w:pPr>
      <w:r>
        <w:rPr>
          <w:rFonts w:ascii="Times New Roman" w:cs="Times New Roman" w:eastAsia="Times New Roman" w:hAnsi="Times New Roman"/>
          <w:sz w:val="16"/>
          <w:szCs w:val="16"/>
          <w:color w:val="auto"/>
        </w:rPr>
        <w:t>•changes in government monetary or tax policy;</w:t>
      </w:r>
    </w:p>
    <w:p>
      <w:pPr>
        <w:spacing w:after="0" w:line="204" w:lineRule="auto"/>
        <w:rPr>
          <w:sz w:val="20"/>
          <w:szCs w:val="20"/>
          <w:color w:val="auto"/>
        </w:rPr>
      </w:pPr>
      <w:r>
        <w:rPr>
          <w:rFonts w:ascii="Times New Roman" w:cs="Times New Roman" w:eastAsia="Times New Roman" w:hAnsi="Times New Roman"/>
          <w:sz w:val="16"/>
          <w:szCs w:val="16"/>
          <w:color w:val="auto"/>
        </w:rPr>
        <w:t>•the imposition of governmental economic sanctions or</w:t>
      </w:r>
    </w:p>
    <w:p>
      <w:pPr>
        <w:spacing w:after="0" w:line="203" w:lineRule="auto"/>
        <w:rPr>
          <w:sz w:val="20"/>
          <w:szCs w:val="20"/>
          <w:color w:val="auto"/>
        </w:rPr>
      </w:pPr>
      <w:r>
        <w:rPr>
          <w:rFonts w:ascii="Times New Roman" w:cs="Times New Roman" w:eastAsia="Times New Roman" w:hAnsi="Times New Roman"/>
          <w:sz w:val="16"/>
          <w:szCs w:val="16"/>
          <w:color w:val="auto"/>
        </w:rPr>
        <w:t>tariffs, on countries in which we do business or where we</w:t>
      </w:r>
    </w:p>
    <w:p>
      <w:pPr>
        <w:spacing w:after="0" w:line="204" w:lineRule="auto"/>
        <w:rPr>
          <w:sz w:val="20"/>
          <w:szCs w:val="20"/>
          <w:color w:val="auto"/>
        </w:rPr>
      </w:pPr>
      <w:r>
        <w:rPr>
          <w:rFonts w:ascii="Times New Roman" w:cs="Times New Roman" w:eastAsia="Times New Roman" w:hAnsi="Times New Roman"/>
          <w:sz w:val="16"/>
          <w:szCs w:val="16"/>
          <w:color w:val="auto"/>
        </w:rPr>
        <w:t>plan to expand our business or sell our products and</w:t>
      </w:r>
    </w:p>
    <w:p>
      <w:pPr>
        <w:spacing w:after="0" w:line="203" w:lineRule="auto"/>
        <w:rPr>
          <w:sz w:val="20"/>
          <w:szCs w:val="20"/>
          <w:color w:val="auto"/>
        </w:rPr>
      </w:pPr>
      <w:r>
        <w:rPr>
          <w:rFonts w:ascii="Times New Roman" w:cs="Times New Roman" w:eastAsia="Times New Roman" w:hAnsi="Times New Roman"/>
          <w:sz w:val="16"/>
          <w:szCs w:val="16"/>
          <w:color w:val="auto"/>
        </w:rPr>
        <w:t>services; and</w:t>
      </w:r>
    </w:p>
    <w:p>
      <w:pPr>
        <w:spacing w:after="0" w:line="204" w:lineRule="auto"/>
        <w:rPr>
          <w:sz w:val="20"/>
          <w:szCs w:val="20"/>
          <w:color w:val="auto"/>
        </w:rPr>
      </w:pPr>
      <w:r>
        <w:rPr>
          <w:rFonts w:ascii="Times New Roman" w:cs="Times New Roman" w:eastAsia="Times New Roman" w:hAnsi="Times New Roman"/>
          <w:sz w:val="16"/>
          <w:szCs w:val="16"/>
          <w:color w:val="auto"/>
        </w:rPr>
        <w:t>•the perceived attractiveness of the U.S. or European capital</w:t>
      </w:r>
    </w:p>
    <w:p>
      <w:pPr>
        <w:spacing w:after="0" w:line="203" w:lineRule="auto"/>
        <w:rPr>
          <w:sz w:val="20"/>
          <w:szCs w:val="20"/>
          <w:color w:val="auto"/>
        </w:rPr>
      </w:pPr>
      <w:r>
        <w:rPr>
          <w:rFonts w:ascii="Times New Roman" w:cs="Times New Roman" w:eastAsia="Times New Roman" w:hAnsi="Times New Roman"/>
          <w:sz w:val="16"/>
          <w:szCs w:val="16"/>
          <w:color w:val="auto"/>
        </w:rPr>
        <w:t>markets.</w:t>
      </w:r>
    </w:p>
    <w:p>
      <w:pPr>
        <w:spacing w:after="0" w:line="233" w:lineRule="auto"/>
        <w:rPr>
          <w:sz w:val="20"/>
          <w:szCs w:val="20"/>
          <w:color w:val="auto"/>
        </w:rPr>
      </w:pPr>
      <w:r>
        <w:rPr>
          <w:rFonts w:ascii="Times New Roman" w:cs="Times New Roman" w:eastAsia="Times New Roman" w:hAnsi="Times New Roman"/>
          <w:sz w:val="14"/>
          <w:szCs w:val="14"/>
          <w:color w:val="auto"/>
        </w:rPr>
        <w:t>Any one of these factors could have a material adverse effect</w:t>
      </w:r>
    </w:p>
    <w:p>
      <w:pPr>
        <w:spacing w:after="0" w:line="204" w:lineRule="auto"/>
        <w:rPr>
          <w:sz w:val="20"/>
          <w:szCs w:val="20"/>
          <w:color w:val="auto"/>
        </w:rPr>
      </w:pPr>
      <w:r>
        <w:rPr>
          <w:rFonts w:ascii="Times New Roman" w:cs="Times New Roman" w:eastAsia="Times New Roman" w:hAnsi="Times New Roman"/>
          <w:sz w:val="16"/>
          <w:szCs w:val="16"/>
          <w:color w:val="auto"/>
        </w:rPr>
        <w:t>on our business, financial condition and operating results by</w:t>
      </w:r>
    </w:p>
    <w:p>
      <w:pPr>
        <w:spacing w:after="0" w:line="232" w:lineRule="auto"/>
        <w:rPr>
          <w:sz w:val="20"/>
          <w:szCs w:val="20"/>
          <w:color w:val="auto"/>
        </w:rPr>
      </w:pPr>
      <w:r>
        <w:rPr>
          <w:rFonts w:ascii="Times New Roman" w:cs="Times New Roman" w:eastAsia="Times New Roman" w:hAnsi="Times New Roman"/>
          <w:sz w:val="14"/>
          <w:szCs w:val="14"/>
          <w:color w:val="auto"/>
        </w:rPr>
        <w:t>causing a substantial decline in the financial services markets</w:t>
      </w:r>
    </w:p>
    <w:p>
      <w:pPr>
        <w:spacing w:after="0" w:line="204" w:lineRule="auto"/>
        <w:rPr>
          <w:sz w:val="20"/>
          <w:szCs w:val="20"/>
          <w:color w:val="auto"/>
        </w:rPr>
      </w:pPr>
      <w:r>
        <w:rPr>
          <w:rFonts w:ascii="Times New Roman" w:cs="Times New Roman" w:eastAsia="Times New Roman" w:hAnsi="Times New Roman"/>
          <w:sz w:val="16"/>
          <w:szCs w:val="16"/>
          <w:color w:val="auto"/>
        </w:rPr>
        <w:t>and reducing trading volumes or values.</w:t>
      </w:r>
    </w:p>
    <w:p>
      <w:pPr>
        <w:spacing w:after="0" w:line="232" w:lineRule="auto"/>
        <w:rPr>
          <w:sz w:val="20"/>
          <w:szCs w:val="20"/>
          <w:color w:val="auto"/>
        </w:rPr>
      </w:pPr>
      <w:r>
        <w:rPr>
          <w:rFonts w:ascii="Times New Roman" w:cs="Times New Roman" w:eastAsia="Times New Roman" w:hAnsi="Times New Roman"/>
          <w:sz w:val="14"/>
          <w:szCs w:val="14"/>
          <w:color w:val="auto"/>
        </w:rPr>
        <w:t>Additionally, since borrowings under our credit facilities bear</w:t>
      </w:r>
    </w:p>
    <w:p>
      <w:pPr>
        <w:spacing w:after="0" w:line="204" w:lineRule="auto"/>
        <w:rPr>
          <w:sz w:val="20"/>
          <w:szCs w:val="20"/>
          <w:color w:val="auto"/>
        </w:rPr>
      </w:pPr>
      <w:r>
        <w:rPr>
          <w:rFonts w:ascii="Times New Roman" w:cs="Times New Roman" w:eastAsia="Times New Roman" w:hAnsi="Times New Roman"/>
          <w:sz w:val="16"/>
          <w:szCs w:val="16"/>
          <w:color w:val="auto"/>
        </w:rPr>
        <w:t>interest at variable rates and commercial paper is issued at</w:t>
      </w:r>
    </w:p>
    <w:p>
      <w:pPr>
        <w:spacing w:after="0" w:line="232" w:lineRule="auto"/>
        <w:rPr>
          <w:sz w:val="20"/>
          <w:szCs w:val="20"/>
          <w:color w:val="auto"/>
        </w:rPr>
      </w:pPr>
      <w:r>
        <w:rPr>
          <w:rFonts w:ascii="Times New Roman" w:cs="Times New Roman" w:eastAsia="Times New Roman" w:hAnsi="Times New Roman"/>
          <w:sz w:val="14"/>
          <w:szCs w:val="14"/>
          <w:color w:val="auto"/>
        </w:rPr>
        <w:t>prevailing interest rates, any increase in interest rates on debt</w:t>
      </w:r>
    </w:p>
    <w:p>
      <w:pPr>
        <w:spacing w:after="0" w:line="233" w:lineRule="auto"/>
        <w:rPr>
          <w:sz w:val="20"/>
          <w:szCs w:val="20"/>
          <w:color w:val="auto"/>
        </w:rPr>
      </w:pPr>
      <w:r>
        <w:rPr>
          <w:rFonts w:ascii="Times New Roman" w:cs="Times New Roman" w:eastAsia="Times New Roman" w:hAnsi="Times New Roman"/>
          <w:sz w:val="14"/>
          <w:szCs w:val="14"/>
          <w:color w:val="auto"/>
        </w:rPr>
        <w:t>that we have not fixed using interest rate hedges will increase</w:t>
      </w:r>
    </w:p>
    <w:p>
      <w:pPr>
        <w:spacing w:after="0" w:line="204" w:lineRule="auto"/>
        <w:rPr>
          <w:sz w:val="20"/>
          <w:szCs w:val="20"/>
          <w:color w:val="auto"/>
        </w:rPr>
      </w:pPr>
      <w:r>
        <w:rPr>
          <w:rFonts w:ascii="Times New Roman" w:cs="Times New Roman" w:eastAsia="Times New Roman" w:hAnsi="Times New Roman"/>
          <w:sz w:val="16"/>
          <w:szCs w:val="16"/>
          <w:color w:val="auto"/>
        </w:rPr>
        <w:t>our interest expense, reduce our cash flow or increase the</w:t>
      </w:r>
    </w:p>
    <w:p>
      <w:pPr>
        <w:spacing w:after="0" w:line="232" w:lineRule="auto"/>
        <w:rPr>
          <w:sz w:val="20"/>
          <w:szCs w:val="20"/>
          <w:color w:val="auto"/>
        </w:rPr>
      </w:pPr>
      <w:r>
        <w:rPr>
          <w:rFonts w:ascii="Times New Roman" w:cs="Times New Roman" w:eastAsia="Times New Roman" w:hAnsi="Times New Roman"/>
          <w:sz w:val="14"/>
          <w:szCs w:val="14"/>
          <w:color w:val="auto"/>
        </w:rPr>
        <w:t>cost of future borrowings or refinancings. Other than variable</w:t>
      </w:r>
    </w:p>
    <w:p>
      <w:pPr>
        <w:spacing w:after="0" w:line="204" w:lineRule="auto"/>
        <w:rPr>
          <w:sz w:val="20"/>
          <w:szCs w:val="20"/>
          <w:color w:val="auto"/>
        </w:rPr>
      </w:pPr>
      <w:r>
        <w:rPr>
          <w:rFonts w:ascii="Times New Roman" w:cs="Times New Roman" w:eastAsia="Times New Roman" w:hAnsi="Times New Roman"/>
          <w:sz w:val="16"/>
          <w:szCs w:val="16"/>
          <w:color w:val="auto"/>
        </w:rPr>
        <w:t>rate debt, we believe our business has relatively large fixed</w:t>
      </w:r>
    </w:p>
    <w:p>
      <w:pPr>
        <w:spacing w:after="0" w:line="203" w:lineRule="auto"/>
        <w:rPr>
          <w:sz w:val="20"/>
          <w:szCs w:val="20"/>
          <w:color w:val="auto"/>
        </w:rPr>
      </w:pPr>
      <w:r>
        <w:rPr>
          <w:rFonts w:ascii="Times New Roman" w:cs="Times New Roman" w:eastAsia="Times New Roman" w:hAnsi="Times New Roman"/>
          <w:sz w:val="16"/>
          <w:szCs w:val="16"/>
          <w:color w:val="auto"/>
        </w:rPr>
        <w:t>costs and low variable costs, which magnifies the impact of</w:t>
      </w:r>
    </w:p>
    <w:p>
      <w:pPr>
        <w:spacing w:after="0" w:line="204" w:lineRule="auto"/>
        <w:rPr>
          <w:sz w:val="20"/>
          <w:szCs w:val="20"/>
          <w:color w:val="auto"/>
        </w:rPr>
      </w:pPr>
      <w:r>
        <w:rPr>
          <w:rFonts w:ascii="Times New Roman" w:cs="Times New Roman" w:eastAsia="Times New Roman" w:hAnsi="Times New Roman"/>
          <w:sz w:val="16"/>
          <w:szCs w:val="16"/>
          <w:color w:val="auto"/>
        </w:rPr>
        <w:t>revenue fluctuations on our operating results. As a result, a</w:t>
      </w:r>
    </w:p>
    <w:p>
      <w:pPr>
        <w:spacing w:after="0" w:line="203" w:lineRule="auto"/>
        <w:rPr>
          <w:sz w:val="20"/>
          <w:szCs w:val="20"/>
          <w:color w:val="auto"/>
        </w:rPr>
      </w:pPr>
      <w:r>
        <w:rPr>
          <w:rFonts w:ascii="Times New Roman" w:cs="Times New Roman" w:eastAsia="Times New Roman" w:hAnsi="Times New Roman"/>
          <w:sz w:val="16"/>
          <w:szCs w:val="16"/>
          <w:color w:val="auto"/>
        </w:rPr>
        <w:t>decline in our revenue may lead to a relatively larger impact</w:t>
      </w:r>
    </w:p>
    <w:p>
      <w:pPr>
        <w:spacing w:after="0" w:line="204" w:lineRule="auto"/>
        <w:rPr>
          <w:sz w:val="20"/>
          <w:szCs w:val="20"/>
          <w:color w:val="auto"/>
        </w:rPr>
      </w:pPr>
      <w:r>
        <w:rPr>
          <w:rFonts w:ascii="Times New Roman" w:cs="Times New Roman" w:eastAsia="Times New Roman" w:hAnsi="Times New Roman"/>
          <w:sz w:val="16"/>
          <w:szCs w:val="16"/>
          <w:color w:val="auto"/>
        </w:rPr>
        <w:t>on operating results. A substantial portion of our operating</w:t>
      </w:r>
    </w:p>
    <w:p>
      <w:pPr>
        <w:spacing w:after="0" w:line="203" w:lineRule="auto"/>
        <w:rPr>
          <w:sz w:val="20"/>
          <w:szCs w:val="20"/>
          <w:color w:val="auto"/>
        </w:rPr>
      </w:pPr>
      <w:r>
        <w:rPr>
          <w:rFonts w:ascii="Times New Roman" w:cs="Times New Roman" w:eastAsia="Times New Roman" w:hAnsi="Times New Roman"/>
          <w:sz w:val="16"/>
          <w:szCs w:val="16"/>
          <w:color w:val="auto"/>
        </w:rPr>
        <w:t>expenses is related to personnel costs, regulation and</w:t>
      </w:r>
    </w:p>
    <w:p>
      <w:pPr>
        <w:spacing w:after="0" w:line="204" w:lineRule="auto"/>
        <w:rPr>
          <w:sz w:val="20"/>
          <w:szCs w:val="20"/>
          <w:color w:val="auto"/>
        </w:rPr>
      </w:pPr>
      <w:r>
        <w:rPr>
          <w:rFonts w:ascii="Times New Roman" w:cs="Times New Roman" w:eastAsia="Times New Roman" w:hAnsi="Times New Roman"/>
          <w:sz w:val="16"/>
          <w:szCs w:val="16"/>
          <w:color w:val="auto"/>
        </w:rPr>
        <w:t>corporate overhead, none of which can be adjusted quickly</w:t>
      </w:r>
    </w:p>
    <w:p>
      <w:pPr>
        <w:spacing w:after="0" w:line="204" w:lineRule="auto"/>
        <w:rPr>
          <w:sz w:val="20"/>
          <w:szCs w:val="20"/>
          <w:color w:val="auto"/>
        </w:rPr>
      </w:pPr>
      <w:r>
        <w:rPr>
          <w:rFonts w:ascii="Times New Roman" w:cs="Times New Roman" w:eastAsia="Times New Roman" w:hAnsi="Times New Roman"/>
          <w:sz w:val="16"/>
          <w:szCs w:val="16"/>
          <w:color w:val="auto"/>
        </w:rPr>
        <w:t>and some of which cannot be adjusted at all. Our operating</w:t>
      </w:r>
    </w:p>
    <w:p>
      <w:pPr>
        <w:spacing w:after="0" w:line="203" w:lineRule="auto"/>
        <w:rPr>
          <w:sz w:val="20"/>
          <w:szCs w:val="20"/>
          <w:color w:val="auto"/>
        </w:rPr>
      </w:pPr>
      <w:r>
        <w:rPr>
          <w:rFonts w:ascii="Times New Roman" w:cs="Times New Roman" w:eastAsia="Times New Roman" w:hAnsi="Times New Roman"/>
          <w:sz w:val="16"/>
          <w:szCs w:val="16"/>
          <w:color w:val="auto"/>
        </w:rPr>
        <w:t>expense levels are based on our expectations for future</w:t>
      </w:r>
    </w:p>
    <w:p>
      <w:pPr>
        <w:spacing w:after="0" w:line="204" w:lineRule="auto"/>
        <w:rPr>
          <w:sz w:val="20"/>
          <w:szCs w:val="20"/>
          <w:color w:val="auto"/>
        </w:rPr>
      </w:pPr>
      <w:r>
        <w:rPr>
          <w:rFonts w:ascii="Times New Roman" w:cs="Times New Roman" w:eastAsia="Times New Roman" w:hAnsi="Times New Roman"/>
          <w:sz w:val="16"/>
          <w:szCs w:val="16"/>
          <w:color w:val="auto"/>
        </w:rPr>
        <w:t>revenue. If actual revenue is below management’s</w:t>
      </w:r>
    </w:p>
    <w:p>
      <w:pPr>
        <w:spacing w:after="0" w:line="232" w:lineRule="auto"/>
        <w:rPr>
          <w:sz w:val="20"/>
          <w:szCs w:val="20"/>
          <w:color w:val="auto"/>
        </w:rPr>
      </w:pPr>
      <w:r>
        <w:rPr>
          <w:rFonts w:ascii="Times New Roman" w:cs="Times New Roman" w:eastAsia="Times New Roman" w:hAnsi="Times New Roman"/>
          <w:sz w:val="14"/>
          <w:szCs w:val="14"/>
          <w:color w:val="auto"/>
        </w:rPr>
        <w:t>expectations, or if our expenses increase before revenues do,</w:t>
      </w:r>
    </w:p>
    <w:p>
      <w:pPr>
        <w:spacing w:after="0" w:line="233" w:lineRule="auto"/>
        <w:rPr>
          <w:sz w:val="20"/>
          <w:szCs w:val="20"/>
          <w:color w:val="auto"/>
        </w:rPr>
      </w:pPr>
      <w:r>
        <w:rPr>
          <w:rFonts w:ascii="Times New Roman" w:cs="Times New Roman" w:eastAsia="Times New Roman" w:hAnsi="Times New Roman"/>
          <w:sz w:val="14"/>
          <w:szCs w:val="14"/>
          <w:color w:val="auto"/>
        </w:rPr>
        <w:t>both revenues less transaction-based expenses and operating</w:t>
      </w:r>
    </w:p>
    <w:p>
      <w:pPr>
        <w:spacing w:after="0" w:line="203" w:lineRule="auto"/>
        <w:rPr>
          <w:sz w:val="20"/>
          <w:szCs w:val="20"/>
          <w:color w:val="auto"/>
        </w:rPr>
      </w:pPr>
      <w:r>
        <w:rPr>
          <w:rFonts w:ascii="Times New Roman" w:cs="Times New Roman" w:eastAsia="Times New Roman" w:hAnsi="Times New Roman"/>
          <w:sz w:val="16"/>
          <w:szCs w:val="16"/>
          <w:color w:val="auto"/>
        </w:rPr>
        <w:t>results would be materially and adversely affected. Because</w:t>
      </w:r>
    </w:p>
    <w:p>
      <w:pPr>
        <w:spacing w:after="0" w:line="204" w:lineRule="auto"/>
        <w:rPr>
          <w:sz w:val="20"/>
          <w:szCs w:val="20"/>
          <w:color w:val="auto"/>
        </w:rPr>
      </w:pPr>
      <w:r>
        <w:rPr>
          <w:rFonts w:ascii="Times New Roman" w:cs="Times New Roman" w:eastAsia="Times New Roman" w:hAnsi="Times New Roman"/>
          <w:sz w:val="16"/>
          <w:szCs w:val="16"/>
          <w:color w:val="auto"/>
        </w:rPr>
        <w:t>of these factors, it is possible that our operating results or</w:t>
      </w:r>
    </w:p>
    <w:p>
      <w:pPr>
        <w:spacing w:after="0" w:line="204" w:lineRule="auto"/>
        <w:rPr>
          <w:sz w:val="20"/>
          <w:szCs w:val="20"/>
          <w:color w:val="auto"/>
        </w:rPr>
      </w:pPr>
      <w:r>
        <w:rPr>
          <w:rFonts w:ascii="Times New Roman" w:cs="Times New Roman" w:eastAsia="Times New Roman" w:hAnsi="Times New Roman"/>
          <w:sz w:val="16"/>
          <w:szCs w:val="16"/>
          <w:color w:val="auto"/>
        </w:rPr>
        <w:t>other operating metrics may fail to meet the expectations of</w:t>
      </w:r>
    </w:p>
    <w:p>
      <w:pPr>
        <w:spacing w:after="0" w:line="203" w:lineRule="auto"/>
        <w:rPr>
          <w:sz w:val="20"/>
          <w:szCs w:val="20"/>
          <w:color w:val="auto"/>
        </w:rPr>
      </w:pPr>
      <w:r>
        <w:rPr>
          <w:rFonts w:ascii="Times New Roman" w:cs="Times New Roman" w:eastAsia="Times New Roman" w:hAnsi="Times New Roman"/>
          <w:sz w:val="16"/>
          <w:szCs w:val="16"/>
          <w:color w:val="auto"/>
        </w:rPr>
        <w:t>stock market analysts and investors. If this happens, the</w:t>
      </w:r>
    </w:p>
    <w:p>
      <w:pPr>
        <w:spacing w:after="0" w:line="233" w:lineRule="auto"/>
        <w:rPr>
          <w:sz w:val="20"/>
          <w:szCs w:val="20"/>
          <w:color w:val="auto"/>
        </w:rPr>
      </w:pPr>
      <w:r>
        <w:rPr>
          <w:rFonts w:ascii="Times New Roman" w:cs="Times New Roman" w:eastAsia="Times New Roman" w:hAnsi="Times New Roman"/>
          <w:sz w:val="14"/>
          <w:szCs w:val="14"/>
          <w:color w:val="auto"/>
        </w:rPr>
        <w:t>market price of our common stock may be adversely affected.</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operational processes are subject to the risk of error,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which may result in financial loss or reputational damage.</w:t>
      </w:r>
    </w:p>
    <w:p>
      <w:pPr>
        <w:spacing w:after="0" w:line="203" w:lineRule="auto"/>
        <w:rPr>
          <w:sz w:val="20"/>
          <w:szCs w:val="20"/>
          <w:color w:val="auto"/>
        </w:rPr>
      </w:pPr>
      <w:r>
        <w:rPr>
          <w:rFonts w:ascii="Times New Roman" w:cs="Times New Roman" w:eastAsia="Times New Roman" w:hAnsi="Times New Roman"/>
          <w:sz w:val="16"/>
          <w:szCs w:val="16"/>
          <w:color w:val="auto"/>
        </w:rPr>
        <w:t>We have instituted extensive controls to reduce the risk of</w:t>
      </w:r>
    </w:p>
    <w:p>
      <w:pPr>
        <w:spacing w:after="0" w:line="204" w:lineRule="auto"/>
        <w:rPr>
          <w:sz w:val="20"/>
          <w:szCs w:val="20"/>
          <w:color w:val="auto"/>
        </w:rPr>
      </w:pPr>
      <w:r>
        <w:rPr>
          <w:rFonts w:ascii="Times New Roman" w:cs="Times New Roman" w:eastAsia="Times New Roman" w:hAnsi="Times New Roman"/>
          <w:sz w:val="16"/>
          <w:szCs w:val="16"/>
          <w:color w:val="auto"/>
        </w:rPr>
        <w:t>error inherent in our operations; however, such risk cannot</w:t>
      </w:r>
    </w:p>
    <w:p>
      <w:pPr>
        <w:spacing w:after="0" w:line="204" w:lineRule="auto"/>
        <w:rPr>
          <w:sz w:val="20"/>
          <w:szCs w:val="20"/>
          <w:color w:val="auto"/>
        </w:rPr>
      </w:pPr>
      <w:r>
        <w:rPr>
          <w:rFonts w:ascii="Times New Roman" w:cs="Times New Roman" w:eastAsia="Times New Roman" w:hAnsi="Times New Roman"/>
          <w:sz w:val="16"/>
          <w:szCs w:val="16"/>
          <w:color w:val="auto"/>
        </w:rPr>
        <w:t>completely be eliminated. Our businesses are highly</w:t>
      </w:r>
    </w:p>
    <w:p>
      <w:pPr>
        <w:spacing w:after="0" w:line="203" w:lineRule="auto"/>
        <w:rPr>
          <w:sz w:val="20"/>
          <w:szCs w:val="20"/>
          <w:color w:val="auto"/>
        </w:rPr>
      </w:pPr>
      <w:r>
        <w:rPr>
          <w:rFonts w:ascii="Times New Roman" w:cs="Times New Roman" w:eastAsia="Times New Roman" w:hAnsi="Times New Roman"/>
          <w:sz w:val="16"/>
          <w:szCs w:val="16"/>
          <w:color w:val="auto"/>
        </w:rPr>
        <w:t>dependent on our ability to process and report, on a daily</w:t>
      </w:r>
    </w:p>
    <w:p>
      <w:pPr>
        <w:spacing w:after="0" w:line="204" w:lineRule="auto"/>
        <w:rPr>
          <w:sz w:val="20"/>
          <w:szCs w:val="20"/>
          <w:color w:val="auto"/>
        </w:rPr>
      </w:pPr>
      <w:r>
        <w:rPr>
          <w:rFonts w:ascii="Times New Roman" w:cs="Times New Roman" w:eastAsia="Times New Roman" w:hAnsi="Times New Roman"/>
          <w:sz w:val="16"/>
          <w:szCs w:val="16"/>
          <w:color w:val="auto"/>
        </w:rPr>
        <w:t>basis, a large number of transactions across numerous and</w:t>
      </w:r>
    </w:p>
    <w:p>
      <w:pPr>
        <w:spacing w:after="0"/>
        <w:rPr>
          <w:sz w:val="20"/>
          <w:szCs w:val="20"/>
          <w:color w:val="auto"/>
        </w:rPr>
      </w:pPr>
      <w:r>
        <w:rPr>
          <w:rFonts w:ascii="Times New Roman" w:cs="Times New Roman" w:eastAsia="Times New Roman" w:hAnsi="Times New Roman"/>
          <w:sz w:val="16"/>
          <w:szCs w:val="16"/>
          <w:color w:val="auto"/>
        </w:rPr>
        <w:t>diverse markets. Some of our operations require complex</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Climate and weather related risk may have an adverse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impact on our business, while simultaneously, we face</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reputational, regulatory and financial risks related to our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ability to respond to diverse stakeholder expectations and</w:t>
      </w:r>
    </w:p>
    <w:p>
      <w:pP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requirements on climate, weather, and other sustainability-</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related topics.</w:t>
      </w:r>
    </w:p>
    <w:p>
      <w:pPr>
        <w:spacing w:after="0" w:line="232" w:lineRule="auto"/>
        <w:rPr>
          <w:sz w:val="20"/>
          <w:szCs w:val="20"/>
          <w:color w:val="auto"/>
        </w:rPr>
      </w:pPr>
      <w:r>
        <w:rPr>
          <w:rFonts w:ascii="Times New Roman" w:cs="Times New Roman" w:eastAsia="Times New Roman" w:hAnsi="Times New Roman"/>
          <w:sz w:val="14"/>
          <w:szCs w:val="14"/>
          <w:color w:val="auto"/>
        </w:rPr>
        <w:t>Climate related events, including extreme weather events and</w:t>
      </w:r>
    </w:p>
    <w:p>
      <w:pPr>
        <w:spacing w:after="0" w:line="204" w:lineRule="auto"/>
        <w:rPr>
          <w:sz w:val="20"/>
          <w:szCs w:val="20"/>
          <w:color w:val="auto"/>
        </w:rPr>
      </w:pPr>
      <w:r>
        <w:rPr>
          <w:rFonts w:ascii="Times New Roman" w:cs="Times New Roman" w:eastAsia="Times New Roman" w:hAnsi="Times New Roman"/>
          <w:sz w:val="16"/>
          <w:szCs w:val="16"/>
          <w:color w:val="auto"/>
        </w:rPr>
        <w:t>their impact on the critical infrastructure in the U.S. and</w:t>
      </w:r>
    </w:p>
    <w:p>
      <w:pPr>
        <w:spacing w:after="0" w:line="203" w:lineRule="auto"/>
        <w:rPr>
          <w:sz w:val="20"/>
          <w:szCs w:val="20"/>
          <w:color w:val="auto"/>
        </w:rPr>
      </w:pPr>
      <w:r>
        <w:rPr>
          <w:rFonts w:ascii="Times New Roman" w:cs="Times New Roman" w:eastAsia="Times New Roman" w:hAnsi="Times New Roman"/>
          <w:sz w:val="16"/>
          <w:szCs w:val="16"/>
          <w:color w:val="auto"/>
        </w:rPr>
        <w:t>elsewhere, have the potential to disrupt our business or the</w:t>
      </w:r>
    </w:p>
    <w:p>
      <w:pPr>
        <w:spacing w:after="0" w:line="204" w:lineRule="auto"/>
        <w:rPr>
          <w:sz w:val="20"/>
          <w:szCs w:val="20"/>
          <w:color w:val="auto"/>
        </w:rPr>
      </w:pPr>
      <w:r>
        <w:rPr>
          <w:rFonts w:ascii="Times New Roman" w:cs="Times New Roman" w:eastAsia="Times New Roman" w:hAnsi="Times New Roman"/>
          <w:sz w:val="16"/>
          <w:szCs w:val="16"/>
          <w:color w:val="auto"/>
        </w:rPr>
        <w:t>business of our clients and/or suppliers.</w:t>
      </w:r>
    </w:p>
    <w:p>
      <w:pPr>
        <w:spacing w:after="0" w:line="233" w:lineRule="auto"/>
        <w:rPr>
          <w:sz w:val="20"/>
          <w:szCs w:val="20"/>
          <w:color w:val="auto"/>
        </w:rPr>
      </w:pPr>
      <w:r>
        <w:rPr>
          <w:rFonts w:ascii="Times New Roman" w:cs="Times New Roman" w:eastAsia="Times New Roman" w:hAnsi="Times New Roman"/>
          <w:sz w:val="14"/>
          <w:szCs w:val="14"/>
          <w:color w:val="auto"/>
        </w:rPr>
        <w:t>Additionally, there is an increased focus from our regulators,</w:t>
      </w:r>
    </w:p>
    <w:p>
      <w:pPr>
        <w:spacing w:after="0" w:line="203" w:lineRule="auto"/>
        <w:rPr>
          <w:sz w:val="20"/>
          <w:szCs w:val="20"/>
          <w:color w:val="auto"/>
        </w:rPr>
      </w:pPr>
      <w:r>
        <w:rPr>
          <w:rFonts w:ascii="Times New Roman" w:cs="Times New Roman" w:eastAsia="Times New Roman" w:hAnsi="Times New Roman"/>
          <w:sz w:val="16"/>
          <w:szCs w:val="16"/>
          <w:color w:val="auto"/>
        </w:rPr>
        <w:t>investors, clients, employees, and other stakeholders</w:t>
      </w:r>
    </w:p>
    <w:p>
      <w:pPr>
        <w:spacing w:after="0" w:line="204" w:lineRule="auto"/>
        <w:rPr>
          <w:sz w:val="20"/>
          <w:szCs w:val="20"/>
          <w:color w:val="auto"/>
        </w:rPr>
      </w:pPr>
      <w:r>
        <w:rPr>
          <w:rFonts w:ascii="Times New Roman" w:cs="Times New Roman" w:eastAsia="Times New Roman" w:hAnsi="Times New Roman"/>
          <w:sz w:val="16"/>
          <w:szCs w:val="16"/>
          <w:color w:val="auto"/>
        </w:rPr>
        <w:t>concerning corporate citizenship, greenhouse gas emissions</w:t>
      </w:r>
    </w:p>
    <w:p>
      <w:pPr>
        <w:spacing w:after="0" w:line="203" w:lineRule="auto"/>
        <w:rPr>
          <w:sz w:val="20"/>
          <w:szCs w:val="20"/>
          <w:color w:val="auto"/>
        </w:rPr>
      </w:pPr>
      <w:r>
        <w:rPr>
          <w:rFonts w:ascii="Times New Roman" w:cs="Times New Roman" w:eastAsia="Times New Roman" w:hAnsi="Times New Roman"/>
          <w:sz w:val="16"/>
          <w:szCs w:val="16"/>
          <w:color w:val="auto"/>
        </w:rPr>
        <w:t>reduction and sustainability matters, including proposed or</w:t>
      </w:r>
    </w:p>
    <w:p>
      <w:pPr>
        <w:spacing w:after="0" w:line="233" w:lineRule="auto"/>
        <w:rPr>
          <w:sz w:val="20"/>
          <w:szCs w:val="20"/>
          <w:color w:val="auto"/>
        </w:rPr>
      </w:pPr>
      <w:r>
        <w:rPr>
          <w:rFonts w:ascii="Times New Roman" w:cs="Times New Roman" w:eastAsia="Times New Roman" w:hAnsi="Times New Roman"/>
          <w:sz w:val="14"/>
          <w:szCs w:val="14"/>
          <w:color w:val="auto"/>
        </w:rPr>
        <w:t>adopted laws, regulations or policies on sustainability-related</w:t>
      </w:r>
    </w:p>
    <w:p>
      <w:pPr>
        <w:spacing w:after="0" w:line="233" w:lineRule="auto"/>
        <w:rPr>
          <w:sz w:val="20"/>
          <w:szCs w:val="20"/>
          <w:color w:val="auto"/>
        </w:rPr>
      </w:pPr>
      <w:r>
        <w:rPr>
          <w:rFonts w:ascii="Times New Roman" w:cs="Times New Roman" w:eastAsia="Times New Roman" w:hAnsi="Times New Roman"/>
          <w:sz w:val="14"/>
          <w:szCs w:val="14"/>
          <w:color w:val="auto"/>
        </w:rPr>
        <w:t>topics that diverge from, or potentially conflict with, laws in</w:t>
      </w:r>
    </w:p>
    <w:p>
      <w:pPr>
        <w:spacing w:after="0" w:line="203" w:lineRule="auto"/>
        <w:rPr>
          <w:sz w:val="20"/>
          <w:szCs w:val="20"/>
          <w:color w:val="auto"/>
        </w:rPr>
      </w:pPr>
      <w:r>
        <w:rPr>
          <w:rFonts w:ascii="Times New Roman" w:cs="Times New Roman" w:eastAsia="Times New Roman" w:hAnsi="Times New Roman"/>
          <w:sz w:val="16"/>
          <w:szCs w:val="16"/>
          <w:color w:val="auto"/>
        </w:rPr>
        <w:t>other jurisdictions in which we operate. For example, new</w:t>
      </w:r>
    </w:p>
    <w:p>
      <w:pPr>
        <w:spacing w:after="0" w:line="233" w:lineRule="auto"/>
        <w:rPr>
          <w:sz w:val="20"/>
          <w:szCs w:val="20"/>
          <w:color w:val="auto"/>
        </w:rPr>
      </w:pPr>
      <w:r>
        <w:rPr>
          <w:rFonts w:ascii="Times New Roman" w:cs="Times New Roman" w:eastAsia="Times New Roman" w:hAnsi="Times New Roman"/>
          <w:sz w:val="14"/>
          <w:szCs w:val="14"/>
          <w:color w:val="auto"/>
        </w:rPr>
        <w:t>laws, regulations and policies are being developed in Europe</w:t>
      </w:r>
    </w:p>
    <w:p>
      <w:pPr>
        <w:spacing w:after="0" w:line="203" w:lineRule="auto"/>
        <w:rPr>
          <w:sz w:val="20"/>
          <w:szCs w:val="20"/>
          <w:color w:val="auto"/>
        </w:rPr>
      </w:pPr>
      <w:r>
        <w:rPr>
          <w:rFonts w:ascii="Times New Roman" w:cs="Times New Roman" w:eastAsia="Times New Roman" w:hAnsi="Times New Roman"/>
          <w:sz w:val="16"/>
          <w:szCs w:val="16"/>
          <w:color w:val="auto"/>
        </w:rPr>
        <w:t>and elsewhere globally that may require us to comply with</w:t>
      </w:r>
    </w:p>
    <w:p>
      <w:pPr>
        <w:spacing w:after="0" w:line="204" w:lineRule="auto"/>
        <w:rPr>
          <w:sz w:val="20"/>
          <w:szCs w:val="20"/>
          <w:color w:val="auto"/>
        </w:rPr>
      </w:pPr>
      <w:r>
        <w:rPr>
          <w:rFonts w:ascii="Times New Roman" w:cs="Times New Roman" w:eastAsia="Times New Roman" w:hAnsi="Times New Roman"/>
          <w:sz w:val="16"/>
          <w:szCs w:val="16"/>
          <w:color w:val="auto"/>
        </w:rPr>
        <w:t>specific, target-driven frameworks, disclosure and other</w:t>
      </w:r>
    </w:p>
    <w:p>
      <w:pPr>
        <w:spacing w:after="0" w:line="204" w:lineRule="auto"/>
        <w:rPr>
          <w:sz w:val="20"/>
          <w:szCs w:val="20"/>
          <w:color w:val="auto"/>
        </w:rPr>
      </w:pPr>
      <w:r>
        <w:rPr>
          <w:rFonts w:ascii="Times New Roman" w:cs="Times New Roman" w:eastAsia="Times New Roman" w:hAnsi="Times New Roman"/>
          <w:sz w:val="16"/>
          <w:szCs w:val="16"/>
          <w:color w:val="auto"/>
        </w:rPr>
        <w:t>requirements in multiple jurisdictions. Changing legal</w:t>
      </w:r>
    </w:p>
    <w:p>
      <w:pPr>
        <w:spacing w:after="0" w:line="203" w:lineRule="auto"/>
        <w:rPr>
          <w:sz w:val="20"/>
          <w:szCs w:val="20"/>
          <w:color w:val="auto"/>
        </w:rPr>
      </w:pPr>
      <w:r>
        <w:rPr>
          <w:rFonts w:ascii="Times New Roman" w:cs="Times New Roman" w:eastAsia="Times New Roman" w:hAnsi="Times New Roman"/>
          <w:sz w:val="16"/>
          <w:szCs w:val="16"/>
          <w:color w:val="auto"/>
        </w:rPr>
        <w:t>requirements, policies and stakeholder expectations have</w:t>
      </w:r>
    </w:p>
    <w:p>
      <w:pPr>
        <w:spacing w:after="0" w:line="204" w:lineRule="auto"/>
        <w:rPr>
          <w:sz w:val="20"/>
          <w:szCs w:val="20"/>
          <w:color w:val="auto"/>
        </w:rPr>
      </w:pPr>
      <w:r>
        <w:rPr>
          <w:rFonts w:ascii="Times New Roman" w:cs="Times New Roman" w:eastAsia="Times New Roman" w:hAnsi="Times New Roman"/>
          <w:sz w:val="16"/>
          <w:szCs w:val="16"/>
          <w:color w:val="auto"/>
        </w:rPr>
        <w:t>resulted in, and are likely to continue to result in, increased</w:t>
      </w:r>
    </w:p>
    <w:p>
      <w:pPr>
        <w:spacing w:after="0" w:line="203" w:lineRule="auto"/>
        <w:rPr>
          <w:sz w:val="20"/>
          <w:szCs w:val="20"/>
          <w:color w:val="auto"/>
        </w:rPr>
      </w:pPr>
      <w:r>
        <w:rPr>
          <w:rFonts w:ascii="Times New Roman" w:cs="Times New Roman" w:eastAsia="Times New Roman" w:hAnsi="Times New Roman"/>
          <w:sz w:val="16"/>
          <w:szCs w:val="16"/>
          <w:color w:val="auto"/>
        </w:rPr>
        <w:t>general and administrative expenses and management time</w:t>
      </w:r>
    </w:p>
    <w:p>
      <w:pPr>
        <w:spacing w:after="0" w:line="204" w:lineRule="auto"/>
        <w:rPr>
          <w:sz w:val="20"/>
          <w:szCs w:val="20"/>
          <w:color w:val="auto"/>
        </w:rPr>
      </w:pPr>
      <w:r>
        <w:rPr>
          <w:rFonts w:ascii="Times New Roman" w:cs="Times New Roman" w:eastAsia="Times New Roman" w:hAnsi="Times New Roman"/>
          <w:sz w:val="16"/>
          <w:szCs w:val="16"/>
          <w:color w:val="auto"/>
        </w:rPr>
        <w:t>and attention to comply with, or meet, those regulations and</w:t>
      </w:r>
    </w:p>
    <w:p>
      <w:pPr>
        <w:spacing w:after="0" w:line="203" w:lineRule="auto"/>
        <w:rPr>
          <w:sz w:val="20"/>
          <w:szCs w:val="20"/>
          <w:color w:val="auto"/>
        </w:rPr>
      </w:pPr>
      <w:r>
        <w:rPr>
          <w:rFonts w:ascii="Times New Roman" w:cs="Times New Roman" w:eastAsia="Times New Roman" w:hAnsi="Times New Roman"/>
          <w:sz w:val="16"/>
          <w:szCs w:val="16"/>
          <w:color w:val="auto"/>
        </w:rPr>
        <w:t>expectations, which could result in fines or other penalties</w:t>
      </w:r>
    </w:p>
    <w:p>
      <w:pPr>
        <w:spacing w:after="0" w:line="204" w:lineRule="auto"/>
        <w:rPr>
          <w:sz w:val="20"/>
          <w:szCs w:val="20"/>
          <w:color w:val="auto"/>
        </w:rPr>
      </w:pPr>
      <w:r>
        <w:rPr>
          <w:rFonts w:ascii="Times New Roman" w:cs="Times New Roman" w:eastAsia="Times New Roman" w:hAnsi="Times New Roman"/>
          <w:sz w:val="16"/>
          <w:szCs w:val="16"/>
          <w:color w:val="auto"/>
        </w:rPr>
        <w:t>and adversely affect our business, reputation, financial</w:t>
      </w:r>
    </w:p>
    <w:p>
      <w:pPr>
        <w:spacing w:after="0"/>
        <w:rPr>
          <w:sz w:val="20"/>
          <w:szCs w:val="20"/>
          <w:color w:val="auto"/>
        </w:rPr>
      </w:pPr>
      <w:r>
        <w:rPr>
          <w:rFonts w:ascii="Times New Roman" w:cs="Times New Roman" w:eastAsia="Times New Roman" w:hAnsi="Times New Roman"/>
          <w:sz w:val="16"/>
          <w:szCs w:val="16"/>
          <w:color w:val="auto"/>
        </w:rPr>
        <w:t>condition and operating results.</w:t>
      </w:r>
    </w:p>
    <w:p>
      <w:pPr>
        <w:sectPr>
          <w:pgSz w:w="11900" w:h="16840" w:orient="portrait"/>
          <w:cols w:equalWidth="0" w:num="1">
            <w:col w:w="9400"/>
          </w:cols>
          <w:pgMar w:left="1060" w:top="547" w:right="1440" w:bottom="8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businesses operate in various international markets,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which are subject to political, economic and social</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uncertainties.</w:t>
      </w:r>
    </w:p>
    <w:p>
      <w:pPr>
        <w:spacing w:after="0" w:line="203" w:lineRule="auto"/>
        <w:rPr>
          <w:sz w:val="20"/>
          <w:szCs w:val="20"/>
          <w:color w:val="auto"/>
        </w:rPr>
      </w:pPr>
      <w:r>
        <w:rPr>
          <w:rFonts w:ascii="Times New Roman" w:cs="Times New Roman" w:eastAsia="Times New Roman" w:hAnsi="Times New Roman"/>
          <w:sz w:val="16"/>
          <w:szCs w:val="16"/>
          <w:color w:val="auto"/>
        </w:rPr>
        <w:t>Our businesses operate in various international markets,</w:t>
      </w:r>
    </w:p>
    <w:p>
      <w:pPr>
        <w:spacing w:after="0" w:line="233" w:lineRule="auto"/>
        <w:rPr>
          <w:sz w:val="20"/>
          <w:szCs w:val="20"/>
          <w:color w:val="auto"/>
        </w:rPr>
      </w:pPr>
      <w:r>
        <w:rPr>
          <w:rFonts w:ascii="Times New Roman" w:cs="Times New Roman" w:eastAsia="Times New Roman" w:hAnsi="Times New Roman"/>
          <w:sz w:val="14"/>
          <w:szCs w:val="14"/>
          <w:color w:val="auto"/>
        </w:rPr>
        <w:t>including but not limited to Northern Europe, the Baltics, the</w:t>
      </w:r>
    </w:p>
    <w:p>
      <w:pPr>
        <w:spacing w:after="0" w:line="203" w:lineRule="auto"/>
        <w:rPr>
          <w:sz w:val="20"/>
          <w:szCs w:val="20"/>
          <w:color w:val="auto"/>
        </w:rPr>
      </w:pPr>
      <w:r>
        <w:rPr>
          <w:rFonts w:ascii="Times New Roman" w:cs="Times New Roman" w:eastAsia="Times New Roman" w:hAnsi="Times New Roman"/>
          <w:sz w:val="16"/>
          <w:szCs w:val="16"/>
          <w:color w:val="auto"/>
        </w:rPr>
        <w:t>Middle East, Latin America, Africa and Asia, and our</w:t>
      </w:r>
    </w:p>
    <w:p>
      <w:pPr>
        <w:spacing w:after="0" w:line="233" w:lineRule="auto"/>
        <w:rPr>
          <w:sz w:val="20"/>
          <w:szCs w:val="20"/>
          <w:color w:val="auto"/>
        </w:rPr>
      </w:pPr>
      <w:r>
        <w:rPr>
          <w:rFonts w:ascii="Times New Roman" w:cs="Times New Roman" w:eastAsia="Times New Roman" w:hAnsi="Times New Roman"/>
          <w:sz w:val="14"/>
          <w:szCs w:val="14"/>
          <w:color w:val="auto"/>
        </w:rPr>
        <w:t>operations are subject to the risks inherent in the international</w:t>
      </w:r>
    </w:p>
    <w:p>
      <w:pPr>
        <w:spacing w:after="0" w:line="204" w:lineRule="auto"/>
        <w:rPr>
          <w:sz w:val="20"/>
          <w:szCs w:val="20"/>
          <w:color w:val="auto"/>
        </w:rPr>
      </w:pPr>
      <w:r>
        <w:rPr>
          <w:rFonts w:ascii="Times New Roman" w:cs="Times New Roman" w:eastAsia="Times New Roman" w:hAnsi="Times New Roman"/>
          <w:sz w:val="16"/>
          <w:szCs w:val="16"/>
          <w:color w:val="auto"/>
        </w:rPr>
        <w:t>economy. Political, economic or social events or</w:t>
      </w:r>
    </w:p>
    <w:p>
      <w:pPr>
        <w:spacing w:after="0" w:line="232" w:lineRule="auto"/>
        <w:rPr>
          <w:sz w:val="20"/>
          <w:szCs w:val="20"/>
          <w:color w:val="auto"/>
        </w:rPr>
      </w:pPr>
      <w:r>
        <w:rPr>
          <w:rFonts w:ascii="Times New Roman" w:cs="Times New Roman" w:eastAsia="Times New Roman" w:hAnsi="Times New Roman"/>
          <w:sz w:val="14"/>
          <w:szCs w:val="14"/>
          <w:color w:val="auto"/>
        </w:rPr>
        <w:t>developments in one or more of our non-U.S. locations or in</w:t>
      </w:r>
    </w:p>
    <w:p>
      <w:pPr>
        <w:spacing w:after="0" w:line="204" w:lineRule="auto"/>
        <w:rPr>
          <w:sz w:val="20"/>
          <w:szCs w:val="20"/>
          <w:color w:val="auto"/>
        </w:rPr>
      </w:pPr>
      <w:r>
        <w:rPr>
          <w:rFonts w:ascii="Times New Roman" w:cs="Times New Roman" w:eastAsia="Times New Roman" w:hAnsi="Times New Roman"/>
          <w:sz w:val="16"/>
          <w:szCs w:val="16"/>
          <w:color w:val="auto"/>
        </w:rPr>
        <w:t>the U.S. arising from such international developments, such</w:t>
      </w:r>
    </w:p>
    <w:p>
      <w:pPr>
        <w:spacing w:after="0" w:line="203" w:lineRule="auto"/>
        <w:rPr>
          <w:sz w:val="20"/>
          <w:szCs w:val="20"/>
          <w:color w:val="auto"/>
        </w:rPr>
      </w:pPr>
      <w:r>
        <w:rPr>
          <w:rFonts w:ascii="Times New Roman" w:cs="Times New Roman" w:eastAsia="Times New Roman" w:hAnsi="Times New Roman"/>
          <w:sz w:val="16"/>
          <w:szCs w:val="16"/>
          <w:color w:val="auto"/>
        </w:rPr>
        <w:t>as limitations imposed on securing new listings on our</w:t>
      </w:r>
    </w:p>
    <w:p>
      <w:pPr>
        <w:spacing w:after="0" w:line="204" w:lineRule="auto"/>
        <w:rPr>
          <w:sz w:val="20"/>
          <w:szCs w:val="20"/>
          <w:color w:val="auto"/>
        </w:rPr>
      </w:pPr>
      <w:r>
        <w:rPr>
          <w:rFonts w:ascii="Times New Roman" w:cs="Times New Roman" w:eastAsia="Times New Roman" w:hAnsi="Times New Roman"/>
          <w:sz w:val="16"/>
          <w:szCs w:val="16"/>
          <w:color w:val="auto"/>
        </w:rPr>
        <w:t>exchanges, constraints on data sharing with a U.S. based</w:t>
      </w:r>
    </w:p>
    <w:p>
      <w:pPr>
        <w:spacing w:after="0" w:line="232" w:lineRule="auto"/>
        <w:rPr>
          <w:sz w:val="20"/>
          <w:szCs w:val="20"/>
          <w:color w:val="auto"/>
        </w:rPr>
      </w:pPr>
      <w:r>
        <w:rPr>
          <w:rFonts w:ascii="Times New Roman" w:cs="Times New Roman" w:eastAsia="Times New Roman" w:hAnsi="Times New Roman"/>
          <w:sz w:val="14"/>
          <w:szCs w:val="14"/>
          <w:color w:val="auto"/>
        </w:rPr>
        <w:t>company, a reduced interest in providing operational support</w:t>
      </w:r>
    </w:p>
    <w:p>
      <w:pPr>
        <w:spacing w:after="0" w:line="204" w:lineRule="auto"/>
        <w:rPr>
          <w:sz w:val="20"/>
          <w:szCs w:val="20"/>
          <w:color w:val="auto"/>
        </w:rPr>
      </w:pPr>
      <w:r>
        <w:rPr>
          <w:rFonts w:ascii="Times New Roman" w:cs="Times New Roman" w:eastAsia="Times New Roman" w:hAnsi="Times New Roman"/>
          <w:sz w:val="16"/>
          <w:szCs w:val="16"/>
          <w:color w:val="auto"/>
        </w:rPr>
        <w:t>between certain regions and the U.S., or restrictions on</w:t>
      </w:r>
    </w:p>
    <w:p>
      <w:pPr>
        <w:spacing w:after="0" w:line="203" w:lineRule="auto"/>
        <w:rPr>
          <w:sz w:val="20"/>
          <w:szCs w:val="20"/>
          <w:color w:val="auto"/>
        </w:rPr>
      </w:pPr>
      <w:r>
        <w:rPr>
          <w:rFonts w:ascii="Times New Roman" w:cs="Times New Roman" w:eastAsia="Times New Roman" w:hAnsi="Times New Roman"/>
          <w:sz w:val="16"/>
          <w:szCs w:val="16"/>
          <w:color w:val="auto"/>
        </w:rPr>
        <w:t>entering into transactions with new or existing customers,</w:t>
      </w:r>
    </w:p>
    <w:p>
      <w:pPr>
        <w:spacing w:after="0" w:line="204" w:lineRule="auto"/>
        <w:rPr>
          <w:sz w:val="20"/>
          <w:szCs w:val="20"/>
          <w:color w:val="auto"/>
        </w:rPr>
      </w:pPr>
      <w:r>
        <w:rPr>
          <w:rFonts w:ascii="Times New Roman" w:cs="Times New Roman" w:eastAsia="Times New Roman" w:hAnsi="Times New Roman"/>
          <w:sz w:val="16"/>
          <w:szCs w:val="16"/>
          <w:color w:val="auto"/>
        </w:rPr>
        <w:t>could adversely affect our sales, operations and financial</w:t>
      </w:r>
    </w:p>
    <w:p>
      <w:pPr>
        <w:spacing w:after="0" w:line="204" w:lineRule="auto"/>
        <w:rPr>
          <w:sz w:val="20"/>
          <w:szCs w:val="20"/>
          <w:color w:val="auto"/>
        </w:rPr>
      </w:pPr>
      <w:r>
        <w:rPr>
          <w:rFonts w:ascii="Times New Roman" w:cs="Times New Roman" w:eastAsia="Times New Roman" w:hAnsi="Times New Roman"/>
          <w:sz w:val="16"/>
          <w:szCs w:val="16"/>
          <w:color w:val="auto"/>
        </w:rPr>
        <w:t>results. We have operations in locations that may be subject</w:t>
      </w:r>
    </w:p>
    <w:p>
      <w:pPr>
        <w:spacing w:after="0" w:line="203" w:lineRule="auto"/>
        <w:rPr>
          <w:sz w:val="20"/>
          <w:szCs w:val="20"/>
          <w:color w:val="auto"/>
        </w:rPr>
      </w:pPr>
      <w:r>
        <w:rPr>
          <w:rFonts w:ascii="Times New Roman" w:cs="Times New Roman" w:eastAsia="Times New Roman" w:hAnsi="Times New Roman"/>
          <w:sz w:val="16"/>
          <w:szCs w:val="16"/>
          <w:color w:val="auto"/>
        </w:rPr>
        <w:t>to greater political, economic and social uncertainties than</w:t>
      </w:r>
    </w:p>
    <w:p>
      <w:pPr>
        <w:spacing w:after="0" w:line="233" w:lineRule="auto"/>
        <w:rPr>
          <w:sz w:val="20"/>
          <w:szCs w:val="20"/>
          <w:color w:val="auto"/>
        </w:rPr>
      </w:pPr>
      <w:r>
        <w:rPr>
          <w:rFonts w:ascii="Times New Roman" w:cs="Times New Roman" w:eastAsia="Times New Roman" w:hAnsi="Times New Roman"/>
          <w:sz w:val="14"/>
          <w:szCs w:val="14"/>
          <w:color w:val="auto"/>
        </w:rPr>
        <w:t>countries with more developed institutional structures, which</w:t>
      </w:r>
    </w:p>
    <w:p>
      <w:pPr>
        <w:spacing w:after="0" w:line="203" w:lineRule="auto"/>
        <w:rPr>
          <w:sz w:val="20"/>
          <w:szCs w:val="20"/>
          <w:color w:val="auto"/>
        </w:rPr>
      </w:pPr>
      <w:r>
        <w:rPr>
          <w:rFonts w:ascii="Times New Roman" w:cs="Times New Roman" w:eastAsia="Times New Roman" w:hAnsi="Times New Roman"/>
          <w:sz w:val="16"/>
          <w:szCs w:val="16"/>
          <w:color w:val="auto"/>
        </w:rPr>
        <w:t>may increase our operational risk.</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Unforeseen or catastrophic events could interrupt our</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critical business functions. In addition, our U.S. and</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European businesses are heavily concentrated in particular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areas and may be adversely affected by events in those</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areas.</w:t>
      </w:r>
    </w:p>
    <w:p>
      <w:pPr>
        <w:spacing w:after="0" w:line="233" w:lineRule="auto"/>
        <w:rPr>
          <w:sz w:val="20"/>
          <w:szCs w:val="20"/>
          <w:color w:val="auto"/>
        </w:rPr>
      </w:pPr>
      <w:r>
        <w:rPr>
          <w:rFonts w:ascii="Times New Roman" w:cs="Times New Roman" w:eastAsia="Times New Roman" w:hAnsi="Times New Roman"/>
          <w:sz w:val="14"/>
          <w:szCs w:val="14"/>
          <w:color w:val="auto"/>
        </w:rPr>
        <w:t>We may incur losses as a result of unforeseen or catastrophic</w:t>
      </w:r>
    </w:p>
    <w:p>
      <w:pPr>
        <w:spacing w:after="0" w:line="233" w:lineRule="auto"/>
        <w:rPr>
          <w:sz w:val="20"/>
          <w:szCs w:val="20"/>
          <w:color w:val="auto"/>
        </w:rPr>
      </w:pPr>
      <w:r>
        <w:rPr>
          <w:rFonts w:ascii="Times New Roman" w:cs="Times New Roman" w:eastAsia="Times New Roman" w:hAnsi="Times New Roman"/>
          <w:sz w:val="14"/>
          <w:szCs w:val="14"/>
          <w:color w:val="auto"/>
        </w:rPr>
        <w:t>events, such as terrorist attacks, natural disasters, pandemics,</w:t>
      </w:r>
    </w:p>
    <w:p>
      <w:pPr>
        <w:spacing w:after="0" w:line="203" w:lineRule="auto"/>
        <w:rPr>
          <w:sz w:val="20"/>
          <w:szCs w:val="20"/>
          <w:color w:val="auto"/>
        </w:rPr>
      </w:pPr>
      <w:r>
        <w:rPr>
          <w:rFonts w:ascii="Times New Roman" w:cs="Times New Roman" w:eastAsia="Times New Roman" w:hAnsi="Times New Roman"/>
          <w:sz w:val="16"/>
          <w:szCs w:val="16"/>
          <w:color w:val="auto"/>
        </w:rPr>
        <w:t>extreme weather, fire, power loss, telecommunications</w:t>
      </w:r>
    </w:p>
    <w:p>
      <w:pPr>
        <w:spacing w:after="0" w:line="204" w:lineRule="auto"/>
        <w:rPr>
          <w:sz w:val="20"/>
          <w:szCs w:val="20"/>
          <w:color w:val="auto"/>
        </w:rPr>
      </w:pPr>
      <w:r>
        <w:rPr>
          <w:rFonts w:ascii="Times New Roman" w:cs="Times New Roman" w:eastAsia="Times New Roman" w:hAnsi="Times New Roman"/>
          <w:sz w:val="16"/>
          <w:szCs w:val="16"/>
          <w:color w:val="auto"/>
        </w:rPr>
        <w:t>failures, human error, theft, sabotage, vandalism, and other</w:t>
      </w:r>
    </w:p>
    <w:p>
      <w:pPr>
        <w:spacing w:after="0" w:line="203" w:lineRule="auto"/>
        <w:rPr>
          <w:sz w:val="20"/>
          <w:szCs w:val="20"/>
          <w:color w:val="auto"/>
        </w:rPr>
      </w:pPr>
      <w:r>
        <w:rPr>
          <w:rFonts w:ascii="Times New Roman" w:cs="Times New Roman" w:eastAsia="Times New Roman" w:hAnsi="Times New Roman"/>
          <w:sz w:val="16"/>
          <w:szCs w:val="16"/>
          <w:color w:val="auto"/>
        </w:rPr>
        <w:t>crime. Given our position in the global capital markets and</w:t>
      </w:r>
    </w:p>
    <w:p>
      <w:pPr>
        <w:spacing w:after="0" w:line="233" w:lineRule="auto"/>
        <w:rPr>
          <w:sz w:val="20"/>
          <w:szCs w:val="20"/>
          <w:color w:val="auto"/>
        </w:rPr>
      </w:pPr>
      <w:r>
        <w:rPr>
          <w:rFonts w:ascii="Times New Roman" w:cs="Times New Roman" w:eastAsia="Times New Roman" w:hAnsi="Times New Roman"/>
          <w:sz w:val="14"/>
          <w:szCs w:val="14"/>
          <w:color w:val="auto"/>
        </w:rPr>
        <w:t>our brand, we may be more likely than other companies to be</w:t>
      </w:r>
    </w:p>
    <w:p>
      <w:pPr>
        <w:spacing w:after="0" w:line="233" w:lineRule="auto"/>
        <w:rPr>
          <w:sz w:val="20"/>
          <w:szCs w:val="20"/>
          <w:color w:val="auto"/>
        </w:rPr>
      </w:pPr>
      <w:r>
        <w:rPr>
          <w:rFonts w:ascii="Times New Roman" w:cs="Times New Roman" w:eastAsia="Times New Roman" w:hAnsi="Times New Roman"/>
          <w:sz w:val="14"/>
          <w:szCs w:val="14"/>
          <w:color w:val="auto"/>
        </w:rPr>
        <w:t>a target for malicious disruption activities or physical attacks</w:t>
      </w:r>
    </w:p>
    <w:p>
      <w:pPr>
        <w:spacing w:after="0" w:line="203" w:lineRule="auto"/>
        <w:rPr>
          <w:sz w:val="20"/>
          <w:szCs w:val="20"/>
          <w:color w:val="auto"/>
        </w:rPr>
      </w:pPr>
      <w:r>
        <w:rPr>
          <w:rFonts w:ascii="Times New Roman" w:cs="Times New Roman" w:eastAsia="Times New Roman" w:hAnsi="Times New Roman"/>
          <w:sz w:val="16"/>
          <w:szCs w:val="16"/>
          <w:color w:val="auto"/>
        </w:rPr>
        <w:t>on our senior leadership team and/or our office locations.</w:t>
      </w:r>
    </w:p>
    <w:p>
      <w:pPr>
        <w:spacing w:after="0" w:line="233" w:lineRule="auto"/>
        <w:rPr>
          <w:sz w:val="20"/>
          <w:szCs w:val="20"/>
          <w:color w:val="auto"/>
        </w:rPr>
      </w:pPr>
      <w:r>
        <w:rPr>
          <w:rFonts w:ascii="Times New Roman" w:cs="Times New Roman" w:eastAsia="Times New Roman" w:hAnsi="Times New Roman"/>
          <w:sz w:val="14"/>
          <w:szCs w:val="14"/>
          <w:color w:val="auto"/>
        </w:rPr>
        <w:t>In addition, our business operations are heavily concentrated</w:t>
      </w:r>
    </w:p>
    <w:p>
      <w:pPr>
        <w:spacing w:after="0" w:line="203" w:lineRule="auto"/>
        <w:rPr>
          <w:sz w:val="20"/>
          <w:szCs w:val="20"/>
          <w:color w:val="auto"/>
        </w:rPr>
      </w:pPr>
      <w:r>
        <w:rPr>
          <w:rFonts w:ascii="Times New Roman" w:cs="Times New Roman" w:eastAsia="Times New Roman" w:hAnsi="Times New Roman"/>
          <w:sz w:val="16"/>
          <w:szCs w:val="16"/>
          <w:color w:val="auto"/>
        </w:rPr>
        <w:t>in the east coast of the U.S.; Stockholm, Sweden; Vilnius,</w:t>
      </w:r>
    </w:p>
    <w:p>
      <w:pPr>
        <w:spacing w:after="0" w:line="233" w:lineRule="auto"/>
        <w:rPr>
          <w:sz w:val="20"/>
          <w:szCs w:val="20"/>
          <w:color w:val="auto"/>
        </w:rPr>
      </w:pPr>
      <w:r>
        <w:rPr>
          <w:rFonts w:ascii="Times New Roman" w:cs="Times New Roman" w:eastAsia="Times New Roman" w:hAnsi="Times New Roman"/>
          <w:sz w:val="14"/>
          <w:szCs w:val="14"/>
          <w:color w:val="auto"/>
        </w:rPr>
        <w:t>Lithuania; and St. John, Canada, among other locations. Any</w:t>
      </w:r>
    </w:p>
    <w:p>
      <w:pPr>
        <w:spacing w:after="0" w:line="204" w:lineRule="auto"/>
        <w:rPr>
          <w:sz w:val="20"/>
          <w:szCs w:val="20"/>
          <w:color w:val="auto"/>
        </w:rPr>
      </w:pPr>
      <w:r>
        <w:rPr>
          <w:rFonts w:ascii="Times New Roman" w:cs="Times New Roman" w:eastAsia="Times New Roman" w:hAnsi="Times New Roman"/>
          <w:sz w:val="16"/>
          <w:szCs w:val="16"/>
          <w:color w:val="auto"/>
        </w:rPr>
        <w:t>event that impacts either of those geographic areas could</w:t>
      </w:r>
    </w:p>
    <w:p>
      <w:pPr>
        <w:spacing w:after="0" w:line="203" w:lineRule="auto"/>
        <w:rPr>
          <w:sz w:val="20"/>
          <w:szCs w:val="20"/>
          <w:color w:val="auto"/>
        </w:rPr>
      </w:pPr>
      <w:r>
        <w:rPr>
          <w:rFonts w:ascii="Times New Roman" w:cs="Times New Roman" w:eastAsia="Times New Roman" w:hAnsi="Times New Roman"/>
          <w:sz w:val="16"/>
          <w:szCs w:val="16"/>
          <w:color w:val="auto"/>
        </w:rPr>
        <w:t>potentially affect our ability to operate our businesses.</w:t>
      </w:r>
    </w:p>
    <w:p>
      <w:pPr>
        <w:spacing w:after="0" w:line="233" w:lineRule="auto"/>
        <w:rPr>
          <w:sz w:val="20"/>
          <w:szCs w:val="20"/>
          <w:color w:val="auto"/>
        </w:rPr>
      </w:pPr>
      <w:r>
        <w:rPr>
          <w:rFonts w:ascii="Times New Roman" w:cs="Times New Roman" w:eastAsia="Times New Roman" w:hAnsi="Times New Roman"/>
          <w:sz w:val="14"/>
          <w:szCs w:val="14"/>
          <w:color w:val="auto"/>
        </w:rPr>
        <w:t>We have disaster recovery and business continuity plans and</w:t>
      </w:r>
    </w:p>
    <w:p>
      <w:pPr>
        <w:spacing w:after="0" w:line="203" w:lineRule="auto"/>
        <w:rPr>
          <w:sz w:val="20"/>
          <w:szCs w:val="20"/>
          <w:color w:val="auto"/>
        </w:rPr>
      </w:pPr>
      <w:r>
        <w:rPr>
          <w:rFonts w:ascii="Times New Roman" w:cs="Times New Roman" w:eastAsia="Times New Roman" w:hAnsi="Times New Roman"/>
          <w:sz w:val="16"/>
          <w:szCs w:val="16"/>
          <w:color w:val="auto"/>
        </w:rPr>
        <w:t>capabilities for critical systems and business functions to</w:t>
      </w:r>
    </w:p>
    <w:p>
      <w:pPr>
        <w:spacing w:after="0" w:line="204" w:lineRule="auto"/>
        <w:rPr>
          <w:sz w:val="20"/>
          <w:szCs w:val="20"/>
          <w:color w:val="auto"/>
        </w:rPr>
      </w:pPr>
      <w:r>
        <w:rPr>
          <w:rFonts w:ascii="Times New Roman" w:cs="Times New Roman" w:eastAsia="Times New Roman" w:hAnsi="Times New Roman"/>
          <w:sz w:val="16"/>
          <w:szCs w:val="16"/>
          <w:color w:val="auto"/>
        </w:rPr>
        <w:t>mitigate the risk of an interruption. However, any</w:t>
      </w:r>
    </w:p>
    <w:p>
      <w:pPr>
        <w:spacing w:after="0" w:line="203" w:lineRule="auto"/>
        <w:rPr>
          <w:sz w:val="20"/>
          <w:szCs w:val="20"/>
          <w:color w:val="auto"/>
        </w:rPr>
      </w:pPr>
      <w:r>
        <w:rPr>
          <w:rFonts w:ascii="Times New Roman" w:cs="Times New Roman" w:eastAsia="Times New Roman" w:hAnsi="Times New Roman"/>
          <w:sz w:val="16"/>
          <w:szCs w:val="16"/>
          <w:color w:val="auto"/>
        </w:rPr>
        <w:t>interruption in our critical business functions or systems</w:t>
      </w:r>
    </w:p>
    <w:p>
      <w:pPr>
        <w:spacing w:after="0" w:line="233" w:lineRule="auto"/>
        <w:rPr>
          <w:sz w:val="20"/>
          <w:szCs w:val="20"/>
          <w:color w:val="auto"/>
        </w:rPr>
      </w:pPr>
      <w:r>
        <w:rPr>
          <w:rFonts w:ascii="Times New Roman" w:cs="Times New Roman" w:eastAsia="Times New Roman" w:hAnsi="Times New Roman"/>
          <w:sz w:val="14"/>
          <w:szCs w:val="14"/>
          <w:color w:val="auto"/>
        </w:rPr>
        <w:t>could negatively impact our financial condition and operating</w:t>
      </w:r>
    </w:p>
    <w:p>
      <w:pPr>
        <w:spacing w:after="0" w:line="204" w:lineRule="auto"/>
        <w:rPr>
          <w:sz w:val="20"/>
          <w:szCs w:val="20"/>
          <w:color w:val="auto"/>
        </w:rPr>
      </w:pPr>
      <w:r>
        <w:rPr>
          <w:rFonts w:ascii="Times New Roman" w:cs="Times New Roman" w:eastAsia="Times New Roman" w:hAnsi="Times New Roman"/>
          <w:sz w:val="16"/>
          <w:szCs w:val="16"/>
          <w:color w:val="auto"/>
        </w:rPr>
        <w:t>results. Additionally, some of our market services and</w:t>
      </w:r>
    </w:p>
    <w:p>
      <w:pPr>
        <w:spacing w:after="0" w:line="203" w:lineRule="auto"/>
        <w:rPr>
          <w:sz w:val="20"/>
          <w:szCs w:val="20"/>
          <w:color w:val="auto"/>
        </w:rPr>
      </w:pPr>
      <w:r>
        <w:rPr>
          <w:rFonts w:ascii="Times New Roman" w:cs="Times New Roman" w:eastAsia="Times New Roman" w:hAnsi="Times New Roman"/>
          <w:sz w:val="16"/>
          <w:szCs w:val="16"/>
          <w:color w:val="auto"/>
        </w:rPr>
        <w:t>financial technology customers may lack adequate disaster</w:t>
      </w:r>
    </w:p>
    <w:p>
      <w:pPr>
        <w:spacing w:after="0" w:line="204" w:lineRule="auto"/>
        <w:rPr>
          <w:sz w:val="20"/>
          <w:szCs w:val="20"/>
          <w:color w:val="auto"/>
        </w:rPr>
      </w:pPr>
      <w:r>
        <w:rPr>
          <w:rFonts w:ascii="Times New Roman" w:cs="Times New Roman" w:eastAsia="Times New Roman" w:hAnsi="Times New Roman"/>
          <w:sz w:val="16"/>
          <w:szCs w:val="16"/>
          <w:color w:val="auto"/>
        </w:rPr>
        <w:t>recovery solutions to avoid loss of trade flow from a</w:t>
      </w:r>
    </w:p>
    <w:p>
      <w:pPr>
        <w:spacing w:after="0" w:line="203" w:lineRule="auto"/>
        <w:rPr>
          <w:sz w:val="20"/>
          <w:szCs w:val="20"/>
          <w:color w:val="auto"/>
        </w:rPr>
      </w:pPr>
      <w:r>
        <w:rPr>
          <w:rFonts w:ascii="Times New Roman" w:cs="Times New Roman" w:eastAsia="Times New Roman" w:hAnsi="Times New Roman"/>
          <w:sz w:val="16"/>
          <w:szCs w:val="16"/>
          <w:color w:val="auto"/>
        </w:rPr>
        <w:t>sustained interruption of our critical systems.</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Because we have operations in numerous countries, we are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exposed to currency risk.</w:t>
      </w:r>
    </w:p>
    <w:p>
      <w:pPr>
        <w:spacing w:after="0" w:line="203" w:lineRule="auto"/>
        <w:rPr>
          <w:sz w:val="20"/>
          <w:szCs w:val="20"/>
          <w:color w:val="auto"/>
        </w:rPr>
      </w:pPr>
      <w:r>
        <w:rPr>
          <w:rFonts w:ascii="Times New Roman" w:cs="Times New Roman" w:eastAsia="Times New Roman" w:hAnsi="Times New Roman"/>
          <w:sz w:val="16"/>
          <w:szCs w:val="16"/>
          <w:color w:val="auto"/>
        </w:rPr>
        <w:t>We have operations in the U.S., the Nordic and Baltic</w:t>
      </w:r>
    </w:p>
    <w:p>
      <w:pPr>
        <w:spacing w:after="0" w:line="233" w:lineRule="auto"/>
        <w:rPr>
          <w:sz w:val="20"/>
          <w:szCs w:val="20"/>
          <w:color w:val="auto"/>
        </w:rPr>
      </w:pPr>
      <w:r>
        <w:rPr>
          <w:rFonts w:ascii="Times New Roman" w:cs="Times New Roman" w:eastAsia="Times New Roman" w:hAnsi="Times New Roman"/>
          <w:sz w:val="14"/>
          <w:szCs w:val="14"/>
          <w:color w:val="auto"/>
        </w:rPr>
        <w:t>countries, Canada, the United Kingdom, Australia and many</w:t>
      </w:r>
    </w:p>
    <w:p>
      <w:pPr>
        <w:spacing w:after="0"/>
        <w:rPr>
          <w:sz w:val="20"/>
          <w:szCs w:val="20"/>
          <w:color w:val="auto"/>
        </w:rPr>
      </w:pPr>
      <w:r>
        <w:rPr>
          <w:rFonts w:ascii="Times New Roman" w:cs="Times New Roman" w:eastAsia="Times New Roman" w:hAnsi="Times New Roman"/>
          <w:sz w:val="16"/>
          <w:szCs w:val="16"/>
          <w:color w:val="auto"/>
        </w:rPr>
        <w:t>other foreign countries. We therefore have significant</w:t>
      </w:r>
    </w:p>
    <w:p>
      <w:pPr>
        <w:spacing w:after="0" w:line="229" w:lineRule="auto"/>
        <w:rPr>
          <w:sz w:val="20"/>
          <w:szCs w:val="20"/>
          <w:color w:val="auto"/>
        </w:rPr>
      </w:pPr>
      <w:r>
        <w:rPr>
          <w:rFonts w:ascii="Times New Roman" w:cs="Times New Roman" w:eastAsia="Times New Roman" w:hAnsi="Times New Roman"/>
          <w:sz w:val="16"/>
          <w:szCs w:val="16"/>
          <w:color w:val="auto"/>
        </w:rPr>
        <w:t>31</w:t>
      </w:r>
    </w:p>
    <w:p>
      <w:pPr>
        <w:spacing w:after="0" w:line="204" w:lineRule="auto"/>
        <w:rPr>
          <w:sz w:val="20"/>
          <w:szCs w:val="20"/>
          <w:color w:val="auto"/>
        </w:rPr>
      </w:pPr>
      <w:r>
        <w:rPr>
          <w:rFonts w:ascii="Times New Roman" w:cs="Times New Roman" w:eastAsia="Times New Roman" w:hAnsi="Times New Roman"/>
          <w:sz w:val="16"/>
          <w:szCs w:val="16"/>
          <w:color w:val="auto"/>
        </w:rPr>
        <w:t>our business, reputation, financial condition and operating</w:t>
      </w:r>
    </w:p>
    <w:p>
      <w:pPr>
        <w:spacing w:after="0" w:line="203" w:lineRule="auto"/>
        <w:rPr>
          <w:sz w:val="20"/>
          <w:szCs w:val="20"/>
          <w:color w:val="auto"/>
        </w:rPr>
      </w:pPr>
      <w:r>
        <w:rPr>
          <w:rFonts w:ascii="Times New Roman" w:cs="Times New Roman" w:eastAsia="Times New Roman" w:hAnsi="Times New Roman"/>
          <w:sz w:val="16"/>
          <w:szCs w:val="16"/>
          <w:color w:val="auto"/>
        </w:rPr>
        <w:t>results could be materially adversely affected.</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Decisions to declare future dividends on our common stock</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will be at the discretion of our board of directors and there</w:t>
      </w:r>
    </w:p>
    <w:p>
      <w:pP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can be no guarantee that we will pay future dividends to our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stockholders.</w:t>
      </w:r>
    </w:p>
    <w:p>
      <w:pPr>
        <w:spacing w:after="0" w:line="203" w:lineRule="auto"/>
        <w:rPr>
          <w:sz w:val="20"/>
          <w:szCs w:val="20"/>
          <w:color w:val="auto"/>
        </w:rPr>
      </w:pPr>
      <w:r>
        <w:rPr>
          <w:rFonts w:ascii="Times New Roman" w:cs="Times New Roman" w:eastAsia="Times New Roman" w:hAnsi="Times New Roman"/>
          <w:sz w:val="16"/>
          <w:szCs w:val="16"/>
          <w:color w:val="auto"/>
        </w:rPr>
        <w:t>Our board of directors regularly declares quarterly cash</w:t>
      </w:r>
    </w:p>
    <w:p>
      <w:pPr>
        <w:spacing w:after="0" w:line="204" w:lineRule="auto"/>
        <w:rPr>
          <w:sz w:val="20"/>
          <w:szCs w:val="20"/>
          <w:color w:val="auto"/>
        </w:rPr>
      </w:pPr>
      <w:r>
        <w:rPr>
          <w:rFonts w:ascii="Times New Roman" w:cs="Times New Roman" w:eastAsia="Times New Roman" w:hAnsi="Times New Roman"/>
          <w:sz w:val="16"/>
          <w:szCs w:val="16"/>
          <w:color w:val="auto"/>
        </w:rPr>
        <w:t>dividend payments on our outstanding common stock. The</w:t>
      </w:r>
    </w:p>
    <w:p>
      <w:pPr>
        <w:spacing w:after="0" w:line="233" w:lineRule="auto"/>
        <w:rPr>
          <w:sz w:val="20"/>
          <w:szCs w:val="20"/>
          <w:color w:val="auto"/>
        </w:rPr>
      </w:pPr>
      <w:r>
        <w:rPr>
          <w:rFonts w:ascii="Times New Roman" w:cs="Times New Roman" w:eastAsia="Times New Roman" w:hAnsi="Times New Roman"/>
          <w:sz w:val="14"/>
          <w:szCs w:val="14"/>
          <w:color w:val="auto"/>
        </w:rPr>
        <w:t>board’s determination to declare dividends will depend upon</w:t>
      </w:r>
    </w:p>
    <w:p>
      <w:pPr>
        <w:spacing w:after="0" w:line="203" w:lineRule="auto"/>
        <w:rPr>
          <w:sz w:val="20"/>
          <w:szCs w:val="20"/>
          <w:color w:val="auto"/>
        </w:rPr>
      </w:pPr>
      <w:r>
        <w:rPr>
          <w:rFonts w:ascii="Times New Roman" w:cs="Times New Roman" w:eastAsia="Times New Roman" w:hAnsi="Times New Roman"/>
          <w:sz w:val="16"/>
          <w:szCs w:val="16"/>
          <w:color w:val="auto"/>
        </w:rPr>
        <w:t>our profitability and financial condition, contractual</w:t>
      </w:r>
    </w:p>
    <w:p>
      <w:pPr>
        <w:spacing w:after="0" w:line="233" w:lineRule="auto"/>
        <w:rPr>
          <w:sz w:val="20"/>
          <w:szCs w:val="20"/>
          <w:color w:val="auto"/>
        </w:rPr>
      </w:pPr>
      <w:r>
        <w:rPr>
          <w:rFonts w:ascii="Times New Roman" w:cs="Times New Roman" w:eastAsia="Times New Roman" w:hAnsi="Times New Roman"/>
          <w:sz w:val="14"/>
          <w:szCs w:val="14"/>
          <w:color w:val="auto"/>
        </w:rPr>
        <w:t>restrictions, restrictions imposed by applicable law and other</w:t>
      </w:r>
    </w:p>
    <w:p>
      <w:pPr>
        <w:spacing w:after="0" w:line="232" w:lineRule="auto"/>
        <w:rPr>
          <w:sz w:val="20"/>
          <w:szCs w:val="20"/>
          <w:color w:val="auto"/>
        </w:rPr>
      </w:pPr>
      <w:r>
        <w:rPr>
          <w:rFonts w:ascii="Times New Roman" w:cs="Times New Roman" w:eastAsia="Times New Roman" w:hAnsi="Times New Roman"/>
          <w:sz w:val="14"/>
          <w:szCs w:val="14"/>
          <w:color w:val="auto"/>
        </w:rPr>
        <w:t>factors that the board deems relevant. Based on an evaluation</w:t>
      </w:r>
    </w:p>
    <w:p>
      <w:pPr>
        <w:spacing w:after="0" w:line="204" w:lineRule="auto"/>
        <w:rPr>
          <w:sz w:val="20"/>
          <w:szCs w:val="20"/>
          <w:color w:val="auto"/>
        </w:rPr>
      </w:pPr>
      <w:r>
        <w:rPr>
          <w:rFonts w:ascii="Times New Roman" w:cs="Times New Roman" w:eastAsia="Times New Roman" w:hAnsi="Times New Roman"/>
          <w:sz w:val="16"/>
          <w:szCs w:val="16"/>
          <w:color w:val="auto"/>
        </w:rPr>
        <w:t>of these factors, the board may determine not to declare</w:t>
      </w:r>
    </w:p>
    <w:p>
      <w:pPr>
        <w:spacing w:after="0" w:line="203" w:lineRule="auto"/>
        <w:rPr>
          <w:sz w:val="20"/>
          <w:szCs w:val="20"/>
          <w:color w:val="auto"/>
        </w:rPr>
      </w:pPr>
      <w:r>
        <w:rPr>
          <w:rFonts w:ascii="Times New Roman" w:cs="Times New Roman" w:eastAsia="Times New Roman" w:hAnsi="Times New Roman"/>
          <w:sz w:val="16"/>
          <w:szCs w:val="16"/>
          <w:color w:val="auto"/>
        </w:rPr>
        <w:t>future dividends at all or to declare future dividends at a</w:t>
      </w:r>
    </w:p>
    <w:p>
      <w:pPr>
        <w:spacing w:after="0" w:line="204" w:lineRule="auto"/>
        <w:rPr>
          <w:sz w:val="20"/>
          <w:szCs w:val="20"/>
          <w:color w:val="auto"/>
        </w:rPr>
      </w:pPr>
      <w:r>
        <w:rPr>
          <w:rFonts w:ascii="Times New Roman" w:cs="Times New Roman" w:eastAsia="Times New Roman" w:hAnsi="Times New Roman"/>
          <w:sz w:val="16"/>
          <w:szCs w:val="16"/>
          <w:color w:val="auto"/>
        </w:rPr>
        <w:t>reduced amount.</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Provisions of our certificate of incorporation, by-laws,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exchange rules (including provisions included to address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SEC concerns) and governing law restrict the ownership</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and voting of our common stock. In addition, such</w:t>
      </w:r>
    </w:p>
    <w:p>
      <w:pPr>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provisions could delay or prevent a change in control of us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and entrench current management.</w:t>
      </w:r>
    </w:p>
    <w:p>
      <w:pPr>
        <w:spacing w:after="0" w:line="233" w:lineRule="auto"/>
        <w:rPr>
          <w:sz w:val="20"/>
          <w:szCs w:val="20"/>
          <w:color w:val="auto"/>
        </w:rPr>
      </w:pPr>
      <w:r>
        <w:rPr>
          <w:rFonts w:ascii="Times New Roman" w:cs="Times New Roman" w:eastAsia="Times New Roman" w:hAnsi="Times New Roman"/>
          <w:sz w:val="14"/>
          <w:szCs w:val="14"/>
          <w:color w:val="auto"/>
        </w:rPr>
        <w:t>Our organizational documents place restrictions on the voting</w:t>
      </w:r>
    </w:p>
    <w:p>
      <w:pPr>
        <w:spacing w:after="0" w:line="204" w:lineRule="auto"/>
        <w:rPr>
          <w:sz w:val="20"/>
          <w:szCs w:val="20"/>
          <w:color w:val="auto"/>
        </w:rPr>
      </w:pPr>
      <w:r>
        <w:rPr>
          <w:rFonts w:ascii="Times New Roman" w:cs="Times New Roman" w:eastAsia="Times New Roman" w:hAnsi="Times New Roman"/>
          <w:sz w:val="16"/>
          <w:szCs w:val="16"/>
          <w:color w:val="auto"/>
        </w:rPr>
        <w:t>rights of certain stockholders. The holders of our common</w:t>
      </w:r>
    </w:p>
    <w:p>
      <w:pPr>
        <w:spacing w:after="0" w:line="203" w:lineRule="auto"/>
        <w:rPr>
          <w:sz w:val="20"/>
          <w:szCs w:val="20"/>
          <w:color w:val="auto"/>
        </w:rPr>
      </w:pPr>
      <w:r>
        <w:rPr>
          <w:rFonts w:ascii="Times New Roman" w:cs="Times New Roman" w:eastAsia="Times New Roman" w:hAnsi="Times New Roman"/>
          <w:sz w:val="16"/>
          <w:szCs w:val="16"/>
          <w:color w:val="auto"/>
        </w:rPr>
        <w:t>stock are entitled to one vote per share on all matters to be</w:t>
      </w:r>
    </w:p>
    <w:p>
      <w:pPr>
        <w:spacing w:after="0" w:line="204" w:lineRule="auto"/>
        <w:rPr>
          <w:sz w:val="20"/>
          <w:szCs w:val="20"/>
          <w:color w:val="auto"/>
        </w:rPr>
      </w:pPr>
      <w:r>
        <w:rPr>
          <w:rFonts w:ascii="Times New Roman" w:cs="Times New Roman" w:eastAsia="Times New Roman" w:hAnsi="Times New Roman"/>
          <w:sz w:val="16"/>
          <w:szCs w:val="16"/>
          <w:color w:val="auto"/>
        </w:rPr>
        <w:t>voted upon by the stockholders except that no person may</w:t>
      </w:r>
    </w:p>
    <w:p>
      <w:pPr>
        <w:spacing w:after="0" w:line="203" w:lineRule="auto"/>
        <w:rPr>
          <w:sz w:val="20"/>
          <w:szCs w:val="20"/>
          <w:color w:val="auto"/>
        </w:rPr>
      </w:pPr>
      <w:r>
        <w:rPr>
          <w:rFonts w:ascii="Times New Roman" w:cs="Times New Roman" w:eastAsia="Times New Roman" w:hAnsi="Times New Roman"/>
          <w:sz w:val="16"/>
          <w:szCs w:val="16"/>
          <w:color w:val="auto"/>
        </w:rPr>
        <w:t>exercise voting rights in respect of any shares in excess of</w:t>
      </w:r>
    </w:p>
    <w:p>
      <w:pPr>
        <w:spacing w:after="0" w:line="233" w:lineRule="auto"/>
        <w:rPr>
          <w:sz w:val="20"/>
          <w:szCs w:val="20"/>
          <w:color w:val="auto"/>
        </w:rPr>
      </w:pPr>
      <w:r>
        <w:rPr>
          <w:rFonts w:ascii="Times New Roman" w:cs="Times New Roman" w:eastAsia="Times New Roman" w:hAnsi="Times New Roman"/>
          <w:sz w:val="14"/>
          <w:szCs w:val="14"/>
          <w:color w:val="auto"/>
        </w:rPr>
        <w:t>5% of the then outstanding shares of our common stock. Any</w:t>
      </w:r>
    </w:p>
    <w:p>
      <w:pPr>
        <w:spacing w:after="0" w:line="204" w:lineRule="auto"/>
        <w:rPr>
          <w:sz w:val="20"/>
          <w:szCs w:val="20"/>
          <w:color w:val="auto"/>
        </w:rPr>
      </w:pPr>
      <w:r>
        <w:rPr>
          <w:rFonts w:ascii="Times New Roman" w:cs="Times New Roman" w:eastAsia="Times New Roman" w:hAnsi="Times New Roman"/>
          <w:sz w:val="16"/>
          <w:szCs w:val="16"/>
          <w:color w:val="auto"/>
        </w:rPr>
        <w:t>change to the 5% voting limitation would require SEC</w:t>
      </w:r>
    </w:p>
    <w:p>
      <w:pPr>
        <w:spacing w:after="0" w:line="203" w:lineRule="auto"/>
        <w:rPr>
          <w:sz w:val="20"/>
          <w:szCs w:val="20"/>
          <w:color w:val="auto"/>
        </w:rPr>
      </w:pPr>
      <w:r>
        <w:rPr>
          <w:rFonts w:ascii="Times New Roman" w:cs="Times New Roman" w:eastAsia="Times New Roman" w:hAnsi="Times New Roman"/>
          <w:sz w:val="16"/>
          <w:szCs w:val="16"/>
          <w:color w:val="auto"/>
        </w:rPr>
        <w:t>approval.</w:t>
      </w:r>
    </w:p>
    <w:p>
      <w:pPr>
        <w:spacing w:after="0" w:line="204" w:lineRule="auto"/>
        <w:rPr>
          <w:sz w:val="20"/>
          <w:szCs w:val="20"/>
          <w:color w:val="auto"/>
        </w:rPr>
      </w:pPr>
      <w:r>
        <w:rPr>
          <w:rFonts w:ascii="Times New Roman" w:cs="Times New Roman" w:eastAsia="Times New Roman" w:hAnsi="Times New Roman"/>
          <w:sz w:val="16"/>
          <w:szCs w:val="16"/>
          <w:color w:val="auto"/>
        </w:rPr>
        <w:t>In response to the SEC’s concern about a concentration of</w:t>
      </w:r>
    </w:p>
    <w:p>
      <w:pPr>
        <w:spacing w:after="0" w:line="203" w:lineRule="auto"/>
        <w:rPr>
          <w:sz w:val="20"/>
          <w:szCs w:val="20"/>
          <w:color w:val="auto"/>
        </w:rPr>
      </w:pPr>
      <w:r>
        <w:rPr>
          <w:rFonts w:ascii="Times New Roman" w:cs="Times New Roman" w:eastAsia="Times New Roman" w:hAnsi="Times New Roman"/>
          <w:sz w:val="16"/>
          <w:szCs w:val="16"/>
          <w:color w:val="auto"/>
        </w:rPr>
        <w:t>our ownership, the rules of some of our exchange</w:t>
      </w:r>
    </w:p>
    <w:p>
      <w:pPr>
        <w:spacing w:after="0" w:line="204" w:lineRule="auto"/>
        <w:rPr>
          <w:sz w:val="20"/>
          <w:szCs w:val="20"/>
          <w:color w:val="auto"/>
        </w:rPr>
      </w:pPr>
      <w:r>
        <w:rPr>
          <w:rFonts w:ascii="Times New Roman" w:cs="Times New Roman" w:eastAsia="Times New Roman" w:hAnsi="Times New Roman"/>
          <w:sz w:val="16"/>
          <w:szCs w:val="16"/>
          <w:color w:val="auto"/>
        </w:rPr>
        <w:t>subsidiaries include a prohibition on any member or any</w:t>
      </w:r>
    </w:p>
    <w:p>
      <w:pPr>
        <w:spacing w:after="0" w:line="203" w:lineRule="auto"/>
        <w:rPr>
          <w:sz w:val="20"/>
          <w:szCs w:val="20"/>
          <w:color w:val="auto"/>
        </w:rPr>
      </w:pPr>
      <w:r>
        <w:rPr>
          <w:rFonts w:ascii="Times New Roman" w:cs="Times New Roman" w:eastAsia="Times New Roman" w:hAnsi="Times New Roman"/>
          <w:sz w:val="16"/>
          <w:szCs w:val="16"/>
          <w:color w:val="auto"/>
        </w:rPr>
        <w:t>person associated with a member of the exchange from</w:t>
      </w:r>
    </w:p>
    <w:p>
      <w:pPr>
        <w:spacing w:after="0" w:line="233" w:lineRule="auto"/>
        <w:rPr>
          <w:sz w:val="20"/>
          <w:szCs w:val="20"/>
          <w:color w:val="auto"/>
        </w:rPr>
      </w:pPr>
      <w:r>
        <w:rPr>
          <w:rFonts w:ascii="Times New Roman" w:cs="Times New Roman" w:eastAsia="Times New Roman" w:hAnsi="Times New Roman"/>
          <w:sz w:val="14"/>
          <w:szCs w:val="14"/>
          <w:color w:val="auto"/>
        </w:rPr>
        <w:t>beneficially owning more than 20% of our outstanding voting</w:t>
      </w:r>
    </w:p>
    <w:p>
      <w:pPr>
        <w:spacing w:after="0" w:line="233" w:lineRule="auto"/>
        <w:rPr>
          <w:sz w:val="20"/>
          <w:szCs w:val="20"/>
          <w:color w:val="auto"/>
        </w:rPr>
      </w:pPr>
      <w:r>
        <w:rPr>
          <w:rFonts w:ascii="Times New Roman" w:cs="Times New Roman" w:eastAsia="Times New Roman" w:hAnsi="Times New Roman"/>
          <w:sz w:val="14"/>
          <w:szCs w:val="14"/>
          <w:color w:val="auto"/>
        </w:rPr>
        <w:t>interests. SEC consent would be required before any investor</w:t>
      </w:r>
    </w:p>
    <w:p>
      <w:pPr>
        <w:spacing w:after="0" w:line="232" w:lineRule="auto"/>
        <w:rPr>
          <w:sz w:val="20"/>
          <w:szCs w:val="20"/>
          <w:color w:val="auto"/>
        </w:rPr>
      </w:pPr>
      <w:r>
        <w:rPr>
          <w:rFonts w:ascii="Times New Roman" w:cs="Times New Roman" w:eastAsia="Times New Roman" w:hAnsi="Times New Roman"/>
          <w:sz w:val="14"/>
          <w:szCs w:val="14"/>
          <w:color w:val="auto"/>
        </w:rPr>
        <w:t>could obtain more than a 20% voting interest in us. The rules</w:t>
      </w:r>
    </w:p>
    <w:p>
      <w:pPr>
        <w:spacing w:after="0" w:line="233" w:lineRule="auto"/>
        <w:rPr>
          <w:sz w:val="20"/>
          <w:szCs w:val="20"/>
          <w:color w:val="auto"/>
        </w:rPr>
      </w:pPr>
      <w:r>
        <w:rPr>
          <w:rFonts w:ascii="Times New Roman" w:cs="Times New Roman" w:eastAsia="Times New Roman" w:hAnsi="Times New Roman"/>
          <w:sz w:val="14"/>
          <w:szCs w:val="14"/>
          <w:color w:val="auto"/>
        </w:rPr>
        <w:t>of some of our exchange subsidiaries also require the SEC’s</w:t>
      </w:r>
    </w:p>
    <w:p>
      <w:pPr>
        <w:spacing w:after="0" w:line="203" w:lineRule="auto"/>
        <w:rPr>
          <w:sz w:val="20"/>
          <w:szCs w:val="20"/>
          <w:color w:val="auto"/>
        </w:rPr>
      </w:pPr>
      <w:r>
        <w:rPr>
          <w:rFonts w:ascii="Times New Roman" w:cs="Times New Roman" w:eastAsia="Times New Roman" w:hAnsi="Times New Roman"/>
          <w:sz w:val="16"/>
          <w:szCs w:val="16"/>
          <w:color w:val="auto"/>
        </w:rPr>
        <w:t>approval of any business ventures with exchange members,</w:t>
      </w:r>
    </w:p>
    <w:p>
      <w:pPr>
        <w:spacing w:after="0" w:line="204" w:lineRule="auto"/>
        <w:rPr>
          <w:sz w:val="20"/>
          <w:szCs w:val="20"/>
          <w:color w:val="auto"/>
        </w:rPr>
      </w:pPr>
      <w:r>
        <w:rPr>
          <w:rFonts w:ascii="Times New Roman" w:cs="Times New Roman" w:eastAsia="Times New Roman" w:hAnsi="Times New Roman"/>
          <w:sz w:val="16"/>
          <w:szCs w:val="16"/>
          <w:color w:val="auto"/>
        </w:rPr>
        <w:t>subject to exceptions.</w:t>
      </w:r>
    </w:p>
    <w:p>
      <w:pPr>
        <w:spacing w:after="0" w:line="233" w:lineRule="auto"/>
        <w:rPr>
          <w:sz w:val="20"/>
          <w:szCs w:val="20"/>
          <w:color w:val="auto"/>
        </w:rPr>
      </w:pPr>
      <w:r>
        <w:rPr>
          <w:rFonts w:ascii="Times New Roman" w:cs="Times New Roman" w:eastAsia="Times New Roman" w:hAnsi="Times New Roman"/>
          <w:sz w:val="14"/>
          <w:szCs w:val="14"/>
          <w:color w:val="auto"/>
        </w:rPr>
        <w:t>Our organizational documents contain provisions that may be</w:t>
      </w:r>
    </w:p>
    <w:p>
      <w:pPr>
        <w:spacing w:after="0" w:line="232" w:lineRule="auto"/>
        <w:rPr>
          <w:sz w:val="20"/>
          <w:szCs w:val="20"/>
          <w:color w:val="auto"/>
        </w:rPr>
      </w:pPr>
      <w:r>
        <w:rPr>
          <w:rFonts w:ascii="Times New Roman" w:cs="Times New Roman" w:eastAsia="Times New Roman" w:hAnsi="Times New Roman"/>
          <w:sz w:val="14"/>
          <w:szCs w:val="14"/>
          <w:color w:val="auto"/>
        </w:rPr>
        <w:t>deemed to have an anti-takeover effect and may delay, deter</w:t>
      </w:r>
    </w:p>
    <w:p>
      <w:pPr>
        <w:spacing w:after="0" w:line="233" w:lineRule="auto"/>
        <w:rPr>
          <w:sz w:val="20"/>
          <w:szCs w:val="20"/>
          <w:color w:val="auto"/>
        </w:rPr>
      </w:pPr>
      <w:r>
        <w:rPr>
          <w:rFonts w:ascii="Times New Roman" w:cs="Times New Roman" w:eastAsia="Times New Roman" w:hAnsi="Times New Roman"/>
          <w:sz w:val="14"/>
          <w:szCs w:val="14"/>
          <w:color w:val="auto"/>
        </w:rPr>
        <w:t>or prevent a change of control of us, such as a tender offer or</w:t>
      </w:r>
    </w:p>
    <w:p>
      <w:pPr>
        <w:spacing w:after="0" w:line="203" w:lineRule="auto"/>
        <w:rPr>
          <w:sz w:val="20"/>
          <w:szCs w:val="20"/>
          <w:color w:val="auto"/>
        </w:rPr>
      </w:pPr>
      <w:r>
        <w:rPr>
          <w:rFonts w:ascii="Times New Roman" w:cs="Times New Roman" w:eastAsia="Times New Roman" w:hAnsi="Times New Roman"/>
          <w:sz w:val="16"/>
          <w:szCs w:val="16"/>
          <w:color w:val="auto"/>
        </w:rPr>
        <w:t>takeover proposal that might result in a premium over the</w:t>
      </w:r>
    </w:p>
    <w:p>
      <w:pPr>
        <w:spacing w:after="0" w:line="204" w:lineRule="auto"/>
        <w:rPr>
          <w:sz w:val="20"/>
          <w:szCs w:val="20"/>
          <w:color w:val="auto"/>
        </w:rPr>
      </w:pPr>
      <w:r>
        <w:rPr>
          <w:rFonts w:ascii="Times New Roman" w:cs="Times New Roman" w:eastAsia="Times New Roman" w:hAnsi="Times New Roman"/>
          <w:sz w:val="16"/>
          <w:szCs w:val="16"/>
          <w:color w:val="auto"/>
        </w:rPr>
        <w:t>market price for our common stock. Additionally, certain of</w:t>
      </w:r>
    </w:p>
    <w:p>
      <w:pPr>
        <w:spacing w:after="0" w:line="204" w:lineRule="auto"/>
        <w:rPr>
          <w:sz w:val="20"/>
          <w:szCs w:val="20"/>
          <w:color w:val="auto"/>
        </w:rPr>
      </w:pPr>
      <w:r>
        <w:rPr>
          <w:rFonts w:ascii="Times New Roman" w:cs="Times New Roman" w:eastAsia="Times New Roman" w:hAnsi="Times New Roman"/>
          <w:sz w:val="16"/>
          <w:szCs w:val="16"/>
          <w:color w:val="auto"/>
        </w:rPr>
        <w:t>these provisions make it more difficult to bring about a</w:t>
      </w:r>
    </w:p>
    <w:p>
      <w:pPr>
        <w:spacing w:after="0" w:line="203" w:lineRule="auto"/>
        <w:rPr>
          <w:sz w:val="20"/>
          <w:szCs w:val="20"/>
          <w:color w:val="auto"/>
        </w:rPr>
      </w:pPr>
      <w:r>
        <w:rPr>
          <w:rFonts w:ascii="Times New Roman" w:cs="Times New Roman" w:eastAsia="Times New Roman" w:hAnsi="Times New Roman"/>
          <w:sz w:val="16"/>
          <w:szCs w:val="16"/>
          <w:color w:val="auto"/>
        </w:rPr>
        <w:t>change in the composition of our board of directors, which</w:t>
      </w:r>
    </w:p>
    <w:p>
      <w:pPr>
        <w:spacing w:after="0"/>
        <w:rPr>
          <w:sz w:val="20"/>
          <w:szCs w:val="20"/>
          <w:color w:val="auto"/>
        </w:rPr>
      </w:pPr>
      <w:r>
        <w:rPr>
          <w:rFonts w:ascii="Times New Roman" w:cs="Times New Roman" w:eastAsia="Times New Roman" w:hAnsi="Times New Roman"/>
          <w:sz w:val="16"/>
          <w:szCs w:val="16"/>
          <w:color w:val="auto"/>
        </w:rPr>
        <w:t>could result in entrenchment of current management.</w:t>
      </w:r>
    </w:p>
    <w:p>
      <w:pPr>
        <w:sectPr>
          <w:pgSz w:w="11900" w:h="16840" w:orient="portrait"/>
          <w:cols w:equalWidth="0" w:num="1">
            <w:col w:w="9400"/>
          </w:cols>
          <w:pgMar w:left="1060" w:top="547" w:right="1440" w:bottom="2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Our certificate of incorporation and by-laws:</w:t>
      </w:r>
    </w:p>
    <w:p>
      <w:pPr>
        <w:spacing w:after="0" w:line="203" w:lineRule="auto"/>
        <w:rPr>
          <w:sz w:val="20"/>
          <w:szCs w:val="20"/>
          <w:color w:val="auto"/>
        </w:rPr>
      </w:pPr>
      <w:r>
        <w:rPr>
          <w:rFonts w:ascii="Times New Roman" w:cs="Times New Roman" w:eastAsia="Times New Roman" w:hAnsi="Times New Roman"/>
          <w:sz w:val="16"/>
          <w:szCs w:val="16"/>
          <w:color w:val="auto"/>
        </w:rPr>
        <w:t>•do not permit stockholders to act by written consent;</w:t>
      </w:r>
    </w:p>
    <w:p>
      <w:pPr>
        <w:spacing w:after="0" w:line="233" w:lineRule="auto"/>
        <w:rPr>
          <w:sz w:val="20"/>
          <w:szCs w:val="20"/>
          <w:color w:val="auto"/>
        </w:rPr>
      </w:pPr>
      <w:r>
        <w:rPr>
          <w:rFonts w:ascii="Times New Roman" w:cs="Times New Roman" w:eastAsia="Times New Roman" w:hAnsi="Times New Roman"/>
          <w:sz w:val="14"/>
          <w:szCs w:val="14"/>
          <w:color w:val="auto"/>
        </w:rPr>
        <w:t>•require certain advance notice for director nominations and</w:t>
      </w:r>
    </w:p>
    <w:p>
      <w:pPr>
        <w:spacing w:after="0" w:line="203" w:lineRule="auto"/>
        <w:rPr>
          <w:sz w:val="20"/>
          <w:szCs w:val="20"/>
          <w:color w:val="auto"/>
        </w:rPr>
      </w:pPr>
      <w:r>
        <w:rPr>
          <w:rFonts w:ascii="Times New Roman" w:cs="Times New Roman" w:eastAsia="Times New Roman" w:hAnsi="Times New Roman"/>
          <w:sz w:val="16"/>
          <w:szCs w:val="16"/>
          <w:color w:val="auto"/>
        </w:rPr>
        <w:t>actions to be taken at annual meetings; and</w:t>
      </w:r>
    </w:p>
    <w:p>
      <w:pPr>
        <w:spacing w:after="0" w:line="204" w:lineRule="auto"/>
        <w:rPr>
          <w:sz w:val="20"/>
          <w:szCs w:val="20"/>
          <w:color w:val="auto"/>
        </w:rPr>
      </w:pPr>
      <w:r>
        <w:rPr>
          <w:rFonts w:ascii="Times New Roman" w:cs="Times New Roman" w:eastAsia="Times New Roman" w:hAnsi="Times New Roman"/>
          <w:sz w:val="16"/>
          <w:szCs w:val="16"/>
          <w:color w:val="auto"/>
        </w:rPr>
        <w:t>•authorize the issuance of undesignated preferred stock, or</w:t>
      </w:r>
    </w:p>
    <w:p>
      <w:pPr>
        <w:spacing w:after="0" w:line="203" w:lineRule="auto"/>
        <w:rPr>
          <w:sz w:val="20"/>
          <w:szCs w:val="20"/>
          <w:color w:val="auto"/>
        </w:rPr>
      </w:pPr>
      <w:r>
        <w:rPr>
          <w:rFonts w:ascii="Times New Roman" w:cs="Times New Roman" w:eastAsia="Times New Roman" w:hAnsi="Times New Roman"/>
          <w:sz w:val="16"/>
          <w:szCs w:val="16"/>
          <w:color w:val="auto"/>
        </w:rPr>
        <w:t>“blank check” preferred stock, which could be issued by</w:t>
      </w:r>
    </w:p>
    <w:p>
      <w:pPr>
        <w:spacing w:after="0" w:line="204" w:lineRule="auto"/>
        <w:rPr>
          <w:sz w:val="20"/>
          <w:szCs w:val="20"/>
          <w:color w:val="auto"/>
        </w:rPr>
      </w:pPr>
      <w:r>
        <w:rPr>
          <w:rFonts w:ascii="Times New Roman" w:cs="Times New Roman" w:eastAsia="Times New Roman" w:hAnsi="Times New Roman"/>
          <w:sz w:val="16"/>
          <w:szCs w:val="16"/>
          <w:color w:val="auto"/>
        </w:rPr>
        <w:t>our board of directors without stockholder approval.</w:t>
      </w:r>
    </w:p>
    <w:p>
      <w:pPr>
        <w:spacing w:after="0" w:line="203" w:lineRule="auto"/>
        <w:rPr>
          <w:sz w:val="20"/>
          <w:szCs w:val="20"/>
          <w:color w:val="auto"/>
        </w:rPr>
      </w:pPr>
      <w:r>
        <w:rPr>
          <w:rFonts w:ascii="Times New Roman" w:cs="Times New Roman" w:eastAsia="Times New Roman" w:hAnsi="Times New Roman"/>
          <w:sz w:val="16"/>
          <w:szCs w:val="16"/>
          <w:color w:val="auto"/>
        </w:rPr>
        <w:t>Finally, many of the European countries where we operate</w:t>
      </w:r>
    </w:p>
    <w:p>
      <w:pPr>
        <w:spacing w:after="0" w:line="233" w:lineRule="auto"/>
        <w:rPr>
          <w:sz w:val="20"/>
          <w:szCs w:val="20"/>
          <w:color w:val="auto"/>
        </w:rPr>
      </w:pPr>
      <w:r>
        <w:rPr>
          <w:rFonts w:ascii="Times New Roman" w:cs="Times New Roman" w:eastAsia="Times New Roman" w:hAnsi="Times New Roman"/>
          <w:sz w:val="14"/>
          <w:szCs w:val="14"/>
          <w:color w:val="auto"/>
        </w:rPr>
        <w:t>regulated entities require prior governmental approval before</w:t>
      </w:r>
    </w:p>
    <w:p>
      <w:pPr>
        <w:spacing w:after="0" w:line="204" w:lineRule="auto"/>
        <w:rPr>
          <w:sz w:val="20"/>
          <w:szCs w:val="20"/>
          <w:color w:val="auto"/>
        </w:rPr>
      </w:pPr>
      <w:r>
        <w:rPr>
          <w:rFonts w:ascii="Times New Roman" w:cs="Times New Roman" w:eastAsia="Times New Roman" w:hAnsi="Times New Roman"/>
          <w:sz w:val="16"/>
          <w:szCs w:val="16"/>
          <w:color w:val="auto"/>
        </w:rPr>
        <w:t>an investor acquires 10% or greater of our common stock.</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Item 1B. Unresolved Staff Comments</w:t>
      </w:r>
    </w:p>
    <w:p>
      <w:pPr>
        <w:spacing w:after="0" w:line="204" w:lineRule="auto"/>
        <w:rPr>
          <w:sz w:val="20"/>
          <w:szCs w:val="20"/>
          <w:color w:val="auto"/>
        </w:rPr>
      </w:pPr>
      <w:r>
        <w:rPr>
          <w:rFonts w:ascii="Times New Roman" w:cs="Times New Roman" w:eastAsia="Times New Roman" w:hAnsi="Times New Roman"/>
          <w:sz w:val="16"/>
          <w:szCs w:val="16"/>
          <w:color w:val="auto"/>
        </w:rPr>
        <w:t>None.</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Item 1C. Cybersecurity</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203" w:lineRule="auto"/>
        <w:rPr>
          <w:sz w:val="20"/>
          <w:szCs w:val="20"/>
          <w:color w:val="auto"/>
        </w:rPr>
      </w:pPr>
      <w:r>
        <w:rPr>
          <w:rFonts w:ascii="Times New Roman" w:cs="Times New Roman" w:eastAsia="Times New Roman" w:hAnsi="Times New Roman"/>
          <w:sz w:val="16"/>
          <w:szCs w:val="16"/>
          <w:color w:val="auto"/>
        </w:rPr>
        <w:t>Nasdaq’s brand and role as a critical infrastructure provider</w:t>
      </w:r>
    </w:p>
    <w:p>
      <w:pPr>
        <w:spacing w:after="0" w:line="204" w:lineRule="auto"/>
        <w:rPr>
          <w:sz w:val="20"/>
          <w:szCs w:val="20"/>
          <w:color w:val="auto"/>
        </w:rPr>
      </w:pPr>
      <w:r>
        <w:rPr>
          <w:rFonts w:ascii="Times New Roman" w:cs="Times New Roman" w:eastAsia="Times New Roman" w:hAnsi="Times New Roman"/>
          <w:sz w:val="16"/>
          <w:szCs w:val="16"/>
          <w:color w:val="auto"/>
        </w:rPr>
        <w:t>for global financial markets, the operator of The Nasdaq</w:t>
      </w:r>
    </w:p>
    <w:p>
      <w:pPr>
        <w:spacing w:after="0" w:line="204" w:lineRule="auto"/>
        <w:rPr>
          <w:sz w:val="20"/>
          <w:szCs w:val="20"/>
          <w:color w:val="auto"/>
        </w:rPr>
      </w:pPr>
      <w:r>
        <w:rPr>
          <w:rFonts w:ascii="Times New Roman" w:cs="Times New Roman" w:eastAsia="Times New Roman" w:hAnsi="Times New Roman"/>
          <w:sz w:val="16"/>
          <w:szCs w:val="16"/>
          <w:color w:val="auto"/>
        </w:rPr>
        <w:t>Stock Market and exchanges, central securities depositories</w:t>
      </w:r>
    </w:p>
    <w:p>
      <w:pPr>
        <w:spacing w:after="0" w:line="203" w:lineRule="auto"/>
        <w:rPr>
          <w:sz w:val="20"/>
          <w:szCs w:val="20"/>
          <w:color w:val="auto"/>
        </w:rPr>
      </w:pPr>
      <w:r>
        <w:rPr>
          <w:rFonts w:ascii="Times New Roman" w:cs="Times New Roman" w:eastAsia="Times New Roman" w:hAnsi="Times New Roman"/>
          <w:sz w:val="16"/>
          <w:szCs w:val="16"/>
          <w:color w:val="auto"/>
        </w:rPr>
        <w:t>and a clearinghouse in Europe, and the provider of</w:t>
      </w:r>
    </w:p>
    <w:p>
      <w:pPr>
        <w:spacing w:after="0" w:line="204" w:lineRule="auto"/>
        <w:rPr>
          <w:sz w:val="20"/>
          <w:szCs w:val="20"/>
          <w:color w:val="auto"/>
        </w:rPr>
      </w:pPr>
      <w:r>
        <w:rPr>
          <w:rFonts w:ascii="Times New Roman" w:cs="Times New Roman" w:eastAsia="Times New Roman" w:hAnsi="Times New Roman"/>
          <w:sz w:val="16"/>
          <w:szCs w:val="16"/>
          <w:color w:val="auto"/>
        </w:rPr>
        <w:t>information and technology services to banks, international</w:t>
      </w:r>
    </w:p>
    <w:p>
      <w:pPr>
        <w:spacing w:after="0" w:line="203" w:lineRule="auto"/>
        <w:rPr>
          <w:sz w:val="20"/>
          <w:szCs w:val="20"/>
          <w:color w:val="auto"/>
        </w:rPr>
      </w:pPr>
      <w:r>
        <w:rPr>
          <w:rFonts w:ascii="Times New Roman" w:cs="Times New Roman" w:eastAsia="Times New Roman" w:hAnsi="Times New Roman"/>
          <w:sz w:val="16"/>
          <w:szCs w:val="16"/>
          <w:color w:val="auto"/>
        </w:rPr>
        <w:t>market operators and exchanges, publicly-traded companies</w:t>
      </w:r>
    </w:p>
    <w:p>
      <w:pPr>
        <w:spacing w:after="0" w:line="233" w:lineRule="auto"/>
        <w:rPr>
          <w:sz w:val="20"/>
          <w:szCs w:val="20"/>
          <w:color w:val="auto"/>
        </w:rPr>
      </w:pPr>
      <w:r>
        <w:rPr>
          <w:rFonts w:ascii="Times New Roman" w:cs="Times New Roman" w:eastAsia="Times New Roman" w:hAnsi="Times New Roman"/>
          <w:sz w:val="14"/>
          <w:szCs w:val="14"/>
          <w:color w:val="auto"/>
        </w:rPr>
        <w:t>and other high-profile customers make us an attractive target</w:t>
      </w:r>
    </w:p>
    <w:p>
      <w:pPr>
        <w:spacing w:after="0" w:line="203" w:lineRule="auto"/>
        <w:rPr>
          <w:sz w:val="20"/>
          <w:szCs w:val="20"/>
          <w:color w:val="auto"/>
        </w:rPr>
      </w:pPr>
      <w:r>
        <w:rPr>
          <w:rFonts w:ascii="Times New Roman" w:cs="Times New Roman" w:eastAsia="Times New Roman" w:hAnsi="Times New Roman"/>
          <w:sz w:val="16"/>
          <w:szCs w:val="16"/>
          <w:color w:val="auto"/>
        </w:rPr>
        <w:t>for cybersecurity threat actors and attacks. These include</w:t>
      </w:r>
    </w:p>
    <w:p>
      <w:pPr>
        <w:spacing w:after="0" w:line="204" w:lineRule="auto"/>
        <w:rPr>
          <w:sz w:val="20"/>
          <w:szCs w:val="20"/>
          <w:color w:val="auto"/>
        </w:rPr>
      </w:pPr>
      <w:r>
        <w:rPr>
          <w:rFonts w:ascii="Times New Roman" w:cs="Times New Roman" w:eastAsia="Times New Roman" w:hAnsi="Times New Roman"/>
          <w:sz w:val="16"/>
          <w:szCs w:val="16"/>
          <w:color w:val="auto"/>
        </w:rPr>
        <w:t>adversarial nations and state-sponsored actors, hacktivists</w:t>
      </w:r>
    </w:p>
    <w:p>
      <w:pPr>
        <w:spacing w:after="0" w:line="204" w:lineRule="auto"/>
        <w:rPr>
          <w:sz w:val="20"/>
          <w:szCs w:val="20"/>
          <w:color w:val="auto"/>
        </w:rPr>
      </w:pPr>
      <w:r>
        <w:rPr>
          <w:rFonts w:ascii="Times New Roman" w:cs="Times New Roman" w:eastAsia="Times New Roman" w:hAnsi="Times New Roman"/>
          <w:sz w:val="16"/>
          <w:szCs w:val="16"/>
          <w:color w:val="auto"/>
        </w:rPr>
        <w:t>and ransomware deployers or other financially motivated</w:t>
      </w:r>
    </w:p>
    <w:p>
      <w:pPr>
        <w:spacing w:after="0" w:line="203" w:lineRule="auto"/>
        <w:rPr>
          <w:sz w:val="20"/>
          <w:szCs w:val="20"/>
          <w:color w:val="auto"/>
        </w:rPr>
      </w:pPr>
      <w:r>
        <w:rPr>
          <w:rFonts w:ascii="Times New Roman" w:cs="Times New Roman" w:eastAsia="Times New Roman" w:hAnsi="Times New Roman"/>
          <w:sz w:val="16"/>
          <w:szCs w:val="16"/>
          <w:color w:val="auto"/>
        </w:rPr>
        <w:t>criminals. Impacts of a cybersecurity incident may include:</w:t>
      </w:r>
    </w:p>
    <w:p>
      <w:pPr>
        <w:spacing w:after="0" w:line="233" w:lineRule="auto"/>
        <w:rPr>
          <w:sz w:val="20"/>
          <w:szCs w:val="20"/>
          <w:color w:val="auto"/>
        </w:rPr>
      </w:pPr>
      <w:r>
        <w:rPr>
          <w:rFonts w:ascii="Times New Roman" w:cs="Times New Roman" w:eastAsia="Times New Roman" w:hAnsi="Times New Roman"/>
          <w:sz w:val="14"/>
          <w:szCs w:val="14"/>
          <w:color w:val="auto"/>
        </w:rPr>
        <w:t>financial and reputational damage, resulting from the loss of</w:t>
      </w:r>
    </w:p>
    <w:p>
      <w:pPr>
        <w:spacing w:after="0" w:line="232" w:lineRule="auto"/>
        <w:rPr>
          <w:sz w:val="20"/>
          <w:szCs w:val="20"/>
          <w:color w:val="auto"/>
        </w:rPr>
      </w:pPr>
      <w:r>
        <w:rPr>
          <w:rFonts w:ascii="Times New Roman" w:cs="Times New Roman" w:eastAsia="Times New Roman" w:hAnsi="Times New Roman"/>
          <w:sz w:val="14"/>
          <w:szCs w:val="14"/>
          <w:color w:val="auto"/>
        </w:rPr>
        <w:t>customer confidence in our company, exchange, products or</w:t>
      </w:r>
    </w:p>
    <w:p>
      <w:pPr>
        <w:spacing w:after="0" w:line="204" w:lineRule="auto"/>
        <w:rPr>
          <w:sz w:val="20"/>
          <w:szCs w:val="20"/>
          <w:color w:val="auto"/>
        </w:rPr>
      </w:pPr>
      <w:r>
        <w:rPr>
          <w:rFonts w:ascii="Times New Roman" w:cs="Times New Roman" w:eastAsia="Times New Roman" w:hAnsi="Times New Roman"/>
          <w:sz w:val="16"/>
          <w:szCs w:val="16"/>
          <w:color w:val="auto"/>
        </w:rPr>
        <w:t>offerings; potential regulatory enforcement actions; or</w:t>
      </w:r>
    </w:p>
    <w:p>
      <w:pPr>
        <w:spacing w:after="0" w:line="233" w:lineRule="auto"/>
        <w:rPr>
          <w:sz w:val="20"/>
          <w:szCs w:val="20"/>
          <w:color w:val="auto"/>
        </w:rPr>
      </w:pPr>
      <w:r>
        <w:rPr>
          <w:rFonts w:ascii="Times New Roman" w:cs="Times New Roman" w:eastAsia="Times New Roman" w:hAnsi="Times New Roman"/>
          <w:sz w:val="14"/>
          <w:szCs w:val="14"/>
          <w:color w:val="auto"/>
        </w:rPr>
        <w:t>litigation, either from governmental authorities, shareholders,</w:t>
      </w:r>
    </w:p>
    <w:p>
      <w:pPr>
        <w:spacing w:after="0" w:line="232" w:lineRule="auto"/>
        <w:rPr>
          <w:sz w:val="20"/>
          <w:szCs w:val="20"/>
          <w:color w:val="auto"/>
        </w:rPr>
      </w:pPr>
      <w:r>
        <w:rPr>
          <w:rFonts w:ascii="Times New Roman" w:cs="Times New Roman" w:eastAsia="Times New Roman" w:hAnsi="Times New Roman"/>
          <w:sz w:val="14"/>
          <w:szCs w:val="14"/>
          <w:color w:val="auto"/>
        </w:rPr>
        <w:t>or other litigants, including customers asserting our failure to</w:t>
      </w:r>
    </w:p>
    <w:p>
      <w:pPr>
        <w:spacing w:after="0" w:line="204" w:lineRule="auto"/>
        <w:rPr>
          <w:sz w:val="20"/>
          <w:szCs w:val="20"/>
          <w:color w:val="auto"/>
        </w:rPr>
      </w:pPr>
      <w:r>
        <w:rPr>
          <w:rFonts w:ascii="Times New Roman" w:cs="Times New Roman" w:eastAsia="Times New Roman" w:hAnsi="Times New Roman"/>
          <w:sz w:val="16"/>
          <w:szCs w:val="16"/>
          <w:color w:val="auto"/>
        </w:rPr>
        <w:t>comply with contractual obligations. To date, no risks from</w:t>
      </w:r>
    </w:p>
    <w:p>
      <w:pPr>
        <w:spacing w:after="0" w:line="203" w:lineRule="auto"/>
        <w:rPr>
          <w:sz w:val="20"/>
          <w:szCs w:val="20"/>
          <w:color w:val="auto"/>
        </w:rPr>
      </w:pPr>
      <w:r>
        <w:rPr>
          <w:rFonts w:ascii="Times New Roman" w:cs="Times New Roman" w:eastAsia="Times New Roman" w:hAnsi="Times New Roman"/>
          <w:sz w:val="16"/>
          <w:szCs w:val="16"/>
          <w:color w:val="auto"/>
        </w:rPr>
        <w:t>cybersecurity threats, including as a result of any previous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cybersecurity incidents, have materially affected or 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w:t>
      </w:r>
    </w:p>
    <w:p>
      <w:pPr>
        <w:spacing w:after="0" w:line="203" w:lineRule="auto"/>
        <w:rPr>
          <w:sz w:val="20"/>
          <w:szCs w:val="20"/>
          <w:color w:val="auto"/>
        </w:rPr>
      </w:pPr>
      <w:r>
        <w:rPr>
          <w:rFonts w:ascii="Times New Roman" w:cs="Times New Roman" w:eastAsia="Times New Roman" w:hAnsi="Times New Roman"/>
          <w:sz w:val="16"/>
          <w:szCs w:val="16"/>
          <w:color w:val="auto"/>
        </w:rPr>
        <w:t>acquired company’s security infrastructure and access</w:t>
      </w:r>
    </w:p>
    <w:p>
      <w:pPr>
        <w:spacing w:after="0" w:line="204" w:lineRule="auto"/>
        <w:rPr>
          <w:sz w:val="20"/>
          <w:szCs w:val="20"/>
          <w:color w:val="auto"/>
        </w:rPr>
      </w:pPr>
      <w:r>
        <w:rPr>
          <w:rFonts w:ascii="Times New Roman" w:cs="Times New Roman" w:eastAsia="Times New Roman" w:hAnsi="Times New Roman"/>
          <w:sz w:val="16"/>
          <w:szCs w:val="16"/>
          <w:color w:val="auto"/>
        </w:rPr>
        <w:t>management practices and policies with ours.</w:t>
      </w:r>
    </w:p>
    <w:p>
      <w:pPr>
        <w:spacing w:after="0" w:line="203" w:lineRule="auto"/>
        <w:rPr>
          <w:sz w:val="20"/>
          <w:szCs w:val="20"/>
          <w:color w:val="auto"/>
        </w:rPr>
      </w:pPr>
      <w:r>
        <w:rPr>
          <w:rFonts w:ascii="Times New Roman" w:cs="Times New Roman" w:eastAsia="Times New Roman" w:hAnsi="Times New Roman"/>
          <w:sz w:val="16"/>
          <w:szCs w:val="16"/>
          <w:color w:val="auto"/>
        </w:rPr>
        <w:t>We periodically engage external advisors to perform an</w:t>
      </w:r>
    </w:p>
    <w:p>
      <w:pPr>
        <w:spacing w:after="0" w:line="204" w:lineRule="auto"/>
        <w:rPr>
          <w:sz w:val="20"/>
          <w:szCs w:val="20"/>
          <w:color w:val="auto"/>
        </w:rPr>
      </w:pPr>
      <w:r>
        <w:rPr>
          <w:rFonts w:ascii="Times New Roman" w:cs="Times New Roman" w:eastAsia="Times New Roman" w:hAnsi="Times New Roman"/>
          <w:sz w:val="16"/>
          <w:szCs w:val="16"/>
          <w:color w:val="auto"/>
        </w:rPr>
        <w:t>independent assessment of the maturity of Nasdaq’s</w:t>
      </w:r>
    </w:p>
    <w:p>
      <w:pPr>
        <w:spacing w:after="0" w:line="232" w:lineRule="auto"/>
        <w:rPr>
          <w:sz w:val="20"/>
          <w:szCs w:val="20"/>
          <w:color w:val="auto"/>
        </w:rPr>
      </w:pPr>
      <w:r>
        <w:rPr>
          <w:rFonts w:ascii="Times New Roman" w:cs="Times New Roman" w:eastAsia="Times New Roman" w:hAnsi="Times New Roman"/>
          <w:sz w:val="14"/>
          <w:szCs w:val="14"/>
          <w:color w:val="auto"/>
        </w:rPr>
        <w:t>information security programs, and compare our programs to</w:t>
      </w:r>
    </w:p>
    <w:p>
      <w:pPr>
        <w:spacing w:after="0" w:line="204" w:lineRule="auto"/>
        <w:rPr>
          <w:sz w:val="20"/>
          <w:szCs w:val="20"/>
          <w:color w:val="auto"/>
        </w:rPr>
      </w:pPr>
      <w:r>
        <w:rPr>
          <w:rFonts w:ascii="Times New Roman" w:cs="Times New Roman" w:eastAsia="Times New Roman" w:hAnsi="Times New Roman"/>
          <w:sz w:val="16"/>
          <w:szCs w:val="16"/>
          <w:color w:val="auto"/>
        </w:rPr>
        <w:t>our financial and technology industry peers. Nasdaq’s</w:t>
      </w:r>
    </w:p>
    <w:p>
      <w:pPr>
        <w:spacing w:after="0" w:line="203" w:lineRule="auto"/>
        <w:rPr>
          <w:sz w:val="20"/>
          <w:szCs w:val="20"/>
          <w:color w:val="auto"/>
        </w:rPr>
      </w:pPr>
      <w:r>
        <w:rPr>
          <w:rFonts w:ascii="Times New Roman" w:cs="Times New Roman" w:eastAsia="Times New Roman" w:hAnsi="Times New Roman"/>
          <w:sz w:val="16"/>
          <w:szCs w:val="16"/>
          <w:color w:val="auto"/>
        </w:rPr>
        <w:t>InfoSec program has demonstrated increasing levels of</w:t>
      </w:r>
    </w:p>
    <w:p>
      <w:pPr>
        <w:spacing w:after="0" w:line="204" w:lineRule="auto"/>
        <w:rPr>
          <w:sz w:val="20"/>
          <w:szCs w:val="20"/>
          <w:color w:val="auto"/>
        </w:rPr>
      </w:pPr>
      <w:r>
        <w:rPr>
          <w:rFonts w:ascii="Times New Roman" w:cs="Times New Roman" w:eastAsia="Times New Roman" w:hAnsi="Times New Roman"/>
          <w:sz w:val="16"/>
          <w:szCs w:val="16"/>
          <w:color w:val="auto"/>
        </w:rPr>
        <w:t>maturity year-over-year for every assessed program</w:t>
      </w:r>
    </w:p>
    <w:p>
      <w:pPr>
        <w:spacing w:after="0" w:line="203" w:lineRule="auto"/>
        <w:rPr>
          <w:sz w:val="20"/>
          <w:szCs w:val="20"/>
          <w:color w:val="auto"/>
        </w:rPr>
      </w:pPr>
      <w:r>
        <w:rPr>
          <w:rFonts w:ascii="Times New Roman" w:cs="Times New Roman" w:eastAsia="Times New Roman" w:hAnsi="Times New Roman"/>
          <w:sz w:val="16"/>
          <w:szCs w:val="16"/>
          <w:color w:val="auto"/>
        </w:rPr>
        <w:t>component. Recommendations to further enhance our</w:t>
      </w:r>
    </w:p>
    <w:p>
      <w:pPr>
        <w:spacing w:after="0" w:line="204" w:lineRule="auto"/>
        <w:rPr>
          <w:sz w:val="20"/>
          <w:szCs w:val="20"/>
          <w:color w:val="auto"/>
        </w:rPr>
      </w:pPr>
      <w:r>
        <w:rPr>
          <w:rFonts w:ascii="Times New Roman" w:cs="Times New Roman" w:eastAsia="Times New Roman" w:hAnsi="Times New Roman"/>
          <w:sz w:val="16"/>
          <w:szCs w:val="16"/>
          <w:color w:val="auto"/>
        </w:rPr>
        <w:t>procedures and maturity ratings from these assessments are</w:t>
      </w:r>
    </w:p>
    <w:p>
      <w:pPr>
        <w:spacing w:after="0" w:line="204" w:lineRule="auto"/>
        <w:rPr>
          <w:sz w:val="20"/>
          <w:szCs w:val="20"/>
          <w:color w:val="auto"/>
        </w:rPr>
      </w:pPr>
      <w:r>
        <w:rPr>
          <w:rFonts w:ascii="Times New Roman" w:cs="Times New Roman" w:eastAsia="Times New Roman" w:hAnsi="Times New Roman"/>
          <w:sz w:val="16"/>
          <w:szCs w:val="16"/>
          <w:color w:val="auto"/>
        </w:rPr>
        <w:t>then presented to our executive management team and the</w:t>
      </w:r>
    </w:p>
    <w:p>
      <w:pPr>
        <w:spacing w:after="0" w:line="203" w:lineRule="auto"/>
        <w:rPr>
          <w:sz w:val="20"/>
          <w:szCs w:val="20"/>
          <w:color w:val="auto"/>
        </w:rPr>
      </w:pPr>
      <w:r>
        <w:rPr>
          <w:rFonts w:ascii="Times New Roman" w:cs="Times New Roman" w:eastAsia="Times New Roman" w:hAnsi="Times New Roman"/>
          <w:sz w:val="16"/>
          <w:szCs w:val="16"/>
          <w:color w:val="auto"/>
        </w:rPr>
        <w:t>Audit &amp; Risk Committee.</w:t>
      </w:r>
    </w:p>
    <w:p>
      <w:pPr>
        <w:spacing w:after="0" w:line="233" w:lineRule="auto"/>
        <w:rPr>
          <w:sz w:val="20"/>
          <w:szCs w:val="20"/>
          <w:color w:val="auto"/>
        </w:rPr>
      </w:pPr>
      <w:r>
        <w:rPr>
          <w:rFonts w:ascii="Times New Roman" w:cs="Times New Roman" w:eastAsia="Times New Roman" w:hAnsi="Times New Roman"/>
          <w:sz w:val="14"/>
          <w:szCs w:val="14"/>
          <w:color w:val="auto"/>
        </w:rPr>
        <w:t>On a periodic basis, our management team and the Board of</w:t>
      </w:r>
    </w:p>
    <w:p>
      <w:pPr>
        <w:spacing w:after="0" w:line="203" w:lineRule="auto"/>
        <w:rPr>
          <w:sz w:val="20"/>
          <w:szCs w:val="20"/>
          <w:color w:val="auto"/>
        </w:rPr>
      </w:pPr>
      <w:r>
        <w:rPr>
          <w:rFonts w:ascii="Times New Roman" w:cs="Times New Roman" w:eastAsia="Times New Roman" w:hAnsi="Times New Roman"/>
          <w:sz w:val="16"/>
          <w:szCs w:val="16"/>
          <w:color w:val="auto"/>
        </w:rPr>
        <w:t>Directors conduct tabletop exercises and simulations on</w:t>
      </w:r>
    </w:p>
    <w:p>
      <w:pPr>
        <w:spacing w:after="0" w:line="204" w:lineRule="auto"/>
        <w:rPr>
          <w:sz w:val="20"/>
          <w:szCs w:val="20"/>
          <w:color w:val="auto"/>
        </w:rPr>
      </w:pPr>
      <w:r>
        <w:rPr>
          <w:rFonts w:ascii="Times New Roman" w:cs="Times New Roman" w:eastAsia="Times New Roman" w:hAnsi="Times New Roman"/>
          <w:sz w:val="16"/>
          <w:szCs w:val="16"/>
          <w:color w:val="auto"/>
        </w:rPr>
        <w:t>cybersecurity matters, with assistance from internal and</w:t>
      </w:r>
    </w:p>
    <w:p>
      <w:pPr>
        <w:spacing w:after="0" w:line="203" w:lineRule="auto"/>
        <w:rPr>
          <w:sz w:val="20"/>
          <w:szCs w:val="20"/>
          <w:color w:val="auto"/>
        </w:rPr>
      </w:pPr>
      <w:r>
        <w:rPr>
          <w:rFonts w:ascii="Times New Roman" w:cs="Times New Roman" w:eastAsia="Times New Roman" w:hAnsi="Times New Roman"/>
          <w:sz w:val="16"/>
          <w:szCs w:val="16"/>
          <w:color w:val="auto"/>
        </w:rPr>
        <w:t>outside experts. These exercises are intended to strengthen</w:t>
      </w:r>
    </w:p>
    <w:p>
      <w:pPr>
        <w:spacing w:after="0" w:line="204" w:lineRule="auto"/>
        <w:rPr>
          <w:sz w:val="20"/>
          <w:szCs w:val="20"/>
          <w:color w:val="auto"/>
        </w:rPr>
      </w:pPr>
      <w:r>
        <w:rPr>
          <w:rFonts w:ascii="Times New Roman" w:cs="Times New Roman" w:eastAsia="Times New Roman" w:hAnsi="Times New Roman"/>
          <w:sz w:val="16"/>
          <w:szCs w:val="16"/>
          <w:color w:val="auto"/>
        </w:rPr>
        <w:t>resilience and readiness to address different cybersecurity</w:t>
      </w:r>
    </w:p>
    <w:p>
      <w:pPr>
        <w:spacing w:after="0" w:line="204" w:lineRule="auto"/>
        <w:rPr>
          <w:sz w:val="20"/>
          <w:szCs w:val="20"/>
          <w:color w:val="auto"/>
        </w:rPr>
      </w:pPr>
      <w:r>
        <w:rPr>
          <w:rFonts w:ascii="Times New Roman" w:cs="Times New Roman" w:eastAsia="Times New Roman" w:hAnsi="Times New Roman"/>
          <w:sz w:val="16"/>
          <w:szCs w:val="16"/>
          <w:color w:val="auto"/>
        </w:rPr>
        <w:t>incident scenarios.</w:t>
      </w:r>
    </w:p>
    <w:p>
      <w:pPr>
        <w:spacing w:after="0" w:line="203" w:lineRule="auto"/>
        <w:rPr>
          <w:sz w:val="20"/>
          <w:szCs w:val="20"/>
          <w:color w:val="auto"/>
        </w:rPr>
      </w:pPr>
      <w:r>
        <w:rPr>
          <w:rFonts w:ascii="Times New Roman" w:cs="Times New Roman" w:eastAsia="Times New Roman" w:hAnsi="Times New Roman"/>
          <w:sz w:val="16"/>
          <w:szCs w:val="16"/>
          <w:color w:val="auto"/>
        </w:rPr>
        <w:t>We use certain cloud-based third-party vendors for the core</w:t>
      </w:r>
    </w:p>
    <w:p>
      <w:pPr>
        <w:spacing w:after="0" w:line="233" w:lineRule="auto"/>
        <w:rPr>
          <w:sz w:val="20"/>
          <w:szCs w:val="20"/>
          <w:color w:val="auto"/>
        </w:rPr>
      </w:pPr>
      <w:r>
        <w:rPr>
          <w:rFonts w:ascii="Times New Roman" w:cs="Times New Roman" w:eastAsia="Times New Roman" w:hAnsi="Times New Roman"/>
          <w:sz w:val="14"/>
          <w:szCs w:val="14"/>
          <w:color w:val="auto"/>
        </w:rPr>
        <w:t>trading systems of certain of our exchanges and certain of our</w:t>
      </w:r>
    </w:p>
    <w:p>
      <w:pPr>
        <w:spacing w:after="0" w:line="203" w:lineRule="auto"/>
        <w:rPr>
          <w:sz w:val="20"/>
          <w:szCs w:val="20"/>
          <w:color w:val="auto"/>
        </w:rPr>
      </w:pPr>
      <w:r>
        <w:rPr>
          <w:rFonts w:ascii="Times New Roman" w:cs="Times New Roman" w:eastAsia="Times New Roman" w:hAnsi="Times New Roman"/>
          <w:sz w:val="16"/>
          <w:szCs w:val="16"/>
          <w:color w:val="auto"/>
        </w:rPr>
        <w:t>governance products and solutions. Prior to engaging such</w:t>
      </w:r>
    </w:p>
    <w:p>
      <w:pPr>
        <w:spacing w:after="0" w:line="204" w:lineRule="auto"/>
        <w:rPr>
          <w:sz w:val="20"/>
          <w:szCs w:val="20"/>
          <w:color w:val="auto"/>
        </w:rPr>
      </w:pPr>
      <w:r>
        <w:rPr>
          <w:rFonts w:ascii="Times New Roman" w:cs="Times New Roman" w:eastAsia="Times New Roman" w:hAnsi="Times New Roman"/>
          <w:sz w:val="16"/>
          <w:szCs w:val="16"/>
          <w:color w:val="auto"/>
        </w:rPr>
        <w:t>vendors, we analyze each provider’s SOC2 certifications,</w:t>
      </w:r>
    </w:p>
    <w:p>
      <w:pPr>
        <w:spacing w:after="0" w:line="203" w:lineRule="auto"/>
        <w:rPr>
          <w:sz w:val="20"/>
          <w:szCs w:val="20"/>
          <w:color w:val="auto"/>
        </w:rPr>
      </w:pPr>
      <w:r>
        <w:rPr>
          <w:rFonts w:ascii="Times New Roman" w:cs="Times New Roman" w:eastAsia="Times New Roman" w:hAnsi="Times New Roman"/>
          <w:sz w:val="16"/>
          <w:szCs w:val="16"/>
          <w:color w:val="auto"/>
        </w:rPr>
        <w:t>perform due diligence testing for information security and</w:t>
      </w:r>
    </w:p>
    <w:p>
      <w:pPr>
        <w:spacing w:after="0" w:line="204" w:lineRule="auto"/>
        <w:rPr>
          <w:sz w:val="20"/>
          <w:szCs w:val="20"/>
          <w:color w:val="auto"/>
        </w:rPr>
      </w:pPr>
      <w:r>
        <w:rPr>
          <w:rFonts w:ascii="Times New Roman" w:cs="Times New Roman" w:eastAsia="Times New Roman" w:hAnsi="Times New Roman"/>
          <w:sz w:val="16"/>
          <w:szCs w:val="16"/>
          <w:color w:val="auto"/>
        </w:rPr>
        <w:t>interoperability with our systems, and annually review the</w:t>
      </w:r>
    </w:p>
    <w:p>
      <w:pPr>
        <w:spacing w:after="0" w:line="204" w:lineRule="auto"/>
        <w:rPr>
          <w:sz w:val="20"/>
          <w:szCs w:val="20"/>
          <w:color w:val="auto"/>
        </w:rPr>
      </w:pPr>
      <w:r>
        <w:rPr>
          <w:rFonts w:ascii="Times New Roman" w:cs="Times New Roman" w:eastAsia="Times New Roman" w:hAnsi="Times New Roman"/>
          <w:sz w:val="16"/>
          <w:szCs w:val="16"/>
          <w:color w:val="auto"/>
        </w:rPr>
        <w:t>SOC2 certifications. Our security assurance and threat</w:t>
      </w:r>
    </w:p>
    <w:p>
      <w:pPr>
        <w:spacing w:after="0" w:line="203" w:lineRule="auto"/>
        <w:rPr>
          <w:sz w:val="20"/>
          <w:szCs w:val="20"/>
          <w:color w:val="auto"/>
        </w:rPr>
      </w:pPr>
      <w:r>
        <w:rPr>
          <w:rFonts w:ascii="Times New Roman" w:cs="Times New Roman" w:eastAsia="Times New Roman" w:hAnsi="Times New Roman"/>
          <w:sz w:val="16"/>
          <w:szCs w:val="16"/>
          <w:color w:val="auto"/>
        </w:rPr>
        <w:t>assessment team, within our Information Security</w:t>
      </w:r>
    </w:p>
    <w:p>
      <w:pPr>
        <w:spacing w:after="0" w:line="204" w:lineRule="auto"/>
        <w:rPr>
          <w:sz w:val="20"/>
          <w:szCs w:val="20"/>
          <w:color w:val="auto"/>
        </w:rPr>
      </w:pPr>
      <w:r>
        <w:rPr>
          <w:rFonts w:ascii="Times New Roman" w:cs="Times New Roman" w:eastAsia="Times New Roman" w:hAnsi="Times New Roman"/>
          <w:sz w:val="16"/>
          <w:szCs w:val="16"/>
          <w:color w:val="auto"/>
        </w:rPr>
        <w:t>organization, collaborates with our external threat</w:t>
      </w:r>
    </w:p>
    <w:p>
      <w:pPr>
        <w:spacing w:after="0" w:line="232" w:lineRule="auto"/>
        <w:rPr>
          <w:sz w:val="20"/>
          <w:szCs w:val="20"/>
          <w:color w:val="auto"/>
        </w:rPr>
      </w:pPr>
      <w:r>
        <w:rPr>
          <w:rFonts w:ascii="Times New Roman" w:cs="Times New Roman" w:eastAsia="Times New Roman" w:hAnsi="Times New Roman"/>
          <w:sz w:val="14"/>
          <w:szCs w:val="14"/>
          <w:color w:val="auto"/>
        </w:rPr>
        <w:t>intelligence providers to proactively review Nasdaq, and our</w:t>
      </w:r>
    </w:p>
    <w:p>
      <w:pPr>
        <w:spacing w:after="0" w:line="233" w:lineRule="auto"/>
        <w:rPr>
          <w:sz w:val="20"/>
          <w:szCs w:val="20"/>
          <w:color w:val="auto"/>
        </w:rPr>
      </w:pPr>
      <w:r>
        <w:rPr>
          <w:rFonts w:ascii="Times New Roman" w:cs="Times New Roman" w:eastAsia="Times New Roman" w:hAnsi="Times New Roman"/>
          <w:sz w:val="14"/>
          <w:szCs w:val="14"/>
          <w:color w:val="auto"/>
        </w:rPr>
        <w:t>vendors with respect to emerging threats and associated risks.</w:t>
      </w:r>
    </w:p>
    <w:p>
      <w:pPr>
        <w:spacing w:after="0" w:line="203" w:lineRule="auto"/>
        <w:rPr>
          <w:sz w:val="20"/>
          <w:szCs w:val="20"/>
          <w:color w:val="auto"/>
        </w:rPr>
      </w:pPr>
      <w:r>
        <w:rPr>
          <w:rFonts w:ascii="Times New Roman" w:cs="Times New Roman" w:eastAsia="Times New Roman" w:hAnsi="Times New Roman"/>
          <w:sz w:val="16"/>
          <w:szCs w:val="16"/>
          <w:color w:val="auto"/>
        </w:rPr>
        <w:t>For our third-party service providers, our risk assessment</w:t>
      </w:r>
    </w:p>
    <w:p>
      <w:pPr>
        <w:spacing w:after="0" w:line="204" w:lineRule="auto"/>
        <w:rPr>
          <w:sz w:val="20"/>
          <w:szCs w:val="20"/>
          <w:color w:val="auto"/>
        </w:rPr>
      </w:pPr>
      <w:r>
        <w:rPr>
          <w:rFonts w:ascii="Times New Roman" w:cs="Times New Roman" w:eastAsia="Times New Roman" w:hAnsi="Times New Roman"/>
          <w:sz w:val="16"/>
          <w:szCs w:val="16"/>
          <w:color w:val="auto"/>
        </w:rPr>
        <w:t>process evaluates the probability and potential impact of</w:t>
      </w:r>
    </w:p>
    <w:p>
      <w:pPr>
        <w:spacing w:after="0" w:line="204" w:lineRule="auto"/>
        <w:rPr>
          <w:sz w:val="20"/>
          <w:szCs w:val="20"/>
          <w:color w:val="auto"/>
        </w:rPr>
      </w:pPr>
      <w:r>
        <w:rPr>
          <w:rFonts w:ascii="Times New Roman" w:cs="Times New Roman" w:eastAsia="Times New Roman" w:hAnsi="Times New Roman"/>
          <w:sz w:val="16"/>
          <w:szCs w:val="16"/>
          <w:color w:val="auto"/>
        </w:rPr>
        <w:t>incidents related to operational errors, technology</w:t>
      </w:r>
    </w:p>
    <w:p>
      <w:pPr>
        <w:spacing w:after="0" w:line="232" w:lineRule="auto"/>
        <w:rPr>
          <w:sz w:val="20"/>
          <w:szCs w:val="20"/>
          <w:color w:val="auto"/>
        </w:rPr>
      </w:pPr>
      <w:r>
        <w:rPr>
          <w:rFonts w:ascii="Times New Roman" w:cs="Times New Roman" w:eastAsia="Times New Roman" w:hAnsi="Times New Roman"/>
          <w:sz w:val="14"/>
          <w:szCs w:val="14"/>
          <w:color w:val="auto"/>
        </w:rPr>
        <w:t>disruptions, information security breaches, workforce issues,</w:t>
      </w:r>
    </w:p>
    <w:p>
      <w:pPr>
        <w:spacing w:after="0" w:line="204" w:lineRule="auto"/>
        <w:rPr>
          <w:sz w:val="20"/>
          <w:szCs w:val="20"/>
          <w:color w:val="auto"/>
        </w:rPr>
      </w:pPr>
      <w:r>
        <w:rPr>
          <w:rFonts w:ascii="Times New Roman" w:cs="Times New Roman" w:eastAsia="Times New Roman" w:hAnsi="Times New Roman"/>
          <w:sz w:val="16"/>
          <w:szCs w:val="16"/>
          <w:color w:val="auto"/>
        </w:rPr>
        <w:t>internal and external fraud, financial actions, and legal and</w:t>
      </w:r>
    </w:p>
    <w:p>
      <w:pPr>
        <w:spacing w:after="0" w:line="203" w:lineRule="auto"/>
        <w:rPr>
          <w:sz w:val="20"/>
          <w:szCs w:val="20"/>
          <w:color w:val="auto"/>
        </w:rPr>
      </w:pPr>
      <w:r>
        <w:rPr>
          <w:rFonts w:ascii="Times New Roman" w:cs="Times New Roman" w:eastAsia="Times New Roman" w:hAnsi="Times New Roman"/>
          <w:sz w:val="16"/>
          <w:szCs w:val="16"/>
          <w:color w:val="auto"/>
        </w:rPr>
        <w:t>regulatory matters. This assessment process is part of our</w:t>
      </w:r>
    </w:p>
    <w:p>
      <w:pPr>
        <w:spacing w:after="0" w:line="204" w:lineRule="auto"/>
        <w:rPr>
          <w:sz w:val="20"/>
          <w:szCs w:val="20"/>
          <w:color w:val="auto"/>
        </w:rPr>
      </w:pPr>
      <w:r>
        <w:rPr>
          <w:rFonts w:ascii="Times New Roman" w:cs="Times New Roman" w:eastAsia="Times New Roman" w:hAnsi="Times New Roman"/>
          <w:sz w:val="16"/>
          <w:szCs w:val="16"/>
          <w:color w:val="auto"/>
        </w:rPr>
        <w:t>Supplier Risk Management program, which establishes</w:t>
      </w:r>
    </w:p>
    <w:p>
      <w:pPr>
        <w:spacing w:after="0" w:line="203" w:lineRule="auto"/>
        <w:rPr>
          <w:sz w:val="20"/>
          <w:szCs w:val="20"/>
          <w:color w:val="auto"/>
        </w:rPr>
      </w:pPr>
      <w:r>
        <w:rPr>
          <w:rFonts w:ascii="Times New Roman" w:cs="Times New Roman" w:eastAsia="Times New Roman" w:hAnsi="Times New Roman"/>
          <w:sz w:val="16"/>
          <w:szCs w:val="16"/>
          <w:color w:val="auto"/>
        </w:rPr>
        <w:t>processes for identifying, assessing, and periodically</w:t>
      </w:r>
    </w:p>
    <w:p>
      <w:pPr>
        <w:spacing w:after="0" w:line="204" w:lineRule="auto"/>
        <w:rPr>
          <w:sz w:val="20"/>
          <w:szCs w:val="20"/>
          <w:color w:val="auto"/>
        </w:rPr>
      </w:pPr>
      <w:r>
        <w:rPr>
          <w:rFonts w:ascii="Times New Roman" w:cs="Times New Roman" w:eastAsia="Times New Roman" w:hAnsi="Times New Roman"/>
          <w:sz w:val="16"/>
          <w:szCs w:val="16"/>
          <w:color w:val="auto"/>
        </w:rPr>
        <w:t>reviewing our exposure to risk through third party vendors.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Governance</w:t>
      </w:r>
    </w:p>
    <w:p>
      <w:pPr>
        <w:spacing w:after="0" w:line="204" w:lineRule="auto"/>
        <w:rPr>
          <w:sz w:val="20"/>
          <w:szCs w:val="20"/>
          <w:color w:val="auto"/>
        </w:rPr>
      </w:pPr>
      <w:r>
        <w:rPr>
          <w:rFonts w:ascii="Times New Roman" w:cs="Times New Roman" w:eastAsia="Times New Roman" w:hAnsi="Times New Roman"/>
          <w:sz w:val="16"/>
          <w:szCs w:val="16"/>
          <w:color w:val="auto"/>
        </w:rPr>
        <w:t>Cybersecurity is an integral part of risk management at</w:t>
      </w:r>
    </w:p>
    <w:p>
      <w:pPr>
        <w:spacing w:after="0" w:line="203" w:lineRule="auto"/>
        <w:rPr>
          <w:sz w:val="20"/>
          <w:szCs w:val="20"/>
          <w:color w:val="auto"/>
        </w:rPr>
      </w:pPr>
      <w:r>
        <w:rPr>
          <w:rFonts w:ascii="Times New Roman" w:cs="Times New Roman" w:eastAsia="Times New Roman" w:hAnsi="Times New Roman"/>
          <w:sz w:val="16"/>
          <w:szCs w:val="16"/>
          <w:color w:val="auto"/>
        </w:rPr>
        <w:t>Nasdaq. The Board of Directors appreciates the rapidly</w:t>
      </w:r>
    </w:p>
    <w:p>
      <w:pPr>
        <w:spacing w:after="0" w:line="204" w:lineRule="auto"/>
        <w:rPr>
          <w:sz w:val="20"/>
          <w:szCs w:val="20"/>
          <w:color w:val="auto"/>
        </w:rPr>
      </w:pPr>
      <w:r>
        <w:rPr>
          <w:rFonts w:ascii="Times New Roman" w:cs="Times New Roman" w:eastAsia="Times New Roman" w:hAnsi="Times New Roman"/>
          <w:sz w:val="16"/>
          <w:szCs w:val="16"/>
          <w:color w:val="auto"/>
        </w:rPr>
        <w:t>evolving nature of threats presented by cybersecurity</w:t>
      </w:r>
    </w:p>
    <w:p>
      <w:pPr>
        <w:spacing w:after="0" w:line="204" w:lineRule="auto"/>
        <w:rPr>
          <w:sz w:val="20"/>
          <w:szCs w:val="20"/>
          <w:color w:val="auto"/>
        </w:rPr>
      </w:pPr>
      <w:r>
        <w:rPr>
          <w:rFonts w:ascii="Times New Roman" w:cs="Times New Roman" w:eastAsia="Times New Roman" w:hAnsi="Times New Roman"/>
          <w:sz w:val="16"/>
          <w:szCs w:val="16"/>
          <w:color w:val="auto"/>
        </w:rPr>
        <w:t>incidents and is committed to the prevention, timely</w:t>
      </w:r>
    </w:p>
    <w:p>
      <w:pPr>
        <w:spacing w:after="0" w:line="232" w:lineRule="auto"/>
        <w:rPr>
          <w:sz w:val="20"/>
          <w:szCs w:val="20"/>
          <w:color w:val="auto"/>
        </w:rPr>
      </w:pPr>
      <w:r>
        <w:rPr>
          <w:rFonts w:ascii="Times New Roman" w:cs="Times New Roman" w:eastAsia="Times New Roman" w:hAnsi="Times New Roman"/>
          <w:sz w:val="14"/>
          <w:szCs w:val="14"/>
          <w:color w:val="auto"/>
        </w:rPr>
        <w:t>detection, and mitigation of the effect any such incidents may</w:t>
      </w:r>
    </w:p>
    <w:p>
      <w:pPr>
        <w:spacing w:after="0" w:line="233" w:lineRule="auto"/>
        <w:rPr>
          <w:sz w:val="20"/>
          <w:szCs w:val="20"/>
          <w:color w:val="auto"/>
        </w:rPr>
      </w:pPr>
      <w:r>
        <w:rPr>
          <w:rFonts w:ascii="Times New Roman" w:cs="Times New Roman" w:eastAsia="Times New Roman" w:hAnsi="Times New Roman"/>
          <w:sz w:val="14"/>
          <w:szCs w:val="14"/>
          <w:color w:val="auto"/>
        </w:rPr>
        <w:t>have on us. Our Global Risk Management Committee, which</w:t>
      </w:r>
    </w:p>
    <w:p>
      <w:pPr>
        <w:spacing w:after="0" w:line="203" w:lineRule="auto"/>
        <w:rPr>
          <w:sz w:val="20"/>
          <w:szCs w:val="20"/>
          <w:color w:val="auto"/>
        </w:rPr>
      </w:pPr>
      <w:r>
        <w:rPr>
          <w:rFonts w:ascii="Times New Roman" w:cs="Times New Roman" w:eastAsia="Times New Roman" w:hAnsi="Times New Roman"/>
          <w:sz w:val="16"/>
          <w:szCs w:val="16"/>
          <w:color w:val="auto"/>
        </w:rPr>
        <w:t>includes our Chair and CEO and other senior executives,</w:t>
      </w:r>
    </w:p>
    <w:p>
      <w:pPr>
        <w:spacing w:after="0" w:line="204" w:lineRule="auto"/>
        <w:rPr>
          <w:sz w:val="20"/>
          <w:szCs w:val="20"/>
          <w:color w:val="auto"/>
        </w:rPr>
      </w:pPr>
      <w:r>
        <w:rPr>
          <w:rFonts w:ascii="Times New Roman" w:cs="Times New Roman" w:eastAsia="Times New Roman" w:hAnsi="Times New Roman"/>
          <w:sz w:val="16"/>
          <w:szCs w:val="16"/>
          <w:color w:val="auto"/>
        </w:rPr>
        <w:t>assists the Board of Directors in its cybersecurity risk</w:t>
      </w:r>
    </w:p>
    <w:p>
      <w:pPr>
        <w:spacing w:after="0" w:line="203" w:lineRule="auto"/>
        <w:rPr>
          <w:sz w:val="20"/>
          <w:szCs w:val="20"/>
          <w:color w:val="auto"/>
        </w:rPr>
      </w:pPr>
      <w:r>
        <w:rPr>
          <w:rFonts w:ascii="Times New Roman" w:cs="Times New Roman" w:eastAsia="Times New Roman" w:hAnsi="Times New Roman"/>
          <w:sz w:val="16"/>
          <w:szCs w:val="16"/>
          <w:color w:val="auto"/>
        </w:rPr>
        <w:t>oversight role.</w:t>
      </w:r>
    </w:p>
    <w:p>
      <w:pPr>
        <w:spacing w:after="0" w:line="233" w:lineRule="auto"/>
        <w:rPr>
          <w:sz w:val="20"/>
          <w:szCs w:val="20"/>
          <w:color w:val="auto"/>
        </w:rPr>
      </w:pPr>
      <w:r>
        <w:rPr>
          <w:rFonts w:ascii="Times New Roman" w:cs="Times New Roman" w:eastAsia="Times New Roman" w:hAnsi="Times New Roman"/>
          <w:sz w:val="14"/>
          <w:szCs w:val="14"/>
          <w:color w:val="auto"/>
        </w:rPr>
        <w:t>We use a cross-departmental approach to assess and manage</w:t>
      </w:r>
    </w:p>
    <w:p>
      <w:pPr>
        <w:spacing w:after="0" w:line="233" w:lineRule="auto"/>
        <w:rPr>
          <w:sz w:val="20"/>
          <w:szCs w:val="20"/>
          <w:color w:val="auto"/>
        </w:rPr>
      </w:pPr>
      <w:r>
        <w:rPr>
          <w:rFonts w:ascii="Times New Roman" w:cs="Times New Roman" w:eastAsia="Times New Roman" w:hAnsi="Times New Roman"/>
          <w:sz w:val="14"/>
          <w:szCs w:val="14"/>
          <w:color w:val="auto"/>
        </w:rPr>
        <w:t>cybersecurity risk, with our Information Security; Legal, Risk</w:t>
      </w:r>
    </w:p>
    <w:p>
      <w:pPr>
        <w:spacing w:after="0" w:line="203" w:lineRule="auto"/>
        <w:rPr>
          <w:sz w:val="20"/>
          <w:szCs w:val="20"/>
          <w:color w:val="auto"/>
        </w:rPr>
      </w:pPr>
      <w:r>
        <w:rPr>
          <w:rFonts w:ascii="Times New Roman" w:cs="Times New Roman" w:eastAsia="Times New Roman" w:hAnsi="Times New Roman"/>
          <w:sz w:val="16"/>
          <w:szCs w:val="16"/>
          <w:color w:val="auto"/>
        </w:rPr>
        <w:t>and Regulatory; and Internal Audit functions presenting on</w:t>
      </w:r>
    </w:p>
    <w:p>
      <w:pPr>
        <w:spacing w:after="0" w:line="204" w:lineRule="auto"/>
        <w:rPr>
          <w:sz w:val="20"/>
          <w:szCs w:val="20"/>
          <w:color w:val="auto"/>
        </w:rPr>
      </w:pPr>
      <w:r>
        <w:rPr>
          <w:rFonts w:ascii="Times New Roman" w:cs="Times New Roman" w:eastAsia="Times New Roman" w:hAnsi="Times New Roman"/>
          <w:sz w:val="16"/>
          <w:szCs w:val="16"/>
          <w:color w:val="auto"/>
        </w:rPr>
        <w:t>key topics to the Audit &amp; Risk Committee, which provides</w:t>
      </w:r>
    </w:p>
    <w:p>
      <w:pPr>
        <w:spacing w:after="0" w:line="203" w:lineRule="auto"/>
        <w:rPr>
          <w:sz w:val="20"/>
          <w:szCs w:val="20"/>
          <w:color w:val="auto"/>
        </w:rPr>
      </w:pPr>
      <w:r>
        <w:rPr>
          <w:rFonts w:ascii="Times New Roman" w:cs="Times New Roman" w:eastAsia="Times New Roman" w:hAnsi="Times New Roman"/>
          <w:sz w:val="16"/>
          <w:szCs w:val="16"/>
          <w:color w:val="auto"/>
        </w:rPr>
        <w:t>oversight of our cybersecurity risk. Additionally, members</w:t>
      </w:r>
    </w:p>
    <w:p>
      <w:pPr>
        <w:spacing w:after="0" w:line="204" w:lineRule="auto"/>
        <w:rPr>
          <w:sz w:val="20"/>
          <w:szCs w:val="20"/>
          <w:color w:val="auto"/>
        </w:rPr>
      </w:pPr>
      <w:r>
        <w:rPr>
          <w:rFonts w:ascii="Times New Roman" w:cs="Times New Roman" w:eastAsia="Times New Roman" w:hAnsi="Times New Roman"/>
          <w:sz w:val="16"/>
          <w:szCs w:val="16"/>
          <w:color w:val="auto"/>
        </w:rPr>
        <w:t>from these organizations, along with Finance and</w:t>
      </w:r>
    </w:p>
    <w:p>
      <w:pPr>
        <w:spacing w:after="0" w:line="204" w:lineRule="auto"/>
        <w:rPr>
          <w:sz w:val="20"/>
          <w:szCs w:val="20"/>
          <w:color w:val="auto"/>
        </w:rPr>
      </w:pPr>
      <w:r>
        <w:rPr>
          <w:rFonts w:ascii="Times New Roman" w:cs="Times New Roman" w:eastAsia="Times New Roman" w:hAnsi="Times New Roman"/>
          <w:sz w:val="16"/>
          <w:szCs w:val="16"/>
          <w:color w:val="auto"/>
        </w:rPr>
        <w:t>Accounting, Global Technology and Corporate</w:t>
      </w:r>
    </w:p>
    <w:p>
      <w:pPr>
        <w:spacing w:after="0" w:line="232" w:lineRule="auto"/>
        <w:rPr>
          <w:sz w:val="20"/>
          <w:szCs w:val="20"/>
          <w:color w:val="auto"/>
        </w:rPr>
      </w:pPr>
      <w:r>
        <w:rPr>
          <w:rFonts w:ascii="Times New Roman" w:cs="Times New Roman" w:eastAsia="Times New Roman" w:hAnsi="Times New Roman"/>
          <w:sz w:val="14"/>
          <w:szCs w:val="14"/>
          <w:color w:val="auto"/>
        </w:rPr>
        <w:t>Communications, comprise a rapid response team that would</w:t>
      </w:r>
    </w:p>
    <w:p>
      <w:pPr>
        <w:spacing w:after="0" w:line="204" w:lineRule="auto"/>
        <w:rPr>
          <w:sz w:val="20"/>
          <w:szCs w:val="20"/>
          <w:color w:val="auto"/>
        </w:rPr>
      </w:pPr>
      <w:r>
        <w:rPr>
          <w:rFonts w:ascii="Times New Roman" w:cs="Times New Roman" w:eastAsia="Times New Roman" w:hAnsi="Times New Roman"/>
          <w:sz w:val="16"/>
          <w:szCs w:val="16"/>
          <w:color w:val="auto"/>
        </w:rPr>
        <w:t>mobilize in the event of a potentially significant</w:t>
      </w:r>
    </w:p>
    <w:p>
      <w:pPr>
        <w:spacing w:after="0" w:line="203" w:lineRule="auto"/>
        <w:rPr>
          <w:sz w:val="20"/>
          <w:szCs w:val="20"/>
          <w:color w:val="auto"/>
        </w:rPr>
      </w:pPr>
      <w:r>
        <w:rPr>
          <w:rFonts w:ascii="Times New Roman" w:cs="Times New Roman" w:eastAsia="Times New Roman" w:hAnsi="Times New Roman"/>
          <w:sz w:val="16"/>
          <w:szCs w:val="16"/>
          <w:color w:val="auto"/>
        </w:rPr>
        <w:t>cybersecurity incident and would analyze and evaluate the</w:t>
      </w:r>
    </w:p>
    <w:p>
      <w:pPr>
        <w:spacing w:after="0" w:line="233" w:lineRule="auto"/>
        <w:rPr>
          <w:sz w:val="20"/>
          <w:szCs w:val="20"/>
          <w:color w:val="auto"/>
        </w:rPr>
      </w:pPr>
      <w:r>
        <w:rPr>
          <w:rFonts w:ascii="Times New Roman" w:cs="Times New Roman" w:eastAsia="Times New Roman" w:hAnsi="Times New Roman"/>
          <w:sz w:val="14"/>
          <w:szCs w:val="14"/>
          <w:color w:val="auto"/>
        </w:rPr>
        <w:t>incident while also advising the executive management team.</w:t>
      </w:r>
    </w:p>
    <w:p>
      <w:pPr>
        <w:spacing w:after="0" w:line="203" w:lineRule="auto"/>
        <w:rPr>
          <w:sz w:val="20"/>
          <w:szCs w:val="20"/>
          <w:color w:val="auto"/>
        </w:rPr>
      </w:pPr>
      <w:r>
        <w:rPr>
          <w:rFonts w:ascii="Times New Roman" w:cs="Times New Roman" w:eastAsia="Times New Roman" w:hAnsi="Times New Roman"/>
          <w:sz w:val="16"/>
          <w:szCs w:val="16"/>
          <w:color w:val="auto"/>
        </w:rPr>
        <w:t>Our Audit &amp; Risk Committee receives quarterly or, if</w:t>
      </w:r>
    </w:p>
    <w:p>
      <w:pPr>
        <w:spacing w:after="0" w:line="204" w:lineRule="auto"/>
        <w:rPr>
          <w:sz w:val="20"/>
          <w:szCs w:val="20"/>
          <w:color w:val="auto"/>
        </w:rPr>
      </w:pPr>
      <w:r>
        <w:rPr>
          <w:rFonts w:ascii="Times New Roman" w:cs="Times New Roman" w:eastAsia="Times New Roman" w:hAnsi="Times New Roman"/>
          <w:sz w:val="16"/>
          <w:szCs w:val="16"/>
          <w:color w:val="auto"/>
        </w:rPr>
        <w:t>needed, more frequent reports on cybersecurity and</w:t>
      </w:r>
    </w:p>
    <w:p>
      <w:pPr>
        <w:spacing w:after="0" w:line="204" w:lineRule="auto"/>
        <w:rPr>
          <w:sz w:val="20"/>
          <w:szCs w:val="20"/>
          <w:color w:val="auto"/>
        </w:rPr>
      </w:pPr>
      <w:r>
        <w:rPr>
          <w:rFonts w:ascii="Times New Roman" w:cs="Times New Roman" w:eastAsia="Times New Roman" w:hAnsi="Times New Roman"/>
          <w:sz w:val="16"/>
          <w:szCs w:val="16"/>
          <w:color w:val="auto"/>
        </w:rPr>
        <w:t>information security matters from our Chief Information</w:t>
      </w:r>
    </w:p>
    <w:p>
      <w:pPr>
        <w:spacing w:after="0" w:line="232" w:lineRule="auto"/>
        <w:rPr>
          <w:sz w:val="20"/>
          <w:szCs w:val="20"/>
          <w:color w:val="auto"/>
        </w:rPr>
      </w:pPr>
      <w:r>
        <w:rPr>
          <w:rFonts w:ascii="Times New Roman" w:cs="Times New Roman" w:eastAsia="Times New Roman" w:hAnsi="Times New Roman"/>
          <w:sz w:val="14"/>
          <w:szCs w:val="14"/>
          <w:color w:val="auto"/>
        </w:rPr>
        <w:t>Security Officer, or CISO, and his team. The CISO has more</w:t>
      </w:r>
    </w:p>
    <w:p>
      <w:pPr>
        <w:spacing w:after="0" w:line="204" w:lineRule="auto"/>
        <w:rPr>
          <w:sz w:val="20"/>
          <w:szCs w:val="20"/>
          <w:color w:val="auto"/>
        </w:rPr>
      </w:pPr>
      <w:r>
        <w:rPr>
          <w:rFonts w:ascii="Times New Roman" w:cs="Times New Roman" w:eastAsia="Times New Roman" w:hAnsi="Times New Roman"/>
          <w:sz w:val="16"/>
          <w:szCs w:val="16"/>
          <w:color w:val="auto"/>
        </w:rPr>
        <w:t>than 25 years of experience in information technology and</w:t>
      </w:r>
    </w:p>
    <w:p>
      <w:pPr>
        <w:spacing w:after="0"/>
        <w:rPr>
          <w:sz w:val="20"/>
          <w:szCs w:val="20"/>
          <w:color w:val="auto"/>
        </w:rPr>
      </w:pPr>
      <w:r>
        <w:rPr>
          <w:rFonts w:ascii="Times New Roman" w:cs="Times New Roman" w:eastAsia="Times New Roman" w:hAnsi="Times New Roman"/>
          <w:sz w:val="16"/>
          <w:szCs w:val="16"/>
          <w:color w:val="auto"/>
        </w:rPr>
        <w:t>information security, particularly in the financial services</w:t>
      </w:r>
    </w:p>
    <w:p>
      <w:pPr>
        <w:sectPr>
          <w:pgSz w:w="11900" w:h="16840" w:orient="portrait"/>
          <w:cols w:equalWidth="0" w:num="1">
            <w:col w:w="9400"/>
          </w:cols>
          <w:pgMar w:left="1060" w:top="547" w:right="1440" w:bottom="116"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industry, and our InfoSec organization has seasoned</w:t>
      </w:r>
    </w:p>
    <w:p>
      <w:pPr>
        <w:spacing w:after="0" w:line="203" w:lineRule="auto"/>
        <w:rPr>
          <w:sz w:val="20"/>
          <w:szCs w:val="20"/>
          <w:color w:val="auto"/>
        </w:rPr>
      </w:pPr>
      <w:r>
        <w:rPr>
          <w:rFonts w:ascii="Times New Roman" w:cs="Times New Roman" w:eastAsia="Times New Roman" w:hAnsi="Times New Roman"/>
          <w:sz w:val="16"/>
          <w:szCs w:val="16"/>
          <w:color w:val="auto"/>
        </w:rPr>
        <w:t>members with expertise in application security; governance</w:t>
      </w:r>
    </w:p>
    <w:p>
      <w:pPr>
        <w:spacing w:after="0" w:line="204" w:lineRule="auto"/>
        <w:rPr>
          <w:sz w:val="20"/>
          <w:szCs w:val="20"/>
          <w:color w:val="auto"/>
        </w:rPr>
      </w:pPr>
      <w:r>
        <w:rPr>
          <w:rFonts w:ascii="Times New Roman" w:cs="Times New Roman" w:eastAsia="Times New Roman" w:hAnsi="Times New Roman"/>
          <w:sz w:val="16"/>
          <w:szCs w:val="16"/>
          <w:color w:val="auto"/>
        </w:rPr>
        <w:t>and compliance; program and vulnerability management;</w:t>
      </w:r>
    </w:p>
    <w:p>
      <w:pPr>
        <w:spacing w:after="0" w:line="203" w:lineRule="auto"/>
        <w:rPr>
          <w:sz w:val="20"/>
          <w:szCs w:val="20"/>
          <w:color w:val="auto"/>
        </w:rPr>
      </w:pPr>
      <w:r>
        <w:rPr>
          <w:rFonts w:ascii="Times New Roman" w:cs="Times New Roman" w:eastAsia="Times New Roman" w:hAnsi="Times New Roman"/>
          <w:sz w:val="16"/>
          <w:szCs w:val="16"/>
          <w:color w:val="auto"/>
        </w:rPr>
        <w:t>security engineering; security operations security assurance;</w:t>
      </w:r>
    </w:p>
    <w:p>
      <w:pPr>
        <w:spacing w:after="0" w:line="204" w:lineRule="auto"/>
        <w:rPr>
          <w:sz w:val="20"/>
          <w:szCs w:val="20"/>
          <w:color w:val="auto"/>
        </w:rPr>
      </w:pPr>
      <w:r>
        <w:rPr>
          <w:rFonts w:ascii="Times New Roman" w:cs="Times New Roman" w:eastAsia="Times New Roman" w:hAnsi="Times New Roman"/>
          <w:sz w:val="16"/>
          <w:szCs w:val="16"/>
          <w:color w:val="auto"/>
        </w:rPr>
        <w:t>and threat intelligence and security architecture.</w:t>
      </w:r>
    </w:p>
    <w:p>
      <w:pPr>
        <w:spacing w:after="0" w:line="203" w:lineRule="auto"/>
        <w:rPr>
          <w:sz w:val="20"/>
          <w:szCs w:val="20"/>
          <w:color w:val="auto"/>
        </w:rPr>
      </w:pPr>
      <w:r>
        <w:rPr>
          <w:rFonts w:ascii="Times New Roman" w:cs="Times New Roman" w:eastAsia="Times New Roman" w:hAnsi="Times New Roman"/>
          <w:sz w:val="16"/>
          <w:szCs w:val="16"/>
          <w:color w:val="auto"/>
        </w:rPr>
        <w:t>This regular reporting to the Audit &amp; Risk Committee also</w:t>
      </w:r>
    </w:p>
    <w:p>
      <w:pPr>
        <w:spacing w:after="0" w:line="233" w:lineRule="auto"/>
        <w:rPr>
          <w:sz w:val="20"/>
          <w:szCs w:val="20"/>
          <w:color w:val="auto"/>
        </w:rPr>
      </w:pPr>
      <w:r>
        <w:rPr>
          <w:rFonts w:ascii="Times New Roman" w:cs="Times New Roman" w:eastAsia="Times New Roman" w:hAnsi="Times New Roman"/>
          <w:sz w:val="14"/>
          <w:szCs w:val="14"/>
          <w:color w:val="auto"/>
        </w:rPr>
        <w:t>includes a cybersecurity dashboard that contains information</w:t>
      </w:r>
    </w:p>
    <w:p>
      <w:pPr>
        <w:spacing w:after="0" w:line="203" w:lineRule="auto"/>
        <w:rPr>
          <w:sz w:val="20"/>
          <w:szCs w:val="20"/>
          <w:color w:val="auto"/>
        </w:rPr>
      </w:pPr>
      <w:r>
        <w:rPr>
          <w:rFonts w:ascii="Times New Roman" w:cs="Times New Roman" w:eastAsia="Times New Roman" w:hAnsi="Times New Roman"/>
          <w:sz w:val="16"/>
          <w:szCs w:val="16"/>
          <w:color w:val="auto"/>
        </w:rPr>
        <w:t>on cybersecurity governance processes, and from time to</w:t>
      </w:r>
    </w:p>
    <w:p>
      <w:pPr>
        <w:spacing w:after="0" w:line="233" w:lineRule="auto"/>
        <w:rPr>
          <w:sz w:val="20"/>
          <w:szCs w:val="20"/>
          <w:color w:val="auto"/>
        </w:rPr>
      </w:pPr>
      <w:r>
        <w:rPr>
          <w:rFonts w:ascii="Times New Roman" w:cs="Times New Roman" w:eastAsia="Times New Roman" w:hAnsi="Times New Roman"/>
          <w:sz w:val="14"/>
          <w:szCs w:val="14"/>
          <w:color w:val="auto"/>
        </w:rPr>
        <w:t>time, also includes the status of projects to strengthen internal</w:t>
      </w:r>
    </w:p>
    <w:p>
      <w:pPr>
        <w:spacing w:after="0" w:line="204" w:lineRule="auto"/>
        <w:rPr>
          <w:sz w:val="20"/>
          <w:szCs w:val="20"/>
          <w:color w:val="auto"/>
        </w:rPr>
      </w:pPr>
      <w:r>
        <w:rPr>
          <w:rFonts w:ascii="Times New Roman" w:cs="Times New Roman" w:eastAsia="Times New Roman" w:hAnsi="Times New Roman"/>
          <w:sz w:val="16"/>
          <w:szCs w:val="16"/>
          <w:color w:val="auto"/>
        </w:rPr>
        <w:t>cybersecurity, ongoing prevention and mitigation efforts,</w:t>
      </w:r>
    </w:p>
    <w:p>
      <w:pPr>
        <w:spacing w:after="0" w:line="232" w:lineRule="auto"/>
        <w:rPr>
          <w:sz w:val="20"/>
          <w:szCs w:val="20"/>
          <w:color w:val="auto"/>
        </w:rPr>
      </w:pPr>
      <w:r>
        <w:rPr>
          <w:rFonts w:ascii="Times New Roman" w:cs="Times New Roman" w:eastAsia="Times New Roman" w:hAnsi="Times New Roman"/>
          <w:sz w:val="14"/>
          <w:szCs w:val="14"/>
          <w:color w:val="auto"/>
        </w:rPr>
        <w:t>security features of the products and services we provide our</w:t>
      </w:r>
    </w:p>
    <w:p>
      <w:pPr>
        <w:spacing w:after="0" w:line="233" w:lineRule="auto"/>
        <w:rPr>
          <w:sz w:val="20"/>
          <w:szCs w:val="20"/>
          <w:color w:val="auto"/>
        </w:rPr>
      </w:pPr>
      <w:r>
        <w:rPr>
          <w:rFonts w:ascii="Times New Roman" w:cs="Times New Roman" w:eastAsia="Times New Roman" w:hAnsi="Times New Roman"/>
          <w:sz w:val="14"/>
          <w:szCs w:val="14"/>
          <w:color w:val="auto"/>
        </w:rPr>
        <w:t>customers, or the results of security events during the period.</w:t>
      </w:r>
    </w:p>
    <w:p>
      <w:pPr>
        <w:spacing w:after="0" w:line="203" w:lineRule="auto"/>
        <w:rPr>
          <w:sz w:val="20"/>
          <w:szCs w:val="20"/>
          <w:color w:val="auto"/>
        </w:rPr>
      </w:pPr>
      <w:r>
        <w:rPr>
          <w:rFonts w:ascii="Times New Roman" w:cs="Times New Roman" w:eastAsia="Times New Roman" w:hAnsi="Times New Roman"/>
          <w:sz w:val="16"/>
          <w:szCs w:val="16"/>
          <w:color w:val="auto"/>
        </w:rPr>
        <w:t>The Audit &amp; Risk Committee also reviews and discusses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recent cyber incidents affecting the industry and the emerging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w:t>
      </w:r>
    </w:p>
    <w:p>
      <w:pPr>
        <w:spacing w:after="0" w:line="232" w:lineRule="auto"/>
        <w:rPr>
          <w:sz w:val="20"/>
          <w:szCs w:val="20"/>
          <w:color w:val="auto"/>
        </w:rPr>
      </w:pPr>
      <w:r>
        <w:rPr>
          <w:rFonts w:ascii="Times New Roman" w:cs="Times New Roman" w:eastAsia="Times New Roman" w:hAnsi="Times New Roman"/>
          <w:sz w:val="14"/>
          <w:szCs w:val="14"/>
          <w:color w:val="auto"/>
        </w:rPr>
        <w:t>and the Audit &amp; Risk Committee. Throughout the three-year</w:t>
      </w:r>
    </w:p>
    <w:p>
      <w:pPr>
        <w:spacing w:after="0" w:line="204" w:lineRule="auto"/>
        <w:rPr>
          <w:sz w:val="20"/>
          <w:szCs w:val="20"/>
          <w:color w:val="auto"/>
        </w:rPr>
      </w:pPr>
      <w:r>
        <w:rPr>
          <w:rFonts w:ascii="Times New Roman" w:cs="Times New Roman" w:eastAsia="Times New Roman" w:hAnsi="Times New Roman"/>
          <w:sz w:val="16"/>
          <w:szCs w:val="16"/>
          <w:color w:val="auto"/>
        </w:rPr>
        <w:t>plan term, the CISO regularly provides management with</w:t>
      </w:r>
    </w:p>
    <w:p>
      <w:pPr>
        <w:spacing w:after="0" w:line="203" w:lineRule="auto"/>
        <w:rPr>
          <w:sz w:val="20"/>
          <w:szCs w:val="20"/>
          <w:color w:val="auto"/>
        </w:rPr>
      </w:pPr>
      <w:r>
        <w:rPr>
          <w:rFonts w:ascii="Times New Roman" w:cs="Times New Roman" w:eastAsia="Times New Roman" w:hAnsi="Times New Roman"/>
          <w:sz w:val="16"/>
          <w:szCs w:val="16"/>
          <w:color w:val="auto"/>
        </w:rPr>
        <w:t>progress reports.</w:t>
      </w:r>
    </w:p>
    <w:p>
      <w:pPr>
        <w:spacing w:after="0" w:line="204" w:lineRule="auto"/>
        <w:rPr>
          <w:sz w:val="20"/>
          <w:szCs w:val="20"/>
          <w:color w:val="auto"/>
        </w:rPr>
      </w:pPr>
      <w:r>
        <w:rPr>
          <w:rFonts w:ascii="Times New Roman" w:cs="Times New Roman" w:eastAsia="Times New Roman" w:hAnsi="Times New Roman"/>
          <w:sz w:val="16"/>
          <w:szCs w:val="16"/>
          <w:b w:val="1"/>
          <w:bCs w:val="1"/>
          <w:color w:val="0092BC"/>
        </w:rPr>
        <w:t>Item 2. Properties</w:t>
      </w:r>
    </w:p>
    <w:p>
      <w:pPr>
        <w:spacing w:after="0" w:line="203" w:lineRule="auto"/>
        <w:rPr>
          <w:sz w:val="20"/>
          <w:szCs w:val="20"/>
          <w:color w:val="auto"/>
        </w:rPr>
      </w:pPr>
      <w:r>
        <w:rPr>
          <w:rFonts w:ascii="Times New Roman" w:cs="Times New Roman" w:eastAsia="Times New Roman" w:hAnsi="Times New Roman"/>
          <w:sz w:val="16"/>
          <w:szCs w:val="16"/>
          <w:color w:val="auto"/>
        </w:rPr>
        <w:t>We conduct our business operations in leased facilities. We</w:t>
      </w:r>
    </w:p>
    <w:p>
      <w:pPr>
        <w:spacing w:after="0" w:line="204" w:lineRule="auto"/>
        <w:rPr>
          <w:sz w:val="20"/>
          <w:szCs w:val="20"/>
          <w:color w:val="auto"/>
        </w:rPr>
      </w:pPr>
      <w:r>
        <w:rPr>
          <w:rFonts w:ascii="Times New Roman" w:cs="Times New Roman" w:eastAsia="Times New Roman" w:hAnsi="Times New Roman"/>
          <w:sz w:val="16"/>
          <w:szCs w:val="16"/>
          <w:color w:val="auto"/>
        </w:rPr>
        <w:t>do not own any real property. Our U.S. headquarters are</w:t>
      </w:r>
    </w:p>
    <w:p>
      <w:pPr>
        <w:spacing w:after="0" w:line="203" w:lineRule="auto"/>
        <w:rPr>
          <w:sz w:val="20"/>
          <w:szCs w:val="20"/>
          <w:color w:val="auto"/>
        </w:rPr>
      </w:pPr>
      <w:r>
        <w:rPr>
          <w:rFonts w:ascii="Times New Roman" w:cs="Times New Roman" w:eastAsia="Times New Roman" w:hAnsi="Times New Roman"/>
          <w:sz w:val="16"/>
          <w:szCs w:val="16"/>
          <w:color w:val="auto"/>
        </w:rPr>
        <w:t>located in New York, New York, and our European</w:t>
      </w:r>
    </w:p>
    <w:p>
      <w:pPr>
        <w:spacing w:after="0" w:line="204" w:lineRule="auto"/>
        <w:rPr>
          <w:sz w:val="20"/>
          <w:szCs w:val="20"/>
          <w:color w:val="auto"/>
        </w:rPr>
      </w:pPr>
      <w:r>
        <w:rPr>
          <w:rFonts w:ascii="Times New Roman" w:cs="Times New Roman" w:eastAsia="Times New Roman" w:hAnsi="Times New Roman"/>
          <w:sz w:val="16"/>
          <w:szCs w:val="16"/>
          <w:color w:val="auto"/>
        </w:rPr>
        <w:t>headquarters are located in Stockholm, Sweden. We also</w:t>
      </w:r>
    </w:p>
    <w:p>
      <w:pPr>
        <w:spacing w:after="0" w:line="233" w:lineRule="auto"/>
        <w:rPr>
          <w:sz w:val="20"/>
          <w:szCs w:val="20"/>
          <w:color w:val="auto"/>
        </w:rPr>
      </w:pPr>
      <w:r>
        <w:rPr>
          <w:rFonts w:ascii="Times New Roman" w:cs="Times New Roman" w:eastAsia="Times New Roman" w:hAnsi="Times New Roman"/>
          <w:sz w:val="14"/>
          <w:szCs w:val="14"/>
          <w:color w:val="auto"/>
        </w:rPr>
        <w:t>lease space in multiple locations around the world, which are</w:t>
      </w:r>
    </w:p>
    <w:p>
      <w:pPr>
        <w:spacing w:after="0" w:line="203" w:lineRule="auto"/>
        <w:rPr>
          <w:sz w:val="20"/>
          <w:szCs w:val="20"/>
          <w:color w:val="auto"/>
        </w:rPr>
      </w:pPr>
      <w:r>
        <w:rPr>
          <w:rFonts w:ascii="Times New Roman" w:cs="Times New Roman" w:eastAsia="Times New Roman" w:hAnsi="Times New Roman"/>
          <w:sz w:val="16"/>
          <w:szCs w:val="16"/>
          <w:color w:val="auto"/>
        </w:rPr>
        <w:t>used for research and development, sales and support, and</w:t>
      </w:r>
    </w:p>
    <w:p>
      <w:pPr>
        <w:spacing w:after="0" w:line="204" w:lineRule="auto"/>
        <w:rPr>
          <w:sz w:val="20"/>
          <w:szCs w:val="20"/>
          <w:color w:val="auto"/>
        </w:rPr>
      </w:pPr>
      <w:r>
        <w:rPr>
          <w:rFonts w:ascii="Times New Roman" w:cs="Times New Roman" w:eastAsia="Times New Roman" w:hAnsi="Times New Roman"/>
          <w:sz w:val="16"/>
          <w:szCs w:val="16"/>
          <w:color w:val="auto"/>
        </w:rPr>
        <w:t>administrative activities, as well as for data centers and</w:t>
      </w:r>
    </w:p>
    <w:p>
      <w:pPr>
        <w:spacing w:after="0" w:line="203" w:lineRule="auto"/>
        <w:rPr>
          <w:sz w:val="20"/>
          <w:szCs w:val="20"/>
          <w:color w:val="auto"/>
        </w:rPr>
      </w:pPr>
      <w:r>
        <w:rPr>
          <w:rFonts w:ascii="Times New Roman" w:cs="Times New Roman" w:eastAsia="Times New Roman" w:hAnsi="Times New Roman"/>
          <w:sz w:val="16"/>
          <w:szCs w:val="16"/>
          <w:color w:val="auto"/>
        </w:rPr>
        <w:t>disaster preparedness facilities.</w:t>
      </w:r>
    </w:p>
    <w:p>
      <w:pPr>
        <w:spacing w:after="0" w:line="204" w:lineRule="auto"/>
        <w:rPr>
          <w:sz w:val="20"/>
          <w:szCs w:val="20"/>
          <w:color w:val="auto"/>
        </w:rPr>
      </w:pPr>
      <w:r>
        <w:rPr>
          <w:rFonts w:ascii="Times New Roman" w:cs="Times New Roman" w:eastAsia="Times New Roman" w:hAnsi="Times New Roman"/>
          <w:sz w:val="16"/>
          <w:szCs w:val="16"/>
          <w:color w:val="auto"/>
        </w:rPr>
        <w:t>Generally, our properties are not allocated for use by a</w:t>
      </w:r>
    </w:p>
    <w:p>
      <w:pPr>
        <w:spacing w:after="0" w:line="203" w:lineRule="auto"/>
        <w:rPr>
          <w:sz w:val="20"/>
          <w:szCs w:val="20"/>
          <w:color w:val="auto"/>
        </w:rPr>
      </w:pPr>
      <w:r>
        <w:rPr>
          <w:rFonts w:ascii="Times New Roman" w:cs="Times New Roman" w:eastAsia="Times New Roman" w:hAnsi="Times New Roman"/>
          <w:sz w:val="16"/>
          <w:szCs w:val="16"/>
          <w:color w:val="auto"/>
        </w:rPr>
        <w:t>particular business segment. Instead, most of our properties</w:t>
      </w:r>
    </w:p>
    <w:p>
      <w:pPr>
        <w:spacing w:after="0" w:line="233" w:lineRule="auto"/>
        <w:rPr>
          <w:sz w:val="20"/>
          <w:szCs w:val="20"/>
          <w:color w:val="auto"/>
        </w:rPr>
      </w:pPr>
      <w:r>
        <w:rPr>
          <w:rFonts w:ascii="Times New Roman" w:cs="Times New Roman" w:eastAsia="Times New Roman" w:hAnsi="Times New Roman"/>
          <w:sz w:val="14"/>
          <w:szCs w:val="14"/>
          <w:color w:val="auto"/>
        </w:rPr>
        <w:t>are used by two or more segments. We regularly monitor the</w:t>
      </w:r>
    </w:p>
    <w:p>
      <w:pPr>
        <w:spacing w:after="0" w:line="204" w:lineRule="auto"/>
        <w:rPr>
          <w:sz w:val="20"/>
          <w:szCs w:val="20"/>
          <w:color w:val="auto"/>
        </w:rPr>
      </w:pPr>
      <w:r>
        <w:rPr>
          <w:rFonts w:ascii="Times New Roman" w:cs="Times New Roman" w:eastAsia="Times New Roman" w:hAnsi="Times New Roman"/>
          <w:sz w:val="16"/>
          <w:szCs w:val="16"/>
          <w:color w:val="auto"/>
        </w:rPr>
        <w:t>facilities we occupy to ensure that they suit our needs in a</w:t>
      </w:r>
    </w:p>
    <w:p>
      <w:pPr>
        <w:spacing w:after="0" w:line="203" w:lineRule="auto"/>
        <w:rPr>
          <w:sz w:val="20"/>
          <w:szCs w:val="20"/>
          <w:color w:val="auto"/>
        </w:rPr>
      </w:pPr>
      <w:r>
        <w:rPr>
          <w:rFonts w:ascii="Times New Roman" w:cs="Times New Roman" w:eastAsia="Times New Roman" w:hAnsi="Times New Roman"/>
          <w:sz w:val="16"/>
          <w:szCs w:val="16"/>
          <w:color w:val="auto"/>
        </w:rPr>
        <w:t>hybrid work environment. We believe the facilities that we</w:t>
      </w:r>
    </w:p>
    <w:p>
      <w:pPr>
        <w:spacing w:after="0" w:line="204" w:lineRule="auto"/>
        <w:rPr>
          <w:sz w:val="20"/>
          <w:szCs w:val="20"/>
          <w:color w:val="auto"/>
        </w:rPr>
      </w:pPr>
      <w:r>
        <w:rPr>
          <w:rFonts w:ascii="Times New Roman" w:cs="Times New Roman" w:eastAsia="Times New Roman" w:hAnsi="Times New Roman"/>
          <w:sz w:val="16"/>
          <w:szCs w:val="16"/>
          <w:color w:val="auto"/>
        </w:rPr>
        <w:t>occupy are adequate for the purposes for which they are</w:t>
      </w:r>
    </w:p>
    <w:p>
      <w:pPr>
        <w:spacing w:after="0" w:line="203" w:lineRule="auto"/>
        <w:rPr>
          <w:sz w:val="20"/>
          <w:szCs w:val="20"/>
          <w:color w:val="auto"/>
        </w:rPr>
      </w:pPr>
      <w:r>
        <w:rPr>
          <w:rFonts w:ascii="Times New Roman" w:cs="Times New Roman" w:eastAsia="Times New Roman" w:hAnsi="Times New Roman"/>
          <w:sz w:val="16"/>
          <w:szCs w:val="16"/>
          <w:color w:val="auto"/>
        </w:rPr>
        <w:t>currently used and are well-maintained. See Note 16,</w:t>
      </w:r>
    </w:p>
    <w:p>
      <w:pPr>
        <w:spacing w:after="0" w:line="233" w:lineRule="auto"/>
        <w:rPr>
          <w:sz w:val="20"/>
          <w:szCs w:val="20"/>
          <w:color w:val="auto"/>
        </w:rPr>
      </w:pPr>
      <w:r>
        <w:rPr>
          <w:rFonts w:ascii="Times New Roman" w:cs="Times New Roman" w:eastAsia="Times New Roman" w:hAnsi="Times New Roman"/>
          <w:sz w:val="14"/>
          <w:szCs w:val="14"/>
          <w:color w:val="auto"/>
        </w:rPr>
        <w:t>“Leases,” to the consolidated financial statements for further</w:t>
      </w:r>
    </w:p>
    <w:p>
      <w:pPr>
        <w:spacing w:after="0" w:line="203" w:lineRule="auto"/>
        <w:rPr>
          <w:sz w:val="20"/>
          <w:szCs w:val="20"/>
          <w:color w:val="auto"/>
        </w:rPr>
      </w:pPr>
      <w:r>
        <w:rPr>
          <w:rFonts w:ascii="Times New Roman" w:cs="Times New Roman" w:eastAsia="Times New Roman" w:hAnsi="Times New Roman"/>
          <w:sz w:val="16"/>
          <w:szCs w:val="16"/>
          <w:color w:val="auto"/>
        </w:rPr>
        <w:t>discussion.</w:t>
      </w:r>
    </w:p>
    <w:p>
      <w:pPr>
        <w:spacing w:after="0" w:line="204" w:lineRule="auto"/>
        <w:rPr>
          <w:sz w:val="20"/>
          <w:szCs w:val="20"/>
          <w:color w:val="auto"/>
        </w:rPr>
      </w:pPr>
      <w:r>
        <w:rPr>
          <w:rFonts w:ascii="Times New Roman" w:cs="Times New Roman" w:eastAsia="Times New Roman" w:hAnsi="Times New Roman"/>
          <w:sz w:val="16"/>
          <w:szCs w:val="16"/>
          <w:b w:val="1"/>
          <w:bCs w:val="1"/>
          <w:color w:val="0092BC"/>
        </w:rPr>
        <w:t>Item 3. Legal Proceedings</w:t>
      </w:r>
    </w:p>
    <w:p>
      <w:pPr>
        <w:spacing w:after="0" w:line="204" w:lineRule="auto"/>
        <w:rPr>
          <w:sz w:val="20"/>
          <w:szCs w:val="20"/>
          <w:color w:val="auto"/>
        </w:rPr>
      </w:pPr>
      <w:r>
        <w:rPr>
          <w:rFonts w:ascii="Times New Roman" w:cs="Times New Roman" w:eastAsia="Times New Roman" w:hAnsi="Times New Roman"/>
          <w:sz w:val="16"/>
          <w:szCs w:val="16"/>
          <w:color w:val="auto"/>
        </w:rPr>
        <w:t>See “Legal and Regulatory Matters” of Note 18,</w:t>
      </w:r>
    </w:p>
    <w:p>
      <w:pPr>
        <w:spacing w:after="0" w:line="203" w:lineRule="auto"/>
        <w:rPr>
          <w:sz w:val="20"/>
          <w:szCs w:val="20"/>
          <w:color w:val="auto"/>
        </w:rPr>
      </w:pPr>
      <w:r>
        <w:rPr>
          <w:rFonts w:ascii="Times New Roman" w:cs="Times New Roman" w:eastAsia="Times New Roman" w:hAnsi="Times New Roman"/>
          <w:sz w:val="16"/>
          <w:szCs w:val="16"/>
          <w:color w:val="auto"/>
        </w:rPr>
        <w:t>“Commitments, Contingencies and Guarantees,” to the</w:t>
      </w:r>
    </w:p>
    <w:p>
      <w:pPr>
        <w:spacing w:after="0" w:line="204" w:lineRule="auto"/>
        <w:rPr>
          <w:sz w:val="20"/>
          <w:szCs w:val="20"/>
          <w:color w:val="auto"/>
        </w:rPr>
      </w:pPr>
      <w:r>
        <w:rPr>
          <w:rFonts w:ascii="Times New Roman" w:cs="Times New Roman" w:eastAsia="Times New Roman" w:hAnsi="Times New Roman"/>
          <w:sz w:val="16"/>
          <w:szCs w:val="16"/>
          <w:color w:val="auto"/>
        </w:rPr>
        <w:t>consolidated financial statements for a description of our</w:t>
      </w:r>
    </w:p>
    <w:p>
      <w:pPr>
        <w:spacing w:after="0" w:line="203" w:lineRule="auto"/>
        <w:rPr>
          <w:sz w:val="20"/>
          <w:szCs w:val="20"/>
          <w:color w:val="auto"/>
        </w:rPr>
      </w:pPr>
      <w:r>
        <w:rPr>
          <w:rFonts w:ascii="Times New Roman" w:cs="Times New Roman" w:eastAsia="Times New Roman" w:hAnsi="Times New Roman"/>
          <w:sz w:val="16"/>
          <w:szCs w:val="16"/>
          <w:color w:val="auto"/>
        </w:rPr>
        <w:t>legal proceedings, if any.</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PART II</w:t>
      </w:r>
    </w:p>
    <w:p>
      <w:pPr>
        <w:spacing w:after="0" w:line="232" w:lineRule="auto"/>
        <w:rPr>
          <w:sz w:val="20"/>
          <w:szCs w:val="20"/>
          <w:color w:val="auto"/>
        </w:rPr>
      </w:pPr>
      <w:r>
        <w:rPr>
          <w:rFonts w:ascii="Times New Roman" w:cs="Times New Roman" w:eastAsia="Times New Roman" w:hAnsi="Times New Roman"/>
          <w:sz w:val="14"/>
          <w:szCs w:val="14"/>
          <w:b w:val="1"/>
          <w:bCs w:val="1"/>
          <w:color w:val="0092BC"/>
        </w:rPr>
        <w:t>Item 5. Market for Registrant’s Common Equity, Related</w:t>
      </w:r>
    </w:p>
    <w:p>
      <w:pPr>
        <w:spacing w:after="0" w:line="204" w:lineRule="auto"/>
        <w:rPr>
          <w:sz w:val="20"/>
          <w:szCs w:val="20"/>
          <w:color w:val="auto"/>
        </w:rPr>
      </w:pPr>
      <w:r>
        <w:rPr>
          <w:rFonts w:ascii="Times New Roman" w:cs="Times New Roman" w:eastAsia="Times New Roman" w:hAnsi="Times New Roman"/>
          <w:sz w:val="16"/>
          <w:szCs w:val="16"/>
          <w:b w:val="1"/>
          <w:bCs w:val="1"/>
          <w:color w:val="0092BC"/>
        </w:rPr>
        <w:t>Stockholder Matters and Issuer Purchases of Equity</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Securities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204" w:lineRule="auto"/>
        <w:rPr>
          <w:sz w:val="20"/>
          <w:szCs w:val="20"/>
          <w:color w:val="auto"/>
        </w:rPr>
      </w:pPr>
      <w:r>
        <w:rPr>
          <w:rFonts w:ascii="Times New Roman" w:cs="Times New Roman" w:eastAsia="Times New Roman" w:hAnsi="Times New Roman"/>
          <w:sz w:val="16"/>
          <w:szCs w:val="16"/>
          <w:color w:val="auto"/>
        </w:rPr>
        <w:t>Our common stock is listed on The Nasdaq Stock Market</w:t>
      </w:r>
    </w:p>
    <w:p>
      <w:pPr>
        <w:spacing w:after="0" w:line="203" w:lineRule="auto"/>
        <w:rPr>
          <w:sz w:val="20"/>
          <w:szCs w:val="20"/>
          <w:color w:val="auto"/>
        </w:rPr>
      </w:pPr>
      <w:r>
        <w:rPr>
          <w:rFonts w:ascii="Times New Roman" w:cs="Times New Roman" w:eastAsia="Times New Roman" w:hAnsi="Times New Roman"/>
          <w:sz w:val="16"/>
          <w:szCs w:val="16"/>
          <w:color w:val="auto"/>
        </w:rPr>
        <w:t>under the ticker symbol “NDAQ.” As of February 3, 2026,</w:t>
      </w:r>
    </w:p>
    <w:p>
      <w:pPr>
        <w:spacing w:after="0" w:line="233" w:lineRule="auto"/>
        <w:rPr>
          <w:sz w:val="20"/>
          <w:szCs w:val="20"/>
          <w:color w:val="auto"/>
        </w:rPr>
      </w:pPr>
      <w:r>
        <w:rPr>
          <w:rFonts w:ascii="Times New Roman" w:cs="Times New Roman" w:eastAsia="Times New Roman" w:hAnsi="Times New Roman"/>
          <w:sz w:val="14"/>
          <w:szCs w:val="14"/>
          <w:color w:val="auto"/>
        </w:rPr>
        <w:t>we had approximately 177 holders of record of our common</w:t>
      </w:r>
    </w:p>
    <w:p>
      <w:pPr>
        <w:spacing w:after="0" w:line="203" w:lineRule="auto"/>
        <w:rPr>
          <w:sz w:val="20"/>
          <w:szCs w:val="20"/>
          <w:color w:val="auto"/>
        </w:rPr>
      </w:pPr>
      <w:r>
        <w:rPr>
          <w:rFonts w:ascii="Times New Roman" w:cs="Times New Roman" w:eastAsia="Times New Roman" w:hAnsi="Times New Roman"/>
          <w:sz w:val="16"/>
          <w:szCs w:val="16"/>
          <w:color w:val="auto"/>
        </w:rPr>
        <w:t>stock</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204" w:lineRule="auto"/>
        <w:rPr>
          <w:sz w:val="20"/>
          <w:szCs w:val="20"/>
          <w:color w:val="auto"/>
        </w:rPr>
      </w:pPr>
      <w:r>
        <w:rPr>
          <w:rFonts w:ascii="Times New Roman" w:cs="Times New Roman" w:eastAsia="Times New Roman" w:hAnsi="Times New Roman"/>
          <w:sz w:val="16"/>
          <w:szCs w:val="16"/>
          <w:color w:val="auto"/>
        </w:rPr>
        <w:t>See “Share Repurchase Program,” of Note 12, “Nasdaq</w:t>
      </w:r>
    </w:p>
    <w:p>
      <w:pPr>
        <w:spacing w:after="0" w:line="203" w:lineRule="auto"/>
        <w:rPr>
          <w:sz w:val="20"/>
          <w:szCs w:val="20"/>
          <w:color w:val="auto"/>
        </w:rPr>
      </w:pPr>
      <w:r>
        <w:rPr>
          <w:rFonts w:ascii="Times New Roman" w:cs="Times New Roman" w:eastAsia="Times New Roman" w:hAnsi="Times New Roman"/>
          <w:sz w:val="16"/>
          <w:szCs w:val="16"/>
          <w:color w:val="auto"/>
        </w:rPr>
        <w:t>Stockholders’ Equity,” to the consolidated financial</w:t>
      </w:r>
    </w:p>
    <w:p>
      <w:pPr>
        <w:spacing w:after="0" w:line="204" w:lineRule="auto"/>
        <w:rPr>
          <w:sz w:val="20"/>
          <w:szCs w:val="20"/>
          <w:color w:val="auto"/>
        </w:rPr>
      </w:pPr>
      <w:r>
        <w:rPr>
          <w:rFonts w:ascii="Times New Roman" w:cs="Times New Roman" w:eastAsia="Times New Roman" w:hAnsi="Times New Roman"/>
          <w:sz w:val="16"/>
          <w:szCs w:val="16"/>
          <w:color w:val="auto"/>
        </w:rPr>
        <w:t>statements for further discussion of our share repurchase</w:t>
      </w:r>
    </w:p>
    <w:p>
      <w:pPr>
        <w:spacing w:after="0" w:line="204" w:lineRule="auto"/>
        <w:rPr>
          <w:sz w:val="20"/>
          <w:szCs w:val="20"/>
          <w:color w:val="auto"/>
        </w:rPr>
      </w:pPr>
      <w:r>
        <w:rPr>
          <w:rFonts w:ascii="Times New Roman" w:cs="Times New Roman" w:eastAsia="Times New Roman" w:hAnsi="Times New Roman"/>
          <w:sz w:val="16"/>
          <w:szCs w:val="16"/>
          <w:color w:val="auto"/>
        </w:rPr>
        <w:t>program.</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Purchases of Equity Securities by the Issuer and</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Affiliated Purchasers</w:t>
      </w:r>
    </w:p>
    <w:p>
      <w:pPr>
        <w:spacing w:after="0" w:line="203" w:lineRule="auto"/>
        <w:rPr>
          <w:sz w:val="20"/>
          <w:szCs w:val="20"/>
          <w:color w:val="auto"/>
        </w:rPr>
      </w:pPr>
      <w:r>
        <w:rPr>
          <w:rFonts w:ascii="Times New Roman" w:cs="Times New Roman" w:eastAsia="Times New Roman" w:hAnsi="Times New Roman"/>
          <w:sz w:val="16"/>
          <w:szCs w:val="16"/>
          <w:color w:val="auto"/>
        </w:rPr>
        <w:t>Under our board approved share repurchase program, we</w:t>
      </w:r>
    </w:p>
    <w:p>
      <w:pPr>
        <w:spacing w:after="0" w:line="233" w:lineRule="auto"/>
        <w:rPr>
          <w:sz w:val="20"/>
          <w:szCs w:val="20"/>
          <w:color w:val="auto"/>
        </w:rPr>
      </w:pPr>
      <w:r>
        <w:rPr>
          <w:rFonts w:ascii="Times New Roman" w:cs="Times New Roman" w:eastAsia="Times New Roman" w:hAnsi="Times New Roman"/>
          <w:sz w:val="14"/>
          <w:szCs w:val="14"/>
          <w:color w:val="auto"/>
        </w:rPr>
        <w:t>may repurchase shares from time to time at prevailing market</w:t>
      </w:r>
    </w:p>
    <w:p>
      <w:pPr>
        <w:spacing w:after="0" w:line="203" w:lineRule="auto"/>
        <w:rPr>
          <w:sz w:val="20"/>
          <w:szCs w:val="20"/>
          <w:color w:val="auto"/>
        </w:rPr>
      </w:pPr>
      <w:r>
        <w:rPr>
          <w:rFonts w:ascii="Times New Roman" w:cs="Times New Roman" w:eastAsia="Times New Roman" w:hAnsi="Times New Roman"/>
          <w:sz w:val="16"/>
          <w:szCs w:val="16"/>
          <w:color w:val="auto"/>
        </w:rPr>
        <w:t>prices in open market purchases, privately-negotiated</w:t>
      </w:r>
    </w:p>
    <w:p>
      <w:pPr>
        <w:spacing w:after="0" w:line="204" w:lineRule="auto"/>
        <w:rPr>
          <w:sz w:val="20"/>
          <w:szCs w:val="20"/>
          <w:color w:val="auto"/>
        </w:rPr>
      </w:pPr>
      <w:r>
        <w:rPr>
          <w:rFonts w:ascii="Times New Roman" w:cs="Times New Roman" w:eastAsia="Times New Roman" w:hAnsi="Times New Roman"/>
          <w:sz w:val="16"/>
          <w:szCs w:val="16"/>
          <w:color w:val="auto"/>
        </w:rPr>
        <w:t>transactions, block purchases, an accelerated share</w:t>
      </w:r>
    </w:p>
    <w:p>
      <w:pPr>
        <w:spacing w:after="0" w:line="204" w:lineRule="auto"/>
        <w:rPr>
          <w:sz w:val="20"/>
          <w:szCs w:val="20"/>
          <w:color w:val="auto"/>
        </w:rPr>
      </w:pPr>
      <w:r>
        <w:rPr>
          <w:rFonts w:ascii="Times New Roman" w:cs="Times New Roman" w:eastAsia="Times New Roman" w:hAnsi="Times New Roman"/>
          <w:sz w:val="16"/>
          <w:szCs w:val="16"/>
          <w:color w:val="auto"/>
        </w:rPr>
        <w:t>repurchase program or otherwise, as determined by our</w:t>
      </w:r>
    </w:p>
    <w:p>
      <w:pPr>
        <w:spacing w:after="0" w:line="203" w:lineRule="auto"/>
        <w:rPr>
          <w:sz w:val="20"/>
          <w:szCs w:val="20"/>
          <w:color w:val="auto"/>
        </w:rPr>
      </w:pPr>
      <w:r>
        <w:rPr>
          <w:rFonts w:ascii="Times New Roman" w:cs="Times New Roman" w:eastAsia="Times New Roman" w:hAnsi="Times New Roman"/>
          <w:sz w:val="16"/>
          <w:szCs w:val="16"/>
          <w:color w:val="auto"/>
        </w:rPr>
        <w:t>management. As of December 31, 2025, the remaining</w:t>
      </w:r>
    </w:p>
    <w:p>
      <w:pPr>
        <w:spacing w:after="0" w:line="204" w:lineRule="auto"/>
        <w:rPr>
          <w:sz w:val="20"/>
          <w:szCs w:val="20"/>
          <w:color w:val="auto"/>
        </w:rPr>
      </w:pPr>
      <w:r>
        <w:rPr>
          <w:rFonts w:ascii="Times New Roman" w:cs="Times New Roman" w:eastAsia="Times New Roman" w:hAnsi="Times New Roman"/>
          <w:sz w:val="16"/>
          <w:szCs w:val="16"/>
          <w:color w:val="auto"/>
        </w:rPr>
        <w:t>aggregate authorized amount under the existing share</w:t>
      </w:r>
    </w:p>
    <w:p>
      <w:pPr>
        <w:spacing w:after="0" w:line="203" w:lineRule="auto"/>
        <w:rPr>
          <w:sz w:val="20"/>
          <w:szCs w:val="20"/>
          <w:color w:val="auto"/>
        </w:rPr>
      </w:pPr>
      <w:r>
        <w:rPr>
          <w:rFonts w:ascii="Times New Roman" w:cs="Times New Roman" w:eastAsia="Times New Roman" w:hAnsi="Times New Roman"/>
          <w:sz w:val="16"/>
          <w:szCs w:val="16"/>
          <w:color w:val="auto"/>
        </w:rPr>
        <w:t>repurchase program was $1.1 billion. The share repurchase</w:t>
      </w:r>
    </w:p>
    <w:p>
      <w:pPr>
        <w:spacing w:after="0" w:line="233" w:lineRule="auto"/>
        <w:rPr>
          <w:sz w:val="20"/>
          <w:szCs w:val="20"/>
          <w:color w:val="auto"/>
        </w:rPr>
      </w:pPr>
      <w:r>
        <w:rPr>
          <w:rFonts w:ascii="Times New Roman" w:cs="Times New Roman" w:eastAsia="Times New Roman" w:hAnsi="Times New Roman"/>
          <w:sz w:val="14"/>
          <w:szCs w:val="14"/>
          <w:color w:val="auto"/>
        </w:rPr>
        <w:t>program may be suspended, modified or discontinued at any</w:t>
      </w:r>
    </w:p>
    <w:p>
      <w:pPr>
        <w:spacing w:after="0" w:line="203" w:lineRule="auto"/>
        <w:rPr>
          <w:sz w:val="20"/>
          <w:szCs w:val="20"/>
          <w:color w:val="auto"/>
        </w:rPr>
      </w:pPr>
      <w:r>
        <w:rPr>
          <w:rFonts w:ascii="Times New Roman" w:cs="Times New Roman" w:eastAsia="Times New Roman" w:hAnsi="Times New Roman"/>
          <w:sz w:val="16"/>
          <w:szCs w:val="16"/>
          <w:color w:val="auto"/>
        </w:rPr>
        <w:t>time, and has no defined expiration date.</w:t>
      </w:r>
    </w:p>
    <w:p>
      <w:pPr>
        <w:spacing w:after="0" w:line="233" w:lineRule="auto"/>
        <w:rPr>
          <w:sz w:val="20"/>
          <w:szCs w:val="20"/>
          <w:color w:val="auto"/>
        </w:rPr>
      </w:pPr>
      <w:r>
        <w:rPr>
          <w:rFonts w:ascii="Times New Roman" w:cs="Times New Roman" w:eastAsia="Times New Roman" w:hAnsi="Times New Roman"/>
          <w:sz w:val="14"/>
          <w:szCs w:val="14"/>
          <w:color w:val="auto"/>
        </w:rPr>
        <w:t>The table below represents repurchases made by or on behalf</w:t>
      </w:r>
    </w:p>
    <w:p>
      <w:pPr>
        <w:spacing w:after="0" w:line="204" w:lineRule="auto"/>
        <w:rPr>
          <w:sz w:val="20"/>
          <w:szCs w:val="20"/>
          <w:color w:val="auto"/>
        </w:rPr>
      </w:pPr>
      <w:r>
        <w:rPr>
          <w:rFonts w:ascii="Times New Roman" w:cs="Times New Roman" w:eastAsia="Times New Roman" w:hAnsi="Times New Roman"/>
          <w:sz w:val="16"/>
          <w:szCs w:val="16"/>
          <w:color w:val="auto"/>
        </w:rPr>
        <w:t>of us or any “affiliated purchaser” of our common stock</w:t>
      </w:r>
    </w:p>
    <w:p>
      <w:pPr>
        <w:spacing w:after="0"/>
        <w:rPr>
          <w:sz w:val="20"/>
          <w:szCs w:val="20"/>
          <w:color w:val="auto"/>
        </w:rPr>
      </w:pPr>
      <w:r>
        <w:rPr>
          <w:rFonts w:ascii="Times New Roman" w:cs="Times New Roman" w:eastAsia="Times New Roman" w:hAnsi="Times New Roman"/>
          <w:sz w:val="16"/>
          <w:szCs w:val="16"/>
          <w:color w:val="auto"/>
        </w:rPr>
        <w:t>during the fiscal quarter ended December 31, 2025:</w:t>
      </w:r>
    </w:p>
    <w:p>
      <w:pPr>
        <w:sectPr>
          <w:pgSz w:w="11900" w:h="16840" w:orient="portrait"/>
          <w:cols w:equalWidth="0" w:num="1">
            <w:col w:w="9400"/>
          </w:cols>
          <w:pgMar w:left="1060" w:top="547"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w:t>
      </w:r>
    </w:p>
    <w:p>
      <w:pPr>
        <w:spacing w:after="0" w:line="203" w:lineRule="auto"/>
        <w:rPr>
          <w:sz w:val="20"/>
          <w:szCs w:val="20"/>
          <w:color w:val="auto"/>
        </w:rPr>
      </w:pPr>
      <w:r>
        <w:rPr>
          <w:rFonts w:ascii="Times New Roman" w:cs="Times New Roman" w:eastAsia="Times New Roman" w:hAnsi="Times New Roman"/>
          <w:sz w:val="16"/>
          <w:szCs w:val="16"/>
          <w:color w:val="auto"/>
        </w:rPr>
        <w:t>◦In October 2025, we entered into a variable notional</w:t>
      </w:r>
    </w:p>
    <w:p>
      <w:pPr>
        <w:spacing w:after="0"/>
        <w:rPr>
          <w:sz w:val="20"/>
          <w:szCs w:val="20"/>
          <w:color w:val="auto"/>
        </w:rPr>
      </w:pPr>
      <w:r>
        <w:rPr>
          <w:rFonts w:ascii="Times New Roman" w:cs="Times New Roman" w:eastAsia="Times New Roman" w:hAnsi="Times New Roman"/>
          <w:sz w:val="14"/>
          <w:szCs w:val="14"/>
          <w:color w:val="auto"/>
        </w:rPr>
        <w:t>ASR agreement, in which we delivered $250 million to a</w:t>
      </w:r>
    </w:p>
    <w:p>
      <w:pPr>
        <w:sectPr>
          <w:pgSz w:w="11900" w:h="16840" w:orient="portrait"/>
          <w:cols w:equalWidth="0" w:num="1">
            <w:col w:w="9400"/>
          </w:cols>
          <w:pgMar w:left="1060" w:top="547" w:right="1440" w:bottom="79"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third-party financial institution and received and</w:t>
      </w:r>
    </w:p>
    <w:p>
      <w:pPr>
        <w:spacing w:after="0" w:line="203" w:lineRule="auto"/>
        <w:rPr>
          <w:sz w:val="20"/>
          <w:szCs w:val="20"/>
          <w:color w:val="auto"/>
        </w:rPr>
      </w:pPr>
      <w:r>
        <w:rPr>
          <w:rFonts w:ascii="Times New Roman" w:cs="Times New Roman" w:eastAsia="Times New Roman" w:hAnsi="Times New Roman"/>
          <w:sz w:val="16"/>
          <w:szCs w:val="16"/>
          <w:color w:val="auto"/>
        </w:rPr>
        <w:t>immediately retired 1,812,219 shares of our common</w:t>
      </w:r>
    </w:p>
    <w:p>
      <w:pPr>
        <w:spacing w:after="0" w:line="204" w:lineRule="auto"/>
        <w:rPr>
          <w:sz w:val="20"/>
          <w:szCs w:val="20"/>
          <w:color w:val="auto"/>
        </w:rPr>
      </w:pPr>
      <w:r>
        <w:rPr>
          <w:rFonts w:ascii="Times New Roman" w:cs="Times New Roman" w:eastAsia="Times New Roman" w:hAnsi="Times New Roman"/>
          <w:sz w:val="16"/>
          <w:szCs w:val="16"/>
          <w:color w:val="auto"/>
        </w:rPr>
        <w:t>stock. In December 2025, upon the final settlement of</w:t>
      </w:r>
    </w:p>
    <w:p>
      <w:pPr>
        <w:spacing w:after="0" w:line="203" w:lineRule="auto"/>
        <w:rPr>
          <w:sz w:val="20"/>
          <w:szCs w:val="20"/>
          <w:color w:val="auto"/>
        </w:rPr>
      </w:pPr>
      <w:r>
        <w:rPr>
          <w:rFonts w:ascii="Times New Roman" w:cs="Times New Roman" w:eastAsia="Times New Roman" w:hAnsi="Times New Roman"/>
          <w:sz w:val="16"/>
          <w:szCs w:val="16"/>
          <w:color w:val="auto"/>
        </w:rPr>
        <w:t>this transaction, we received (i) an additional 504,401</w:t>
      </w:r>
    </w:p>
    <w:p>
      <w:pPr>
        <w:spacing w:after="0" w:line="204" w:lineRule="auto"/>
        <w:rPr>
          <w:sz w:val="20"/>
          <w:szCs w:val="20"/>
          <w:color w:val="auto"/>
        </w:rPr>
      </w:pPr>
      <w:r>
        <w:rPr>
          <w:rFonts w:ascii="Times New Roman" w:cs="Times New Roman" w:eastAsia="Times New Roman" w:hAnsi="Times New Roman"/>
          <w:sz w:val="16"/>
          <w:szCs w:val="16"/>
          <w:color w:val="auto"/>
        </w:rPr>
        <w:t>shares, which were immediately retired, and (ii) a $45</w:t>
      </w:r>
    </w:p>
    <w:p>
      <w:pPr>
        <w:spacing w:after="0" w:line="203" w:lineRule="auto"/>
        <w:rPr>
          <w:sz w:val="20"/>
          <w:szCs w:val="20"/>
          <w:color w:val="auto"/>
        </w:rPr>
      </w:pPr>
      <w:r>
        <w:rPr>
          <w:rFonts w:ascii="Times New Roman" w:cs="Times New Roman" w:eastAsia="Times New Roman" w:hAnsi="Times New Roman"/>
          <w:sz w:val="16"/>
          <w:szCs w:val="16"/>
          <w:color w:val="auto"/>
        </w:rPr>
        <w:t>million cash payment, which reflects the difference</w:t>
      </w:r>
    </w:p>
    <w:p>
      <w:pPr>
        <w:spacing w:after="0" w:line="204" w:lineRule="auto"/>
        <w:rPr>
          <w:sz w:val="20"/>
          <w:szCs w:val="20"/>
          <w:color w:val="auto"/>
        </w:rPr>
      </w:pPr>
      <w:r>
        <w:rPr>
          <w:rFonts w:ascii="Times New Roman" w:cs="Times New Roman" w:eastAsia="Times New Roman" w:hAnsi="Times New Roman"/>
          <w:sz w:val="16"/>
          <w:szCs w:val="16"/>
          <w:color w:val="auto"/>
        </w:rPr>
        <w:t>between the prepayment amount (maximum notional</w:t>
      </w:r>
    </w:p>
    <w:p>
      <w:pPr>
        <w:spacing w:after="0" w:line="203" w:lineRule="auto"/>
        <w:rPr>
          <w:sz w:val="20"/>
          <w:szCs w:val="20"/>
          <w:color w:val="auto"/>
        </w:rPr>
      </w:pPr>
      <w:r>
        <w:rPr>
          <w:rFonts w:ascii="Times New Roman" w:cs="Times New Roman" w:eastAsia="Times New Roman" w:hAnsi="Times New Roman"/>
          <w:sz w:val="16"/>
          <w:szCs w:val="16"/>
          <w:color w:val="auto"/>
        </w:rPr>
        <w:t>amount) and the final notional amount.</w:t>
      </w:r>
    </w:p>
    <w:p>
      <w:pPr>
        <w:spacing w:after="0" w:line="204" w:lineRule="auto"/>
        <w:rPr>
          <w:sz w:val="20"/>
          <w:szCs w:val="20"/>
          <w:color w:val="auto"/>
        </w:rPr>
      </w:pPr>
      <w:r>
        <w:rPr>
          <w:rFonts w:ascii="Times New Roman" w:cs="Times New Roman" w:eastAsia="Times New Roman" w:hAnsi="Times New Roman"/>
          <w:sz w:val="16"/>
          <w:szCs w:val="16"/>
          <w:color w:val="auto"/>
        </w:rPr>
        <w:t>◦In November 2025, we entered into an ASR with a third-</w:t>
      </w:r>
    </w:p>
    <w:p>
      <w:pPr>
        <w:spacing w:after="0" w:line="203" w:lineRule="auto"/>
        <w:rPr>
          <w:sz w:val="20"/>
          <w:szCs w:val="20"/>
          <w:color w:val="auto"/>
        </w:rPr>
      </w:pPr>
      <w:r>
        <w:rPr>
          <w:rFonts w:ascii="Times New Roman" w:cs="Times New Roman" w:eastAsia="Times New Roman" w:hAnsi="Times New Roman"/>
          <w:sz w:val="16"/>
          <w:szCs w:val="16"/>
          <w:color w:val="auto"/>
        </w:rPr>
        <w:t>party financial institution to repurchase $75 million of</w:t>
      </w:r>
    </w:p>
    <w:p>
      <w:pPr>
        <w:spacing w:after="0" w:line="204" w:lineRule="auto"/>
        <w:rPr>
          <w:sz w:val="20"/>
          <w:szCs w:val="20"/>
          <w:color w:val="auto"/>
        </w:rPr>
      </w:pPr>
      <w:r>
        <w:rPr>
          <w:rFonts w:ascii="Times New Roman" w:cs="Times New Roman" w:eastAsia="Times New Roman" w:hAnsi="Times New Roman"/>
          <w:sz w:val="16"/>
          <w:szCs w:val="16"/>
          <w:color w:val="auto"/>
        </w:rPr>
        <w:t>common stock and received and immediately retired</w:t>
      </w:r>
    </w:p>
    <w:p>
      <w:pPr>
        <w:spacing w:after="0" w:line="204" w:lineRule="auto"/>
        <w:rPr>
          <w:sz w:val="20"/>
          <w:szCs w:val="20"/>
          <w:color w:val="auto"/>
        </w:rPr>
      </w:pPr>
      <w:r>
        <w:rPr>
          <w:rFonts w:ascii="Times New Roman" w:cs="Times New Roman" w:eastAsia="Times New Roman" w:hAnsi="Times New Roman"/>
          <w:sz w:val="16"/>
          <w:szCs w:val="16"/>
          <w:color w:val="auto"/>
        </w:rPr>
        <w:t>697,512 shares of our common stock. In December</w:t>
      </w:r>
    </w:p>
    <w:p>
      <w:pPr>
        <w:spacing w:after="0" w:line="203" w:lineRule="auto"/>
        <w:rPr>
          <w:sz w:val="20"/>
          <w:szCs w:val="20"/>
          <w:color w:val="auto"/>
        </w:rPr>
      </w:pPr>
      <w:r>
        <w:rPr>
          <w:rFonts w:ascii="Times New Roman" w:cs="Times New Roman" w:eastAsia="Times New Roman" w:hAnsi="Times New Roman"/>
          <w:sz w:val="16"/>
          <w:szCs w:val="16"/>
          <w:color w:val="auto"/>
        </w:rPr>
        <w:t>2025, upon the final settlement of this transaction, we</w:t>
      </w:r>
    </w:p>
    <w:p>
      <w:pPr>
        <w:spacing w:after="0" w:line="204" w:lineRule="auto"/>
        <w:rPr>
          <w:sz w:val="20"/>
          <w:szCs w:val="20"/>
          <w:color w:val="auto"/>
        </w:rPr>
      </w:pPr>
      <w:r>
        <w:rPr>
          <w:rFonts w:ascii="Times New Roman" w:cs="Times New Roman" w:eastAsia="Times New Roman" w:hAnsi="Times New Roman"/>
          <w:sz w:val="16"/>
          <w:szCs w:val="16"/>
          <w:color w:val="auto"/>
        </w:rPr>
        <w:t>received an additional 117,855 shares, which were</w:t>
      </w:r>
    </w:p>
    <w:p>
      <w:pPr>
        <w:spacing w:after="0" w:line="203" w:lineRule="auto"/>
        <w:rPr>
          <w:sz w:val="20"/>
          <w:szCs w:val="20"/>
          <w:color w:val="auto"/>
        </w:rPr>
      </w:pPr>
      <w:r>
        <w:rPr>
          <w:rFonts w:ascii="Times New Roman" w:cs="Times New Roman" w:eastAsia="Times New Roman" w:hAnsi="Times New Roman"/>
          <w:sz w:val="16"/>
          <w:szCs w:val="16"/>
          <w:color w:val="auto"/>
        </w:rPr>
        <w:t>immediately retired.</w:t>
      </w:r>
    </w:p>
    <w:p>
      <w:pPr>
        <w:spacing w:after="0" w:line="204" w:lineRule="auto"/>
        <w:rPr>
          <w:sz w:val="20"/>
          <w:szCs w:val="20"/>
          <w:color w:val="auto"/>
        </w:rPr>
      </w:pPr>
      <w:r>
        <w:rPr>
          <w:rFonts w:ascii="Times New Roman" w:cs="Times New Roman" w:eastAsia="Times New Roman" w:hAnsi="Times New Roman"/>
          <w:sz w:val="16"/>
          <w:szCs w:val="16"/>
          <w:color w:val="auto"/>
        </w:rPr>
        <w:t>•See “Share Repurchase Program,” of Note 12, “Nasdaq</w:t>
      </w:r>
    </w:p>
    <w:p>
      <w:pPr>
        <w:spacing w:after="0" w:line="203" w:lineRule="auto"/>
        <w:rPr>
          <w:sz w:val="20"/>
          <w:szCs w:val="20"/>
          <w:color w:val="auto"/>
        </w:rPr>
      </w:pPr>
      <w:r>
        <w:rPr>
          <w:rFonts w:ascii="Times New Roman" w:cs="Times New Roman" w:eastAsia="Times New Roman" w:hAnsi="Times New Roman"/>
          <w:sz w:val="16"/>
          <w:szCs w:val="16"/>
          <w:color w:val="auto"/>
        </w:rPr>
        <w:t>Stockholders’ Equity,” to the consolidated financial</w:t>
      </w:r>
    </w:p>
    <w:p>
      <w:pPr>
        <w:spacing w:after="0" w:line="204" w:lineRule="auto"/>
        <w:rPr>
          <w:sz w:val="20"/>
          <w:szCs w:val="20"/>
          <w:color w:val="auto"/>
        </w:rPr>
      </w:pPr>
      <w:r>
        <w:rPr>
          <w:rFonts w:ascii="Times New Roman" w:cs="Times New Roman" w:eastAsia="Times New Roman" w:hAnsi="Times New Roman"/>
          <w:sz w:val="16"/>
          <w:szCs w:val="16"/>
          <w:color w:val="auto"/>
        </w:rPr>
        <w:t>statements for further discussion of our share repurchase</w:t>
      </w:r>
    </w:p>
    <w:p>
      <w:pPr>
        <w:spacing w:after="0"/>
        <w:rPr>
          <w:sz w:val="20"/>
          <w:szCs w:val="20"/>
          <w:color w:val="auto"/>
        </w:rPr>
      </w:pPr>
      <w:r>
        <w:rPr>
          <w:rFonts w:ascii="Times New Roman" w:cs="Times New Roman" w:eastAsia="Times New Roman" w:hAnsi="Times New Roman"/>
          <w:sz w:val="16"/>
          <w:szCs w:val="16"/>
          <w:color w:val="auto"/>
        </w:rPr>
        <w:t>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PERFORMANCE GRAPH</w:t>
      </w:r>
    </w:p>
    <w:p>
      <w:pPr>
        <w:ind w:right="1940"/>
        <w:spacing w:after="0" w:line="203" w:lineRule="auto"/>
        <w:rPr>
          <w:sz w:val="20"/>
          <w:szCs w:val="20"/>
          <w:color w:val="auto"/>
        </w:rPr>
      </w:pPr>
      <w:r>
        <w:rPr>
          <w:rFonts w:ascii="Times New Roman" w:cs="Times New Roman" w:eastAsia="Times New Roman" w:hAnsi="Times New Roman"/>
          <w:sz w:val="16"/>
          <w:szCs w:val="16"/>
          <w:i w:val="1"/>
          <w:iCs w:val="1"/>
          <w:color w:val="auto"/>
        </w:rPr>
        <w:t>The following performance graph and related information shall not be deemed “filed” for purposes of Section 18 of the Exchange Act or incorporated by reference into any of our other filings under the Securities Act or the Exchange Act, except as shall be expressly set forth by specific reference in such filing.</w:t>
      </w:r>
    </w:p>
    <w:p>
      <w:pPr>
        <w:spacing w:after="0" w:line="1" w:lineRule="exact"/>
        <w:rPr>
          <w:sz w:val="20"/>
          <w:szCs w:val="20"/>
          <w:color w:val="auto"/>
        </w:rPr>
      </w:pPr>
    </w:p>
    <w:p>
      <w:pPr>
        <w:ind w:right="1920"/>
        <w:spacing w:after="0" w:line="206" w:lineRule="auto"/>
        <w:rPr>
          <w:sz w:val="20"/>
          <w:szCs w:val="20"/>
          <w:color w:val="auto"/>
        </w:rPr>
      </w:pPr>
      <w:r>
        <w:rPr>
          <w:rFonts w:ascii="Times New Roman" w:cs="Times New Roman" w:eastAsia="Times New Roman" w:hAnsi="Times New Roman"/>
          <w:sz w:val="16"/>
          <w:szCs w:val="16"/>
          <w:color w:val="auto"/>
        </w:rPr>
        <w:t>The following graph compares the total return of our common stock to the Nasdaq Composite Index, the S&amp;P 500 and S&amp;P 500 GICS 4020 Index, our peer group, for the past five years. The figures represented below assume an initial investment of $ 100 in the common stock or index at the closing price on December 31, 2020 and the reinvestment of all dividends.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0" w:type="dxa"/>
            <w:vAlign w:val="bottom"/>
          </w:tcPr>
          <w:p>
            <w:pPr>
              <w:spacing w:after="0"/>
              <w:rPr>
                <w:sz w:val="15"/>
                <w:szCs w:val="15"/>
                <w:color w:val="auto"/>
              </w:rPr>
            </w:pPr>
          </w:p>
        </w:tc>
        <w:tc>
          <w:tcPr>
            <w:tcW w:w="1740" w:type="dxa"/>
            <w:vAlign w:val="bottom"/>
            <w:tcBorders>
              <w:bottom w:val="single" w:sz="8" w:color="auto"/>
            </w:tcBorders>
            <w:gridSpan w:val="5"/>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r>
      <w:tr>
        <w:trPr>
          <w:trHeight w:val="177"/>
        </w:trPr>
        <w:tc>
          <w:tcPr>
            <w:tcW w:w="260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2020</w:t>
            </w:r>
          </w:p>
        </w:tc>
        <w:tc>
          <w:tcPr>
            <w:tcW w:w="46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tcPr>
          <w:p>
            <w:pPr>
              <w:spacing w:after="0"/>
              <w:rPr>
                <w:sz w:val="15"/>
                <w:szCs w:val="15"/>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Pr>
          <w:p>
            <w:pPr>
              <w:spacing w:after="0"/>
              <w:rPr>
                <w:sz w:val="15"/>
                <w:szCs w:val="15"/>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5"/>
                <w:szCs w:val="15"/>
                <w:color w:val="auto"/>
              </w:rPr>
            </w:pPr>
          </w:p>
        </w:tc>
      </w:tr>
      <w:tr>
        <w:trPr>
          <w:trHeight w:val="187"/>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Nasdaq, Inc.</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142</w:t>
            </w:r>
          </w:p>
        </w:tc>
        <w:tc>
          <w:tcPr>
            <w:tcW w:w="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235</w:t>
            </w: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 Index</w:t>
            </w: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154</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187</w:t>
            </w:r>
          </w:p>
        </w:tc>
      </w:tr>
      <w:tr>
        <w:trPr>
          <w:trHeight w:val="205"/>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S&amp;P 500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196</w:t>
            </w:r>
          </w:p>
        </w:tc>
      </w:tr>
      <w:tr>
        <w:trPr>
          <w:trHeight w:val="197"/>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S&amp;P 500 GICS 4020 Index</w:t>
            </w: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136</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179</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197</w:t>
            </w:r>
          </w:p>
        </w:tc>
      </w:tr>
    </w:tbl>
    <w:p>
      <w:pPr>
        <w:spacing w:after="0" w:line="203" w:lineRule="auto"/>
        <w:rPr>
          <w:sz w:val="20"/>
          <w:szCs w:val="20"/>
          <w:color w:val="auto"/>
        </w:rPr>
      </w:pPr>
      <w:r>
        <w:rPr>
          <w:rFonts w:ascii="Times New Roman" w:cs="Times New Roman" w:eastAsia="Times New Roman" w:hAnsi="Times New Roman"/>
          <w:sz w:val="16"/>
          <w:szCs w:val="16"/>
          <w:b w:val="1"/>
          <w:bCs w:val="1"/>
          <w:color w:val="auto"/>
        </w:rPr>
        <w:t>COMPARISON OF 5 YEAR CUMULATIVE TOTAL RETURN</w:t>
      </w:r>
    </w:p>
    <w:p>
      <w:pPr>
        <w:spacing w:after="0"/>
        <w:rPr>
          <w:sz w:val="20"/>
          <w:szCs w:val="20"/>
          <w:color w:val="auto"/>
        </w:rPr>
      </w:pPr>
      <w:r>
        <w:rPr>
          <w:rFonts w:ascii="Times New Roman" w:cs="Times New Roman" w:eastAsia="Times New Roman" w:hAnsi="Times New Roman"/>
          <w:sz w:val="16"/>
          <w:szCs w:val="16"/>
          <w:color w:val="auto"/>
        </w:rPr>
        <w:t>Among Nasdaq, Inc., the Nasdaq Composite Index, the S&amp;P 500 and S&amp;P 500 GICS 4020 Index</w:t>
      </w:r>
    </w:p>
    <w:p>
      <w:pPr>
        <w:sectPr>
          <w:pgSz w:w="11900" w:h="16840" w:orient="portrait"/>
          <w:cols w:equalWidth="0" w:num="1">
            <w:col w:w="9400"/>
          </w:cols>
          <w:pgMar w:left="1060" w:top="547" w:right="1440" w:bottom="512"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666750</wp:posOffset>
            </wp:positionH>
            <wp:positionV relativeFrom="page">
              <wp:posOffset>361950</wp:posOffset>
            </wp:positionV>
            <wp:extent cx="4573270" cy="2858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573270" cy="285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 xml:space="preserve">Item 6. </w:t>
      </w:r>
      <w:r>
        <w:rPr>
          <w:rFonts w:ascii="Times New Roman" w:cs="Times New Roman" w:eastAsia="Times New Roman" w:hAnsi="Times New Roman"/>
          <w:sz w:val="16"/>
          <w:szCs w:val="16"/>
          <w:color w:val="0092BC"/>
        </w:rPr>
        <w:t>[Reserved]</w:t>
      </w:r>
    </w:p>
    <w:p>
      <w:pPr>
        <w:spacing w:after="0" w:line="204" w:lineRule="auto"/>
        <w:rPr>
          <w:sz w:val="20"/>
          <w:szCs w:val="20"/>
          <w:color w:val="auto"/>
        </w:rPr>
      </w:pPr>
      <w:r>
        <w:rPr>
          <w:rFonts w:ascii="Times New Roman" w:cs="Times New Roman" w:eastAsia="Times New Roman" w:hAnsi="Times New Roman"/>
          <w:sz w:val="16"/>
          <w:szCs w:val="16"/>
          <w:b w:val="1"/>
          <w:bCs w:val="1"/>
          <w:color w:val="0092BC"/>
        </w:rPr>
        <w:t>Item 7. Management’s Discussion and Analysis of</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Financial Condition and Results of Operations</w:t>
      </w:r>
    </w:p>
    <w:p>
      <w:pPr>
        <w:spacing w:after="0" w:line="204" w:lineRule="auto"/>
        <w:rPr>
          <w:sz w:val="20"/>
          <w:szCs w:val="20"/>
          <w:color w:val="auto"/>
        </w:rPr>
      </w:pPr>
      <w:r>
        <w:rPr>
          <w:rFonts w:ascii="Times New Roman" w:cs="Times New Roman" w:eastAsia="Times New Roman" w:hAnsi="Times New Roman"/>
          <w:sz w:val="16"/>
          <w:szCs w:val="16"/>
          <w:color w:val="auto"/>
        </w:rPr>
        <w:t>The following discussion and analysis of the financial</w:t>
      </w:r>
    </w:p>
    <w:p>
      <w:pPr>
        <w:spacing w:after="0" w:line="203" w:lineRule="auto"/>
        <w:rPr>
          <w:sz w:val="20"/>
          <w:szCs w:val="20"/>
          <w:color w:val="auto"/>
        </w:rPr>
      </w:pPr>
      <w:r>
        <w:rPr>
          <w:rFonts w:ascii="Times New Roman" w:cs="Times New Roman" w:eastAsia="Times New Roman" w:hAnsi="Times New Roman"/>
          <w:sz w:val="16"/>
          <w:szCs w:val="16"/>
          <w:color w:val="auto"/>
        </w:rPr>
        <w:t>condition and results of operations of Nasdaq refers to the</w:t>
      </w:r>
    </w:p>
    <w:p>
      <w:pPr>
        <w:spacing w:after="0" w:line="204" w:lineRule="auto"/>
        <w:rPr>
          <w:sz w:val="20"/>
          <w:szCs w:val="20"/>
          <w:color w:val="auto"/>
        </w:rPr>
      </w:pPr>
      <w:r>
        <w:rPr>
          <w:rFonts w:ascii="Times New Roman" w:cs="Times New Roman" w:eastAsia="Times New Roman" w:hAnsi="Times New Roman"/>
          <w:sz w:val="16"/>
          <w:szCs w:val="16"/>
          <w:color w:val="auto"/>
        </w:rPr>
        <w:t>year over year comparison for the fiscal years ended</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and 2024 and should be read in</w:t>
      </w:r>
    </w:p>
    <w:p>
      <w:pPr>
        <w:spacing w:after="0" w:line="204" w:lineRule="auto"/>
        <w:rPr>
          <w:sz w:val="20"/>
          <w:szCs w:val="20"/>
          <w:color w:val="auto"/>
        </w:rPr>
      </w:pPr>
      <w:r>
        <w:rPr>
          <w:rFonts w:ascii="Times New Roman" w:cs="Times New Roman" w:eastAsia="Times New Roman" w:hAnsi="Times New Roman"/>
          <w:sz w:val="16"/>
          <w:szCs w:val="16"/>
          <w:color w:val="auto"/>
        </w:rPr>
        <w:t>conjunction with our consolidated financial statements and</w:t>
      </w:r>
    </w:p>
    <w:p>
      <w:pPr>
        <w:spacing w:after="0" w:line="203" w:lineRule="auto"/>
        <w:rPr>
          <w:sz w:val="20"/>
          <w:szCs w:val="20"/>
          <w:color w:val="auto"/>
        </w:rPr>
      </w:pPr>
      <w:r>
        <w:rPr>
          <w:rFonts w:ascii="Times New Roman" w:cs="Times New Roman" w:eastAsia="Times New Roman" w:hAnsi="Times New Roman"/>
          <w:sz w:val="16"/>
          <w:szCs w:val="16"/>
          <w:color w:val="auto"/>
        </w:rPr>
        <w:t>related notes included in this Form 10-K, as well as the</w:t>
      </w:r>
    </w:p>
    <w:p>
      <w:pPr>
        <w:spacing w:after="0" w:line="233" w:lineRule="auto"/>
        <w:rPr>
          <w:sz w:val="20"/>
          <w:szCs w:val="20"/>
          <w:color w:val="auto"/>
        </w:rPr>
      </w:pPr>
      <w:r>
        <w:rPr>
          <w:rFonts w:ascii="Times New Roman" w:cs="Times New Roman" w:eastAsia="Times New Roman" w:hAnsi="Times New Roman"/>
          <w:sz w:val="14"/>
          <w:szCs w:val="14"/>
          <w:color w:val="auto"/>
        </w:rPr>
        <w:t>discussion under “Part I, Item 1A. Risk Factors.” For further</w:t>
      </w:r>
    </w:p>
    <w:p>
      <w:pPr>
        <w:spacing w:after="0" w:line="233" w:lineRule="auto"/>
        <w:rPr>
          <w:sz w:val="20"/>
          <w:szCs w:val="20"/>
          <w:color w:val="auto"/>
        </w:rPr>
      </w:pPr>
      <w:r>
        <w:rPr>
          <w:rFonts w:ascii="Times New Roman" w:cs="Times New Roman" w:eastAsia="Times New Roman" w:hAnsi="Times New Roman"/>
          <w:sz w:val="14"/>
          <w:szCs w:val="14"/>
          <w:color w:val="auto"/>
        </w:rPr>
        <w:t>discussion of our growth strategy, products and services, and</w:t>
      </w:r>
    </w:p>
    <w:p>
      <w:pPr>
        <w:spacing w:after="0" w:line="203" w:lineRule="auto"/>
        <w:rPr>
          <w:sz w:val="20"/>
          <w:szCs w:val="20"/>
          <w:color w:val="auto"/>
        </w:rPr>
      </w:pPr>
      <w:r>
        <w:rPr>
          <w:rFonts w:ascii="Times New Roman" w:cs="Times New Roman" w:eastAsia="Times New Roman" w:hAnsi="Times New Roman"/>
          <w:sz w:val="16"/>
          <w:szCs w:val="16"/>
          <w:color w:val="auto"/>
        </w:rPr>
        <w:t>competitive strengths, see “Part I, Item 1. Business.” For a</w:t>
      </w:r>
    </w:p>
    <w:p>
      <w:pPr>
        <w:spacing w:after="0" w:line="204" w:lineRule="auto"/>
        <w:rPr>
          <w:sz w:val="20"/>
          <w:szCs w:val="20"/>
          <w:color w:val="auto"/>
        </w:rPr>
      </w:pPr>
      <w:r>
        <w:rPr>
          <w:rFonts w:ascii="Times New Roman" w:cs="Times New Roman" w:eastAsia="Times New Roman" w:hAnsi="Times New Roman"/>
          <w:sz w:val="16"/>
          <w:szCs w:val="16"/>
          <w:color w:val="auto"/>
        </w:rPr>
        <w:t>similar discussion comparing the fiscal years ended</w:t>
      </w:r>
    </w:p>
    <w:p>
      <w:pPr>
        <w:spacing w:after="0" w:line="203" w:lineRule="auto"/>
        <w:rPr>
          <w:sz w:val="20"/>
          <w:szCs w:val="20"/>
          <w:color w:val="auto"/>
        </w:rPr>
      </w:pPr>
      <w:r>
        <w:rPr>
          <w:rFonts w:ascii="Times New Roman" w:cs="Times New Roman" w:eastAsia="Times New Roman" w:hAnsi="Times New Roman"/>
          <w:sz w:val="16"/>
          <w:szCs w:val="16"/>
          <w:color w:val="auto"/>
        </w:rPr>
        <w:t>December 31, 2024 and 2023, refer to “Part II, Item 7.</w:t>
      </w:r>
    </w:p>
    <w:p>
      <w:pPr>
        <w:spacing w:after="0" w:line="204" w:lineRule="auto"/>
        <w:rPr>
          <w:sz w:val="20"/>
          <w:szCs w:val="20"/>
          <w:color w:val="auto"/>
        </w:rPr>
      </w:pPr>
      <w:r>
        <w:rPr>
          <w:rFonts w:ascii="Times New Roman" w:cs="Times New Roman" w:eastAsia="Times New Roman" w:hAnsi="Times New Roman"/>
          <w:sz w:val="16"/>
          <w:szCs w:val="16"/>
          <w:color w:val="auto"/>
        </w:rPr>
        <w:t>Management’s Discussion and Analysis of Financial</w:t>
      </w:r>
    </w:p>
    <w:p>
      <w:pPr>
        <w:spacing w:after="0" w:line="204" w:lineRule="auto"/>
        <w:rPr>
          <w:sz w:val="20"/>
          <w:szCs w:val="20"/>
          <w:color w:val="auto"/>
        </w:rPr>
      </w:pPr>
      <w:r>
        <w:rPr>
          <w:rFonts w:ascii="Times New Roman" w:cs="Times New Roman" w:eastAsia="Times New Roman" w:hAnsi="Times New Roman"/>
          <w:sz w:val="16"/>
          <w:szCs w:val="16"/>
          <w:color w:val="auto"/>
        </w:rPr>
        <w:t>Condition and Results of Operations” of our Annual Report</w:t>
      </w:r>
    </w:p>
    <w:p>
      <w:pPr>
        <w:spacing w:after="0" w:line="203" w:lineRule="auto"/>
        <w:rPr>
          <w:sz w:val="20"/>
          <w:szCs w:val="20"/>
          <w:color w:val="auto"/>
        </w:rPr>
      </w:pPr>
      <w:r>
        <w:rPr>
          <w:rFonts w:ascii="Times New Roman" w:cs="Times New Roman" w:eastAsia="Times New Roman" w:hAnsi="Times New Roman"/>
          <w:sz w:val="16"/>
          <w:szCs w:val="16"/>
          <w:color w:val="auto"/>
        </w:rPr>
        <w:t>on Form 10-K for the fiscal year ended December 31, 2024,</w:t>
      </w:r>
    </w:p>
    <w:p>
      <w:pPr>
        <w:spacing w:after="0" w:line="204" w:lineRule="auto"/>
        <w:rPr>
          <w:sz w:val="20"/>
          <w:szCs w:val="20"/>
          <w:color w:val="auto"/>
        </w:rPr>
      </w:pPr>
      <w:r>
        <w:rPr>
          <w:rFonts w:ascii="Times New Roman" w:cs="Times New Roman" w:eastAsia="Times New Roman" w:hAnsi="Times New Roman"/>
          <w:sz w:val="16"/>
          <w:szCs w:val="16"/>
          <w:color w:val="auto"/>
        </w:rPr>
        <w:t>which was previously filed with the SEC on February 21,</w:t>
      </w:r>
    </w:p>
    <w:p>
      <w:pPr>
        <w:spacing w:after="0" w:line="203" w:lineRule="auto"/>
        <w:rPr>
          <w:sz w:val="20"/>
          <w:szCs w:val="20"/>
          <w:color w:val="auto"/>
        </w:rPr>
      </w:pPr>
      <w:r>
        <w:rPr>
          <w:rFonts w:ascii="Times New Roman" w:cs="Times New Roman" w:eastAsia="Times New Roman" w:hAnsi="Times New Roman"/>
          <w:sz w:val="16"/>
          <w:szCs w:val="16"/>
          <w:color w:val="auto"/>
        </w:rPr>
        <w:t>2025.</w:t>
      </w:r>
    </w:p>
    <w:p>
      <w:pPr>
        <w:spacing w:after="0" w:line="204" w:lineRule="auto"/>
        <w:rPr>
          <w:sz w:val="20"/>
          <w:szCs w:val="20"/>
          <w:color w:val="auto"/>
        </w:rPr>
      </w:pPr>
      <w:r>
        <w:rPr>
          <w:rFonts w:ascii="Times New Roman" w:cs="Times New Roman" w:eastAsia="Times New Roman" w:hAnsi="Times New Roman"/>
          <w:sz w:val="16"/>
          <w:szCs w:val="16"/>
          <w:color w:val="auto"/>
        </w:rPr>
        <w:t>Certain percentages and per share amounts herein may not</w:t>
      </w:r>
    </w:p>
    <w:p>
      <w:pPr>
        <w:spacing w:after="0" w:line="203" w:lineRule="auto"/>
        <w:rPr>
          <w:sz w:val="20"/>
          <w:szCs w:val="20"/>
          <w:color w:val="auto"/>
        </w:rPr>
      </w:pPr>
      <w:r>
        <w:rPr>
          <w:rFonts w:ascii="Times New Roman" w:cs="Times New Roman" w:eastAsia="Times New Roman" w:hAnsi="Times New Roman"/>
          <w:sz w:val="16"/>
          <w:szCs w:val="16"/>
          <w:color w:val="auto"/>
        </w:rPr>
        <w:t>sum or recalculate due to rounding.</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EXECUTIVE OVERVIEW</w:t>
      </w:r>
    </w:p>
    <w:p>
      <w:pPr>
        <w:spacing w:after="0" w:line="203" w:lineRule="auto"/>
        <w:rPr>
          <w:sz w:val="20"/>
          <w:szCs w:val="20"/>
          <w:color w:val="auto"/>
        </w:rPr>
      </w:pPr>
      <w:r>
        <w:rPr>
          <w:rFonts w:ascii="Times New Roman" w:cs="Times New Roman" w:eastAsia="Times New Roman" w:hAnsi="Times New Roman"/>
          <w:sz w:val="16"/>
          <w:szCs w:val="16"/>
          <w:color w:val="auto"/>
        </w:rPr>
        <w:t>Nasdaq is a leading technology platform that powers the</w:t>
      </w:r>
    </w:p>
    <w:p>
      <w:pPr>
        <w:spacing w:after="0" w:line="204" w:lineRule="auto"/>
        <w:rPr>
          <w:sz w:val="20"/>
          <w:szCs w:val="20"/>
          <w:color w:val="auto"/>
        </w:rPr>
      </w:pPr>
      <w:r>
        <w:rPr>
          <w:rFonts w:ascii="Times New Roman" w:cs="Times New Roman" w:eastAsia="Times New Roman" w:hAnsi="Times New Roman"/>
          <w:sz w:val="16"/>
          <w:szCs w:val="16"/>
          <w:color w:val="auto"/>
        </w:rPr>
        <w:t>world’s economies. We architect the infrastructure of the</w:t>
      </w:r>
    </w:p>
    <w:p>
      <w:pPr>
        <w:spacing w:after="0" w:line="204" w:lineRule="auto"/>
        <w:rPr>
          <w:sz w:val="20"/>
          <w:szCs w:val="20"/>
          <w:color w:val="auto"/>
        </w:rPr>
      </w:pPr>
      <w:r>
        <w:rPr>
          <w:rFonts w:ascii="Times New Roman" w:cs="Times New Roman" w:eastAsia="Times New Roman" w:hAnsi="Times New Roman"/>
          <w:sz w:val="16"/>
          <w:szCs w:val="16"/>
          <w:color w:val="auto"/>
        </w:rPr>
        <w:t>world’s most modern markets, power the innovation</w:t>
      </w:r>
    </w:p>
    <w:p>
      <w:pPr>
        <w:spacing w:after="0" w:line="203" w:lineRule="auto"/>
        <w:rPr>
          <w:sz w:val="20"/>
          <w:szCs w:val="20"/>
          <w:color w:val="auto"/>
        </w:rPr>
      </w:pPr>
      <w:r>
        <w:rPr>
          <w:rFonts w:ascii="Times New Roman" w:cs="Times New Roman" w:eastAsia="Times New Roman" w:hAnsi="Times New Roman"/>
          <w:sz w:val="16"/>
          <w:szCs w:val="16"/>
          <w:color w:val="auto"/>
        </w:rPr>
        <w:t>economy, and build trust in the financial system. We</w:t>
      </w:r>
    </w:p>
    <w:p>
      <w:pPr>
        <w:spacing w:after="0" w:line="233" w:lineRule="auto"/>
        <w:rPr>
          <w:sz w:val="20"/>
          <w:szCs w:val="20"/>
          <w:color w:val="auto"/>
        </w:rPr>
      </w:pPr>
      <w:r>
        <w:rPr>
          <w:rFonts w:ascii="Times New Roman" w:cs="Times New Roman" w:eastAsia="Times New Roman" w:hAnsi="Times New Roman"/>
          <w:sz w:val="14"/>
          <w:szCs w:val="14"/>
          <w:color w:val="auto"/>
        </w:rPr>
        <w:t>empower economic opportunity by designing and deploying</w:t>
      </w:r>
    </w:p>
    <w:p>
      <w:pPr>
        <w:spacing w:after="0" w:line="232" w:lineRule="auto"/>
        <w:rPr>
          <w:sz w:val="20"/>
          <w:szCs w:val="20"/>
          <w:color w:val="auto"/>
        </w:rPr>
      </w:pPr>
      <w:r>
        <w:rPr>
          <w:rFonts w:ascii="Times New Roman" w:cs="Times New Roman" w:eastAsia="Times New Roman" w:hAnsi="Times New Roman"/>
          <w:sz w:val="14"/>
          <w:szCs w:val="14"/>
          <w:color w:val="auto"/>
        </w:rPr>
        <w:t>the technology, data, and advanced analytics that enable our</w:t>
      </w:r>
    </w:p>
    <w:p>
      <w:pPr>
        <w:spacing w:after="0" w:line="233" w:lineRule="auto"/>
        <w:rPr>
          <w:sz w:val="20"/>
          <w:szCs w:val="20"/>
          <w:color w:val="auto"/>
        </w:rPr>
      </w:pPr>
      <w:r>
        <w:rPr>
          <w:rFonts w:ascii="Times New Roman" w:cs="Times New Roman" w:eastAsia="Times New Roman" w:hAnsi="Times New Roman"/>
          <w:sz w:val="14"/>
          <w:szCs w:val="14"/>
          <w:color w:val="auto"/>
        </w:rPr>
        <w:t>clients to capture opportunities, navigate risk, and strengthen</w:t>
      </w:r>
    </w:p>
    <w:p>
      <w:pPr>
        <w:spacing w:after="0" w:line="204" w:lineRule="auto"/>
        <w:rPr>
          <w:sz w:val="20"/>
          <w:szCs w:val="20"/>
          <w:color w:val="auto"/>
        </w:rPr>
      </w:pPr>
      <w:r>
        <w:rPr>
          <w:rFonts w:ascii="Times New Roman" w:cs="Times New Roman" w:eastAsia="Times New Roman" w:hAnsi="Times New Roman"/>
          <w:sz w:val="16"/>
          <w:szCs w:val="16"/>
          <w:color w:val="auto"/>
        </w:rPr>
        <w:t>resilience.</w:t>
      </w:r>
    </w:p>
    <w:p>
      <w:pPr>
        <w:spacing w:after="0" w:line="232" w:lineRule="auto"/>
        <w:rPr>
          <w:sz w:val="20"/>
          <w:szCs w:val="20"/>
          <w:color w:val="auto"/>
        </w:rPr>
      </w:pPr>
      <w:r>
        <w:rPr>
          <w:rFonts w:ascii="Times New Roman" w:cs="Times New Roman" w:eastAsia="Times New Roman" w:hAnsi="Times New Roman"/>
          <w:sz w:val="14"/>
          <w:szCs w:val="14"/>
          <w:color w:val="auto"/>
        </w:rPr>
        <w:t>We manage, operate and provide our products and services in</w:t>
      </w:r>
    </w:p>
    <w:p>
      <w:pPr>
        <w:spacing w:after="0" w:line="233" w:lineRule="auto"/>
        <w:rPr>
          <w:sz w:val="20"/>
          <w:szCs w:val="20"/>
          <w:color w:val="auto"/>
        </w:rPr>
      </w:pPr>
      <w:r>
        <w:rPr>
          <w:rFonts w:ascii="Times New Roman" w:cs="Times New Roman" w:eastAsia="Times New Roman" w:hAnsi="Times New Roman"/>
          <w:sz w:val="14"/>
          <w:szCs w:val="14"/>
          <w:color w:val="auto"/>
        </w:rPr>
        <w:t>three business segments: Capital Access Platforms, Financial</w:t>
      </w:r>
    </w:p>
    <w:p>
      <w:pPr>
        <w:spacing w:after="0" w:line="203" w:lineRule="auto"/>
        <w:rPr>
          <w:sz w:val="20"/>
          <w:szCs w:val="20"/>
          <w:color w:val="auto"/>
        </w:rPr>
      </w:pPr>
      <w:r>
        <w:rPr>
          <w:rFonts w:ascii="Times New Roman" w:cs="Times New Roman" w:eastAsia="Times New Roman" w:hAnsi="Times New Roman"/>
          <w:sz w:val="16"/>
          <w:szCs w:val="16"/>
          <w:color w:val="auto"/>
        </w:rPr>
        <w:t>Technology and Market Services.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2025 Highlights</w:t>
      </w:r>
    </w:p>
    <w:p>
      <w:pPr>
        <w:spacing w:after="0" w:line="203" w:lineRule="auto"/>
        <w:rPr>
          <w:sz w:val="20"/>
          <w:szCs w:val="20"/>
          <w:color w:val="auto"/>
        </w:rPr>
      </w:pPr>
      <w:r>
        <w:rPr>
          <w:rFonts w:ascii="Times New Roman" w:cs="Times New Roman" w:eastAsia="Times New Roman" w:hAnsi="Times New Roman"/>
          <w:sz w:val="16"/>
          <w:szCs w:val="16"/>
          <w:color w:val="auto"/>
        </w:rPr>
        <w:t>•Nasdaq extended its listing leadership in 2025 and</w:t>
      </w:r>
    </w:p>
    <w:p>
      <w:pPr>
        <w:spacing w:after="0" w:line="204" w:lineRule="auto"/>
        <w:rPr>
          <w:sz w:val="20"/>
          <w:szCs w:val="20"/>
          <w:color w:val="auto"/>
        </w:rPr>
      </w:pPr>
      <w:r>
        <w:rPr>
          <w:rFonts w:ascii="Times New Roman" w:cs="Times New Roman" w:eastAsia="Times New Roman" w:hAnsi="Times New Roman"/>
          <w:sz w:val="16"/>
          <w:szCs w:val="16"/>
          <w:color w:val="auto"/>
        </w:rPr>
        <w:t>achieved its seventh consecutive year as the top U.S.</w:t>
      </w:r>
    </w:p>
    <w:p>
      <w:pPr>
        <w:spacing w:after="0" w:line="204" w:lineRule="auto"/>
        <w:rPr>
          <w:sz w:val="20"/>
          <w:szCs w:val="20"/>
          <w:color w:val="auto"/>
        </w:rPr>
      </w:pPr>
      <w:r>
        <w:rPr>
          <w:rFonts w:ascii="Times New Roman" w:cs="Times New Roman" w:eastAsia="Times New Roman" w:hAnsi="Times New Roman"/>
          <w:sz w:val="16"/>
          <w:szCs w:val="16"/>
          <w:color w:val="auto"/>
        </w:rPr>
        <w:t>exchange by proceeds raised.</w:t>
      </w:r>
    </w:p>
    <w:p>
      <w:pPr>
        <w:spacing w:after="0" w:line="203" w:lineRule="auto"/>
        <w:rPr>
          <w:sz w:val="20"/>
          <w:szCs w:val="20"/>
          <w:color w:val="auto"/>
        </w:rPr>
      </w:pPr>
      <w:r>
        <w:rPr>
          <w:rFonts w:ascii="Times New Roman" w:cs="Times New Roman" w:eastAsia="Times New Roman" w:hAnsi="Times New Roman"/>
          <w:sz w:val="16"/>
          <w:szCs w:val="16"/>
          <w:color w:val="auto"/>
        </w:rPr>
        <w:t>•In 2025, U.S. operating company IPOs on Nasdaq raised</w:t>
      </w:r>
    </w:p>
    <w:p>
      <w:pPr>
        <w:spacing w:after="0"/>
        <w:rPr>
          <w:sz w:val="20"/>
          <w:szCs w:val="20"/>
          <w:color w:val="auto"/>
        </w:rPr>
      </w:pPr>
      <w:r>
        <w:rPr>
          <w:rFonts w:ascii="Times New Roman" w:cs="Times New Roman" w:eastAsia="Times New Roman" w:hAnsi="Times New Roman"/>
          <w:sz w:val="16"/>
          <w:szCs w:val="16"/>
          <w:color w:val="auto"/>
        </w:rPr>
        <w:t>over $24 billion in proceeds. In 2025, Nasdaq set a record</w:t>
      </w:r>
    </w:p>
    <w:p>
      <w:pPr>
        <w:sectPr>
          <w:pgSz w:w="11900" w:h="16840" w:orient="portrait"/>
          <w:cols w:equalWidth="0" w:num="1">
            <w:col w:w="9400"/>
          </w:cols>
          <w:pgMar w:left="1060" w:top="1440" w:right="1440" w:bottom="92" w:gutter="0" w:footer="0" w:header="0"/>
        </w:sectPr>
      </w:pPr>
    </w:p>
    <w:bookmarkStart w:id="33" w:name="page34"/>
    <w:bookmarkEnd w:id="33"/>
    <w:p>
      <w:pPr>
        <w:ind w:left="10"/>
        <w:spacing w:after="0"/>
        <w:rPr>
          <w:sz w:val="20"/>
          <w:szCs w:val="20"/>
          <w:color w:val="auto"/>
        </w:rPr>
      </w:pPr>
      <w:r>
        <w:rPr>
          <w:rFonts w:ascii="Times New Roman" w:cs="Times New Roman" w:eastAsia="Times New Roman" w:hAnsi="Times New Roman"/>
          <w:sz w:val="16"/>
          <w:szCs w:val="16"/>
          <w:color w:val="auto"/>
        </w:rPr>
        <w:t>for listing transfers, with $1.2 trillion in annual switches</w:t>
      </w:r>
    </w:p>
    <w:p>
      <w:pPr>
        <w:ind w:left="10"/>
        <w:spacing w:after="0" w:line="203" w:lineRule="auto"/>
        <w:rPr>
          <w:sz w:val="20"/>
          <w:szCs w:val="20"/>
          <w:color w:val="auto"/>
        </w:rPr>
      </w:pPr>
      <w:r>
        <w:rPr>
          <w:rFonts w:ascii="Times New Roman" w:cs="Times New Roman" w:eastAsia="Times New Roman" w:hAnsi="Times New Roman"/>
          <w:sz w:val="16"/>
          <w:szCs w:val="16"/>
          <w:color w:val="auto"/>
        </w:rPr>
        <w:t>for the first time including the largest exchange transfer on</w:t>
      </w:r>
    </w:p>
    <w:p>
      <w:pPr>
        <w:ind w:left="10"/>
        <w:spacing w:after="0" w:line="204" w:lineRule="auto"/>
        <w:rPr>
          <w:sz w:val="20"/>
          <w:szCs w:val="20"/>
          <w:color w:val="auto"/>
        </w:rPr>
      </w:pPr>
      <w:r>
        <w:rPr>
          <w:rFonts w:ascii="Times New Roman" w:cs="Times New Roman" w:eastAsia="Times New Roman" w:hAnsi="Times New Roman"/>
          <w:sz w:val="16"/>
          <w:szCs w:val="16"/>
          <w:color w:val="auto"/>
        </w:rPr>
        <w:t>record.</w:t>
      </w:r>
    </w:p>
    <w:p>
      <w:pPr>
        <w:ind w:left="10"/>
        <w:spacing w:after="0" w:line="203" w:lineRule="auto"/>
        <w:rPr>
          <w:sz w:val="20"/>
          <w:szCs w:val="20"/>
          <w:color w:val="auto"/>
        </w:rPr>
      </w:pPr>
      <w:r>
        <w:rPr>
          <w:rFonts w:ascii="Times New Roman" w:cs="Times New Roman" w:eastAsia="Times New Roman" w:hAnsi="Times New Roman"/>
          <w:sz w:val="16"/>
          <w:szCs w:val="16"/>
          <w:color w:val="auto"/>
        </w:rPr>
        <w:t>•Index achieved record net inflows of $99 billion in 2025,</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exited the year with ETP AUM of $882 billion, an all-</w:t>
      </w:r>
    </w:p>
    <w:p>
      <w:pPr>
        <w:ind w:left="10"/>
        <w:spacing w:after="0" w:line="203" w:lineRule="auto"/>
        <w:rPr>
          <w:sz w:val="20"/>
          <w:szCs w:val="20"/>
          <w:color w:val="auto"/>
        </w:rPr>
      </w:pPr>
      <w:r>
        <w:rPr>
          <w:rFonts w:ascii="Times New Roman" w:cs="Times New Roman" w:eastAsia="Times New Roman" w:hAnsi="Times New Roman"/>
          <w:sz w:val="16"/>
          <w:szCs w:val="16"/>
          <w:color w:val="auto"/>
        </w:rPr>
        <w:t>time high. Nasdaq launched 122 new Index products in</w:t>
      </w:r>
    </w:p>
    <w:p>
      <w:pPr>
        <w:ind w:left="10"/>
        <w:spacing w:after="0" w:line="204" w:lineRule="auto"/>
        <w:rPr>
          <w:sz w:val="20"/>
          <w:szCs w:val="20"/>
          <w:color w:val="auto"/>
        </w:rPr>
      </w:pPr>
      <w:r>
        <w:rPr>
          <w:rFonts w:ascii="Times New Roman" w:cs="Times New Roman" w:eastAsia="Times New Roman" w:hAnsi="Times New Roman"/>
          <w:sz w:val="16"/>
          <w:szCs w:val="16"/>
          <w:color w:val="auto"/>
        </w:rPr>
        <w:t>2025, with nearly half of the launches being international</w:t>
      </w:r>
    </w:p>
    <w:p>
      <w:pPr>
        <w:ind w:left="10"/>
        <w:spacing w:after="0" w:line="203" w:lineRule="auto"/>
        <w:rPr>
          <w:sz w:val="20"/>
          <w:szCs w:val="20"/>
          <w:color w:val="auto"/>
        </w:rPr>
      </w:pPr>
      <w:r>
        <w:rPr>
          <w:rFonts w:ascii="Times New Roman" w:cs="Times New Roman" w:eastAsia="Times New Roman" w:hAnsi="Times New Roman"/>
          <w:sz w:val="16"/>
          <w:szCs w:val="16"/>
          <w:color w:val="auto"/>
        </w:rPr>
        <w:t>products and 32 new products in the institutional insurance</w:t>
      </w:r>
    </w:p>
    <w:p>
      <w:pPr>
        <w:ind w:left="10"/>
        <w:spacing w:after="0" w:line="204" w:lineRule="auto"/>
        <w:rPr>
          <w:sz w:val="20"/>
          <w:szCs w:val="20"/>
          <w:color w:val="auto"/>
        </w:rPr>
      </w:pPr>
      <w:r>
        <w:rPr>
          <w:rFonts w:ascii="Times New Roman" w:cs="Times New Roman" w:eastAsia="Times New Roman" w:hAnsi="Times New Roman"/>
          <w:sz w:val="16"/>
          <w:szCs w:val="16"/>
          <w:color w:val="auto"/>
        </w:rPr>
        <w:t>annuity space.</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Financial Technology segment delivered 14% growth</w:t>
      </w:r>
    </w:p>
    <w:p>
      <w:pPr>
        <w:ind w:left="10"/>
        <w:spacing w:after="0" w:line="204" w:lineRule="auto"/>
        <w:rPr>
          <w:sz w:val="20"/>
          <w:szCs w:val="20"/>
          <w:color w:val="auto"/>
        </w:rPr>
      </w:pPr>
      <w:r>
        <w:rPr>
          <w:rFonts w:ascii="Times New Roman" w:cs="Times New Roman" w:eastAsia="Times New Roman" w:hAnsi="Times New Roman"/>
          <w:sz w:val="16"/>
          <w:szCs w:val="16"/>
          <w:color w:val="auto"/>
        </w:rPr>
        <w:t>in ARR and revenue, reflecting an increase in new clients,</w:t>
      </w:r>
    </w:p>
    <w:p>
      <w:pPr>
        <w:ind w:left="10"/>
        <w:spacing w:after="0" w:line="204" w:lineRule="auto"/>
        <w:rPr>
          <w:sz w:val="20"/>
          <w:szCs w:val="20"/>
          <w:color w:val="auto"/>
        </w:rPr>
      </w:pPr>
      <w:r>
        <w:rPr>
          <w:rFonts w:ascii="Times New Roman" w:cs="Times New Roman" w:eastAsia="Times New Roman" w:hAnsi="Times New Roman"/>
          <w:sz w:val="16"/>
          <w:szCs w:val="16"/>
          <w:color w:val="auto"/>
        </w:rPr>
        <w:t>cross-sells and upsells.</w:t>
      </w:r>
    </w:p>
    <w:p>
      <w:pPr>
        <w:ind w:left="10"/>
        <w:spacing w:after="0" w:line="203" w:lineRule="auto"/>
        <w:rPr>
          <w:sz w:val="20"/>
          <w:szCs w:val="20"/>
          <w:color w:val="auto"/>
        </w:rPr>
      </w:pPr>
      <w:r>
        <w:rPr>
          <w:rFonts w:ascii="Times New Roman" w:cs="Times New Roman" w:eastAsia="Times New Roman" w:hAnsi="Times New Roman"/>
          <w:sz w:val="16"/>
          <w:szCs w:val="16"/>
          <w:color w:val="auto"/>
        </w:rPr>
        <w:t>•Market Services delivered record revenue, reflecting</w:t>
      </w:r>
    </w:p>
    <w:p>
      <w:pPr>
        <w:ind w:left="10"/>
        <w:spacing w:after="0" w:line="204" w:lineRule="auto"/>
        <w:rPr>
          <w:sz w:val="20"/>
          <w:szCs w:val="20"/>
          <w:color w:val="auto"/>
        </w:rPr>
      </w:pPr>
      <w:r>
        <w:rPr>
          <w:rFonts w:ascii="Times New Roman" w:cs="Times New Roman" w:eastAsia="Times New Roman" w:hAnsi="Times New Roman"/>
          <w:sz w:val="16"/>
          <w:szCs w:val="16"/>
          <w:color w:val="auto"/>
        </w:rPr>
        <w:t>strength across U.S. cash equities and U.S. equities options</w:t>
      </w:r>
    </w:p>
    <w:p>
      <w:pPr>
        <w:ind w:left="10"/>
        <w:spacing w:after="0" w:line="203" w:lineRule="auto"/>
        <w:rPr>
          <w:sz w:val="20"/>
          <w:szCs w:val="20"/>
          <w:color w:val="auto"/>
        </w:rPr>
      </w:pPr>
      <w:r>
        <w:rPr>
          <w:rFonts w:ascii="Times New Roman" w:cs="Times New Roman" w:eastAsia="Times New Roman" w:hAnsi="Times New Roman"/>
          <w:sz w:val="16"/>
          <w:szCs w:val="16"/>
          <w:color w:val="auto"/>
        </w:rPr>
        <w:t>volumes in 2025.</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Macroeconomic environment</w:t>
      </w:r>
    </w:p>
    <w:p>
      <w:pPr>
        <w:ind w:left="10"/>
        <w:spacing w:after="0" w:line="203" w:lineRule="auto"/>
        <w:rPr>
          <w:sz w:val="20"/>
          <w:szCs w:val="20"/>
          <w:color w:val="auto"/>
        </w:rPr>
      </w:pPr>
      <w:r>
        <w:rPr>
          <w:rFonts w:ascii="Times New Roman" w:cs="Times New Roman" w:eastAsia="Times New Roman" w:hAnsi="Times New Roman"/>
          <w:sz w:val="16"/>
          <w:szCs w:val="16"/>
          <w:color w:val="auto"/>
        </w:rPr>
        <w:t>Our business performance can be positively or negatively</w:t>
      </w:r>
    </w:p>
    <w:p>
      <w:pPr>
        <w:ind w:left="10"/>
        <w:spacing w:after="0" w:line="233" w:lineRule="auto"/>
        <w:rPr>
          <w:sz w:val="20"/>
          <w:szCs w:val="20"/>
          <w:color w:val="auto"/>
        </w:rPr>
      </w:pPr>
      <w:r>
        <w:rPr>
          <w:rFonts w:ascii="Times New Roman" w:cs="Times New Roman" w:eastAsia="Times New Roman" w:hAnsi="Times New Roman"/>
          <w:sz w:val="14"/>
          <w:szCs w:val="14"/>
          <w:color w:val="auto"/>
        </w:rPr>
        <w:t>impacted by a number of factors, including general economic</w:t>
      </w:r>
    </w:p>
    <w:p>
      <w:pPr>
        <w:ind w:left="10"/>
        <w:spacing w:after="0" w:line="233" w:lineRule="auto"/>
        <w:rPr>
          <w:sz w:val="20"/>
          <w:szCs w:val="20"/>
          <w:color w:val="auto"/>
        </w:rPr>
      </w:pPr>
      <w:r>
        <w:rPr>
          <w:rFonts w:ascii="Times New Roman" w:cs="Times New Roman" w:eastAsia="Times New Roman" w:hAnsi="Times New Roman"/>
          <w:sz w:val="14"/>
          <w:szCs w:val="14"/>
          <w:color w:val="auto"/>
        </w:rPr>
        <w:t>conditions, the geopolitical environment, current or expected</w:t>
      </w:r>
    </w:p>
    <w:p>
      <w:pPr>
        <w:ind w:left="10"/>
        <w:spacing w:after="0" w:line="232" w:lineRule="auto"/>
        <w:rPr>
          <w:sz w:val="20"/>
          <w:szCs w:val="20"/>
          <w:color w:val="auto"/>
        </w:rPr>
      </w:pPr>
      <w:r>
        <w:rPr>
          <w:rFonts w:ascii="Times New Roman" w:cs="Times New Roman" w:eastAsia="Times New Roman" w:hAnsi="Times New Roman"/>
          <w:sz w:val="14"/>
          <w:szCs w:val="14"/>
          <w:color w:val="auto"/>
        </w:rPr>
        <w:t>inflation, interest rate fluctuations, the threat or imposition of</w:t>
      </w:r>
    </w:p>
    <w:p>
      <w:pPr>
        <w:ind w:left="10"/>
        <w:spacing w:after="0" w:line="233" w:lineRule="auto"/>
        <w:rPr>
          <w:sz w:val="20"/>
          <w:szCs w:val="20"/>
          <w:color w:val="auto"/>
        </w:rPr>
      </w:pPr>
      <w:r>
        <w:rPr>
          <w:rFonts w:ascii="Times New Roman" w:cs="Times New Roman" w:eastAsia="Times New Roman" w:hAnsi="Times New Roman"/>
          <w:sz w:val="14"/>
          <w:szCs w:val="14"/>
          <w:color w:val="auto"/>
        </w:rPr>
        <w:t>broad-based tariffs, market volatility, changes in investment</w:t>
      </w:r>
    </w:p>
    <w:p>
      <w:pPr>
        <w:ind w:left="10"/>
        <w:spacing w:after="0" w:line="203" w:lineRule="auto"/>
        <w:rPr>
          <w:sz w:val="20"/>
          <w:szCs w:val="20"/>
          <w:color w:val="auto"/>
        </w:rPr>
      </w:pPr>
      <w:r>
        <w:rPr>
          <w:rFonts w:ascii="Times New Roman" w:cs="Times New Roman" w:eastAsia="Times New Roman" w:hAnsi="Times New Roman"/>
          <w:sz w:val="16"/>
          <w:szCs w:val="16"/>
          <w:color w:val="auto"/>
        </w:rPr>
        <w:t>patterns and priorities, regulatory changes, pandemics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other factors that are generally beyond our control. For</w:t>
      </w:r>
    </w:p>
    <w:p>
      <w:pPr>
        <w:ind w:left="10"/>
        <w:spacing w:after="0" w:line="204" w:lineRule="auto"/>
        <w:rPr>
          <w:sz w:val="20"/>
          <w:szCs w:val="20"/>
          <w:color w:val="auto"/>
        </w:rPr>
      </w:pPr>
      <w:r>
        <w:rPr>
          <w:rFonts w:ascii="Times New Roman" w:cs="Times New Roman" w:eastAsia="Times New Roman" w:hAnsi="Times New Roman"/>
          <w:sz w:val="16"/>
          <w:szCs w:val="16"/>
          <w:color w:val="auto"/>
        </w:rPr>
        <w:t>example, higher overall U.S. trading volumes in 2025 as</w:t>
      </w:r>
    </w:p>
    <w:p>
      <w:pPr>
        <w:ind w:left="10"/>
        <w:spacing w:after="0" w:line="203" w:lineRule="auto"/>
        <w:rPr>
          <w:sz w:val="20"/>
          <w:szCs w:val="20"/>
          <w:color w:val="auto"/>
        </w:rPr>
      </w:pPr>
      <w:r>
        <w:rPr>
          <w:rFonts w:ascii="Times New Roman" w:cs="Times New Roman" w:eastAsia="Times New Roman" w:hAnsi="Times New Roman"/>
          <w:sz w:val="16"/>
          <w:szCs w:val="16"/>
          <w:color w:val="auto"/>
        </w:rPr>
        <w:t>compared to 2024 led to an increase in our U.S. equities</w:t>
      </w:r>
    </w:p>
    <w:p>
      <w:pPr>
        <w:ind w:left="10"/>
        <w:spacing w:after="0" w:line="233" w:lineRule="auto"/>
        <w:rPr>
          <w:sz w:val="20"/>
          <w:szCs w:val="20"/>
          <w:color w:val="auto"/>
        </w:rPr>
      </w:pPr>
      <w:r>
        <w:rPr>
          <w:rFonts w:ascii="Times New Roman" w:cs="Times New Roman" w:eastAsia="Times New Roman" w:hAnsi="Times New Roman"/>
          <w:sz w:val="14"/>
          <w:szCs w:val="14"/>
          <w:color w:val="auto"/>
        </w:rPr>
        <w:t>options and U.S. cash equities revenues. Market factors also</w:t>
      </w:r>
    </w:p>
    <w:p>
      <w:pPr>
        <w:ind w:left="10"/>
        <w:spacing w:after="0" w:line="203" w:lineRule="auto"/>
        <w:rPr>
          <w:sz w:val="20"/>
          <w:szCs w:val="20"/>
          <w:color w:val="auto"/>
        </w:rPr>
      </w:pPr>
      <w:r>
        <w:rPr>
          <w:rFonts w:ascii="Times New Roman" w:cs="Times New Roman" w:eastAsia="Times New Roman" w:hAnsi="Times New Roman"/>
          <w:sz w:val="16"/>
          <w:szCs w:val="16"/>
          <w:color w:val="auto"/>
        </w:rPr>
        <w:t>contributed to higher valuations in Nasdaq Indices, higher</w:t>
      </w:r>
    </w:p>
    <w:p>
      <w:pPr>
        <w:ind w:left="10"/>
        <w:spacing w:after="0" w:line="204" w:lineRule="auto"/>
        <w:rPr>
          <w:sz w:val="20"/>
          <w:szCs w:val="20"/>
          <w:color w:val="auto"/>
        </w:rPr>
      </w:pPr>
      <w:r>
        <w:rPr>
          <w:rFonts w:ascii="Times New Roman" w:cs="Times New Roman" w:eastAsia="Times New Roman" w:hAnsi="Times New Roman"/>
          <w:sz w:val="16"/>
          <w:szCs w:val="16"/>
          <w:color w:val="auto"/>
        </w:rPr>
        <w:t>overall volumes in Index derivatives and an improving IPO</w:t>
      </w:r>
    </w:p>
    <w:p>
      <w:pPr>
        <w:ind w:left="10"/>
        <w:spacing w:after="0" w:line="203" w:lineRule="auto"/>
        <w:rPr>
          <w:sz w:val="20"/>
          <w:szCs w:val="20"/>
          <w:color w:val="auto"/>
        </w:rPr>
      </w:pPr>
      <w:r>
        <w:rPr>
          <w:rFonts w:ascii="Times New Roman" w:cs="Times New Roman" w:eastAsia="Times New Roman" w:hAnsi="Times New Roman"/>
          <w:sz w:val="16"/>
          <w:szCs w:val="16"/>
          <w:color w:val="auto"/>
        </w:rPr>
        <w:t>landscape. To the extent that global or national economic</w:t>
      </w:r>
    </w:p>
    <w:p>
      <w:pPr>
        <w:ind w:left="10"/>
        <w:spacing w:after="0" w:line="233" w:lineRule="auto"/>
        <w:rPr>
          <w:sz w:val="20"/>
          <w:szCs w:val="20"/>
          <w:color w:val="auto"/>
        </w:rPr>
      </w:pPr>
      <w:r>
        <w:rPr>
          <w:rFonts w:ascii="Times New Roman" w:cs="Times New Roman" w:eastAsia="Times New Roman" w:hAnsi="Times New Roman"/>
          <w:sz w:val="14"/>
          <w:szCs w:val="14"/>
          <w:color w:val="auto"/>
        </w:rPr>
        <w:t>conditions weaken and result in slower growth or recessions,</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business may be negatively impacted.</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Operating Results</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following table summarizes our financial performance</w:t>
      </w:r>
    </w:p>
    <w:p>
      <w:pPr>
        <w:ind w:left="10"/>
        <w:spacing w:after="0" w:line="232" w:lineRule="auto"/>
        <w:rPr>
          <w:sz w:val="20"/>
          <w:szCs w:val="20"/>
          <w:color w:val="auto"/>
        </w:rPr>
      </w:pPr>
      <w:r>
        <w:rPr>
          <w:rFonts w:ascii="Times New Roman" w:cs="Times New Roman" w:eastAsia="Times New Roman" w:hAnsi="Times New Roman"/>
          <w:sz w:val="14"/>
          <w:szCs w:val="14"/>
          <w:color w:val="auto"/>
        </w:rPr>
        <w:t>for the year ended December 31, 2025 compared to the same</w:t>
      </w:r>
    </w:p>
    <w:p>
      <w:pPr>
        <w:ind w:left="10"/>
        <w:spacing w:after="0" w:line="204" w:lineRule="auto"/>
        <w:rPr>
          <w:sz w:val="20"/>
          <w:szCs w:val="20"/>
          <w:color w:val="auto"/>
        </w:rPr>
      </w:pPr>
      <w:r>
        <w:rPr>
          <w:rFonts w:ascii="Times New Roman" w:cs="Times New Roman" w:eastAsia="Times New Roman" w:hAnsi="Times New Roman"/>
          <w:sz w:val="16"/>
          <w:szCs w:val="16"/>
          <w:color w:val="auto"/>
        </w:rPr>
        <w:t>period in 2024 and for the year ended December 31, 2024</w:t>
      </w:r>
    </w:p>
    <w:p>
      <w:pPr>
        <w:ind w:left="10"/>
        <w:spacing w:after="0" w:line="203" w:lineRule="auto"/>
        <w:rPr>
          <w:sz w:val="20"/>
          <w:szCs w:val="20"/>
          <w:color w:val="auto"/>
        </w:rPr>
      </w:pPr>
      <w:r>
        <w:rPr>
          <w:rFonts w:ascii="Times New Roman" w:cs="Times New Roman" w:eastAsia="Times New Roman" w:hAnsi="Times New Roman"/>
          <w:sz w:val="16"/>
          <w:szCs w:val="16"/>
          <w:color w:val="auto"/>
        </w:rPr>
        <w:t>compared to the same period in 2023. The comparability of</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results of operations between reported periods is</w:t>
      </w:r>
    </w:p>
    <w:p>
      <w:pPr>
        <w:ind w:left="10"/>
        <w:spacing w:after="0" w:line="204" w:lineRule="auto"/>
        <w:rPr>
          <w:sz w:val="20"/>
          <w:szCs w:val="20"/>
          <w:color w:val="auto"/>
        </w:rPr>
      </w:pPr>
      <w:r>
        <w:rPr>
          <w:rFonts w:ascii="Times New Roman" w:cs="Times New Roman" w:eastAsia="Times New Roman" w:hAnsi="Times New Roman"/>
          <w:sz w:val="16"/>
          <w:szCs w:val="16"/>
          <w:color w:val="auto"/>
        </w:rPr>
        <w:t>primarily impacted by our acquisition of Adenza in</w:t>
      </w:r>
    </w:p>
    <w:p>
      <w:pPr>
        <w:ind w:left="10"/>
        <w:spacing w:after="0" w:line="232" w:lineRule="auto"/>
        <w:rPr>
          <w:sz w:val="20"/>
          <w:szCs w:val="20"/>
          <w:color w:val="auto"/>
        </w:rPr>
      </w:pPr>
      <w:r>
        <w:rPr>
          <w:rFonts w:ascii="Times New Roman" w:cs="Times New Roman" w:eastAsia="Times New Roman" w:hAnsi="Times New Roman"/>
          <w:sz w:val="14"/>
          <w:szCs w:val="14"/>
          <w:color w:val="auto"/>
        </w:rPr>
        <w:t>November 2023. See Note 4, “Acquisition and Divestitures,”</w:t>
      </w:r>
    </w:p>
    <w:p>
      <w:pPr>
        <w:ind w:left="10"/>
        <w:spacing w:after="0" w:line="204" w:lineRule="auto"/>
        <w:rPr>
          <w:sz w:val="20"/>
          <w:szCs w:val="20"/>
          <w:color w:val="auto"/>
        </w:rPr>
      </w:pPr>
      <w:r>
        <w:rPr>
          <w:rFonts w:ascii="Times New Roman" w:cs="Times New Roman" w:eastAsia="Times New Roman" w:hAnsi="Times New Roman"/>
          <w:sz w:val="16"/>
          <w:szCs w:val="16"/>
          <w:color w:val="auto"/>
        </w:rPr>
        <w:t>to the consolidated financial statements for further</w:t>
      </w:r>
    </w:p>
    <w:p>
      <w:pPr>
        <w:ind w:left="10"/>
        <w:spacing w:after="0"/>
        <w:rPr>
          <w:sz w:val="20"/>
          <w:szCs w:val="20"/>
          <w:color w:val="auto"/>
        </w:rPr>
      </w:pPr>
      <w:r>
        <w:rPr>
          <w:rFonts w:ascii="Times New Roman" w:cs="Times New Roman" w:eastAsia="Times New Roman" w:hAnsi="Times New Roman"/>
          <w:sz w:val="16"/>
          <w:szCs w:val="16"/>
          <w:color w:val="auto"/>
        </w:rPr>
        <w:t>discussion. For a detailed discussion of our results of</w:t>
      </w:r>
    </w:p>
    <w:p>
      <w:pPr>
        <w:ind w:left="10"/>
        <w:spacing w:after="0" w:line="214" w:lineRule="auto"/>
        <w:rPr>
          <w:sz w:val="20"/>
          <w:szCs w:val="20"/>
          <w:color w:val="auto"/>
        </w:rPr>
      </w:pPr>
      <w:r>
        <w:rPr>
          <w:rFonts w:ascii="Times New Roman" w:cs="Times New Roman" w:eastAsia="Times New Roman" w:hAnsi="Times New Roman"/>
          <w:sz w:val="16"/>
          <w:szCs w:val="16"/>
          <w:color w:val="auto"/>
        </w:rPr>
        <w:t>37</w:t>
      </w:r>
    </w:p>
    <w:p>
      <w:pPr>
        <w:ind w:left="10"/>
        <w:spacing w:after="0" w:line="203" w:lineRule="auto"/>
        <w:rPr>
          <w:sz w:val="20"/>
          <w:szCs w:val="20"/>
          <w:color w:val="auto"/>
        </w:rPr>
      </w:pPr>
      <w:r>
        <w:rPr>
          <w:rFonts w:ascii="Times New Roman" w:cs="Times New Roman" w:eastAsia="Times New Roman" w:hAnsi="Times New Roman"/>
          <w:sz w:val="16"/>
          <w:szCs w:val="16"/>
          <w:color w:val="auto"/>
        </w:rPr>
        <w:t>In countries with currencies other than the U.S. dollar,</w:t>
      </w:r>
    </w:p>
    <w:p>
      <w:pPr>
        <w:ind w:left="10"/>
        <w:spacing w:after="0" w:line="233" w:lineRule="auto"/>
        <w:rPr>
          <w:sz w:val="20"/>
          <w:szCs w:val="20"/>
          <w:color w:val="auto"/>
        </w:rPr>
      </w:pPr>
      <w:r>
        <w:rPr>
          <w:rFonts w:ascii="Times New Roman" w:cs="Times New Roman" w:eastAsia="Times New Roman" w:hAnsi="Times New Roman"/>
          <w:sz w:val="14"/>
          <w:szCs w:val="14"/>
          <w:color w:val="auto"/>
        </w:rPr>
        <w:t>revenues and expenses are translated using monthly average</w:t>
      </w:r>
    </w:p>
    <w:p>
      <w:pPr>
        <w:ind w:left="10"/>
        <w:spacing w:after="0" w:line="203" w:lineRule="auto"/>
        <w:rPr>
          <w:sz w:val="20"/>
          <w:szCs w:val="20"/>
          <w:color w:val="auto"/>
        </w:rPr>
      </w:pPr>
      <w:r>
        <w:rPr>
          <w:rFonts w:ascii="Times New Roman" w:cs="Times New Roman" w:eastAsia="Times New Roman" w:hAnsi="Times New Roman"/>
          <w:sz w:val="16"/>
          <w:szCs w:val="16"/>
          <w:color w:val="auto"/>
        </w:rPr>
        <w:t>exchange rates. Impacts on our revenues less transaction-</w:t>
      </w:r>
    </w:p>
    <w:p>
      <w:pPr>
        <w:ind w:left="10"/>
        <w:spacing w:after="0" w:line="204" w:lineRule="auto"/>
        <w:rPr>
          <w:sz w:val="20"/>
          <w:szCs w:val="20"/>
          <w:color w:val="auto"/>
        </w:rPr>
      </w:pPr>
      <w:r>
        <w:rPr>
          <w:rFonts w:ascii="Times New Roman" w:cs="Times New Roman" w:eastAsia="Times New Roman" w:hAnsi="Times New Roman"/>
          <w:sz w:val="16"/>
          <w:szCs w:val="16"/>
          <w:color w:val="auto"/>
        </w:rPr>
        <w:t>based expenses and operating income associated with</w:t>
      </w:r>
    </w:p>
    <w:p>
      <w:pPr>
        <w:ind w:left="10"/>
        <w:spacing w:after="0" w:line="203" w:lineRule="auto"/>
        <w:rPr>
          <w:sz w:val="20"/>
          <w:szCs w:val="20"/>
          <w:color w:val="auto"/>
        </w:rPr>
      </w:pPr>
      <w:r>
        <w:rPr>
          <w:rFonts w:ascii="Times New Roman" w:cs="Times New Roman" w:eastAsia="Times New Roman" w:hAnsi="Times New Roman"/>
          <w:sz w:val="16"/>
          <w:szCs w:val="16"/>
          <w:color w:val="auto"/>
        </w:rPr>
        <w:t>fluctuations in foreign currency are discussed in more detail</w:t>
      </w:r>
    </w:p>
    <w:p>
      <w:pPr>
        <w:ind w:left="10"/>
        <w:spacing w:after="0" w:line="204" w:lineRule="auto"/>
        <w:rPr>
          <w:sz w:val="20"/>
          <w:szCs w:val="20"/>
          <w:color w:val="auto"/>
        </w:rPr>
      </w:pPr>
      <w:r>
        <w:rPr>
          <w:rFonts w:ascii="Times New Roman" w:cs="Times New Roman" w:eastAsia="Times New Roman" w:hAnsi="Times New Roman"/>
          <w:sz w:val="16"/>
          <w:szCs w:val="16"/>
          <w:color w:val="auto"/>
        </w:rPr>
        <w:t>under “Item 7A. Quantitative and Qualitative Disclosures</w:t>
      </w:r>
    </w:p>
    <w:p>
      <w:pPr>
        <w:ind w:left="10"/>
        <w:spacing w:after="0" w:line="204" w:lineRule="auto"/>
        <w:rPr>
          <w:sz w:val="20"/>
          <w:szCs w:val="20"/>
          <w:color w:val="auto"/>
        </w:rPr>
      </w:pPr>
      <w:r>
        <w:rPr>
          <w:rFonts w:ascii="Times New Roman" w:cs="Times New Roman" w:eastAsia="Times New Roman" w:hAnsi="Times New Roman"/>
          <w:sz w:val="16"/>
          <w:szCs w:val="16"/>
          <w:color w:val="auto"/>
        </w:rPr>
        <w:t>About Market Risk.”</w:t>
      </w:r>
    </w:p>
    <w:p>
      <w:pPr>
        <w:ind w:left="10"/>
        <w:spacing w:after="0" w:line="203" w:lineRule="auto"/>
        <w:rPr>
          <w:sz w:val="20"/>
          <w:szCs w:val="20"/>
          <w:color w:val="auto"/>
        </w:rPr>
      </w:pPr>
      <w:r>
        <w:rPr>
          <w:rFonts w:ascii="Times New Roman" w:cs="Times New Roman" w:eastAsia="Times New Roman" w:hAnsi="Times New Roman"/>
          <w:sz w:val="16"/>
          <w:szCs w:val="16"/>
          <w:color w:val="auto"/>
        </w:rPr>
        <w:t>As discussed above, in October 2025, we sold our Solovis</w:t>
      </w:r>
    </w:p>
    <w:p>
      <w:pPr>
        <w:ind w:left="10"/>
        <w:spacing w:after="0" w:line="204" w:lineRule="auto"/>
        <w:rPr>
          <w:sz w:val="20"/>
          <w:szCs w:val="20"/>
          <w:color w:val="auto"/>
        </w:rPr>
      </w:pPr>
      <w:r>
        <w:rPr>
          <w:rFonts w:ascii="Times New Roman" w:cs="Times New Roman" w:eastAsia="Times New Roman" w:hAnsi="Times New Roman"/>
          <w:sz w:val="16"/>
          <w:szCs w:val="16"/>
          <w:color w:val="auto"/>
        </w:rPr>
        <w:t>business, previously included in our Capital Access</w:t>
      </w:r>
    </w:p>
    <w:p>
      <w:pPr>
        <w:ind w:left="10"/>
        <w:spacing w:after="0" w:line="232" w:lineRule="auto"/>
        <w:rPr>
          <w:sz w:val="20"/>
          <w:szCs w:val="20"/>
          <w:color w:val="auto"/>
        </w:rPr>
      </w:pPr>
      <w:r>
        <w:rPr>
          <w:rFonts w:ascii="Times New Roman" w:cs="Times New Roman" w:eastAsia="Times New Roman" w:hAnsi="Times New Roman"/>
          <w:sz w:val="14"/>
          <w:szCs w:val="14"/>
          <w:color w:val="auto"/>
        </w:rPr>
        <w:t>Platforms segment. Revenues, ARR and quarterly annualized</w:t>
      </w:r>
    </w:p>
    <w:p>
      <w:pPr>
        <w:ind w:left="10"/>
        <w:spacing w:after="0" w:line="204" w:lineRule="auto"/>
        <w:rPr>
          <w:sz w:val="20"/>
          <w:szCs w:val="20"/>
          <w:color w:val="auto"/>
        </w:rPr>
      </w:pPr>
      <w:r>
        <w:rPr>
          <w:rFonts w:ascii="Times New Roman" w:cs="Times New Roman" w:eastAsia="Times New Roman" w:hAnsi="Times New Roman"/>
          <w:sz w:val="16"/>
          <w:szCs w:val="16"/>
          <w:color w:val="auto"/>
        </w:rPr>
        <w:t>SaaS revenues related to our Solovis business has been</w:t>
      </w:r>
    </w:p>
    <w:p>
      <w:pPr>
        <w:ind w:left="10"/>
        <w:spacing w:after="0" w:line="203" w:lineRule="auto"/>
        <w:rPr>
          <w:sz w:val="20"/>
          <w:szCs w:val="20"/>
          <w:color w:val="auto"/>
        </w:rPr>
      </w:pPr>
      <w:r>
        <w:rPr>
          <w:rFonts w:ascii="Times New Roman" w:cs="Times New Roman" w:eastAsia="Times New Roman" w:hAnsi="Times New Roman"/>
          <w:sz w:val="16"/>
          <w:szCs w:val="16"/>
          <w:color w:val="auto"/>
        </w:rPr>
        <w:t>reclassified to “Other” for all periods presented to facilitate</w:t>
      </w:r>
    </w:p>
    <w:p>
      <w:pPr>
        <w:ind w:left="10"/>
        <w:spacing w:after="0" w:line="204" w:lineRule="auto"/>
        <w:rPr>
          <w:sz w:val="20"/>
          <w:szCs w:val="20"/>
          <w:color w:val="auto"/>
        </w:rPr>
      </w:pPr>
      <w:r>
        <w:rPr>
          <w:rFonts w:ascii="Times New Roman" w:cs="Times New Roman" w:eastAsia="Times New Roman" w:hAnsi="Times New Roman"/>
          <w:sz w:val="16"/>
          <w:szCs w:val="16"/>
          <w:color w:val="auto"/>
        </w:rPr>
        <w:t>comparability.</w:t>
      </w:r>
    </w:p>
    <w:p>
      <w:pPr>
        <w:ind w:left="10"/>
        <w:spacing w:after="0"/>
        <w:rPr>
          <w:sz w:val="20"/>
          <w:szCs w:val="20"/>
          <w:color w:val="auto"/>
        </w:rPr>
      </w:pPr>
      <w:r>
        <w:rPr>
          <w:rFonts w:ascii="Times New Roman" w:cs="Times New Roman" w:eastAsia="Times New Roman" w:hAnsi="Times New Roman"/>
          <w:sz w:val="16"/>
          <w:szCs w:val="16"/>
          <w:color w:val="auto"/>
        </w:rPr>
        <w:t>The following chart summarizes our ARR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515235" cy="2774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5235" cy="277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 w:right="5660" w:hanging="10"/>
        <w:spacing w:after="0" w:line="215" w:lineRule="auto"/>
        <w:tabs>
          <w:tab w:leader="none" w:pos="12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chart above, Other for 4Q23 and 4Q24 includes $25 million and $28 million, respectively.</w:t>
      </w:r>
    </w:p>
    <w:p>
      <w:pPr>
        <w:ind w:left="10" w:right="5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ARR for a given period is the current annualized value derived from subscription contracts with a defined contract value. This excludes contracts that are not recurring, are one-time in nature, or where the contract value fluctuates based on defined metrics. ARR is currently one of our key performance metrics to assess the health and trajectory of our recurring business. ARR does not have any standardized definition and is therefore unlikely to be comparable to similarly titled measures presented by other companies. ARR should be viewed independently of revenue and deferred revenue and is not intended to be combined with or to replace either of those items. For AxiomSL and Calypso recurring revenue contracts, the amount included in ARR is consistent with the amount that we invoice the customer during the</w:t>
      </w:r>
    </w:p>
    <w:p>
      <w:pPr>
        <w:sectPr>
          <w:pgSz w:w="11900" w:h="16840" w:orient="portrait"/>
          <w:cols w:equalWidth="0" w:num="1">
            <w:col w:w="9410"/>
          </w:cols>
          <w:pgMar w:left="1050" w:top="547" w:right="1440" w:bottom="152" w:gutter="0" w:footer="0" w:header="0"/>
        </w:sectPr>
      </w:pPr>
    </w:p>
    <w:bookmarkStart w:id="34" w:name="page35"/>
    <w:bookmarkEnd w:id="34"/>
    <w:p>
      <w:pPr>
        <w:ind w:left="10"/>
        <w:spacing w:after="0"/>
        <w:rPr>
          <w:sz w:val="20"/>
          <w:szCs w:val="20"/>
          <w:color w:val="auto"/>
        </w:rPr>
      </w:pPr>
      <w:r>
        <w:rPr>
          <w:rFonts w:ascii="Times New Roman" w:cs="Times New Roman" w:eastAsia="Times New Roman" w:hAnsi="Times New Roman"/>
          <w:sz w:val="16"/>
          <w:szCs w:val="16"/>
          <w:color w:val="auto"/>
        </w:rPr>
        <w:t>current period. Additionally, for AxiomSL and Calypso</w:t>
      </w:r>
    </w:p>
    <w:p>
      <w:pPr>
        <w:ind w:left="10"/>
        <w:spacing w:after="0" w:line="203" w:lineRule="auto"/>
        <w:rPr>
          <w:sz w:val="20"/>
          <w:szCs w:val="20"/>
          <w:color w:val="auto"/>
        </w:rPr>
      </w:pPr>
      <w:r>
        <w:rPr>
          <w:rFonts w:ascii="Times New Roman" w:cs="Times New Roman" w:eastAsia="Times New Roman" w:hAnsi="Times New Roman"/>
          <w:sz w:val="16"/>
          <w:szCs w:val="16"/>
          <w:color w:val="auto"/>
        </w:rPr>
        <w:t>recurring revenue contracts that include annual values that</w:t>
      </w:r>
    </w:p>
    <w:p>
      <w:pPr>
        <w:ind w:left="10"/>
        <w:spacing w:after="0" w:line="204" w:lineRule="auto"/>
        <w:rPr>
          <w:sz w:val="20"/>
          <w:szCs w:val="20"/>
          <w:color w:val="auto"/>
        </w:rPr>
      </w:pPr>
      <w:r>
        <w:rPr>
          <w:rFonts w:ascii="Times New Roman" w:cs="Times New Roman" w:eastAsia="Times New Roman" w:hAnsi="Times New Roman"/>
          <w:sz w:val="16"/>
          <w:szCs w:val="16"/>
          <w:color w:val="auto"/>
        </w:rPr>
        <w:t>increase over time, we include in ARR only the annualized</w:t>
      </w:r>
    </w:p>
    <w:p>
      <w:pPr>
        <w:ind w:left="10"/>
        <w:spacing w:after="0" w:line="203" w:lineRule="auto"/>
        <w:rPr>
          <w:sz w:val="20"/>
          <w:szCs w:val="20"/>
          <w:color w:val="auto"/>
        </w:rPr>
      </w:pPr>
      <w:r>
        <w:rPr>
          <w:rFonts w:ascii="Times New Roman" w:cs="Times New Roman" w:eastAsia="Times New Roman" w:hAnsi="Times New Roman"/>
          <w:sz w:val="16"/>
          <w:szCs w:val="16"/>
          <w:color w:val="auto"/>
        </w:rPr>
        <w:t>value of components of the contract that are considered</w:t>
      </w:r>
    </w:p>
    <w:p>
      <w:pPr>
        <w:ind w:left="10"/>
        <w:spacing w:after="0" w:line="204" w:lineRule="auto"/>
        <w:rPr>
          <w:sz w:val="20"/>
          <w:szCs w:val="20"/>
          <w:color w:val="auto"/>
        </w:rPr>
      </w:pPr>
      <w:r>
        <w:rPr>
          <w:rFonts w:ascii="Times New Roman" w:cs="Times New Roman" w:eastAsia="Times New Roman" w:hAnsi="Times New Roman"/>
          <w:sz w:val="16"/>
          <w:szCs w:val="16"/>
          <w:color w:val="auto"/>
        </w:rPr>
        <w:t>active as of the date of the ARR calculation. We do not</w:t>
      </w:r>
    </w:p>
    <w:p>
      <w:pPr>
        <w:ind w:left="10"/>
        <w:spacing w:after="0" w:line="203" w:lineRule="auto"/>
        <w:rPr>
          <w:sz w:val="20"/>
          <w:szCs w:val="20"/>
          <w:color w:val="auto"/>
        </w:rPr>
      </w:pPr>
      <w:r>
        <w:rPr>
          <w:rFonts w:ascii="Times New Roman" w:cs="Times New Roman" w:eastAsia="Times New Roman" w:hAnsi="Times New Roman"/>
          <w:sz w:val="16"/>
          <w:szCs w:val="16"/>
          <w:color w:val="auto"/>
        </w:rPr>
        <w:t>include the future committed increases in the contract value</w:t>
      </w:r>
    </w:p>
    <w:p>
      <w:pPr>
        <w:ind w:left="10"/>
        <w:spacing w:after="0" w:line="204" w:lineRule="auto"/>
        <w:rPr>
          <w:sz w:val="20"/>
          <w:szCs w:val="20"/>
          <w:color w:val="auto"/>
        </w:rPr>
      </w:pPr>
      <w:r>
        <w:rPr>
          <w:rFonts w:ascii="Times New Roman" w:cs="Times New Roman" w:eastAsia="Times New Roman" w:hAnsi="Times New Roman"/>
          <w:sz w:val="16"/>
          <w:szCs w:val="16"/>
          <w:color w:val="auto"/>
        </w:rPr>
        <w:t>as of the date of the ARR calculation. ARR is not a forecast</w:t>
      </w:r>
    </w:p>
    <w:p>
      <w:pPr>
        <w:ind w:left="10"/>
        <w:spacing w:after="0" w:line="203" w:lineRule="auto"/>
        <w:rPr>
          <w:sz w:val="20"/>
          <w:szCs w:val="20"/>
          <w:color w:val="auto"/>
        </w:rPr>
      </w:pPr>
      <w:r>
        <w:rPr>
          <w:rFonts w:ascii="Times New Roman" w:cs="Times New Roman" w:eastAsia="Times New Roman" w:hAnsi="Times New Roman"/>
          <w:sz w:val="16"/>
          <w:szCs w:val="16"/>
          <w:color w:val="auto"/>
        </w:rPr>
        <w:t>and the active contracts at the end of a reporting period used</w:t>
      </w:r>
    </w:p>
    <w:p>
      <w:pPr>
        <w:ind w:left="10"/>
        <w:spacing w:after="0" w:line="204" w:lineRule="auto"/>
        <w:rPr>
          <w:sz w:val="20"/>
          <w:szCs w:val="20"/>
          <w:color w:val="auto"/>
        </w:rPr>
      </w:pPr>
      <w:r>
        <w:rPr>
          <w:rFonts w:ascii="Times New Roman" w:cs="Times New Roman" w:eastAsia="Times New Roman" w:hAnsi="Times New Roman"/>
          <w:sz w:val="16"/>
          <w:szCs w:val="16"/>
          <w:color w:val="auto"/>
        </w:rPr>
        <w:t>in calculating ARR may or may not be extended or renewed</w:t>
      </w:r>
    </w:p>
    <w:p>
      <w:pPr>
        <w:ind w:left="10"/>
        <w:spacing w:after="0" w:line="203" w:lineRule="auto"/>
        <w:rPr>
          <w:sz w:val="20"/>
          <w:szCs w:val="20"/>
          <w:color w:val="auto"/>
        </w:rPr>
      </w:pPr>
      <w:r>
        <w:rPr>
          <w:rFonts w:ascii="Times New Roman" w:cs="Times New Roman" w:eastAsia="Times New Roman" w:hAnsi="Times New Roman"/>
          <w:sz w:val="16"/>
          <w:szCs w:val="16"/>
          <w:color w:val="auto"/>
        </w:rPr>
        <w:t>by our customers.</w:t>
      </w:r>
    </w:p>
    <w:p>
      <w:pPr>
        <w:ind w:left="10"/>
        <w:spacing w:after="0" w:line="220" w:lineRule="auto"/>
        <w:rPr>
          <w:sz w:val="20"/>
          <w:szCs w:val="20"/>
          <w:color w:val="auto"/>
        </w:rPr>
      </w:pPr>
      <w:r>
        <w:rPr>
          <w:rFonts w:ascii="Times New Roman" w:cs="Times New Roman" w:eastAsia="Times New Roman" w:hAnsi="Times New Roman"/>
          <w:sz w:val="16"/>
          <w:szCs w:val="16"/>
          <w:color w:val="auto"/>
        </w:rPr>
        <w:t>The ARR chart includes:</w:t>
      </w:r>
    </w:p>
    <w:p>
      <w:pPr>
        <w:ind w:left="370" w:hanging="358"/>
        <w:spacing w:after="0" w:line="184" w:lineRule="auto"/>
        <w:tabs>
          <w:tab w:leader="none" w:pos="370" w:val="left"/>
        </w:tabs>
        <w:numPr>
          <w:ilvl w:val="0"/>
          <w:numId w:val="6"/>
        </w:numPr>
        <w:rPr>
          <w:rFonts w:ascii="Times New Roman" w:cs="Times New Roman" w:eastAsia="Times New Roman" w:hAnsi="Times New Roman"/>
          <w:sz w:val="21"/>
          <w:szCs w:val="21"/>
          <w:color w:val="0092BC"/>
          <w:vertAlign w:val="subscript"/>
        </w:rPr>
      </w:pPr>
      <w:r>
        <w:rPr>
          <w:rFonts w:ascii="Times New Roman" w:cs="Times New Roman" w:eastAsia="Times New Roman" w:hAnsi="Times New Roman"/>
          <w:sz w:val="11"/>
          <w:szCs w:val="11"/>
          <w:color w:val="auto"/>
        </w:rPr>
        <w:t>Capital Access Platforms</w:t>
      </w:r>
    </w:p>
    <w:p>
      <w:pPr>
        <w:spacing w:after="0" w:line="253" w:lineRule="exact"/>
        <w:rPr>
          <w:rFonts w:ascii="Times New Roman" w:cs="Times New Roman" w:eastAsia="Times New Roman" w:hAnsi="Times New Roman"/>
          <w:sz w:val="21"/>
          <w:szCs w:val="21"/>
          <w:color w:val="0092BC"/>
          <w:vertAlign w:val="subscript"/>
        </w:rPr>
      </w:pPr>
    </w:p>
    <w:p>
      <w:pPr>
        <w:ind w:left="710" w:right="5900" w:hanging="350"/>
        <w:spacing w:after="0" w:line="233" w:lineRule="auto"/>
        <w:tabs>
          <w:tab w:leader="none" w:pos="710" w:val="left"/>
        </w:tabs>
        <w:numPr>
          <w:ilvl w:val="1"/>
          <w:numId w:val="6"/>
        </w:numPr>
        <w:rPr>
          <w:rFonts w:ascii="Times New Roman" w:cs="Times New Roman" w:eastAsia="Times New Roman" w:hAnsi="Times New Roman"/>
          <w:sz w:val="34"/>
          <w:szCs w:val="34"/>
          <w:color w:val="0092BC"/>
          <w:vertAlign w:val="subscript"/>
        </w:rPr>
      </w:pPr>
      <w:r>
        <w:rPr>
          <w:rFonts w:ascii="Times New Roman" w:cs="Times New Roman" w:eastAsia="Times New Roman" w:hAnsi="Times New Roman"/>
          <w:sz w:val="12"/>
          <w:szCs w:val="12"/>
          <w:color w:val="auto"/>
        </w:rPr>
        <w:t>Proprietary market data subscriptions and annual listing fees within our Data &amp; Listing Services business</w:t>
      </w:r>
    </w:p>
    <w:p>
      <w:pPr>
        <w:spacing w:after="0" w:line="74" w:lineRule="exact"/>
        <w:rPr>
          <w:rFonts w:ascii="Times New Roman" w:cs="Times New Roman" w:eastAsia="Times New Roman" w:hAnsi="Times New Roman"/>
          <w:sz w:val="34"/>
          <w:szCs w:val="34"/>
          <w:color w:val="0092BC"/>
          <w:vertAlign w:val="subscript"/>
        </w:rPr>
      </w:pPr>
    </w:p>
    <w:p>
      <w:pPr>
        <w:ind w:left="710" w:right="5740" w:hanging="350"/>
        <w:spacing w:after="0" w:line="182" w:lineRule="auto"/>
        <w:tabs>
          <w:tab w:leader="none" w:pos="710" w:val="left"/>
        </w:tabs>
        <w:numPr>
          <w:ilvl w:val="1"/>
          <w:numId w:val="6"/>
        </w:numPr>
        <w:rPr>
          <w:rFonts w:ascii="Times New Roman" w:cs="Times New Roman" w:eastAsia="Times New Roman" w:hAnsi="Times New Roman"/>
          <w:sz w:val="45"/>
          <w:szCs w:val="45"/>
          <w:color w:val="0092BC"/>
          <w:vertAlign w:val="subscript"/>
        </w:rPr>
      </w:pPr>
      <w:r>
        <w:rPr>
          <w:rFonts w:ascii="Times New Roman" w:cs="Times New Roman" w:eastAsia="Times New Roman" w:hAnsi="Times New Roman"/>
          <w:sz w:val="14"/>
          <w:szCs w:val="14"/>
          <w:color w:val="auto"/>
        </w:rPr>
        <w:t>Index data subscriptions and guaranteed minimum on futures contracts within our Index business</w:t>
      </w:r>
    </w:p>
    <w:p>
      <w:pPr>
        <w:spacing w:after="0" w:line="2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38</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following chart summarizes our quarterly annualized</w:t>
      </w:r>
    </w:p>
    <w:p>
      <w:pPr>
        <w:ind w:left="10"/>
        <w:spacing w:after="0" w:line="204" w:lineRule="auto"/>
        <w:rPr>
          <w:sz w:val="20"/>
          <w:szCs w:val="20"/>
          <w:color w:val="auto"/>
        </w:rPr>
      </w:pPr>
      <w:r>
        <w:rPr>
          <w:rFonts w:ascii="Times New Roman" w:cs="Times New Roman" w:eastAsia="Times New Roman" w:hAnsi="Times New Roman"/>
          <w:sz w:val="16"/>
          <w:szCs w:val="16"/>
          <w:color w:val="auto"/>
        </w:rPr>
        <w:t>SaaS revenues for December 31, 2025, 2024 and 2023 (in</w:t>
      </w:r>
    </w:p>
    <w:p>
      <w:pPr>
        <w:ind w:left="10"/>
        <w:spacing w:after="0"/>
        <w:rPr>
          <w:sz w:val="20"/>
          <w:szCs w:val="20"/>
          <w:color w:val="auto"/>
        </w:rPr>
      </w:pPr>
      <w:r>
        <w:rPr>
          <w:rFonts w:ascii="Times New Roman" w:cs="Times New Roman" w:eastAsia="Times New Roman" w:hAnsi="Times New Roman"/>
          <w:sz w:val="16"/>
          <w:szCs w:val="16"/>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515235" cy="2484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5235" cy="248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right="5660" w:hanging="10"/>
        <w:spacing w:after="0" w:line="215" w:lineRule="auto"/>
        <w:tabs>
          <w:tab w:leader="none" w:pos="12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chart above, Other for 4Q23 and 4Q24 includes $25 million and $28 million, respectively.</w:t>
      </w: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SEGMENT OPERATING RESULTS</w:t>
      </w:r>
    </w:p>
    <w:p>
      <w:pPr>
        <w:ind w:left="10"/>
        <w:spacing w:after="0" w:line="22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presents our revenues by segment:</w:t>
      </w:r>
    </w:p>
    <w:tbl>
      <w:tblPr>
        <w:tblLayout w:type="fixed"/>
        <w:tblInd w:w="1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Change</w:t>
            </w:r>
          </w:p>
        </w:tc>
      </w:tr>
      <w:tr>
        <w:trPr>
          <w:trHeight w:val="62"/>
        </w:trPr>
        <w:tc>
          <w:tcPr>
            <w:tcW w:w="10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r>
      <w:tr>
        <w:trPr>
          <w:trHeight w:val="100"/>
        </w:trPr>
        <w:tc>
          <w:tcPr>
            <w:tcW w:w="1020" w:type="dxa"/>
            <w:vAlign w:val="bottom"/>
          </w:tcPr>
          <w:p>
            <w:pPr>
              <w:spacing w:after="0"/>
              <w:rPr>
                <w:sz w:val="8"/>
                <w:szCs w:val="8"/>
                <w:color w:val="auto"/>
              </w:rPr>
            </w:pPr>
          </w:p>
        </w:tc>
        <w:tc>
          <w:tcPr>
            <w:tcW w:w="58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gridSpan w:val="2"/>
          </w:tcPr>
          <w:p>
            <w:pPr>
              <w:jc w:val="right"/>
              <w:ind w:right="288"/>
              <w:spacing w:after="0" w:line="100"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8"/>
                <w:szCs w:val="8"/>
                <w:color w:val="auto"/>
              </w:rPr>
            </w:pPr>
          </w:p>
        </w:tc>
        <w:tc>
          <w:tcPr>
            <w:tcW w:w="580" w:type="dxa"/>
            <w:vAlign w:val="bottom"/>
          </w:tcPr>
          <w:p>
            <w:pPr>
              <w:jc w:val="right"/>
              <w:ind w:right="286"/>
              <w:spacing w:after="0" w:line="100" w:lineRule="exact"/>
              <w:rPr>
                <w:sz w:val="20"/>
                <w:szCs w:val="20"/>
                <w:color w:val="auto"/>
              </w:rPr>
            </w:pPr>
            <w:r>
              <w:rPr>
                <w:rFonts w:ascii="Times New Roman" w:cs="Times New Roman" w:eastAsia="Times New Roman" w:hAnsi="Times New Roman"/>
                <w:sz w:val="11"/>
                <w:szCs w:val="11"/>
                <w:b w:val="1"/>
                <w:bCs w:val="1"/>
                <w:color w:val="auto"/>
                <w:w w:val="90"/>
              </w:rPr>
              <w:t>2023</w:t>
            </w:r>
          </w:p>
        </w:tc>
        <w:tc>
          <w:tcPr>
            <w:tcW w:w="20" w:type="dxa"/>
            <w:vAlign w:val="bottom"/>
          </w:tcPr>
          <w:p>
            <w:pPr>
              <w:spacing w:after="0"/>
              <w:rPr>
                <w:sz w:val="8"/>
                <w:szCs w:val="8"/>
                <w:color w:val="auto"/>
              </w:rPr>
            </w:pPr>
          </w:p>
        </w:tc>
        <w:tc>
          <w:tcPr>
            <w:tcW w:w="56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 vs.</w:t>
            </w:r>
          </w:p>
        </w:tc>
        <w:tc>
          <w:tcPr>
            <w:tcW w:w="620" w:type="dxa"/>
            <w:vAlign w:val="bottom"/>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2024 vs.</w:t>
            </w:r>
          </w:p>
        </w:tc>
      </w:tr>
      <w:tr>
        <w:trPr>
          <w:trHeight w:val="142"/>
        </w:trPr>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10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34"/>
        </w:trPr>
        <w:tc>
          <w:tcPr>
            <w:tcW w:w="10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74"/>
        </w:trPr>
        <w:tc>
          <w:tcPr>
            <w:tcW w:w="1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Capital</w:t>
            </w:r>
          </w:p>
        </w:tc>
        <w:tc>
          <w:tcPr>
            <w:tcW w:w="580" w:type="dxa"/>
            <w:vAlign w:val="bottom"/>
            <w:shd w:val="clear" w:color="auto" w:fill="CCEEFF"/>
          </w:tcPr>
          <w:p>
            <w:pPr>
              <w:jc w:val="right"/>
              <w:ind w:right="70"/>
              <w:spacing w:after="0" w:line="144" w:lineRule="exact"/>
              <w:rPr>
                <w:sz w:val="20"/>
                <w:szCs w:val="20"/>
                <w:color w:val="auto"/>
              </w:rPr>
            </w:pPr>
            <w:r>
              <w:rPr>
                <w:rFonts w:ascii="Times New Roman" w:cs="Times New Roman" w:eastAsia="Times New Roman" w:hAnsi="Times New Roman"/>
                <w:sz w:val="16"/>
                <w:szCs w:val="16"/>
                <w:color w:val="auto"/>
                <w:w w:val="87"/>
              </w:rPr>
              <w:t>$ 2,137</w:t>
            </w:r>
          </w:p>
        </w:tc>
        <w:tc>
          <w:tcPr>
            <w:tcW w:w="620" w:type="dxa"/>
            <w:vAlign w:val="bottom"/>
            <w:gridSpan w:val="2"/>
            <w:shd w:val="clear" w:color="auto" w:fill="CCEEFF"/>
          </w:tcPr>
          <w:p>
            <w:pPr>
              <w:jc w:val="right"/>
              <w:ind w:right="68"/>
              <w:spacing w:after="0" w:line="144" w:lineRule="exact"/>
              <w:rPr>
                <w:sz w:val="20"/>
                <w:szCs w:val="20"/>
                <w:color w:val="auto"/>
              </w:rPr>
            </w:pPr>
            <w:r>
              <w:rPr>
                <w:rFonts w:ascii="Times New Roman" w:cs="Times New Roman" w:eastAsia="Times New Roman" w:hAnsi="Times New Roman"/>
                <w:sz w:val="16"/>
                <w:szCs w:val="16"/>
                <w:color w:val="auto"/>
                <w:w w:val="95"/>
              </w:rPr>
              <w:t>$ 1,945</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
              <w:spacing w:after="0" w:line="144" w:lineRule="exact"/>
              <w:rPr>
                <w:sz w:val="20"/>
                <w:szCs w:val="20"/>
                <w:color w:val="auto"/>
              </w:rPr>
            </w:pPr>
            <w:r>
              <w:rPr>
                <w:rFonts w:ascii="Times New Roman" w:cs="Times New Roman" w:eastAsia="Times New Roman" w:hAnsi="Times New Roman"/>
                <w:sz w:val="16"/>
                <w:szCs w:val="16"/>
                <w:color w:val="auto"/>
                <w:w w:val="91"/>
              </w:rPr>
              <w:t>$ 1,744</w:t>
            </w:r>
          </w:p>
        </w:tc>
        <w:tc>
          <w:tcPr>
            <w:tcW w:w="5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9.9 %</w:t>
            </w:r>
          </w:p>
        </w:tc>
        <w:tc>
          <w:tcPr>
            <w:tcW w:w="62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11.5 %</w:t>
            </w: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Access</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0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Platforms</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61"/>
        </w:trPr>
        <w:tc>
          <w:tcPr>
            <w:tcW w:w="10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144"/>
        </w:trPr>
        <w:tc>
          <w:tcPr>
            <w:tcW w:w="10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Financial</w:t>
            </w:r>
          </w:p>
        </w:tc>
        <w:tc>
          <w:tcPr>
            <w:tcW w:w="580" w:type="dxa"/>
            <w:vAlign w:val="bottom"/>
          </w:tcPr>
          <w:p>
            <w:pPr>
              <w:jc w:val="right"/>
              <w:ind w:right="70"/>
              <w:spacing w:after="0" w:line="144" w:lineRule="exact"/>
              <w:rPr>
                <w:sz w:val="20"/>
                <w:szCs w:val="20"/>
                <w:color w:val="auto"/>
              </w:rPr>
            </w:pPr>
            <w:r>
              <w:rPr>
                <w:rFonts w:ascii="Times New Roman" w:cs="Times New Roman" w:eastAsia="Times New Roman" w:hAnsi="Times New Roman"/>
                <w:sz w:val="16"/>
                <w:szCs w:val="16"/>
                <w:color w:val="auto"/>
              </w:rPr>
              <w:t>1,850</w:t>
            </w:r>
          </w:p>
        </w:tc>
        <w:tc>
          <w:tcPr>
            <w:tcW w:w="620" w:type="dxa"/>
            <w:vAlign w:val="bottom"/>
            <w:gridSpan w:val="2"/>
          </w:tcPr>
          <w:p>
            <w:pPr>
              <w:jc w:val="right"/>
              <w:ind w:right="68"/>
              <w:spacing w:after="0" w:line="144" w:lineRule="exact"/>
              <w:rPr>
                <w:sz w:val="20"/>
                <w:szCs w:val="20"/>
                <w:color w:val="auto"/>
              </w:rPr>
            </w:pPr>
            <w:r>
              <w:rPr>
                <w:rFonts w:ascii="Times New Roman" w:cs="Times New Roman" w:eastAsia="Times New Roman" w:hAnsi="Times New Roman"/>
                <w:sz w:val="16"/>
                <w:szCs w:val="16"/>
                <w:color w:val="auto"/>
              </w:rPr>
              <w:t>1,621</w:t>
            </w:r>
          </w:p>
        </w:tc>
        <w:tc>
          <w:tcPr>
            <w:tcW w:w="20" w:type="dxa"/>
            <w:vAlign w:val="bottom"/>
          </w:tcPr>
          <w:p>
            <w:pPr>
              <w:spacing w:after="0"/>
              <w:rPr>
                <w:sz w:val="12"/>
                <w:szCs w:val="12"/>
                <w:color w:val="auto"/>
              </w:rPr>
            </w:pPr>
          </w:p>
        </w:tc>
        <w:tc>
          <w:tcPr>
            <w:tcW w:w="580" w:type="dxa"/>
            <w:vAlign w:val="bottom"/>
          </w:tcPr>
          <w:p>
            <w:pPr>
              <w:jc w:val="right"/>
              <w:ind w:right="46"/>
              <w:spacing w:after="0" w:line="144" w:lineRule="exact"/>
              <w:rPr>
                <w:sz w:val="20"/>
                <w:szCs w:val="20"/>
                <w:color w:val="auto"/>
              </w:rPr>
            </w:pPr>
            <w:r>
              <w:rPr>
                <w:rFonts w:ascii="Times New Roman" w:cs="Times New Roman" w:eastAsia="Times New Roman" w:hAnsi="Times New Roman"/>
                <w:sz w:val="16"/>
                <w:szCs w:val="16"/>
                <w:color w:val="auto"/>
              </w:rPr>
              <w:t>1,099</w:t>
            </w:r>
          </w:p>
        </w:tc>
        <w:tc>
          <w:tcPr>
            <w:tcW w:w="5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14.1 %</w:t>
            </w:r>
          </w:p>
        </w:tc>
        <w:tc>
          <w:tcPr>
            <w:tcW w:w="620" w:type="dxa"/>
            <w:vAlign w:val="bottom"/>
          </w:tcPr>
          <w:p>
            <w:pPr>
              <w:ind w:left="40"/>
              <w:spacing w:after="0" w:line="144" w:lineRule="exact"/>
              <w:rPr>
                <w:sz w:val="20"/>
                <w:szCs w:val="20"/>
                <w:color w:val="auto"/>
              </w:rPr>
            </w:pPr>
            <w:r>
              <w:rPr>
                <w:rFonts w:ascii="Times New Roman" w:cs="Times New Roman" w:eastAsia="Times New Roman" w:hAnsi="Times New Roman"/>
                <w:sz w:val="16"/>
                <w:szCs w:val="16"/>
                <w:color w:val="auto"/>
              </w:rPr>
              <w:t>47.5 %</w:t>
            </w:r>
          </w:p>
        </w:tc>
      </w:tr>
      <w:tr>
        <w:trPr>
          <w:trHeight w:val="20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Technology</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9"/>
        </w:trPr>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Market</w:t>
            </w:r>
          </w:p>
        </w:tc>
        <w:tc>
          <w:tcPr>
            <w:tcW w:w="580" w:type="dxa"/>
            <w:vAlign w:val="bottom"/>
            <w:shd w:val="clear" w:color="auto" w:fill="CCEEFF"/>
          </w:tcPr>
          <w:p>
            <w:pPr>
              <w:jc w:val="right"/>
              <w:ind w:right="70"/>
              <w:spacing w:after="0" w:line="144" w:lineRule="exact"/>
              <w:rPr>
                <w:sz w:val="20"/>
                <w:szCs w:val="20"/>
                <w:color w:val="auto"/>
              </w:rPr>
            </w:pPr>
            <w:r>
              <w:rPr>
                <w:rFonts w:ascii="Times New Roman" w:cs="Times New Roman" w:eastAsia="Times New Roman" w:hAnsi="Times New Roman"/>
                <w:sz w:val="16"/>
                <w:szCs w:val="16"/>
                <w:color w:val="auto"/>
              </w:rPr>
              <w:t>4,214</w:t>
            </w:r>
          </w:p>
        </w:tc>
        <w:tc>
          <w:tcPr>
            <w:tcW w:w="620" w:type="dxa"/>
            <w:vAlign w:val="bottom"/>
            <w:gridSpan w:val="2"/>
            <w:shd w:val="clear" w:color="auto" w:fill="CCEEFF"/>
          </w:tcPr>
          <w:p>
            <w:pPr>
              <w:jc w:val="right"/>
              <w:ind w:right="68"/>
              <w:spacing w:after="0" w:line="144" w:lineRule="exact"/>
              <w:rPr>
                <w:sz w:val="20"/>
                <w:szCs w:val="20"/>
                <w:color w:val="auto"/>
              </w:rPr>
            </w:pPr>
            <w:r>
              <w:rPr>
                <w:rFonts w:ascii="Times New Roman" w:cs="Times New Roman" w:eastAsia="Times New Roman" w:hAnsi="Times New Roman"/>
                <w:sz w:val="16"/>
                <w:szCs w:val="16"/>
                <w:color w:val="auto"/>
              </w:rPr>
              <w:t>3,771</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
              <w:spacing w:after="0" w:line="144" w:lineRule="exact"/>
              <w:rPr>
                <w:sz w:val="20"/>
                <w:szCs w:val="20"/>
                <w:color w:val="auto"/>
              </w:rPr>
            </w:pPr>
            <w:r>
              <w:rPr>
                <w:rFonts w:ascii="Times New Roman" w:cs="Times New Roman" w:eastAsia="Times New Roman" w:hAnsi="Times New Roman"/>
                <w:sz w:val="16"/>
                <w:szCs w:val="16"/>
                <w:color w:val="auto"/>
              </w:rPr>
              <w:t>3,156</w:t>
            </w:r>
          </w:p>
        </w:tc>
        <w:tc>
          <w:tcPr>
            <w:tcW w:w="5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11.7 %</w:t>
            </w:r>
          </w:p>
        </w:tc>
        <w:tc>
          <w:tcPr>
            <w:tcW w:w="62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20.9 %</w:t>
            </w:r>
          </w:p>
        </w:tc>
      </w:tr>
      <w:tr>
        <w:trPr>
          <w:trHeight w:val="232"/>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w:t>
            </w: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144"/>
        </w:trPr>
        <w:tc>
          <w:tcPr>
            <w:tcW w:w="10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Other</w:t>
            </w:r>
          </w:p>
        </w:tc>
        <w:tc>
          <w:tcPr>
            <w:tcW w:w="580" w:type="dxa"/>
            <w:vAlign w:val="bottom"/>
          </w:tcPr>
          <w:p>
            <w:pPr>
              <w:jc w:val="right"/>
              <w:ind w:right="70"/>
              <w:spacing w:after="0" w:line="144" w:lineRule="exact"/>
              <w:rPr>
                <w:sz w:val="20"/>
                <w:szCs w:val="20"/>
                <w:color w:val="auto"/>
              </w:rPr>
            </w:pPr>
            <w:r>
              <w:rPr>
                <w:rFonts w:ascii="Times New Roman" w:cs="Times New Roman" w:eastAsia="Times New Roman" w:hAnsi="Times New Roman"/>
                <w:sz w:val="16"/>
                <w:szCs w:val="16"/>
                <w:color w:val="auto"/>
              </w:rPr>
              <w:t>61</w:t>
            </w:r>
          </w:p>
        </w:tc>
        <w:tc>
          <w:tcPr>
            <w:tcW w:w="620" w:type="dxa"/>
            <w:vAlign w:val="bottom"/>
            <w:gridSpan w:val="2"/>
          </w:tcPr>
          <w:p>
            <w:pPr>
              <w:jc w:val="right"/>
              <w:ind w:right="68"/>
              <w:spacing w:after="0" w:line="144" w:lineRule="exact"/>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2"/>
                <w:szCs w:val="12"/>
                <w:color w:val="auto"/>
              </w:rPr>
            </w:pPr>
          </w:p>
        </w:tc>
        <w:tc>
          <w:tcPr>
            <w:tcW w:w="580" w:type="dxa"/>
            <w:vAlign w:val="bottom"/>
          </w:tcPr>
          <w:p>
            <w:pPr>
              <w:jc w:val="right"/>
              <w:ind w:right="46"/>
              <w:spacing w:after="0" w:line="144" w:lineRule="exact"/>
              <w:rPr>
                <w:sz w:val="20"/>
                <w:szCs w:val="20"/>
                <w:color w:val="auto"/>
              </w:rPr>
            </w:pPr>
            <w:r>
              <w:rPr>
                <w:rFonts w:ascii="Times New Roman" w:cs="Times New Roman" w:eastAsia="Times New Roman" w:hAnsi="Times New Roman"/>
                <w:sz w:val="16"/>
                <w:szCs w:val="16"/>
                <w:color w:val="auto"/>
              </w:rPr>
              <w:t>65</w:t>
            </w:r>
          </w:p>
        </w:tc>
        <w:tc>
          <w:tcPr>
            <w:tcW w:w="5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(4.1)%</w:t>
            </w:r>
          </w:p>
        </w:tc>
        <w:tc>
          <w:tcPr>
            <w:tcW w:w="620" w:type="dxa"/>
            <w:vAlign w:val="bottom"/>
          </w:tcPr>
          <w:p>
            <w:pPr>
              <w:ind w:left="40"/>
              <w:spacing w:after="0" w:line="144" w:lineRule="exact"/>
              <w:rPr>
                <w:sz w:val="20"/>
                <w:szCs w:val="20"/>
                <w:color w:val="auto"/>
              </w:rPr>
            </w:pPr>
            <w:r>
              <w:rPr>
                <w:rFonts w:ascii="Times New Roman" w:cs="Times New Roman" w:eastAsia="Times New Roman" w:hAnsi="Times New Roman"/>
                <w:sz w:val="16"/>
                <w:szCs w:val="16"/>
                <w:color w:val="auto"/>
              </w:rPr>
              <w:t>(3.1)%</w:t>
            </w:r>
          </w:p>
        </w:tc>
      </w:tr>
      <w:tr>
        <w:trPr>
          <w:trHeight w:val="20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9"/>
        </w:trPr>
        <w:tc>
          <w:tcPr>
            <w:tcW w:w="10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r>
      <w:tr>
        <w:trPr>
          <w:trHeight w:val="136"/>
        </w:trPr>
        <w:tc>
          <w:tcPr>
            <w:tcW w:w="10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580" w:type="dxa"/>
            <w:vAlign w:val="bottom"/>
            <w:shd w:val="clear" w:color="auto" w:fill="CCEEFF"/>
          </w:tcPr>
          <w:p>
            <w:pPr>
              <w:jc w:val="right"/>
              <w:ind w:right="70"/>
              <w:spacing w:after="0" w:line="136" w:lineRule="exact"/>
              <w:rPr>
                <w:sz w:val="20"/>
                <w:szCs w:val="20"/>
                <w:color w:val="auto"/>
              </w:rPr>
            </w:pPr>
            <w:r>
              <w:rPr>
                <w:rFonts w:ascii="Times New Roman" w:cs="Times New Roman" w:eastAsia="Times New Roman" w:hAnsi="Times New Roman"/>
                <w:sz w:val="14"/>
                <w:szCs w:val="14"/>
                <w:color w:val="auto"/>
                <w:w w:val="99"/>
              </w:rPr>
              <w:t>$ 8,262</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8"/>
              <w:spacing w:after="0" w:line="136" w:lineRule="exact"/>
              <w:rPr>
                <w:sz w:val="20"/>
                <w:szCs w:val="20"/>
                <w:color w:val="auto"/>
              </w:rPr>
            </w:pPr>
            <w:r>
              <w:rPr>
                <w:rFonts w:ascii="Times New Roman" w:cs="Times New Roman" w:eastAsia="Times New Roman" w:hAnsi="Times New Roman"/>
                <w:sz w:val="14"/>
                <w:szCs w:val="14"/>
                <w:color w:val="auto"/>
              </w:rPr>
              <w:t>$ 7,400</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6"/>
              <w:spacing w:after="0" w:line="136" w:lineRule="exact"/>
              <w:rPr>
                <w:sz w:val="20"/>
                <w:szCs w:val="20"/>
                <w:color w:val="auto"/>
              </w:rPr>
            </w:pPr>
            <w:r>
              <w:rPr>
                <w:rFonts w:ascii="Times New Roman" w:cs="Times New Roman" w:eastAsia="Times New Roman" w:hAnsi="Times New Roman"/>
                <w:sz w:val="14"/>
                <w:szCs w:val="14"/>
                <w:color w:val="auto"/>
              </w:rPr>
              <w:t>$ 6,064</w:t>
            </w:r>
          </w:p>
        </w:tc>
        <w:tc>
          <w:tcPr>
            <w:tcW w:w="580" w:type="dxa"/>
            <w:vAlign w:val="bottom"/>
            <w:gridSpan w:val="2"/>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11.6 %</w:t>
            </w:r>
          </w:p>
        </w:tc>
        <w:tc>
          <w:tcPr>
            <w:tcW w:w="620" w:type="dxa"/>
            <w:vAlign w:val="bottom"/>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22.0 %</w:t>
            </w:r>
          </w:p>
        </w:tc>
      </w:tr>
      <w:tr>
        <w:trPr>
          <w:trHeight w:val="220"/>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144"/>
        </w:trPr>
        <w:tc>
          <w:tcPr>
            <w:tcW w:w="10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Transaction</w:t>
            </w:r>
          </w:p>
        </w:tc>
        <w:tc>
          <w:tcPr>
            <w:tcW w:w="580" w:type="dxa"/>
            <w:vAlign w:val="bottom"/>
          </w:tcPr>
          <w:p>
            <w:pPr>
              <w:jc w:val="right"/>
              <w:ind w:right="10"/>
              <w:spacing w:after="0" w:line="144" w:lineRule="exact"/>
              <w:rPr>
                <w:sz w:val="20"/>
                <w:szCs w:val="20"/>
                <w:color w:val="auto"/>
              </w:rPr>
            </w:pPr>
            <w:r>
              <w:rPr>
                <w:rFonts w:ascii="Times New Roman" w:cs="Times New Roman" w:eastAsia="Times New Roman" w:hAnsi="Times New Roman"/>
                <w:sz w:val="16"/>
                <w:szCs w:val="16"/>
                <w:color w:val="auto"/>
              </w:rPr>
              <w:t>(2,572)</w:t>
            </w:r>
          </w:p>
        </w:tc>
        <w:tc>
          <w:tcPr>
            <w:tcW w:w="620" w:type="dxa"/>
            <w:vAlign w:val="bottom"/>
            <w:gridSpan w:val="2"/>
          </w:tcPr>
          <w:p>
            <w:pPr>
              <w:jc w:val="right"/>
              <w:ind w:right="28"/>
              <w:spacing w:after="0" w:line="144" w:lineRule="exact"/>
              <w:rPr>
                <w:sz w:val="20"/>
                <w:szCs w:val="20"/>
                <w:color w:val="auto"/>
              </w:rPr>
            </w:pPr>
            <w:r>
              <w:rPr>
                <w:rFonts w:ascii="Times New Roman" w:cs="Times New Roman" w:eastAsia="Times New Roman" w:hAnsi="Times New Roman"/>
                <w:sz w:val="16"/>
                <w:szCs w:val="16"/>
                <w:color w:val="auto"/>
              </w:rPr>
              <w:t>(2,026)</w:t>
            </w:r>
          </w:p>
        </w:tc>
        <w:tc>
          <w:tcPr>
            <w:tcW w:w="20" w:type="dxa"/>
            <w:vAlign w:val="bottom"/>
          </w:tcPr>
          <w:p>
            <w:pPr>
              <w:spacing w:after="0"/>
              <w:rPr>
                <w:sz w:val="12"/>
                <w:szCs w:val="12"/>
                <w:color w:val="auto"/>
              </w:rPr>
            </w:pPr>
          </w:p>
        </w:tc>
        <w:tc>
          <w:tcPr>
            <w:tcW w:w="580" w:type="dxa"/>
            <w:vAlign w:val="bottom"/>
          </w:tcPr>
          <w:p>
            <w:pPr>
              <w:jc w:val="right"/>
              <w:ind w:right="6"/>
              <w:spacing w:after="0" w:line="144" w:lineRule="exact"/>
              <w:rPr>
                <w:sz w:val="20"/>
                <w:szCs w:val="20"/>
                <w:color w:val="auto"/>
              </w:rPr>
            </w:pPr>
            <w:r>
              <w:rPr>
                <w:rFonts w:ascii="Times New Roman" w:cs="Times New Roman" w:eastAsia="Times New Roman" w:hAnsi="Times New Roman"/>
                <w:sz w:val="16"/>
                <w:szCs w:val="16"/>
                <w:color w:val="auto"/>
              </w:rPr>
              <w:t>(1,838)</w:t>
            </w:r>
          </w:p>
        </w:tc>
        <w:tc>
          <w:tcPr>
            <w:tcW w:w="5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26.9 %</w:t>
            </w:r>
          </w:p>
        </w:tc>
        <w:tc>
          <w:tcPr>
            <w:tcW w:w="620" w:type="dxa"/>
            <w:vAlign w:val="bottom"/>
          </w:tcPr>
          <w:p>
            <w:pPr>
              <w:ind w:left="40"/>
              <w:spacing w:after="0" w:line="144" w:lineRule="exact"/>
              <w:rPr>
                <w:sz w:val="20"/>
                <w:szCs w:val="20"/>
                <w:color w:val="auto"/>
              </w:rPr>
            </w:pPr>
            <w:r>
              <w:rPr>
                <w:rFonts w:ascii="Times New Roman" w:cs="Times New Roman" w:eastAsia="Times New Roman" w:hAnsi="Times New Roman"/>
                <w:sz w:val="16"/>
                <w:szCs w:val="16"/>
                <w:color w:val="auto"/>
              </w:rPr>
              <w:t>10.2 %</w:t>
            </w:r>
          </w:p>
        </w:tc>
      </w:tr>
      <w:tr>
        <w:trPr>
          <w:trHeight w:val="20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rebates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9"/>
        </w:trPr>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Brokerage,</w:t>
            </w:r>
          </w:p>
        </w:tc>
        <w:tc>
          <w:tcPr>
            <w:tcW w:w="580" w:type="dxa"/>
            <w:vAlign w:val="bottom"/>
            <w:shd w:val="clear" w:color="auto" w:fill="CCEEFF"/>
          </w:tcPr>
          <w:p>
            <w:pPr>
              <w:jc w:val="right"/>
              <w:ind w:right="10"/>
              <w:spacing w:after="0" w:line="144" w:lineRule="exact"/>
              <w:rPr>
                <w:sz w:val="20"/>
                <w:szCs w:val="20"/>
                <w:color w:val="auto"/>
              </w:rPr>
            </w:pPr>
            <w:r>
              <w:rPr>
                <w:rFonts w:ascii="Times New Roman" w:cs="Times New Roman" w:eastAsia="Times New Roman" w:hAnsi="Times New Roman"/>
                <w:sz w:val="16"/>
                <w:szCs w:val="16"/>
                <w:color w:val="auto"/>
              </w:rPr>
              <w:t>(441)</w:t>
            </w:r>
          </w:p>
        </w:tc>
        <w:tc>
          <w:tcPr>
            <w:tcW w:w="620" w:type="dxa"/>
            <w:vAlign w:val="bottom"/>
            <w:gridSpan w:val="2"/>
            <w:shd w:val="clear" w:color="auto" w:fill="CCEEFF"/>
          </w:tcPr>
          <w:p>
            <w:pPr>
              <w:jc w:val="right"/>
              <w:ind w:right="28"/>
              <w:spacing w:after="0" w:line="144" w:lineRule="exact"/>
              <w:rPr>
                <w:sz w:val="20"/>
                <w:szCs w:val="20"/>
                <w:color w:val="auto"/>
              </w:rPr>
            </w:pPr>
            <w:r>
              <w:rPr>
                <w:rFonts w:ascii="Times New Roman" w:cs="Times New Roman" w:eastAsia="Times New Roman" w:hAnsi="Times New Roman"/>
                <w:sz w:val="16"/>
                <w:szCs w:val="16"/>
                <w:color w:val="auto"/>
              </w:rPr>
              <w:t>(725)</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line="144" w:lineRule="exact"/>
              <w:rPr>
                <w:sz w:val="20"/>
                <w:szCs w:val="20"/>
                <w:color w:val="auto"/>
              </w:rPr>
            </w:pPr>
            <w:r>
              <w:rPr>
                <w:rFonts w:ascii="Times New Roman" w:cs="Times New Roman" w:eastAsia="Times New Roman" w:hAnsi="Times New Roman"/>
                <w:sz w:val="16"/>
                <w:szCs w:val="16"/>
                <w:color w:val="auto"/>
              </w:rPr>
              <w:t>(331)</w:t>
            </w:r>
          </w:p>
        </w:tc>
        <w:tc>
          <w:tcPr>
            <w:tcW w:w="5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w w:val="99"/>
              </w:rPr>
              <w:t>(39.1)%</w:t>
            </w:r>
          </w:p>
        </w:tc>
        <w:tc>
          <w:tcPr>
            <w:tcW w:w="62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119.1 %</w:t>
            </w: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clearance</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and</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exchange</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0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fees</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85"/>
        </w:trPr>
        <w:tc>
          <w:tcPr>
            <w:tcW w:w="1020" w:type="dxa"/>
            <w:vAlign w:val="bottom"/>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r>
        <w:trPr>
          <w:trHeight w:val="136"/>
        </w:trPr>
        <w:tc>
          <w:tcPr>
            <w:tcW w:w="10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jc w:val="right"/>
              <w:ind w:right="70"/>
              <w:spacing w:after="0" w:line="136" w:lineRule="exact"/>
              <w:rPr>
                <w:sz w:val="20"/>
                <w:szCs w:val="20"/>
                <w:color w:val="auto"/>
              </w:rPr>
            </w:pPr>
            <w:r>
              <w:rPr>
                <w:rFonts w:ascii="Times New Roman" w:cs="Times New Roman" w:eastAsia="Times New Roman" w:hAnsi="Times New Roman"/>
                <w:sz w:val="14"/>
                <w:szCs w:val="14"/>
                <w:color w:val="auto"/>
                <w:w w:val="99"/>
              </w:rPr>
              <w:t>$ 5,249</w:t>
            </w:r>
          </w:p>
        </w:tc>
        <w:tc>
          <w:tcPr>
            <w:tcW w:w="20" w:type="dxa"/>
            <w:vAlign w:val="bottom"/>
          </w:tcPr>
          <w:p>
            <w:pPr>
              <w:spacing w:after="0"/>
              <w:rPr>
                <w:sz w:val="11"/>
                <w:szCs w:val="11"/>
                <w:color w:val="auto"/>
              </w:rPr>
            </w:pPr>
          </w:p>
        </w:tc>
        <w:tc>
          <w:tcPr>
            <w:tcW w:w="600" w:type="dxa"/>
            <w:vAlign w:val="bottom"/>
          </w:tcPr>
          <w:p>
            <w:pPr>
              <w:jc w:val="right"/>
              <w:ind w:right="68"/>
              <w:spacing w:after="0" w:line="136" w:lineRule="exact"/>
              <w:rPr>
                <w:sz w:val="20"/>
                <w:szCs w:val="20"/>
                <w:color w:val="auto"/>
              </w:rPr>
            </w:pPr>
            <w:r>
              <w:rPr>
                <w:rFonts w:ascii="Times New Roman" w:cs="Times New Roman" w:eastAsia="Times New Roman" w:hAnsi="Times New Roman"/>
                <w:sz w:val="14"/>
                <w:szCs w:val="14"/>
                <w:color w:val="auto"/>
              </w:rPr>
              <w:t>$ 4,649</w:t>
            </w:r>
          </w:p>
        </w:tc>
        <w:tc>
          <w:tcPr>
            <w:tcW w:w="20" w:type="dxa"/>
            <w:vAlign w:val="bottom"/>
          </w:tcPr>
          <w:p>
            <w:pPr>
              <w:spacing w:after="0"/>
              <w:rPr>
                <w:sz w:val="11"/>
                <w:szCs w:val="11"/>
                <w:color w:val="auto"/>
              </w:rPr>
            </w:pPr>
          </w:p>
        </w:tc>
        <w:tc>
          <w:tcPr>
            <w:tcW w:w="580" w:type="dxa"/>
            <w:vAlign w:val="bottom"/>
          </w:tcPr>
          <w:p>
            <w:pPr>
              <w:jc w:val="right"/>
              <w:ind w:right="46"/>
              <w:spacing w:after="0" w:line="136" w:lineRule="exact"/>
              <w:rPr>
                <w:sz w:val="20"/>
                <w:szCs w:val="20"/>
                <w:color w:val="auto"/>
              </w:rPr>
            </w:pPr>
            <w:r>
              <w:rPr>
                <w:rFonts w:ascii="Times New Roman" w:cs="Times New Roman" w:eastAsia="Times New Roman" w:hAnsi="Times New Roman"/>
                <w:sz w:val="14"/>
                <w:szCs w:val="14"/>
                <w:color w:val="auto"/>
              </w:rPr>
              <w:t>$ 3,895</w:t>
            </w:r>
          </w:p>
        </w:tc>
        <w:tc>
          <w:tcPr>
            <w:tcW w:w="58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4"/>
                <w:szCs w:val="14"/>
                <w:color w:val="auto"/>
              </w:rPr>
              <w:t>12.9 %</w:t>
            </w:r>
          </w:p>
        </w:tc>
        <w:tc>
          <w:tcPr>
            <w:tcW w:w="620" w:type="dxa"/>
            <w:vAlign w:val="bottom"/>
          </w:tcPr>
          <w:p>
            <w:pPr>
              <w:ind w:left="40"/>
              <w:spacing w:after="0" w:line="136" w:lineRule="exact"/>
              <w:rPr>
                <w:sz w:val="20"/>
                <w:szCs w:val="20"/>
                <w:color w:val="auto"/>
              </w:rPr>
            </w:pPr>
            <w:r>
              <w:rPr>
                <w:rFonts w:ascii="Times New Roman" w:cs="Times New Roman" w:eastAsia="Times New Roman" w:hAnsi="Times New Roman"/>
                <w:sz w:val="14"/>
                <w:szCs w:val="14"/>
                <w:color w:val="auto"/>
              </w:rPr>
              <w:t>19.4 %</w:t>
            </w:r>
          </w:p>
        </w:tc>
      </w:tr>
      <w:tr>
        <w:trPr>
          <w:trHeight w:val="161"/>
        </w:trPr>
        <w:tc>
          <w:tcPr>
            <w:tcW w:w="10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revenues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ind w:left="10"/>
        <w:spacing w:after="0" w:line="203" w:lineRule="auto"/>
        <w:rPr>
          <w:sz w:val="20"/>
          <w:szCs w:val="20"/>
          <w:color w:val="auto"/>
        </w:rPr>
      </w:pPr>
      <w:r>
        <w:rPr>
          <w:rFonts w:ascii="Times New Roman" w:cs="Times New Roman" w:eastAsia="Times New Roman" w:hAnsi="Times New Roman"/>
          <w:sz w:val="16"/>
          <w:szCs w:val="16"/>
          <w:color w:val="auto"/>
        </w:rPr>
        <w:t>less</w:t>
      </w:r>
    </w:p>
    <w:p>
      <w:pPr>
        <w:ind w:left="10"/>
        <w:spacing w:after="0" w:line="204" w:lineRule="auto"/>
        <w:rPr>
          <w:sz w:val="20"/>
          <w:szCs w:val="20"/>
          <w:color w:val="auto"/>
        </w:rPr>
      </w:pPr>
      <w:r>
        <w:rPr>
          <w:rFonts w:ascii="Times New Roman" w:cs="Times New Roman" w:eastAsia="Times New Roman" w:hAnsi="Times New Roman"/>
          <w:sz w:val="16"/>
          <w:szCs w:val="16"/>
          <w:color w:val="auto"/>
        </w:rPr>
        <w:t>transaction-</w:t>
      </w:r>
    </w:p>
    <w:p>
      <w:pPr>
        <w:ind w:left="10"/>
        <w:spacing w:after="0" w:line="203" w:lineRule="auto"/>
        <w:rPr>
          <w:sz w:val="20"/>
          <w:szCs w:val="20"/>
          <w:color w:val="auto"/>
        </w:rPr>
      </w:pPr>
      <w:r>
        <w:rPr>
          <w:rFonts w:ascii="Times New Roman" w:cs="Times New Roman" w:eastAsia="Times New Roman" w:hAnsi="Times New Roman"/>
          <w:sz w:val="16"/>
          <w:szCs w:val="16"/>
          <w:color w:val="auto"/>
        </w:rPr>
        <w:t>based</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32385</wp:posOffset>
            </wp:positionV>
            <wp:extent cx="11512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following charts present our Capital Access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-101600</wp:posOffset>
            </wp:positionV>
            <wp:extent cx="11512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ind w:left="10"/>
        <w:spacing w:after="0" w:line="203" w:lineRule="auto"/>
        <w:rPr>
          <w:sz w:val="20"/>
          <w:szCs w:val="20"/>
          <w:color w:val="auto"/>
        </w:rPr>
      </w:pPr>
      <w:r>
        <w:rPr>
          <w:rFonts w:ascii="Times New Roman" w:cs="Times New Roman" w:eastAsia="Times New Roman" w:hAnsi="Times New Roman"/>
          <w:sz w:val="16"/>
          <w:szCs w:val="16"/>
          <w:color w:val="auto"/>
        </w:rPr>
        <w:t>Financial Technology and Market Services segments as a</w:t>
      </w:r>
    </w:p>
    <w:p>
      <w:pPr>
        <w:ind w:left="10"/>
        <w:spacing w:after="0" w:line="204" w:lineRule="auto"/>
        <w:rPr>
          <w:sz w:val="20"/>
          <w:szCs w:val="20"/>
          <w:color w:val="auto"/>
        </w:rPr>
      </w:pPr>
      <w:r>
        <w:rPr>
          <w:rFonts w:ascii="Times New Roman" w:cs="Times New Roman" w:eastAsia="Times New Roman" w:hAnsi="Times New Roman"/>
          <w:sz w:val="16"/>
          <w:szCs w:val="16"/>
          <w:color w:val="auto"/>
        </w:rPr>
        <w:t>percentage of our total revenues, less transaction-based</w:t>
      </w:r>
    </w:p>
    <w:p>
      <w:pPr>
        <w:ind w:left="10"/>
        <w:spacing w:after="0"/>
        <w:rPr>
          <w:sz w:val="20"/>
          <w:szCs w:val="20"/>
          <w:color w:val="auto"/>
        </w:rPr>
      </w:pPr>
      <w:r>
        <w:rPr>
          <w:rFonts w:ascii="Times New Roman" w:cs="Times New Roman" w:eastAsia="Times New Roman" w:hAnsi="Times New Roman"/>
          <w:sz w:val="16"/>
          <w:szCs w:val="16"/>
          <w:color w:val="auto"/>
        </w:rPr>
        <w:t>expenses.</w:t>
      </w:r>
    </w:p>
    <w:p>
      <w:pPr>
        <w:sectPr>
          <w:pgSz w:w="11900" w:h="16840" w:orient="portrait"/>
          <w:cols w:equalWidth="0" w:num="1">
            <w:col w:w="9410"/>
          </w:cols>
          <w:pgMar w:left="1050" w:top="547" w:right="1440" w:bottom="110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666750</wp:posOffset>
            </wp:positionH>
            <wp:positionV relativeFrom="page">
              <wp:posOffset>361950</wp:posOffset>
            </wp:positionV>
            <wp:extent cx="2515235" cy="327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515235" cy="327660"/>
                    </a:xfrm>
                    <a:prstGeom prst="rect">
                      <a:avLst/>
                    </a:prstGeom>
                    <a:noFill/>
                  </pic:spPr>
                </pic:pic>
              </a:graphicData>
            </a:graphic>
          </wp:anchor>
        </w:drawing>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6219825" cy="8049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19825" cy="804926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Data &amp; Listing Services Revenues</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tables present key drivers from our Data &amp;</w:t>
      </w:r>
    </w:p>
    <w:p>
      <w:pPr>
        <w:spacing w:after="0" w:line="228" w:lineRule="auto"/>
        <w:rPr>
          <w:sz w:val="20"/>
          <w:szCs w:val="20"/>
          <w:color w:val="auto"/>
        </w:rPr>
      </w:pPr>
      <w:r>
        <w:rPr>
          <w:rFonts w:ascii="Times New Roman" w:cs="Times New Roman" w:eastAsia="Times New Roman" w:hAnsi="Times New Roman"/>
          <w:sz w:val="16"/>
          <w:szCs w:val="16"/>
          <w:color w:val="auto"/>
        </w:rPr>
        <w:t>Listing Services business:</w:t>
      </w:r>
    </w:p>
    <w:tbl>
      <w:tblPr>
        <w:tblLayout w:type="fixed"/>
        <w:tblInd w:w="0" w:type="dxa"/>
        <w:tblCellMar>
          <w:top w:w="0" w:type="dxa"/>
          <w:left w:w="0" w:type="dxa"/>
          <w:bottom w:w="0" w:type="dxa"/>
          <w:right w:w="0" w:type="dxa"/>
        </w:tblCellMar>
      </w:tblPr>
      <w:tr>
        <w:trPr>
          <w:trHeight w:val="142"/>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Year Ended December 31,</w:t>
            </w:r>
          </w:p>
        </w:tc>
        <w:tc>
          <w:tcPr>
            <w:tcW w:w="600" w:type="dxa"/>
            <w:vAlign w:val="bottom"/>
          </w:tcPr>
          <w:p>
            <w:pPr>
              <w:spacing w:after="0"/>
              <w:rPr>
                <w:sz w:val="12"/>
                <w:szCs w:val="12"/>
                <w:color w:val="auto"/>
              </w:rPr>
            </w:pPr>
          </w:p>
        </w:tc>
      </w:tr>
      <w:tr>
        <w:trPr>
          <w:trHeight w:val="38"/>
        </w:trPr>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36"/>
        </w:trPr>
        <w:tc>
          <w:tcPr>
            <w:tcW w:w="214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IPOs</w:t>
            </w: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gridSpan w:val="2"/>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
        </w:trPr>
        <w:tc>
          <w:tcPr>
            <w:tcW w:w="32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6"/>
        </w:trPr>
        <w:tc>
          <w:tcPr>
            <w:tcW w:w="2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Nasdaq Stock Market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281</w:t>
            </w: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130</w:t>
            </w:r>
          </w:p>
        </w:tc>
      </w:tr>
      <w:tr>
        <w:trPr>
          <w:trHeight w:val="203"/>
        </w:trPr>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Operating company</w:t>
            </w: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155</w:t>
            </w:r>
          </w:p>
        </w:tc>
        <w:tc>
          <w:tcPr>
            <w:tcW w:w="6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130</w:t>
            </w:r>
          </w:p>
        </w:tc>
        <w:tc>
          <w:tcPr>
            <w:tcW w:w="20" w:type="dxa"/>
            <w:vAlign w:val="bottom"/>
          </w:tcPr>
          <w:p>
            <w:pPr>
              <w:spacing w:after="0"/>
              <w:rPr>
                <w:sz w:val="17"/>
                <w:szCs w:val="17"/>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103</w:t>
            </w:r>
          </w:p>
        </w:tc>
      </w:tr>
      <w:tr>
        <w:trPr>
          <w:trHeight w:val="37"/>
        </w:trPr>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20"/>
        </w:trPr>
        <w:tc>
          <w:tcPr>
            <w:tcW w:w="2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SPACs</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126</w:t>
            </w:r>
          </w:p>
        </w:tc>
        <w:tc>
          <w:tcPr>
            <w:tcW w:w="6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w:t>
            </w:r>
          </w:p>
        </w:tc>
      </w:tr>
      <w:tr>
        <w:trPr>
          <w:trHeight w:val="144"/>
        </w:trPr>
        <w:tc>
          <w:tcPr>
            <w:tcW w:w="2140" w:type="dxa"/>
            <w:vAlign w:val="bottom"/>
            <w:gridSpan w:val="4"/>
          </w:tcPr>
          <w:p>
            <w:pPr>
              <w:spacing w:after="0" w:line="144" w:lineRule="exact"/>
              <w:rPr>
                <w:sz w:val="20"/>
                <w:szCs w:val="20"/>
                <w:color w:val="auto"/>
              </w:rPr>
            </w:pPr>
            <w:r>
              <w:rPr>
                <w:rFonts w:ascii="Times New Roman" w:cs="Times New Roman" w:eastAsia="Times New Roman" w:hAnsi="Times New Roman"/>
                <w:sz w:val="16"/>
                <w:szCs w:val="16"/>
                <w:color w:val="auto"/>
              </w:rPr>
              <w:t>Exchanges that comprise</w:t>
            </w:r>
          </w:p>
        </w:tc>
        <w:tc>
          <w:tcPr>
            <w:tcW w:w="580" w:type="dxa"/>
            <w:vAlign w:val="bottom"/>
          </w:tcPr>
          <w:p>
            <w:pPr>
              <w:jc w:val="right"/>
              <w:ind w:right="49"/>
              <w:spacing w:after="0" w:line="144" w:lineRule="exact"/>
              <w:rPr>
                <w:sz w:val="20"/>
                <w:szCs w:val="20"/>
                <w:color w:val="auto"/>
              </w:rPr>
            </w:pPr>
            <w:r>
              <w:rPr>
                <w:rFonts w:ascii="Times New Roman" w:cs="Times New Roman" w:eastAsia="Times New Roman" w:hAnsi="Times New Roman"/>
                <w:sz w:val="16"/>
                <w:szCs w:val="16"/>
                <w:color w:val="auto"/>
              </w:rPr>
              <w:t>19</w:t>
            </w:r>
          </w:p>
        </w:tc>
        <w:tc>
          <w:tcPr>
            <w:tcW w:w="620" w:type="dxa"/>
            <w:vAlign w:val="bottom"/>
            <w:gridSpan w:val="2"/>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2"/>
                <w:szCs w:val="12"/>
                <w:color w:val="auto"/>
              </w:rPr>
            </w:pPr>
          </w:p>
        </w:tc>
        <w:tc>
          <w:tcPr>
            <w:tcW w:w="60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7</w:t>
            </w:r>
          </w:p>
        </w:tc>
      </w:tr>
      <w:tr>
        <w:trPr>
          <w:trHeight w:val="156"/>
        </w:trPr>
        <w:tc>
          <w:tcPr>
            <w:tcW w:w="214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Nasdaq Nordic and Nasdaq</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3"/>
        </w:trPr>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Baltic</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61"/>
        </w:trPr>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156"/>
        </w:trPr>
        <w:tc>
          <w:tcPr>
            <w:tcW w:w="21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6"/>
                <w:szCs w:val="16"/>
                <w:i w:val="1"/>
                <w:iCs w:val="1"/>
                <w:color w:val="auto"/>
              </w:rPr>
              <w:t>Total new listings</w:t>
            </w: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64"/>
        </w:trPr>
        <w:tc>
          <w:tcPr>
            <w:tcW w:w="3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r>
      <w:tr>
        <w:trPr>
          <w:trHeight w:val="192"/>
        </w:trPr>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Nasdaq Stock Market</w:t>
            </w: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784</w:t>
            </w:r>
          </w:p>
        </w:tc>
        <w:tc>
          <w:tcPr>
            <w:tcW w:w="6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463</w:t>
            </w:r>
          </w:p>
        </w:tc>
        <w:tc>
          <w:tcPr>
            <w:tcW w:w="20" w:type="dxa"/>
            <w:vAlign w:val="bottom"/>
          </w:tcPr>
          <w:p>
            <w:pPr>
              <w:spacing w:after="0"/>
              <w:rPr>
                <w:sz w:val="16"/>
                <w:szCs w:val="16"/>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330</w:t>
            </w:r>
          </w:p>
        </w:tc>
      </w:tr>
      <w:tr>
        <w:trPr>
          <w:trHeight w:val="144"/>
        </w:trPr>
        <w:tc>
          <w:tcPr>
            <w:tcW w:w="2140" w:type="dxa"/>
            <w:vAlign w:val="bottom"/>
            <w:gridSpan w:val="4"/>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Exchanges that comprise</w:t>
            </w:r>
          </w:p>
        </w:tc>
        <w:tc>
          <w:tcPr>
            <w:tcW w:w="580" w:type="dxa"/>
            <w:vAlign w:val="bottom"/>
            <w:shd w:val="clear" w:color="auto" w:fill="CCEEFF"/>
          </w:tcPr>
          <w:p>
            <w:pPr>
              <w:jc w:val="right"/>
              <w:ind w:right="49"/>
              <w:spacing w:after="0" w:line="144" w:lineRule="exact"/>
              <w:rPr>
                <w:sz w:val="20"/>
                <w:szCs w:val="20"/>
                <w:color w:val="auto"/>
              </w:rPr>
            </w:pPr>
            <w:r>
              <w:rPr>
                <w:rFonts w:ascii="Times New Roman" w:cs="Times New Roman" w:eastAsia="Times New Roman" w:hAnsi="Times New Roman"/>
                <w:sz w:val="16"/>
                <w:szCs w:val="16"/>
                <w:color w:val="auto"/>
              </w:rPr>
              <w:t>27</w:t>
            </w:r>
          </w:p>
        </w:tc>
        <w:tc>
          <w:tcPr>
            <w:tcW w:w="620" w:type="dxa"/>
            <w:vAlign w:val="bottom"/>
            <w:gridSpan w:val="2"/>
            <w:shd w:val="clear" w:color="auto" w:fill="CCEEFF"/>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23</w:t>
            </w:r>
          </w:p>
        </w:tc>
      </w:tr>
      <w:tr>
        <w:trPr>
          <w:trHeight w:val="156"/>
        </w:trPr>
        <w:tc>
          <w:tcPr>
            <w:tcW w:w="214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Nasdaq Nordic and Nasdaq</w:t>
            </w: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203"/>
        </w:trPr>
        <w:tc>
          <w:tcPr>
            <w:tcW w:w="2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Baltic</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61"/>
        </w:trPr>
        <w:tc>
          <w:tcPr>
            <w:tcW w:w="3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20" w:type="dxa"/>
            <w:vAlign w:val="bottom"/>
            <w:gridSpan w:val="2"/>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r>
      <w:tr>
        <w:trPr>
          <w:trHeight w:val="188"/>
        </w:trPr>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600" w:type="dxa"/>
            <w:vAlign w:val="bottom"/>
          </w:tcPr>
          <w:p>
            <w:pPr>
              <w:spacing w:after="0"/>
              <w:rPr>
                <w:sz w:val="16"/>
                <w:szCs w:val="16"/>
                <w:color w:val="auto"/>
              </w:rPr>
            </w:pPr>
          </w:p>
        </w:tc>
      </w:tr>
      <w:tr>
        <w:trPr>
          <w:trHeight w:val="52"/>
        </w:trPr>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36"/>
        </w:trPr>
        <w:tc>
          <w:tcPr>
            <w:tcW w:w="214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Number of listed companies</w:t>
            </w: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gridSpan w:val="2"/>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8"/>
        </w:trPr>
        <w:tc>
          <w:tcPr>
            <w:tcW w:w="320" w:type="dxa"/>
            <w:vAlign w:val="bottom"/>
            <w:tcBorders>
              <w:top w:val="single" w:sz="8" w:color="auto"/>
              <w:bottom w:val="single" w:sz="8" w:color="CCEEFF"/>
            </w:tcBorders>
          </w:tcPr>
          <w:p>
            <w:pPr>
              <w:spacing w:after="0"/>
              <w:rPr>
                <w:sz w:val="2"/>
                <w:szCs w:val="2"/>
                <w:color w:val="auto"/>
              </w:rPr>
            </w:pPr>
          </w:p>
        </w:tc>
        <w:tc>
          <w:tcPr>
            <w:tcW w:w="780" w:type="dxa"/>
            <w:vAlign w:val="bottom"/>
            <w:tcBorders>
              <w:top w:val="single" w:sz="8" w:color="auto"/>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0"/>
        </w:trPr>
        <w:tc>
          <w:tcPr>
            <w:tcW w:w="2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Nasdaq Stock Market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4,480</w:t>
            </w: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4,075</w:t>
            </w: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4,044</w:t>
            </w:r>
          </w:p>
        </w:tc>
      </w:tr>
      <w:tr>
        <w:trPr>
          <w:trHeight w:val="144"/>
        </w:trPr>
        <w:tc>
          <w:tcPr>
            <w:tcW w:w="2140" w:type="dxa"/>
            <w:vAlign w:val="bottom"/>
            <w:gridSpan w:val="4"/>
          </w:tcPr>
          <w:p>
            <w:pPr>
              <w:spacing w:after="0" w:line="144" w:lineRule="exact"/>
              <w:rPr>
                <w:sz w:val="20"/>
                <w:szCs w:val="20"/>
                <w:color w:val="auto"/>
              </w:rPr>
            </w:pPr>
            <w:r>
              <w:rPr>
                <w:rFonts w:ascii="Times New Roman" w:cs="Times New Roman" w:eastAsia="Times New Roman" w:hAnsi="Times New Roman"/>
                <w:sz w:val="16"/>
                <w:szCs w:val="16"/>
                <w:color w:val="auto"/>
              </w:rPr>
              <w:t>Exchanges that comprise</w:t>
            </w:r>
          </w:p>
        </w:tc>
        <w:tc>
          <w:tcPr>
            <w:tcW w:w="580" w:type="dxa"/>
            <w:vAlign w:val="bottom"/>
          </w:tcPr>
          <w:p>
            <w:pPr>
              <w:jc w:val="right"/>
              <w:ind w:right="49"/>
              <w:spacing w:after="0" w:line="144" w:lineRule="exact"/>
              <w:rPr>
                <w:sz w:val="20"/>
                <w:szCs w:val="20"/>
                <w:color w:val="auto"/>
              </w:rPr>
            </w:pPr>
            <w:r>
              <w:rPr>
                <w:rFonts w:ascii="Times New Roman" w:cs="Times New Roman" w:eastAsia="Times New Roman" w:hAnsi="Times New Roman"/>
                <w:sz w:val="16"/>
                <w:szCs w:val="16"/>
                <w:color w:val="auto"/>
              </w:rPr>
              <w:t>1,119</w:t>
            </w:r>
          </w:p>
        </w:tc>
        <w:tc>
          <w:tcPr>
            <w:tcW w:w="620" w:type="dxa"/>
            <w:vAlign w:val="bottom"/>
            <w:gridSpan w:val="2"/>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1,174</w:t>
            </w:r>
          </w:p>
        </w:tc>
        <w:tc>
          <w:tcPr>
            <w:tcW w:w="20" w:type="dxa"/>
            <w:vAlign w:val="bottom"/>
          </w:tcPr>
          <w:p>
            <w:pPr>
              <w:spacing w:after="0"/>
              <w:rPr>
                <w:sz w:val="12"/>
                <w:szCs w:val="12"/>
                <w:color w:val="auto"/>
              </w:rPr>
            </w:pPr>
          </w:p>
        </w:tc>
        <w:tc>
          <w:tcPr>
            <w:tcW w:w="600" w:type="dxa"/>
            <w:vAlign w:val="bottom"/>
          </w:tcPr>
          <w:p>
            <w:pPr>
              <w:jc w:val="right"/>
              <w:ind w:right="66"/>
              <w:spacing w:after="0" w:line="144" w:lineRule="exact"/>
              <w:rPr>
                <w:sz w:val="20"/>
                <w:szCs w:val="20"/>
                <w:color w:val="auto"/>
              </w:rPr>
            </w:pPr>
            <w:r>
              <w:rPr>
                <w:rFonts w:ascii="Times New Roman" w:cs="Times New Roman" w:eastAsia="Times New Roman" w:hAnsi="Times New Roman"/>
                <w:sz w:val="16"/>
                <w:szCs w:val="16"/>
                <w:color w:val="auto"/>
              </w:rPr>
              <w:t>1,218</w:t>
            </w:r>
          </w:p>
        </w:tc>
      </w:tr>
      <w:tr>
        <w:trPr>
          <w:trHeight w:val="156"/>
        </w:trPr>
        <w:tc>
          <w:tcPr>
            <w:tcW w:w="214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Nasdaq Nordic and Nasdaq</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3"/>
        </w:trPr>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Baltic</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61"/>
        </w:trPr>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84"/>
        </w:trPr>
        <w:tc>
          <w:tcPr>
            <w:tcW w:w="3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203"/>
        </w:trPr>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ARR (in millions)</w:t>
            </w: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  764</w:t>
            </w:r>
          </w:p>
        </w:tc>
        <w:tc>
          <w:tcPr>
            <w:tcW w:w="6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  691</w:t>
            </w:r>
          </w:p>
        </w:tc>
        <w:tc>
          <w:tcPr>
            <w:tcW w:w="2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682</w:t>
            </w:r>
          </w:p>
        </w:tc>
      </w:tr>
    </w:tbl>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tables above:</w:t>
      </w:r>
    </w:p>
    <w:p>
      <w:pPr>
        <w:spacing w:after="0" w:line="203" w:lineRule="auto"/>
        <w:rPr>
          <w:sz w:val="20"/>
          <w:szCs w:val="20"/>
          <w:color w:val="auto"/>
        </w:rPr>
      </w:pPr>
      <w:r>
        <w:rPr>
          <w:rFonts w:ascii="Times New Roman" w:cs="Times New Roman" w:eastAsia="Times New Roman" w:hAnsi="Times New Roman"/>
          <w:sz w:val="16"/>
          <w:szCs w:val="16"/>
          <w:color w:val="auto"/>
        </w:rPr>
        <w:t>•The number of total listed companies on The Nasdaq Stock</w:t>
      </w:r>
    </w:p>
    <w:p>
      <w:pPr>
        <w:spacing w:after="0" w:line="204" w:lineRule="auto"/>
        <w:rPr>
          <w:sz w:val="20"/>
          <w:szCs w:val="20"/>
          <w:color w:val="auto"/>
        </w:rPr>
      </w:pPr>
      <w:r>
        <w:rPr>
          <w:rFonts w:ascii="Times New Roman" w:cs="Times New Roman" w:eastAsia="Times New Roman" w:hAnsi="Times New Roman"/>
          <w:sz w:val="16"/>
          <w:szCs w:val="16"/>
          <w:color w:val="auto"/>
        </w:rPr>
        <w:t>Market for the years ended December 31, 2025, 2024 and</w:t>
      </w:r>
    </w:p>
    <w:p>
      <w:pPr>
        <w:spacing w:after="0" w:line="203" w:lineRule="auto"/>
        <w:rPr>
          <w:sz w:val="20"/>
          <w:szCs w:val="20"/>
          <w:color w:val="auto"/>
        </w:rPr>
      </w:pPr>
      <w:r>
        <w:rPr>
          <w:rFonts w:ascii="Times New Roman" w:cs="Times New Roman" w:eastAsia="Times New Roman" w:hAnsi="Times New Roman"/>
          <w:sz w:val="16"/>
          <w:szCs w:val="16"/>
          <w:color w:val="auto"/>
        </w:rPr>
        <w:t>2023 included 1,112, 768 and 600 ETPs, respectively.</w:t>
      </w:r>
    </w:p>
    <w:p>
      <w:pPr>
        <w:spacing w:after="0" w:line="204" w:lineRule="auto"/>
        <w:rPr>
          <w:sz w:val="20"/>
          <w:szCs w:val="20"/>
          <w:color w:val="auto"/>
        </w:rPr>
      </w:pPr>
      <w:r>
        <w:rPr>
          <w:rFonts w:ascii="Times New Roman" w:cs="Times New Roman" w:eastAsia="Times New Roman" w:hAnsi="Times New Roman"/>
          <w:sz w:val="16"/>
          <w:szCs w:val="16"/>
          <w:color w:val="auto"/>
        </w:rPr>
        <w:t>•IPOs, new listings (which includes IPOs) and total listed</w:t>
      </w:r>
    </w:p>
    <w:p>
      <w:pPr>
        <w:spacing w:after="0" w:line="203" w:lineRule="auto"/>
        <w:rPr>
          <w:sz w:val="20"/>
          <w:szCs w:val="20"/>
          <w:color w:val="auto"/>
        </w:rPr>
      </w:pPr>
      <w:r>
        <w:rPr>
          <w:rFonts w:ascii="Times New Roman" w:cs="Times New Roman" w:eastAsia="Times New Roman" w:hAnsi="Times New Roman"/>
          <w:sz w:val="16"/>
          <w:szCs w:val="16"/>
          <w:color w:val="auto"/>
        </w:rPr>
        <w:t>companies for exchanges that comprise Nasdaq Nordic and</w:t>
      </w:r>
    </w:p>
    <w:p>
      <w:pPr>
        <w:spacing w:after="0" w:line="204" w:lineRule="auto"/>
        <w:rPr>
          <w:sz w:val="20"/>
          <w:szCs w:val="20"/>
          <w:color w:val="auto"/>
        </w:rPr>
      </w:pPr>
      <w:r>
        <w:rPr>
          <w:rFonts w:ascii="Times New Roman" w:cs="Times New Roman" w:eastAsia="Times New Roman" w:hAnsi="Times New Roman"/>
          <w:sz w:val="16"/>
          <w:szCs w:val="16"/>
          <w:color w:val="auto"/>
        </w:rPr>
        <w:t>Nasdaq Baltic represent companies listed on the Nasdaq</w:t>
      </w:r>
    </w:p>
    <w:p>
      <w:pPr>
        <w:spacing w:after="0" w:line="203" w:lineRule="auto"/>
        <w:rPr>
          <w:sz w:val="20"/>
          <w:szCs w:val="20"/>
          <w:color w:val="auto"/>
        </w:rPr>
      </w:pPr>
      <w:r>
        <w:rPr>
          <w:rFonts w:ascii="Times New Roman" w:cs="Times New Roman" w:eastAsia="Times New Roman" w:hAnsi="Times New Roman"/>
          <w:sz w:val="16"/>
          <w:szCs w:val="16"/>
          <w:color w:val="auto"/>
        </w:rPr>
        <w:t>Nordic and Nasdaq Baltic exchanges and companies listed</w:t>
      </w:r>
    </w:p>
    <w:p>
      <w:pPr>
        <w:spacing w:after="0" w:line="204" w:lineRule="auto"/>
        <w:rPr>
          <w:sz w:val="20"/>
          <w:szCs w:val="20"/>
          <w:color w:val="auto"/>
        </w:rPr>
      </w:pPr>
      <w:r>
        <w:rPr>
          <w:rFonts w:ascii="Times New Roman" w:cs="Times New Roman" w:eastAsia="Times New Roman" w:hAnsi="Times New Roman"/>
          <w:sz w:val="16"/>
          <w:szCs w:val="16"/>
          <w:color w:val="auto"/>
        </w:rPr>
        <w:t>on the alternative markets of Nasdaq First North.</w:t>
      </w:r>
    </w:p>
    <w:p>
      <w:pPr>
        <w:spacing w:after="0" w:line="203" w:lineRule="auto"/>
        <w:rPr>
          <w:sz w:val="20"/>
          <w:szCs w:val="20"/>
          <w:color w:val="auto"/>
        </w:rPr>
      </w:pPr>
      <w:r>
        <w:rPr>
          <w:rFonts w:ascii="Times New Roman" w:cs="Times New Roman" w:eastAsia="Times New Roman" w:hAnsi="Times New Roman"/>
          <w:sz w:val="16"/>
          <w:szCs w:val="16"/>
          <w:color w:val="auto"/>
        </w:rPr>
        <w:t>Data &amp; Listing Services revenues increased for the year</w:t>
      </w:r>
    </w:p>
    <w:p>
      <w:pPr>
        <w:spacing w:after="0" w:line="204" w:lineRule="auto"/>
        <w:rPr>
          <w:sz w:val="20"/>
          <w:szCs w:val="20"/>
          <w:color w:val="auto"/>
        </w:rPr>
      </w:pPr>
      <w:r>
        <w:rPr>
          <w:rFonts w:ascii="Times New Roman" w:cs="Times New Roman" w:eastAsia="Times New Roman" w:hAnsi="Times New Roman"/>
          <w:sz w:val="16"/>
          <w:szCs w:val="16"/>
          <w:color w:val="auto"/>
        </w:rPr>
        <w:t>ended December 31, 2025 compared with the same period in</w:t>
      </w:r>
    </w:p>
    <w:p>
      <w:pPr>
        <w:spacing w:after="0" w:line="204" w:lineRule="auto"/>
        <w:rPr>
          <w:sz w:val="20"/>
          <w:szCs w:val="20"/>
          <w:color w:val="auto"/>
        </w:rPr>
      </w:pPr>
      <w:r>
        <w:rPr>
          <w:rFonts w:ascii="Times New Roman" w:cs="Times New Roman" w:eastAsia="Times New Roman" w:hAnsi="Times New Roman"/>
          <w:sz w:val="16"/>
          <w:szCs w:val="16"/>
          <w:color w:val="auto"/>
        </w:rPr>
        <w:t>2024 due to new data sales, usage and pricing, increased</w:t>
      </w:r>
    </w:p>
    <w:p>
      <w:pPr>
        <w:spacing w:after="0" w:line="203" w:lineRule="auto"/>
        <w:rPr>
          <w:sz w:val="20"/>
          <w:szCs w:val="20"/>
          <w:color w:val="auto"/>
        </w:rPr>
      </w:pPr>
      <w:r>
        <w:rPr>
          <w:rFonts w:ascii="Times New Roman" w:cs="Times New Roman" w:eastAsia="Times New Roman" w:hAnsi="Times New Roman"/>
          <w:sz w:val="16"/>
          <w:szCs w:val="16"/>
          <w:color w:val="auto"/>
        </w:rPr>
        <w:t>annual listings revenues due to new listings and the favorable</w:t>
      </w:r>
    </w:p>
    <w:p>
      <w:pPr>
        <w:spacing w:after="0" w:line="204" w:lineRule="auto"/>
        <w:rPr>
          <w:sz w:val="20"/>
          <w:szCs w:val="20"/>
          <w:color w:val="auto"/>
        </w:rPr>
      </w:pPr>
      <w:r>
        <w:rPr>
          <w:rFonts w:ascii="Times New Roman" w:cs="Times New Roman" w:eastAsia="Times New Roman" w:hAnsi="Times New Roman"/>
          <w:sz w:val="16"/>
          <w:szCs w:val="16"/>
          <w:color w:val="auto"/>
        </w:rPr>
        <w:t>impact from changes in foreign currency rates, partially</w:t>
      </w:r>
    </w:p>
    <w:p>
      <w:pPr>
        <w:spacing w:after="0" w:line="203" w:lineRule="auto"/>
        <w:rPr>
          <w:sz w:val="20"/>
          <w:szCs w:val="20"/>
          <w:color w:val="auto"/>
        </w:rPr>
      </w:pPr>
      <w:r>
        <w:rPr>
          <w:rFonts w:ascii="Times New Roman" w:cs="Times New Roman" w:eastAsia="Times New Roman" w:hAnsi="Times New Roman"/>
          <w:sz w:val="16"/>
          <w:szCs w:val="16"/>
          <w:color w:val="auto"/>
        </w:rPr>
        <w:t>offset by delistings.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Index Revenues</w:t>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 presents key drivers from our Index</w:t>
      </w:r>
    </w:p>
    <w:p>
      <w:pPr>
        <w:spacing w:after="0" w:line="228" w:lineRule="auto"/>
        <w:rPr>
          <w:sz w:val="20"/>
          <w:szCs w:val="20"/>
          <w:color w:val="auto"/>
        </w:rPr>
      </w:pPr>
      <w:r>
        <w:rPr>
          <w:rFonts w:ascii="Times New Roman" w:cs="Times New Roman" w:eastAsia="Times New Roman" w:hAnsi="Times New Roman"/>
          <w:sz w:val="16"/>
          <w:szCs w:val="16"/>
          <w:color w:val="auto"/>
        </w:rPr>
        <w:t>business:</w:t>
      </w:r>
    </w:p>
    <w:p>
      <w:pPr>
        <w:ind w:left="1940"/>
        <w:spacing w:after="0" w:line="206" w:lineRule="auto"/>
        <w:rPr>
          <w:sz w:val="20"/>
          <w:szCs w:val="20"/>
          <w:color w:val="auto"/>
        </w:rPr>
      </w:pPr>
      <w:r>
        <w:rPr>
          <w:rFonts w:ascii="Times New Roman" w:cs="Times New Roman" w:eastAsia="Times New Roman" w:hAnsi="Times New Roman"/>
          <w:sz w:val="11"/>
          <w:szCs w:val="11"/>
          <w:b w:val="1"/>
          <w:bCs w:val="1"/>
          <w:color w:val="auto"/>
        </w:rPr>
        <w:t>As of or</w:t>
      </w:r>
    </w:p>
    <w:p>
      <w:pPr>
        <w:ind w:left="19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920" w:type="dxa"/>
            <w:vAlign w:val="bottom"/>
          </w:tcPr>
          <w:p>
            <w:pPr>
              <w:spacing w:after="0"/>
              <w:rPr>
                <w:sz w:val="13"/>
                <w:szCs w:val="13"/>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top w:val="single" w:sz="8" w:color="auto"/>
            </w:tcBorders>
          </w:tcPr>
          <w:p>
            <w:pPr>
              <w:spacing w:after="0"/>
              <w:rPr>
                <w:sz w:val="13"/>
                <w:szCs w:val="13"/>
                <w:color w:val="auto"/>
              </w:rPr>
            </w:pPr>
          </w:p>
        </w:tc>
      </w:tr>
      <w:tr>
        <w:trPr>
          <w:trHeight w:val="38"/>
        </w:trPr>
        <w:tc>
          <w:tcPr>
            <w:tcW w:w="19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00"/>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licensed ETPs</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451</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401</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364</w:t>
            </w:r>
          </w:p>
        </w:tc>
        <w:tc>
          <w:tcPr>
            <w:tcW w:w="400" w:type="dxa"/>
            <w:vAlign w:val="bottom"/>
            <w:tcBorders>
              <w:bottom w:val="single" w:sz="8" w:color="CCEEFF"/>
            </w:tcBorders>
            <w:shd w:val="clear" w:color="auto" w:fill="CCEEFF"/>
          </w:tcPr>
          <w:p>
            <w:pPr>
              <w:spacing w:after="0"/>
              <w:rPr>
                <w:sz w:val="17"/>
                <w:szCs w:val="17"/>
                <w:color w:val="auto"/>
              </w:rPr>
            </w:pPr>
          </w:p>
        </w:tc>
      </w:tr>
      <w:tr>
        <w:trPr>
          <w:trHeight w:val="144"/>
        </w:trPr>
        <w:tc>
          <w:tcPr>
            <w:tcW w:w="2600" w:type="dxa"/>
            <w:vAlign w:val="bottom"/>
            <w:gridSpan w:val="3"/>
          </w:tcPr>
          <w:p>
            <w:pPr>
              <w:spacing w:after="0" w:line="144" w:lineRule="exact"/>
              <w:rPr>
                <w:sz w:val="20"/>
                <w:szCs w:val="20"/>
                <w:color w:val="auto"/>
              </w:rPr>
            </w:pPr>
            <w:r>
              <w:rPr>
                <w:rFonts w:ascii="Times New Roman" w:cs="Times New Roman" w:eastAsia="Times New Roman" w:hAnsi="Times New Roman"/>
                <w:sz w:val="16"/>
                <w:szCs w:val="16"/>
                <w:b w:val="1"/>
                <w:bCs w:val="1"/>
                <w:color w:val="auto"/>
                <w:w w:val="99"/>
              </w:rPr>
              <w:t>TTM change in period end ETP AUM</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05"/>
        </w:trPr>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tracking Nasdaq indices (in billions)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7"/>
        </w:trPr>
        <w:tc>
          <w:tcPr>
            <w:tcW w:w="1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20"/>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647</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473</w:t>
            </w: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315</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Net appreciation</w:t>
            </w:r>
          </w:p>
        </w:tc>
        <w:tc>
          <w:tcPr>
            <w:tcW w:w="280" w:type="dxa"/>
            <w:vAlign w:val="bottom"/>
          </w:tcPr>
          <w:p>
            <w:pPr>
              <w:spacing w:after="0"/>
              <w:rPr>
                <w:sz w:val="17"/>
                <w:szCs w:val="17"/>
                <w:color w:val="auto"/>
              </w:rPr>
            </w:pP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136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128</w:t>
            </w:r>
          </w:p>
        </w:tc>
      </w:tr>
      <w:tr>
        <w:trPr>
          <w:trHeight w:val="37"/>
        </w:trPr>
        <w:tc>
          <w:tcPr>
            <w:tcW w:w="1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144"/>
        </w:trPr>
        <w:tc>
          <w:tcPr>
            <w:tcW w:w="19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Net impact of ETP</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rPr>
              <w:t>(1)</w:t>
            </w:r>
          </w:p>
        </w:tc>
      </w:tr>
      <w:tr>
        <w:trPr>
          <w:trHeight w:val="232"/>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sponsor switches</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Net inflows</w:t>
            </w:r>
          </w:p>
        </w:tc>
        <w:tc>
          <w:tcPr>
            <w:tcW w:w="280" w:type="dxa"/>
            <w:vAlign w:val="bottom"/>
          </w:tcPr>
          <w:p>
            <w:pPr>
              <w:spacing w:after="0"/>
              <w:rPr>
                <w:sz w:val="17"/>
                <w:szCs w:val="17"/>
                <w:color w:val="auto"/>
              </w:rPr>
            </w:pP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w:t>
            </w:r>
          </w:p>
        </w:tc>
      </w:tr>
      <w:tr>
        <w:trPr>
          <w:trHeight w:val="37"/>
        </w:trPr>
        <w:tc>
          <w:tcPr>
            <w:tcW w:w="19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00"/>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882</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647</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473</w:t>
            </w:r>
          </w:p>
        </w:tc>
      </w:tr>
      <w:tr>
        <w:trPr>
          <w:trHeight w:val="144"/>
        </w:trPr>
        <w:tc>
          <w:tcPr>
            <w:tcW w:w="19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Annual average ETP AUM</w:t>
            </w:r>
          </w:p>
        </w:tc>
        <w:tc>
          <w:tcPr>
            <w:tcW w:w="28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w w:val="99"/>
              </w:rPr>
              <w:t>740</w:t>
            </w:r>
          </w:p>
        </w:tc>
        <w:tc>
          <w:tcPr>
            <w:tcW w:w="2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558</w:t>
            </w:r>
          </w:p>
        </w:tc>
        <w:tc>
          <w:tcPr>
            <w:tcW w:w="2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w w:val="99"/>
              </w:rPr>
              <w:t>396</w:t>
            </w:r>
          </w:p>
        </w:tc>
      </w:tr>
      <w:tr>
        <w:trPr>
          <w:trHeight w:val="156"/>
        </w:trPr>
        <w:tc>
          <w:tcPr>
            <w:tcW w:w="192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tracking Nasdaq indices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(in billions)</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1"/>
        </w:trPr>
        <w:tc>
          <w:tcPr>
            <w:tcW w:w="1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132"/>
        </w:trPr>
        <w:tc>
          <w:tcPr>
            <w:tcW w:w="1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ARR (in millions)</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72</w:t>
            </w:r>
          </w:p>
        </w:tc>
      </w:tr>
    </w:tbl>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table above, TTM represents trailing twelve months.</w:t>
      </w:r>
    </w:p>
    <w:p>
      <w:pPr>
        <w:spacing w:after="0" w:line="203" w:lineRule="auto"/>
        <w:rPr>
          <w:sz w:val="20"/>
          <w:szCs w:val="20"/>
          <w:color w:val="auto"/>
        </w:rPr>
      </w:pPr>
      <w:r>
        <w:rPr>
          <w:rFonts w:ascii="Times New Roman" w:cs="Times New Roman" w:eastAsia="Times New Roman" w:hAnsi="Times New Roman"/>
          <w:sz w:val="16"/>
          <w:szCs w:val="16"/>
          <w:color w:val="auto"/>
        </w:rPr>
        <w:t>Index revenues increased for the year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compared with the same period in 2024 primarily due</w:t>
      </w:r>
    </w:p>
    <w:p>
      <w:pPr>
        <w:spacing w:after="0" w:line="203" w:lineRule="auto"/>
        <w:rPr>
          <w:sz w:val="20"/>
          <w:szCs w:val="20"/>
          <w:color w:val="auto"/>
        </w:rPr>
      </w:pPr>
      <w:r>
        <w:rPr>
          <w:rFonts w:ascii="Times New Roman" w:cs="Times New Roman" w:eastAsia="Times New Roman" w:hAnsi="Times New Roman"/>
          <w:sz w:val="16"/>
          <w:szCs w:val="16"/>
          <w:color w:val="auto"/>
        </w:rPr>
        <w:t>to higher average AUM in exchange traded products linked</w:t>
      </w:r>
    </w:p>
    <w:p>
      <w:pPr>
        <w:spacing w:after="0" w:line="204" w:lineRule="auto"/>
        <w:rPr>
          <w:sz w:val="20"/>
          <w:szCs w:val="20"/>
          <w:color w:val="auto"/>
        </w:rPr>
      </w:pPr>
      <w:r>
        <w:rPr>
          <w:rFonts w:ascii="Times New Roman" w:cs="Times New Roman" w:eastAsia="Times New Roman" w:hAnsi="Times New Roman"/>
          <w:sz w:val="16"/>
          <w:szCs w:val="16"/>
          <w:color w:val="auto"/>
        </w:rPr>
        <w:t>to Nasdaq indices and growth in trading volumes. The</w:t>
      </w:r>
    </w:p>
    <w:p>
      <w:pPr>
        <w:spacing w:after="0" w:line="203" w:lineRule="auto"/>
        <w:rPr>
          <w:sz w:val="20"/>
          <w:szCs w:val="20"/>
          <w:color w:val="auto"/>
        </w:rPr>
      </w:pPr>
      <w:r>
        <w:rPr>
          <w:rFonts w:ascii="Times New Roman" w:cs="Times New Roman" w:eastAsia="Times New Roman" w:hAnsi="Times New Roman"/>
          <w:sz w:val="16"/>
          <w:szCs w:val="16"/>
          <w:color w:val="auto"/>
        </w:rPr>
        <w:t>increase in 2025 is partially offset by a $16 million one-time</w:t>
      </w:r>
    </w:p>
    <w:p>
      <w:pPr>
        <w:spacing w:after="0" w:line="204" w:lineRule="auto"/>
        <w:rPr>
          <w:sz w:val="20"/>
          <w:szCs w:val="20"/>
          <w:color w:val="auto"/>
        </w:rPr>
      </w:pPr>
      <w:r>
        <w:rPr>
          <w:rFonts w:ascii="Times New Roman" w:cs="Times New Roman" w:eastAsia="Times New Roman" w:hAnsi="Times New Roman"/>
          <w:sz w:val="16"/>
          <w:szCs w:val="16"/>
          <w:color w:val="auto"/>
        </w:rPr>
        <w:t>item recognized in the first quarter of 2024 related to a legal</w:t>
      </w:r>
    </w:p>
    <w:p>
      <w:pPr>
        <w:spacing w:after="0" w:line="203" w:lineRule="auto"/>
        <w:rPr>
          <w:sz w:val="20"/>
          <w:szCs w:val="20"/>
          <w:color w:val="auto"/>
        </w:rPr>
      </w:pPr>
      <w:r>
        <w:rPr>
          <w:rFonts w:ascii="Times New Roman" w:cs="Times New Roman" w:eastAsia="Times New Roman" w:hAnsi="Times New Roman"/>
          <w:sz w:val="16"/>
          <w:szCs w:val="16"/>
          <w:color w:val="auto"/>
        </w:rPr>
        <w:t>settlement to recoup revenue.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Workflow &amp; Insights Revenues</w:t>
      </w:r>
    </w:p>
    <w:p>
      <w:pPr>
        <w:spacing w:after="0"/>
        <w:rPr>
          <w:sz w:val="20"/>
          <w:szCs w:val="20"/>
          <w:color w:val="auto"/>
        </w:rPr>
      </w:pPr>
      <w:r>
        <w:rPr>
          <w:rFonts w:ascii="Times New Roman" w:cs="Times New Roman" w:eastAsia="Times New Roman" w:hAnsi="Times New Roman"/>
          <w:sz w:val="16"/>
          <w:szCs w:val="16"/>
          <w:color w:val="auto"/>
        </w:rPr>
        <w:t>The following table presents key drivers from our Workflow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40</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Financial Technology</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presents revenues from our Financial</w:t>
      </w:r>
    </w:p>
    <w:p>
      <w:pPr>
        <w:spacing w:after="0"/>
        <w:rPr>
          <w:sz w:val="20"/>
          <w:szCs w:val="20"/>
          <w:color w:val="auto"/>
        </w:rPr>
      </w:pPr>
      <w:r>
        <w:rPr>
          <w:rFonts w:ascii="Times New Roman" w:cs="Times New Roman" w:eastAsia="Times New Roman" w:hAnsi="Times New Roman"/>
          <w:sz w:val="16"/>
          <w:szCs w:val="16"/>
          <w:color w:val="auto"/>
        </w:rPr>
        <w:t>Technology segment:</w:t>
      </w:r>
    </w:p>
    <w:p>
      <w:pPr>
        <w:sectPr>
          <w:pgSz w:w="11900" w:h="16840" w:orient="portrait"/>
          <w:cols w:equalWidth="0" w:num="1">
            <w:col w:w="9400"/>
          </w:cols>
          <w:pgMar w:left="1060" w:top="1171"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Change</w:t>
            </w:r>
          </w:p>
        </w:tc>
      </w:tr>
      <w:tr>
        <w:trPr>
          <w:trHeight w:val="52"/>
        </w:trPr>
        <w:tc>
          <w:tcPr>
            <w:tcW w:w="1020" w:type="dxa"/>
            <w:vAlign w:val="bottom"/>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100"/>
        </w:trPr>
        <w:tc>
          <w:tcPr>
            <w:tcW w:w="1020" w:type="dxa"/>
            <w:vAlign w:val="bottom"/>
          </w:tcPr>
          <w:p>
            <w:pPr>
              <w:spacing w:after="0"/>
              <w:rPr>
                <w:sz w:val="8"/>
                <w:szCs w:val="8"/>
                <w:color w:val="auto"/>
              </w:rPr>
            </w:pPr>
          </w:p>
        </w:tc>
        <w:tc>
          <w:tcPr>
            <w:tcW w:w="5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gridSpan w:val="3"/>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8"/>
                <w:szCs w:val="8"/>
                <w:color w:val="auto"/>
              </w:rPr>
            </w:pPr>
          </w:p>
        </w:tc>
        <w:tc>
          <w:tcPr>
            <w:tcW w:w="5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8"/>
                <w:szCs w:val="8"/>
                <w:color w:val="auto"/>
              </w:rPr>
            </w:pPr>
          </w:p>
        </w:tc>
        <w:tc>
          <w:tcPr>
            <w:tcW w:w="54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 vs.</w:t>
            </w:r>
          </w:p>
        </w:tc>
        <w:tc>
          <w:tcPr>
            <w:tcW w:w="64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2024 vs.</w:t>
            </w:r>
          </w:p>
        </w:tc>
      </w:tr>
      <w:tr>
        <w:trPr>
          <w:trHeight w:val="142"/>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1020" w:type="dxa"/>
            <w:vAlign w:val="bottom"/>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34"/>
        </w:trPr>
        <w:tc>
          <w:tcPr>
            <w:tcW w:w="10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38"/>
        </w:trPr>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Financial</w:t>
            </w:r>
          </w:p>
        </w:tc>
        <w:tc>
          <w:tcPr>
            <w:tcW w:w="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331</w:t>
            </w:r>
          </w:p>
        </w:tc>
        <w:tc>
          <w:tcPr>
            <w:tcW w:w="1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ind w:right="63"/>
              <w:spacing w:after="0" w:line="144" w:lineRule="exact"/>
              <w:rPr>
                <w:sz w:val="20"/>
                <w:szCs w:val="20"/>
                <w:color w:val="auto"/>
              </w:rPr>
            </w:pPr>
            <w:r>
              <w:rPr>
                <w:rFonts w:ascii="Times New Roman" w:cs="Times New Roman" w:eastAsia="Times New Roman" w:hAnsi="Times New Roman"/>
                <w:sz w:val="16"/>
                <w:szCs w:val="16"/>
                <w:color w:val="auto"/>
              </w:rPr>
              <w:t>273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223</w:t>
            </w:r>
          </w:p>
        </w:tc>
        <w:tc>
          <w:tcPr>
            <w:tcW w:w="56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21.5 %</w:t>
            </w:r>
          </w:p>
        </w:tc>
        <w:tc>
          <w:tcPr>
            <w:tcW w:w="64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22.2 %</w:t>
            </w:r>
          </w:p>
        </w:tc>
      </w:tr>
      <w:tr>
        <w:trPr>
          <w:trHeight w:val="132"/>
        </w:trPr>
        <w:tc>
          <w:tcPr>
            <w:tcW w:w="10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Crime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Management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20"/>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144"/>
        </w:trPr>
        <w:tc>
          <w:tcPr>
            <w:tcW w:w="10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Regulatory</w:t>
            </w:r>
          </w:p>
        </w:tc>
        <w:tc>
          <w:tcPr>
            <w:tcW w:w="80" w:type="dxa"/>
            <w:vAlign w:val="bottom"/>
          </w:tcPr>
          <w:p>
            <w:pPr>
              <w:spacing w:after="0"/>
              <w:rPr>
                <w:sz w:val="12"/>
                <w:szCs w:val="12"/>
                <w:color w:val="auto"/>
              </w:rPr>
            </w:pPr>
          </w:p>
        </w:tc>
        <w:tc>
          <w:tcPr>
            <w:tcW w:w="500" w:type="dxa"/>
            <w:vAlign w:val="bottom"/>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428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3"/>
              <w:spacing w:after="0" w:line="144" w:lineRule="exact"/>
              <w:rPr>
                <w:sz w:val="20"/>
                <w:szCs w:val="20"/>
                <w:color w:val="auto"/>
              </w:rPr>
            </w:pPr>
            <w:r>
              <w:rPr>
                <w:rFonts w:ascii="Times New Roman" w:cs="Times New Roman" w:eastAsia="Times New Roman" w:hAnsi="Times New Roman"/>
                <w:sz w:val="16"/>
                <w:szCs w:val="16"/>
                <w:color w:val="auto"/>
              </w:rPr>
              <w:t>352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212</w:t>
            </w:r>
          </w:p>
        </w:tc>
        <w:tc>
          <w:tcPr>
            <w:tcW w:w="56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21.5 %</w:t>
            </w:r>
          </w:p>
        </w:tc>
        <w:tc>
          <w:tcPr>
            <w:tcW w:w="640" w:type="dxa"/>
            <w:vAlign w:val="bottom"/>
          </w:tcPr>
          <w:p>
            <w:pPr>
              <w:ind w:left="60"/>
              <w:spacing w:after="0" w:line="144" w:lineRule="exact"/>
              <w:rPr>
                <w:sz w:val="20"/>
                <w:szCs w:val="20"/>
                <w:color w:val="auto"/>
              </w:rPr>
            </w:pPr>
            <w:r>
              <w:rPr>
                <w:rFonts w:ascii="Times New Roman" w:cs="Times New Roman" w:eastAsia="Times New Roman" w:hAnsi="Times New Roman"/>
                <w:sz w:val="16"/>
                <w:szCs w:val="16"/>
                <w:color w:val="auto"/>
              </w:rPr>
              <w:t>66.3 %</w:t>
            </w: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Technology</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40"/>
        </w:trPr>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Capital</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3"/>
              <w:spacing w:after="0" w:line="144" w:lineRule="exact"/>
              <w:rPr>
                <w:sz w:val="20"/>
                <w:szCs w:val="20"/>
                <w:color w:val="auto"/>
              </w:rPr>
            </w:pPr>
            <w:r>
              <w:rPr>
                <w:rFonts w:ascii="Times New Roman" w:cs="Times New Roman" w:eastAsia="Times New Roman" w:hAnsi="Times New Roman"/>
                <w:sz w:val="16"/>
                <w:szCs w:val="16"/>
                <w:color w:val="auto"/>
                <w:w w:val="94"/>
              </w:rPr>
              <w:t>1,091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3"/>
              <w:spacing w:after="0" w:line="144" w:lineRule="exact"/>
              <w:rPr>
                <w:sz w:val="20"/>
                <w:szCs w:val="20"/>
                <w:color w:val="auto"/>
              </w:rPr>
            </w:pPr>
            <w:r>
              <w:rPr>
                <w:rFonts w:ascii="Times New Roman" w:cs="Times New Roman" w:eastAsia="Times New Roman" w:hAnsi="Times New Roman"/>
                <w:sz w:val="16"/>
                <w:szCs w:val="16"/>
                <w:color w:val="auto"/>
              </w:rPr>
              <w:t>996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664</w:t>
            </w:r>
          </w:p>
        </w:tc>
        <w:tc>
          <w:tcPr>
            <w:tcW w:w="56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9.5 %</w:t>
            </w:r>
          </w:p>
        </w:tc>
        <w:tc>
          <w:tcPr>
            <w:tcW w:w="64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50.0 %</w:t>
            </w:r>
          </w:p>
        </w:tc>
      </w:tr>
      <w:tr>
        <w:trPr>
          <w:trHeight w:val="132"/>
        </w:trPr>
        <w:tc>
          <w:tcPr>
            <w:tcW w:w="10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Markets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240"/>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136"/>
        </w:trPr>
        <w:tc>
          <w:tcPr>
            <w:tcW w:w="10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Financial</w:t>
            </w:r>
          </w:p>
        </w:tc>
        <w:tc>
          <w:tcPr>
            <w:tcW w:w="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ind w:right="63"/>
              <w:spacing w:after="0" w:line="136" w:lineRule="exact"/>
              <w:rPr>
                <w:sz w:val="20"/>
                <w:szCs w:val="20"/>
                <w:color w:val="auto"/>
              </w:rPr>
            </w:pPr>
            <w:r>
              <w:rPr>
                <w:rFonts w:ascii="Times New Roman" w:cs="Times New Roman" w:eastAsia="Times New Roman" w:hAnsi="Times New Roman"/>
                <w:sz w:val="14"/>
                <w:szCs w:val="14"/>
                <w:color w:val="auto"/>
              </w:rPr>
              <w:t>1,850</w:t>
            </w:r>
          </w:p>
        </w:tc>
        <w:tc>
          <w:tcPr>
            <w:tcW w:w="20" w:type="dxa"/>
            <w:vAlign w:val="bottom"/>
          </w:tcPr>
          <w:p>
            <w:pPr>
              <w:spacing w:after="0"/>
              <w:rPr>
                <w:sz w:val="11"/>
                <w:szCs w:val="11"/>
                <w:color w:val="auto"/>
              </w:rPr>
            </w:pPr>
          </w:p>
        </w:tc>
        <w:tc>
          <w:tcPr>
            <w:tcW w:w="10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ind w:right="63"/>
              <w:spacing w:after="0" w:line="136" w:lineRule="exact"/>
              <w:rPr>
                <w:sz w:val="20"/>
                <w:szCs w:val="20"/>
                <w:color w:val="auto"/>
              </w:rPr>
            </w:pPr>
            <w:r>
              <w:rPr>
                <w:rFonts w:ascii="Times New Roman" w:cs="Times New Roman" w:eastAsia="Times New Roman" w:hAnsi="Times New Roman"/>
                <w:sz w:val="14"/>
                <w:szCs w:val="14"/>
                <w:color w:val="auto"/>
              </w:rPr>
              <w:t>1,621</w:t>
            </w: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ind w:right="43"/>
              <w:spacing w:after="0" w:line="136" w:lineRule="exact"/>
              <w:rPr>
                <w:sz w:val="20"/>
                <w:szCs w:val="20"/>
                <w:color w:val="auto"/>
              </w:rPr>
            </w:pPr>
            <w:r>
              <w:rPr>
                <w:rFonts w:ascii="Times New Roman" w:cs="Times New Roman" w:eastAsia="Times New Roman" w:hAnsi="Times New Roman"/>
                <w:sz w:val="14"/>
                <w:szCs w:val="14"/>
                <w:color w:val="auto"/>
              </w:rPr>
              <w:t>1,099</w:t>
            </w:r>
          </w:p>
        </w:tc>
        <w:tc>
          <w:tcPr>
            <w:tcW w:w="56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4"/>
                <w:szCs w:val="14"/>
                <w:color w:val="auto"/>
              </w:rPr>
              <w:t>14.1 %</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47.5 %</w:t>
            </w: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Technology</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2540</wp:posOffset>
            </wp:positionV>
            <wp:extent cx="11512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Crime Management Technology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-101600</wp:posOffset>
            </wp:positionV>
            <wp:extent cx="11512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 presents key drivers for our Financial</w:t>
      </w:r>
    </w:p>
    <w:p>
      <w:pPr>
        <w:spacing w:after="0" w:line="228" w:lineRule="auto"/>
        <w:rPr>
          <w:sz w:val="20"/>
          <w:szCs w:val="20"/>
          <w:color w:val="auto"/>
        </w:rPr>
      </w:pPr>
      <w:r>
        <w:rPr>
          <w:rFonts w:ascii="Times New Roman" w:cs="Times New Roman" w:eastAsia="Times New Roman" w:hAnsi="Times New Roman"/>
          <w:sz w:val="16"/>
          <w:szCs w:val="16"/>
          <w:color w:val="auto"/>
        </w:rPr>
        <w:t>Crime Management Technology business:</w:t>
      </w:r>
    </w:p>
    <w:p>
      <w:pPr>
        <w:ind w:left="2180"/>
        <w:spacing w:after="0" w:line="205" w:lineRule="auto"/>
        <w:rPr>
          <w:sz w:val="20"/>
          <w:szCs w:val="20"/>
          <w:color w:val="auto"/>
        </w:rPr>
      </w:pPr>
      <w:r>
        <w:rPr>
          <w:rFonts w:ascii="Times New Roman" w:cs="Times New Roman" w:eastAsia="Times New Roman" w:hAnsi="Times New Roman"/>
          <w:sz w:val="11"/>
          <w:szCs w:val="11"/>
          <w:b w:val="1"/>
          <w:bCs w:val="1"/>
          <w:color w:val="auto"/>
        </w:rPr>
        <w:t>As of or</w:t>
      </w:r>
    </w:p>
    <w:p>
      <w:pPr>
        <w:ind w:left="21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60" w:type="dxa"/>
            <w:vAlign w:val="bottom"/>
          </w:tcPr>
          <w:p>
            <w:pPr>
              <w:spacing w:after="0"/>
              <w:rPr>
                <w:sz w:val="13"/>
                <w:szCs w:val="13"/>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21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34"/>
        </w:trPr>
        <w:tc>
          <w:tcPr>
            <w:tcW w:w="21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82"/>
        </w:trPr>
        <w:tc>
          <w:tcPr>
            <w:tcW w:w="2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ARR and Quarterly annualized</w:t>
            </w:r>
          </w:p>
        </w:tc>
        <w:tc>
          <w:tcPr>
            <w:tcW w:w="6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  329</w:t>
            </w:r>
          </w:p>
        </w:tc>
        <w:tc>
          <w:tcPr>
            <w:tcW w:w="5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  278</w:t>
            </w:r>
          </w:p>
        </w:tc>
        <w:tc>
          <w:tcPr>
            <w:tcW w:w="66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  226</w:t>
            </w: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SaaS revenues</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2530475" cy="251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0475" cy="2514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Financial Crime Management Technology revenues</w:t>
      </w:r>
    </w:p>
    <w:p>
      <w:pPr>
        <w:spacing w:after="0" w:line="203" w:lineRule="auto"/>
        <w:rPr>
          <w:sz w:val="20"/>
          <w:szCs w:val="20"/>
          <w:color w:val="auto"/>
        </w:rPr>
      </w:pPr>
      <w:r>
        <w:rPr>
          <w:rFonts w:ascii="Times New Roman" w:cs="Times New Roman" w:eastAsia="Times New Roman" w:hAnsi="Times New Roman"/>
          <w:sz w:val="16"/>
          <w:szCs w:val="16"/>
          <w:color w:val="auto"/>
        </w:rPr>
        <w:t>increased for the year ended December 31, 2025 compared</w:t>
      </w:r>
    </w:p>
    <w:p>
      <w:pPr>
        <w:spacing w:after="0" w:line="204" w:lineRule="auto"/>
        <w:rPr>
          <w:sz w:val="20"/>
          <w:szCs w:val="20"/>
          <w:color w:val="auto"/>
        </w:rPr>
      </w:pPr>
      <w:r>
        <w:rPr>
          <w:rFonts w:ascii="Times New Roman" w:cs="Times New Roman" w:eastAsia="Times New Roman" w:hAnsi="Times New Roman"/>
          <w:sz w:val="16"/>
          <w:szCs w:val="16"/>
          <w:color w:val="auto"/>
        </w:rPr>
        <w:t>with the same period in 2024 primarily due to higher</w:t>
      </w:r>
    </w:p>
    <w:p>
      <w:pPr>
        <w:spacing w:after="0" w:line="203" w:lineRule="auto"/>
        <w:rPr>
          <w:sz w:val="20"/>
          <w:szCs w:val="20"/>
          <w:color w:val="auto"/>
        </w:rPr>
      </w:pPr>
      <w:r>
        <w:rPr>
          <w:rFonts w:ascii="Times New Roman" w:cs="Times New Roman" w:eastAsia="Times New Roman" w:hAnsi="Times New Roman"/>
          <w:sz w:val="16"/>
          <w:szCs w:val="16"/>
          <w:color w:val="auto"/>
        </w:rPr>
        <w:t>subscription revenues from new and existing clients and</w:t>
      </w:r>
    </w:p>
    <w:p>
      <w:pPr>
        <w:spacing w:after="0" w:line="204" w:lineRule="auto"/>
        <w:rPr>
          <w:sz w:val="20"/>
          <w:szCs w:val="20"/>
          <w:color w:val="auto"/>
        </w:rPr>
      </w:pPr>
      <w:r>
        <w:rPr>
          <w:rFonts w:ascii="Times New Roman" w:cs="Times New Roman" w:eastAsia="Times New Roman" w:hAnsi="Times New Roman"/>
          <w:sz w:val="16"/>
          <w:szCs w:val="16"/>
          <w:color w:val="auto"/>
        </w:rPr>
        <w:t>higher professional services fees.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Regulatory Technology Revenues</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presents key drivers for our Regulatory</w:t>
      </w:r>
    </w:p>
    <w:p>
      <w:pPr>
        <w:spacing w:after="0" w:line="228" w:lineRule="auto"/>
        <w:rPr>
          <w:sz w:val="20"/>
          <w:szCs w:val="20"/>
          <w:color w:val="auto"/>
        </w:rPr>
      </w:pPr>
      <w:r>
        <w:rPr>
          <w:rFonts w:ascii="Times New Roman" w:cs="Times New Roman" w:eastAsia="Times New Roman" w:hAnsi="Times New Roman"/>
          <w:sz w:val="16"/>
          <w:szCs w:val="16"/>
          <w:color w:val="auto"/>
        </w:rPr>
        <w:t>Technology business:</w:t>
      </w:r>
    </w:p>
    <w:p>
      <w:pPr>
        <w:ind w:left="2180"/>
        <w:spacing w:after="0" w:line="205" w:lineRule="auto"/>
        <w:rPr>
          <w:sz w:val="20"/>
          <w:szCs w:val="20"/>
          <w:color w:val="auto"/>
        </w:rPr>
      </w:pPr>
      <w:r>
        <w:rPr>
          <w:rFonts w:ascii="Times New Roman" w:cs="Times New Roman" w:eastAsia="Times New Roman" w:hAnsi="Times New Roman"/>
          <w:sz w:val="11"/>
          <w:szCs w:val="11"/>
          <w:b w:val="1"/>
          <w:bCs w:val="1"/>
          <w:color w:val="auto"/>
        </w:rPr>
        <w:t>As of or</w:t>
      </w:r>
    </w:p>
    <w:p>
      <w:pPr>
        <w:ind w:left="21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60" w:type="dxa"/>
            <w:vAlign w:val="bottom"/>
          </w:tcPr>
          <w:p>
            <w:pPr>
              <w:spacing w:after="0"/>
              <w:rPr>
                <w:sz w:val="13"/>
                <w:szCs w:val="13"/>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21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34"/>
        </w:trPr>
        <w:tc>
          <w:tcPr>
            <w:tcW w:w="21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38"/>
        </w:trPr>
        <w:tc>
          <w:tcPr>
            <w:tcW w:w="2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92"/>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ARR</w:t>
            </w: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  407</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  354</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  325</w:t>
            </w:r>
          </w:p>
        </w:tc>
      </w:tr>
      <w:tr>
        <w:trPr>
          <w:trHeight w:val="144"/>
        </w:trPr>
        <w:tc>
          <w:tcPr>
            <w:tcW w:w="216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Quarterly annualized SaaS</w:t>
            </w:r>
          </w:p>
        </w:tc>
        <w:tc>
          <w:tcPr>
            <w:tcW w:w="60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6"/>
                <w:szCs w:val="16"/>
                <w:color w:val="auto"/>
              </w:rPr>
              <w:t>239</w:t>
            </w:r>
          </w:p>
        </w:tc>
        <w:tc>
          <w:tcPr>
            <w:tcW w:w="560" w:type="dxa"/>
            <w:vAlign w:val="bottom"/>
          </w:tcPr>
          <w:p>
            <w:pPr>
              <w:jc w:val="right"/>
              <w:ind w:right="10"/>
              <w:spacing w:after="0" w:line="144" w:lineRule="exact"/>
              <w:rPr>
                <w:sz w:val="20"/>
                <w:szCs w:val="20"/>
                <w:color w:val="auto"/>
              </w:rPr>
            </w:pPr>
            <w:r>
              <w:rPr>
                <w:rFonts w:ascii="Times New Roman" w:cs="Times New Roman" w:eastAsia="Times New Roman" w:hAnsi="Times New Roman"/>
                <w:sz w:val="16"/>
                <w:szCs w:val="16"/>
                <w:color w:val="auto"/>
              </w:rPr>
              <w:t>191</w:t>
            </w:r>
          </w:p>
        </w:tc>
        <w:tc>
          <w:tcPr>
            <w:tcW w:w="660" w:type="dxa"/>
            <w:vAlign w:val="bottom"/>
          </w:tcPr>
          <w:p>
            <w:pPr>
              <w:jc w:val="right"/>
              <w:ind w:right="70"/>
              <w:spacing w:after="0" w:line="144" w:lineRule="exact"/>
              <w:rPr>
                <w:sz w:val="20"/>
                <w:szCs w:val="20"/>
                <w:color w:val="auto"/>
              </w:rPr>
            </w:pPr>
            <w:r>
              <w:rPr>
                <w:rFonts w:ascii="Times New Roman" w:cs="Times New Roman" w:eastAsia="Times New Roman" w:hAnsi="Times New Roman"/>
                <w:sz w:val="16"/>
                <w:szCs w:val="16"/>
                <w:color w:val="auto"/>
              </w:rPr>
              <w:t>165</w:t>
            </w: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Regulatory Technology revenues increased for the year</w:t>
      </w:r>
    </w:p>
    <w:p>
      <w:pPr>
        <w:spacing w:after="0" w:line="203" w:lineRule="auto"/>
        <w:rPr>
          <w:sz w:val="20"/>
          <w:szCs w:val="20"/>
          <w:color w:val="auto"/>
        </w:rPr>
      </w:pPr>
      <w:r>
        <w:rPr>
          <w:rFonts w:ascii="Times New Roman" w:cs="Times New Roman" w:eastAsia="Times New Roman" w:hAnsi="Times New Roman"/>
          <w:sz w:val="16"/>
          <w:szCs w:val="16"/>
          <w:color w:val="auto"/>
        </w:rPr>
        <w:t>ended December 31, 2025 compared with the same period in</w:t>
      </w:r>
    </w:p>
    <w:p>
      <w:pPr>
        <w:spacing w:after="0" w:line="204" w:lineRule="auto"/>
        <w:rPr>
          <w:sz w:val="20"/>
          <w:szCs w:val="20"/>
          <w:color w:val="auto"/>
        </w:rPr>
      </w:pPr>
      <w:r>
        <w:rPr>
          <w:rFonts w:ascii="Times New Roman" w:cs="Times New Roman" w:eastAsia="Times New Roman" w:hAnsi="Times New Roman"/>
          <w:sz w:val="16"/>
          <w:szCs w:val="16"/>
          <w:color w:val="auto"/>
        </w:rPr>
        <w:t>2024 primarily due to increased subscription revenues from</w:t>
      </w:r>
    </w:p>
    <w:p>
      <w:pPr>
        <w:spacing w:after="0" w:line="203" w:lineRule="auto"/>
        <w:rPr>
          <w:sz w:val="20"/>
          <w:szCs w:val="20"/>
          <w:color w:val="auto"/>
        </w:rPr>
      </w:pPr>
      <w:r>
        <w:rPr>
          <w:rFonts w:ascii="Times New Roman" w:cs="Times New Roman" w:eastAsia="Times New Roman" w:hAnsi="Times New Roman"/>
          <w:sz w:val="16"/>
          <w:szCs w:val="16"/>
          <w:color w:val="auto"/>
        </w:rPr>
        <w:t>our AxiomSL and Surveillance solutions driven by new sales</w:t>
      </w:r>
    </w:p>
    <w:p>
      <w:pPr>
        <w:spacing w:after="0" w:line="204" w:lineRule="auto"/>
        <w:rPr>
          <w:sz w:val="20"/>
          <w:szCs w:val="20"/>
          <w:color w:val="auto"/>
        </w:rPr>
      </w:pPr>
      <w:r>
        <w:rPr>
          <w:rFonts w:ascii="Times New Roman" w:cs="Times New Roman" w:eastAsia="Times New Roman" w:hAnsi="Times New Roman"/>
          <w:sz w:val="16"/>
          <w:szCs w:val="16"/>
          <w:color w:val="auto"/>
        </w:rPr>
        <w:t>and price increases to existing clients and revenue from new</w:t>
      </w:r>
    </w:p>
    <w:p>
      <w:pPr>
        <w:spacing w:after="0" w:line="203" w:lineRule="auto"/>
        <w:rPr>
          <w:sz w:val="20"/>
          <w:szCs w:val="20"/>
          <w:color w:val="auto"/>
        </w:rPr>
      </w:pPr>
      <w:r>
        <w:rPr>
          <w:rFonts w:ascii="Times New Roman" w:cs="Times New Roman" w:eastAsia="Times New Roman" w:hAnsi="Times New Roman"/>
          <w:sz w:val="16"/>
          <w:szCs w:val="16"/>
          <w:color w:val="auto"/>
        </w:rPr>
        <w:t>clients. The increase was also driven by a one-time revenue</w:t>
      </w:r>
    </w:p>
    <w:p>
      <w:pPr>
        <w:spacing w:after="0" w:line="204" w:lineRule="auto"/>
        <w:rPr>
          <w:sz w:val="20"/>
          <w:szCs w:val="20"/>
          <w:color w:val="auto"/>
        </w:rPr>
      </w:pPr>
      <w:r>
        <w:rPr>
          <w:rFonts w:ascii="Times New Roman" w:cs="Times New Roman" w:eastAsia="Times New Roman" w:hAnsi="Times New Roman"/>
          <w:sz w:val="16"/>
          <w:szCs w:val="16"/>
          <w:color w:val="auto"/>
        </w:rPr>
        <w:t>reduction recognized in the third quarter of 2024 related to a</w:t>
      </w:r>
    </w:p>
    <w:p>
      <w:pPr>
        <w:spacing w:after="0" w:line="203" w:lineRule="auto"/>
        <w:rPr>
          <w:sz w:val="20"/>
          <w:szCs w:val="20"/>
          <w:color w:val="auto"/>
        </w:rPr>
      </w:pPr>
      <w:r>
        <w:rPr>
          <w:rFonts w:ascii="Times New Roman" w:cs="Times New Roman" w:eastAsia="Times New Roman" w:hAnsi="Times New Roman"/>
          <w:sz w:val="16"/>
          <w:szCs w:val="16"/>
          <w:color w:val="auto"/>
        </w:rPr>
        <w:t>purchase accounting adjustment. See Note 3, “Revenue from</w:t>
      </w:r>
    </w:p>
    <w:p>
      <w:pPr>
        <w:spacing w:after="0" w:line="204" w:lineRule="auto"/>
        <w:rPr>
          <w:sz w:val="20"/>
          <w:szCs w:val="20"/>
          <w:color w:val="auto"/>
        </w:rPr>
      </w:pPr>
      <w:r>
        <w:rPr>
          <w:rFonts w:ascii="Times New Roman" w:cs="Times New Roman" w:eastAsia="Times New Roman" w:hAnsi="Times New Roman"/>
          <w:sz w:val="16"/>
          <w:szCs w:val="16"/>
          <w:color w:val="auto"/>
        </w:rPr>
        <w:t>Contracts with Customers,” to the consolidated financial</w:t>
      </w:r>
    </w:p>
    <w:p>
      <w:pPr>
        <w:spacing w:after="0" w:line="203" w:lineRule="auto"/>
        <w:rPr>
          <w:sz w:val="20"/>
          <w:szCs w:val="20"/>
          <w:color w:val="auto"/>
        </w:rPr>
      </w:pPr>
      <w:r>
        <w:rPr>
          <w:rFonts w:ascii="Times New Roman" w:cs="Times New Roman" w:eastAsia="Times New Roman" w:hAnsi="Times New Roman"/>
          <w:sz w:val="16"/>
          <w:szCs w:val="16"/>
          <w:color w:val="auto"/>
        </w:rPr>
        <w:t>statements for discussion on the measurement period</w:t>
      </w:r>
    </w:p>
    <w:p>
      <w:pPr>
        <w:spacing w:after="0" w:line="204" w:lineRule="auto"/>
        <w:rPr>
          <w:sz w:val="20"/>
          <w:szCs w:val="20"/>
          <w:color w:val="auto"/>
        </w:rPr>
      </w:pPr>
      <w:r>
        <w:rPr>
          <w:rFonts w:ascii="Times New Roman" w:cs="Times New Roman" w:eastAsia="Times New Roman" w:hAnsi="Times New Roman"/>
          <w:sz w:val="16"/>
          <w:szCs w:val="16"/>
          <w:color w:val="auto"/>
        </w:rPr>
        <w:t>adjustment.</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Capital Markets Technology Revenues</w:t>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 presents key drivers for our Capital</w:t>
      </w:r>
    </w:p>
    <w:p>
      <w:pPr>
        <w:spacing w:after="0" w:line="228" w:lineRule="auto"/>
        <w:rPr>
          <w:sz w:val="20"/>
          <w:szCs w:val="20"/>
          <w:color w:val="auto"/>
        </w:rPr>
      </w:pPr>
      <w:r>
        <w:rPr>
          <w:rFonts w:ascii="Times New Roman" w:cs="Times New Roman" w:eastAsia="Times New Roman" w:hAnsi="Times New Roman"/>
          <w:sz w:val="16"/>
          <w:szCs w:val="16"/>
          <w:color w:val="auto"/>
        </w:rPr>
        <w:t>Markets Technology business:</w:t>
      </w:r>
    </w:p>
    <w:p>
      <w:pPr>
        <w:ind w:left="2180"/>
        <w:spacing w:after="0" w:line="205" w:lineRule="auto"/>
        <w:rPr>
          <w:sz w:val="20"/>
          <w:szCs w:val="20"/>
          <w:color w:val="auto"/>
        </w:rPr>
      </w:pPr>
      <w:r>
        <w:rPr>
          <w:rFonts w:ascii="Times New Roman" w:cs="Times New Roman" w:eastAsia="Times New Roman" w:hAnsi="Times New Roman"/>
          <w:sz w:val="11"/>
          <w:szCs w:val="11"/>
          <w:b w:val="1"/>
          <w:bCs w:val="1"/>
          <w:color w:val="auto"/>
        </w:rPr>
        <w:t>As of or</w:t>
      </w:r>
    </w:p>
    <w:p>
      <w:pPr>
        <w:ind w:left="21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80" w:type="dxa"/>
            <w:vAlign w:val="bottom"/>
          </w:tcPr>
          <w:p>
            <w:pPr>
              <w:spacing w:after="0"/>
              <w:rPr>
                <w:sz w:val="13"/>
                <w:szCs w:val="13"/>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6"/>
        </w:trPr>
        <w:tc>
          <w:tcPr>
            <w:tcW w:w="2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35"/>
        </w:trPr>
        <w:tc>
          <w:tcPr>
            <w:tcW w:w="21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9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ARR</w:t>
            </w: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  975</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6"/>
                <w:szCs w:val="16"/>
                <w:color w:val="auto"/>
              </w:rPr>
              <w:t>$  868</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6"/>
                <w:szCs w:val="16"/>
                <w:color w:val="auto"/>
              </w:rPr>
              <w:t>$  799</w:t>
            </w: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Quarterly annualized SaaS</w:t>
            </w:r>
          </w:p>
        </w:tc>
        <w:tc>
          <w:tcPr>
            <w:tcW w:w="60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6"/>
                <w:szCs w:val="16"/>
                <w:color w:val="auto"/>
              </w:rPr>
              <w:t>156</w:t>
            </w:r>
          </w:p>
        </w:tc>
        <w:tc>
          <w:tcPr>
            <w:tcW w:w="60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6"/>
                <w:szCs w:val="16"/>
                <w:color w:val="auto"/>
              </w:rPr>
              <w:t>134</w:t>
            </w:r>
          </w:p>
        </w:tc>
        <w:tc>
          <w:tcPr>
            <w:tcW w:w="660" w:type="dxa"/>
            <w:vAlign w:val="bottom"/>
          </w:tcPr>
          <w:p>
            <w:pPr>
              <w:jc w:val="right"/>
              <w:ind w:right="50"/>
              <w:spacing w:after="0" w:line="144" w:lineRule="exact"/>
              <w:rPr>
                <w:sz w:val="20"/>
                <w:szCs w:val="20"/>
                <w:color w:val="auto"/>
              </w:rPr>
            </w:pPr>
            <w:r>
              <w:rPr>
                <w:rFonts w:ascii="Times New Roman" w:cs="Times New Roman" w:eastAsia="Times New Roman" w:hAnsi="Times New Roman"/>
                <w:sz w:val="16"/>
                <w:szCs w:val="16"/>
                <w:color w:val="auto"/>
              </w:rPr>
              <w:t>108</w:t>
            </w:r>
          </w:p>
        </w:tc>
      </w:tr>
      <w:tr>
        <w:trPr>
          <w:trHeight w:val="19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03" w:lineRule="auto"/>
        <w:rPr>
          <w:sz w:val="20"/>
          <w:szCs w:val="20"/>
          <w:color w:val="auto"/>
        </w:rPr>
      </w:pPr>
      <w:r>
        <w:rPr>
          <w:rFonts w:ascii="Times New Roman" w:cs="Times New Roman" w:eastAsia="Times New Roman" w:hAnsi="Times New Roman"/>
          <w:sz w:val="16"/>
          <w:szCs w:val="16"/>
          <w:color w:val="auto"/>
        </w:rPr>
        <w:t>Capital Markets Technology revenues increased for the year</w:t>
      </w:r>
    </w:p>
    <w:p>
      <w:pPr>
        <w:spacing w:after="0"/>
        <w:rPr>
          <w:sz w:val="20"/>
          <w:szCs w:val="20"/>
          <w:color w:val="auto"/>
        </w:rPr>
      </w:pPr>
      <w:r>
        <w:rPr>
          <w:rFonts w:ascii="Times New Roman" w:cs="Times New Roman" w:eastAsia="Times New Roman" w:hAnsi="Times New Roman"/>
          <w:sz w:val="16"/>
          <w:szCs w:val="16"/>
          <w:color w:val="auto"/>
        </w:rPr>
        <w:t>ended December 31, 2025 compared with the same period 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U.S. Equity Derivative Trading</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tables present total revenues, transaction-based</w:t>
      </w:r>
    </w:p>
    <w:p>
      <w:pPr>
        <w:spacing w:after="0" w:line="203" w:lineRule="auto"/>
        <w:rPr>
          <w:sz w:val="20"/>
          <w:szCs w:val="20"/>
          <w:color w:val="auto"/>
        </w:rPr>
      </w:pPr>
      <w:r>
        <w:rPr>
          <w:rFonts w:ascii="Times New Roman" w:cs="Times New Roman" w:eastAsia="Times New Roman" w:hAnsi="Times New Roman"/>
          <w:sz w:val="16"/>
          <w:szCs w:val="16"/>
          <w:color w:val="auto"/>
        </w:rPr>
        <w:t>expenses, and total revenues less transaction-based expenses</w:t>
      </w:r>
    </w:p>
    <w:p>
      <w:pPr>
        <w:spacing w:after="0" w:line="204" w:lineRule="auto"/>
        <w:rPr>
          <w:sz w:val="20"/>
          <w:szCs w:val="20"/>
          <w:color w:val="auto"/>
        </w:rPr>
      </w:pPr>
      <w:r>
        <w:rPr>
          <w:rFonts w:ascii="Times New Roman" w:cs="Times New Roman" w:eastAsia="Times New Roman" w:hAnsi="Times New Roman"/>
          <w:sz w:val="16"/>
          <w:szCs w:val="16"/>
          <w:color w:val="auto"/>
        </w:rPr>
        <w:t>as well as key drivers from our U.S. Equity Derivative</w:t>
      </w:r>
    </w:p>
    <w:p>
      <w:pPr>
        <w:spacing w:after="0" w:line="228" w:lineRule="auto"/>
        <w:rPr>
          <w:sz w:val="20"/>
          <w:szCs w:val="20"/>
          <w:color w:val="auto"/>
        </w:rPr>
      </w:pPr>
      <w:r>
        <w:rPr>
          <w:rFonts w:ascii="Times New Roman" w:cs="Times New Roman" w:eastAsia="Times New Roman" w:hAnsi="Times New Roman"/>
          <w:sz w:val="16"/>
          <w:szCs w:val="16"/>
          <w:color w:val="auto"/>
        </w:rPr>
        <w:t>Trading business:</w:t>
      </w:r>
    </w:p>
    <w:tbl>
      <w:tblPr>
        <w:tblLayout w:type="fixed"/>
        <w:tblInd w:w="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Change</w:t>
            </w:r>
          </w:p>
        </w:tc>
        <w:tc>
          <w:tcPr>
            <w:tcW w:w="0" w:type="dxa"/>
            <w:vAlign w:val="bottom"/>
          </w:tcPr>
          <w:p>
            <w:pPr>
              <w:spacing w:after="0"/>
              <w:rPr>
                <w:sz w:val="1"/>
                <w:szCs w:val="1"/>
                <w:color w:val="auto"/>
              </w:rPr>
            </w:pPr>
          </w:p>
        </w:tc>
      </w:tr>
      <w:tr>
        <w:trPr>
          <w:trHeight w:val="38"/>
        </w:trPr>
        <w:tc>
          <w:tcPr>
            <w:tcW w:w="10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1020" w:type="dxa"/>
            <w:vAlign w:val="bottom"/>
          </w:tcPr>
          <w:p>
            <w:pPr>
              <w:spacing w:after="0"/>
              <w:rPr>
                <w:sz w:val="8"/>
                <w:szCs w:val="8"/>
                <w:color w:val="auto"/>
              </w:rPr>
            </w:pPr>
          </w:p>
        </w:tc>
        <w:tc>
          <w:tcPr>
            <w:tcW w:w="58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gridSpan w:val="2"/>
          </w:tcPr>
          <w:p>
            <w:pPr>
              <w:jc w:val="right"/>
              <w:ind w:right="288"/>
              <w:spacing w:after="0" w:line="100"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8"/>
                <w:szCs w:val="8"/>
                <w:color w:val="auto"/>
              </w:rPr>
            </w:pPr>
          </w:p>
        </w:tc>
        <w:tc>
          <w:tcPr>
            <w:tcW w:w="5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8"/>
                <w:szCs w:val="8"/>
                <w:color w:val="auto"/>
              </w:rPr>
            </w:pPr>
          </w:p>
        </w:tc>
        <w:tc>
          <w:tcPr>
            <w:tcW w:w="60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 vs.</w:t>
            </w:r>
          </w:p>
        </w:tc>
        <w:tc>
          <w:tcPr>
            <w:tcW w:w="58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2024 vs.</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8"/>
        </w:trPr>
        <w:tc>
          <w:tcPr>
            <w:tcW w:w="10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0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U.S. Equity</w:t>
            </w:r>
          </w:p>
        </w:tc>
        <w:tc>
          <w:tcPr>
            <w:tcW w:w="580" w:type="dxa"/>
            <w:vAlign w:val="bottom"/>
            <w:shd w:val="clear" w:color="auto" w:fill="CCEEFF"/>
          </w:tcPr>
          <w:p>
            <w:pPr>
              <w:jc w:val="right"/>
              <w:ind w:right="71"/>
              <w:spacing w:after="0" w:line="144" w:lineRule="exact"/>
              <w:rPr>
                <w:sz w:val="20"/>
                <w:szCs w:val="20"/>
                <w:color w:val="auto"/>
              </w:rPr>
            </w:pPr>
            <w:r>
              <w:rPr>
                <w:rFonts w:ascii="Times New Roman" w:cs="Times New Roman" w:eastAsia="Times New Roman" w:hAnsi="Times New Roman"/>
                <w:sz w:val="16"/>
                <w:szCs w:val="16"/>
                <w:color w:val="auto"/>
                <w:w w:val="87"/>
              </w:rPr>
              <w:t>$ 1,702</w:t>
            </w:r>
          </w:p>
        </w:tc>
        <w:tc>
          <w:tcPr>
            <w:tcW w:w="620" w:type="dxa"/>
            <w:vAlign w:val="bottom"/>
            <w:gridSpan w:val="2"/>
            <w:shd w:val="clear" w:color="auto" w:fill="CCEEFF"/>
          </w:tcPr>
          <w:p>
            <w:pPr>
              <w:jc w:val="right"/>
              <w:ind w:right="68"/>
              <w:spacing w:after="0" w:line="144" w:lineRule="exact"/>
              <w:rPr>
                <w:sz w:val="20"/>
                <w:szCs w:val="20"/>
                <w:color w:val="auto"/>
              </w:rPr>
            </w:pPr>
            <w:r>
              <w:rPr>
                <w:rFonts w:ascii="Times New Roman" w:cs="Times New Roman" w:eastAsia="Times New Roman" w:hAnsi="Times New Roman"/>
                <w:sz w:val="16"/>
                <w:szCs w:val="16"/>
                <w:color w:val="auto"/>
                <w:w w:val="95"/>
              </w:rPr>
              <w:t>$ 1,428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w w:val="94"/>
              </w:rPr>
              <w:t>1,257</w:t>
            </w:r>
          </w:p>
        </w:tc>
        <w:tc>
          <w:tcPr>
            <w:tcW w:w="6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19.2 %</w:t>
            </w:r>
          </w:p>
        </w:tc>
        <w:tc>
          <w:tcPr>
            <w:tcW w:w="5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132"/>
        </w:trPr>
        <w:tc>
          <w:tcPr>
            <w:tcW w:w="10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Derivative</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Trading</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Section 31 fees</w:t>
            </w: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6"/>
                <w:szCs w:val="16"/>
                <w:color w:val="auto"/>
              </w:rPr>
              <w:t>47</w:t>
            </w:r>
          </w:p>
        </w:tc>
        <w:tc>
          <w:tcPr>
            <w:tcW w:w="62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55</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(46.1)%</w:t>
            </w: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56.9 %</w:t>
            </w:r>
          </w:p>
        </w:tc>
        <w:tc>
          <w:tcPr>
            <w:tcW w:w="0" w:type="dxa"/>
            <w:vAlign w:val="bottom"/>
          </w:tcPr>
          <w:p>
            <w:pPr>
              <w:spacing w:after="0"/>
              <w:rPr>
                <w:sz w:val="1"/>
                <w:szCs w:val="1"/>
                <w:color w:val="auto"/>
              </w:rPr>
            </w:pPr>
          </w:p>
        </w:tc>
      </w:tr>
      <w:tr>
        <w:trPr>
          <w:trHeight w:val="37"/>
        </w:trPr>
        <w:tc>
          <w:tcPr>
            <w:tcW w:w="1620" w:type="dxa"/>
            <w:vAlign w:val="bottom"/>
            <w:gridSpan w:val="3"/>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Transaction-based expenses:</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Transaction</w:t>
            </w:r>
          </w:p>
        </w:tc>
        <w:tc>
          <w:tcPr>
            <w:tcW w:w="580" w:type="dxa"/>
            <w:vAlign w:val="bottom"/>
          </w:tcPr>
          <w:p>
            <w:pPr>
              <w:jc w:val="right"/>
              <w:ind w:right="11"/>
              <w:spacing w:after="0" w:line="144" w:lineRule="exact"/>
              <w:rPr>
                <w:sz w:val="20"/>
                <w:szCs w:val="20"/>
                <w:color w:val="auto"/>
              </w:rPr>
            </w:pPr>
            <w:r>
              <w:rPr>
                <w:rFonts w:ascii="Times New Roman" w:cs="Times New Roman" w:eastAsia="Times New Roman" w:hAnsi="Times New Roman"/>
                <w:sz w:val="16"/>
                <w:szCs w:val="16"/>
                <w:color w:val="auto"/>
              </w:rPr>
              <w:t>(1,236)</w:t>
            </w:r>
          </w:p>
        </w:tc>
        <w:tc>
          <w:tcPr>
            <w:tcW w:w="620" w:type="dxa"/>
            <w:vAlign w:val="bottom"/>
            <w:gridSpan w:val="2"/>
          </w:tcPr>
          <w:p>
            <w:pPr>
              <w:jc w:val="right"/>
              <w:ind w:right="28"/>
              <w:spacing w:after="0" w:line="144" w:lineRule="exact"/>
              <w:rPr>
                <w:sz w:val="20"/>
                <w:szCs w:val="20"/>
                <w:color w:val="auto"/>
              </w:rPr>
            </w:pPr>
            <w:r>
              <w:rPr>
                <w:rFonts w:ascii="Times New Roman" w:cs="Times New Roman" w:eastAsia="Times New Roman" w:hAnsi="Times New Roman"/>
                <w:sz w:val="16"/>
                <w:szCs w:val="16"/>
                <w:color w:val="auto"/>
              </w:rPr>
              <w:t>(1,030)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(879)</w:t>
            </w:r>
          </w:p>
        </w:tc>
        <w:tc>
          <w:tcPr>
            <w:tcW w:w="6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20.0 %</w:t>
            </w:r>
          </w:p>
        </w:tc>
        <w:tc>
          <w:tcPr>
            <w:tcW w:w="5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17.1 %</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rebates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Section 31</w:t>
            </w:r>
          </w:p>
        </w:tc>
        <w:tc>
          <w:tcPr>
            <w:tcW w:w="580" w:type="dxa"/>
            <w:vAlign w:val="bottom"/>
            <w:shd w:val="clear" w:color="auto" w:fill="CCEEFF"/>
          </w:tcPr>
          <w:p>
            <w:pPr>
              <w:jc w:val="right"/>
              <w:ind w:right="11"/>
              <w:spacing w:after="0" w:line="144" w:lineRule="exact"/>
              <w:rPr>
                <w:sz w:val="20"/>
                <w:szCs w:val="20"/>
                <w:color w:val="auto"/>
              </w:rPr>
            </w:pPr>
            <w:r>
              <w:rPr>
                <w:rFonts w:ascii="Times New Roman" w:cs="Times New Roman" w:eastAsia="Times New Roman" w:hAnsi="Times New Roman"/>
                <w:sz w:val="16"/>
                <w:szCs w:val="16"/>
                <w:color w:val="auto"/>
              </w:rPr>
              <w:t>(47)</w:t>
            </w:r>
          </w:p>
        </w:tc>
        <w:tc>
          <w:tcPr>
            <w:tcW w:w="620" w:type="dxa"/>
            <w:vAlign w:val="bottom"/>
            <w:gridSpan w:val="2"/>
            <w:shd w:val="clear" w:color="auto" w:fill="CCEEFF"/>
          </w:tcPr>
          <w:p>
            <w:pPr>
              <w:jc w:val="right"/>
              <w:ind w:right="8"/>
              <w:spacing w:after="0" w:line="144" w:lineRule="exact"/>
              <w:rPr>
                <w:sz w:val="20"/>
                <w:szCs w:val="20"/>
                <w:color w:val="auto"/>
              </w:rPr>
            </w:pPr>
            <w:r>
              <w:rPr>
                <w:rFonts w:ascii="Times New Roman" w:cs="Times New Roman" w:eastAsia="Times New Roman" w:hAnsi="Times New Roman"/>
                <w:sz w:val="16"/>
                <w:szCs w:val="16"/>
                <w:color w:val="auto"/>
              </w:rPr>
              <w:t>(87)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(55)</w:t>
            </w:r>
          </w:p>
        </w:tc>
        <w:tc>
          <w:tcPr>
            <w:tcW w:w="6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(46.1)%</w:t>
            </w:r>
          </w:p>
        </w:tc>
        <w:tc>
          <w:tcPr>
            <w:tcW w:w="5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56.9 %</w:t>
            </w:r>
          </w:p>
        </w:tc>
        <w:tc>
          <w:tcPr>
            <w:tcW w:w="0" w:type="dxa"/>
            <w:vAlign w:val="bottom"/>
          </w:tcPr>
          <w:p>
            <w:pPr>
              <w:spacing w:after="0"/>
              <w:rPr>
                <w:sz w:val="1"/>
                <w:szCs w:val="1"/>
                <w:color w:val="auto"/>
              </w:rPr>
            </w:pPr>
          </w:p>
        </w:tc>
      </w:tr>
      <w:tr>
        <w:trPr>
          <w:trHeight w:val="208"/>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w:t>
            </w: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Brokerage</w:t>
            </w:r>
          </w:p>
        </w:tc>
        <w:tc>
          <w:tcPr>
            <w:tcW w:w="580" w:type="dxa"/>
            <w:vAlign w:val="bottom"/>
          </w:tcPr>
          <w:p>
            <w:pPr>
              <w:jc w:val="right"/>
              <w:ind w:right="11"/>
              <w:spacing w:after="0" w:line="144" w:lineRule="exact"/>
              <w:rPr>
                <w:sz w:val="20"/>
                <w:szCs w:val="20"/>
                <w:color w:val="auto"/>
              </w:rPr>
            </w:pPr>
            <w:r>
              <w:rPr>
                <w:rFonts w:ascii="Times New Roman" w:cs="Times New Roman" w:eastAsia="Times New Roman" w:hAnsi="Times New Roman"/>
                <w:sz w:val="16"/>
                <w:szCs w:val="16"/>
                <w:color w:val="auto"/>
              </w:rPr>
              <w:t>(3)</w:t>
            </w:r>
          </w:p>
        </w:tc>
        <w:tc>
          <w:tcPr>
            <w:tcW w:w="620" w:type="dxa"/>
            <w:vAlign w:val="bottom"/>
            <w:gridSpan w:val="2"/>
          </w:tcPr>
          <w:p>
            <w:pPr>
              <w:jc w:val="right"/>
              <w:ind w:right="28"/>
              <w:spacing w:after="0" w:line="144"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(4)</w:t>
            </w:r>
          </w:p>
        </w:tc>
        <w:tc>
          <w:tcPr>
            <w:tcW w:w="6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(8.6)%</w:t>
            </w:r>
          </w:p>
        </w:tc>
        <w:tc>
          <w:tcPr>
            <w:tcW w:w="5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32"/>
        </w:trPr>
        <w:tc>
          <w:tcPr>
            <w:tcW w:w="102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and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clearance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fees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 Equity</w:t>
            </w:r>
          </w:p>
        </w:tc>
        <w:tc>
          <w:tcPr>
            <w:tcW w:w="5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17.2 %</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136"/>
        </w:trPr>
        <w:tc>
          <w:tcPr>
            <w:tcW w:w="1020" w:type="dxa"/>
            <w:vAlign w:val="bottom"/>
            <w:vMerge w:val="continue"/>
          </w:tcPr>
          <w:p>
            <w:pPr>
              <w:spacing w:after="0"/>
              <w:rPr>
                <w:sz w:val="11"/>
                <w:szCs w:val="11"/>
                <w:color w:val="auto"/>
              </w:rPr>
            </w:pPr>
          </w:p>
        </w:tc>
        <w:tc>
          <w:tcPr>
            <w:tcW w:w="580" w:type="dxa"/>
            <w:vAlign w:val="bottom"/>
          </w:tcPr>
          <w:p>
            <w:pPr>
              <w:jc w:val="right"/>
              <w:ind w:right="51"/>
              <w:spacing w:after="0" w:line="136" w:lineRule="exact"/>
              <w:rPr>
                <w:sz w:val="20"/>
                <w:szCs w:val="20"/>
                <w:color w:val="auto"/>
              </w:rPr>
            </w:pPr>
            <w:r>
              <w:rPr>
                <w:rFonts w:ascii="Times New Roman" w:cs="Times New Roman" w:eastAsia="Times New Roman" w:hAnsi="Times New Roman"/>
                <w:sz w:val="14"/>
                <w:szCs w:val="14"/>
                <w:color w:val="auto"/>
              </w:rPr>
              <w:t>$  463</w:t>
            </w:r>
          </w:p>
        </w:tc>
        <w:tc>
          <w:tcPr>
            <w:tcW w:w="20" w:type="dxa"/>
            <w:vAlign w:val="bottom"/>
            <w:vMerge w:val="continue"/>
          </w:tcPr>
          <w:p>
            <w:pPr>
              <w:spacing w:after="0"/>
              <w:rPr>
                <w:sz w:val="11"/>
                <w:szCs w:val="11"/>
                <w:color w:val="auto"/>
              </w:rPr>
            </w:pPr>
          </w:p>
        </w:tc>
        <w:tc>
          <w:tcPr>
            <w:tcW w:w="600" w:type="dxa"/>
            <w:vAlign w:val="bottom"/>
          </w:tcPr>
          <w:p>
            <w:pPr>
              <w:jc w:val="right"/>
              <w:ind w:right="68"/>
              <w:spacing w:after="0" w:line="136" w:lineRule="exact"/>
              <w:rPr>
                <w:sz w:val="20"/>
                <w:szCs w:val="20"/>
                <w:color w:val="auto"/>
              </w:rPr>
            </w:pPr>
            <w:r>
              <w:rPr>
                <w:rFonts w:ascii="Times New Roman" w:cs="Times New Roman" w:eastAsia="Times New Roman" w:hAnsi="Times New Roman"/>
                <w:sz w:val="14"/>
                <w:szCs w:val="14"/>
                <w:color w:val="auto"/>
              </w:rPr>
              <w:t>$  395</w:t>
            </w:r>
          </w:p>
        </w:tc>
        <w:tc>
          <w:tcPr>
            <w:tcW w:w="20" w:type="dxa"/>
            <w:vAlign w:val="bottom"/>
            <w:vMerge w:val="continue"/>
          </w:tcPr>
          <w:p>
            <w:pPr>
              <w:spacing w:after="0"/>
              <w:rPr>
                <w:sz w:val="11"/>
                <w:szCs w:val="11"/>
                <w:color w:val="auto"/>
              </w:rPr>
            </w:pP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43"/>
              <w:spacing w:after="0" w:line="136" w:lineRule="exact"/>
              <w:rPr>
                <w:sz w:val="20"/>
                <w:szCs w:val="20"/>
                <w:color w:val="auto"/>
              </w:rPr>
            </w:pPr>
            <w:r>
              <w:rPr>
                <w:rFonts w:ascii="Times New Roman" w:cs="Times New Roman" w:eastAsia="Times New Roman" w:hAnsi="Times New Roman"/>
                <w:sz w:val="14"/>
                <w:szCs w:val="14"/>
                <w:color w:val="auto"/>
              </w:rPr>
              <w:t>374</w:t>
            </w:r>
          </w:p>
        </w:tc>
        <w:tc>
          <w:tcPr>
            <w:tcW w:w="62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Derivative</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-184785</wp:posOffset>
            </wp:positionV>
            <wp:extent cx="2560955" cy="419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0955" cy="419100"/>
                    </a:xfrm>
                    <a:prstGeom prst="rect">
                      <a:avLst/>
                    </a:prstGeom>
                    <a:noFill/>
                  </pic:spPr>
                </pic:pic>
              </a:graphicData>
            </a:graphic>
          </wp:anchor>
        </w:drawing>
      </w:r>
    </w:p>
    <w:p>
      <w:pPr>
        <w:spacing w:after="0" w:line="214" w:lineRule="auto"/>
        <w:rPr>
          <w:sz w:val="20"/>
          <w:szCs w:val="20"/>
          <w:color w:val="auto"/>
        </w:rPr>
      </w:pPr>
      <w:r>
        <w:rPr>
          <w:rFonts w:ascii="Times New Roman" w:cs="Times New Roman" w:eastAsia="Times New Roman" w:hAnsi="Times New Roman"/>
          <w:sz w:val="14"/>
          <w:szCs w:val="14"/>
          <w:color w:val="auto"/>
        </w:rPr>
        <w:t>Trading</w:t>
      </w:r>
    </w:p>
    <w:p>
      <w:pPr>
        <w:spacing w:after="0"/>
        <w:rPr>
          <w:sz w:val="20"/>
          <w:szCs w:val="20"/>
          <w:color w:val="auto"/>
        </w:rPr>
      </w:pPr>
      <w:r>
        <w:rPr>
          <w:rFonts w:ascii="Times New Roman" w:cs="Times New Roman" w:eastAsia="Times New Roman" w:hAnsi="Times New Roman"/>
          <w:sz w:val="14"/>
          <w:szCs w:val="14"/>
          <w:color w:val="auto"/>
        </w:rPr>
        <w:t>Revenues, net</w:t>
      </w:r>
    </w:p>
    <w:p>
      <w:pPr>
        <w:sectPr>
          <w:pgSz w:w="11900" w:h="16840" w:orient="portrait"/>
          <w:cols w:equalWidth="0" w:num="1">
            <w:col w:w="9400"/>
          </w:cols>
          <w:pgMar w:left="1060" w:top="567" w:right="1440" w:bottom="181" w:gutter="0" w:footer="0" w:header="0"/>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 fees are recorded as U.S. equity derivative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-93345</wp:posOffset>
            </wp:positionV>
            <wp:extent cx="11512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ectPr>
          <w:pgSz w:w="11900" w:h="16840" w:orient="portrait"/>
          <w:cols w:equalWidth="0" w:num="1">
            <w:col w:w="9400"/>
          </w:cols>
          <w:pgMar w:left="1060" w:top="567" w:right="1440" w:bottom="181"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U.S. cash equity trading revenues with a corresponding</w:t>
      </w:r>
    </w:p>
    <w:p>
      <w:pPr>
        <w:spacing w:after="0" w:line="203" w:lineRule="auto"/>
        <w:rPr>
          <w:sz w:val="20"/>
          <w:szCs w:val="20"/>
          <w:color w:val="auto"/>
        </w:rPr>
      </w:pPr>
      <w:r>
        <w:rPr>
          <w:rFonts w:ascii="Times New Roman" w:cs="Times New Roman" w:eastAsia="Times New Roman" w:hAnsi="Times New Roman"/>
          <w:sz w:val="16"/>
          <w:szCs w:val="16"/>
          <w:color w:val="auto"/>
        </w:rPr>
        <w:t>amount recorded in transaction-based expenses. We are</w:t>
      </w:r>
    </w:p>
    <w:p>
      <w:pPr>
        <w:spacing w:after="0" w:line="204" w:lineRule="auto"/>
        <w:rPr>
          <w:sz w:val="20"/>
          <w:szCs w:val="20"/>
          <w:color w:val="auto"/>
        </w:rPr>
      </w:pPr>
      <w:r>
        <w:rPr>
          <w:rFonts w:ascii="Times New Roman" w:cs="Times New Roman" w:eastAsia="Times New Roman" w:hAnsi="Times New Roman"/>
          <w:sz w:val="16"/>
          <w:szCs w:val="16"/>
          <w:color w:val="auto"/>
        </w:rPr>
        <w:t>assessed these fees from the SEC and pass them through to</w:t>
      </w:r>
    </w:p>
    <w:p>
      <w:pPr>
        <w:spacing w:after="0" w:line="232" w:lineRule="auto"/>
        <w:rPr>
          <w:sz w:val="20"/>
          <w:szCs w:val="20"/>
          <w:color w:val="auto"/>
        </w:rPr>
      </w:pPr>
      <w:r>
        <w:rPr>
          <w:rFonts w:ascii="Times New Roman" w:cs="Times New Roman" w:eastAsia="Times New Roman" w:hAnsi="Times New Roman"/>
          <w:sz w:val="14"/>
          <w:szCs w:val="14"/>
          <w:color w:val="auto"/>
        </w:rPr>
        <w:t>our customers in the form of incremental fees. Pass-through</w:t>
      </w:r>
    </w:p>
    <w:p>
      <w:pPr>
        <w:spacing w:after="0" w:line="233" w:lineRule="auto"/>
        <w:rPr>
          <w:sz w:val="20"/>
          <w:szCs w:val="20"/>
          <w:color w:val="auto"/>
        </w:rPr>
      </w:pPr>
      <w:r>
        <w:rPr>
          <w:rFonts w:ascii="Times New Roman" w:cs="Times New Roman" w:eastAsia="Times New Roman" w:hAnsi="Times New Roman"/>
          <w:sz w:val="14"/>
          <w:szCs w:val="14"/>
          <w:color w:val="auto"/>
        </w:rPr>
        <w:t>fees can increase or decrease due to rate changes by the SEC,</w:t>
      </w:r>
    </w:p>
    <w:p>
      <w:pPr>
        <w:spacing w:after="0" w:line="233" w:lineRule="auto"/>
        <w:rPr>
          <w:sz w:val="20"/>
          <w:szCs w:val="20"/>
          <w:color w:val="auto"/>
        </w:rPr>
      </w:pPr>
      <w:r>
        <w:rPr>
          <w:rFonts w:ascii="Times New Roman" w:cs="Times New Roman" w:eastAsia="Times New Roman" w:hAnsi="Times New Roman"/>
          <w:sz w:val="14"/>
          <w:szCs w:val="14"/>
          <w:color w:val="auto"/>
        </w:rPr>
        <w:t>our percentage of the overall industry volumes processed on</w:t>
      </w:r>
    </w:p>
    <w:p>
      <w:pPr>
        <w:spacing w:after="0" w:line="203" w:lineRule="auto"/>
        <w:rPr>
          <w:sz w:val="20"/>
          <w:szCs w:val="20"/>
          <w:color w:val="auto"/>
        </w:rPr>
      </w:pPr>
      <w:r>
        <w:rPr>
          <w:rFonts w:ascii="Times New Roman" w:cs="Times New Roman" w:eastAsia="Times New Roman" w:hAnsi="Times New Roman"/>
          <w:sz w:val="16"/>
          <w:szCs w:val="16"/>
          <w:color w:val="auto"/>
        </w:rPr>
        <w:t>our systems, and differences in actual dollar value traded.</w:t>
      </w:r>
    </w:p>
    <w:p>
      <w:pPr>
        <w:spacing w:after="0" w:line="204" w:lineRule="auto"/>
        <w:rPr>
          <w:sz w:val="20"/>
          <w:szCs w:val="20"/>
          <w:color w:val="auto"/>
        </w:rPr>
      </w:pPr>
      <w:r>
        <w:rPr>
          <w:rFonts w:ascii="Times New Roman" w:cs="Times New Roman" w:eastAsia="Times New Roman" w:hAnsi="Times New Roman"/>
          <w:sz w:val="16"/>
          <w:szCs w:val="16"/>
          <w:color w:val="auto"/>
        </w:rPr>
        <w:t>Section 31 fees decreased in 2025 compared with the same</w:t>
      </w:r>
    </w:p>
    <w:p>
      <w:pPr>
        <w:spacing w:after="0" w:line="232" w:lineRule="auto"/>
        <w:rPr>
          <w:sz w:val="20"/>
          <w:szCs w:val="20"/>
          <w:color w:val="auto"/>
        </w:rPr>
      </w:pPr>
      <w:r>
        <w:rPr>
          <w:rFonts w:ascii="Times New Roman" w:cs="Times New Roman" w:eastAsia="Times New Roman" w:hAnsi="Times New Roman"/>
          <w:sz w:val="14"/>
          <w:szCs w:val="14"/>
          <w:color w:val="auto"/>
        </w:rPr>
        <w:t>period in 2024 primarily due to a decrease in the rate to zero</w:t>
      </w:r>
    </w:p>
    <w:p>
      <w:pPr>
        <w:spacing w:after="0" w:line="233" w:lineRule="auto"/>
        <w:rPr>
          <w:sz w:val="20"/>
          <w:szCs w:val="20"/>
          <w:color w:val="auto"/>
        </w:rPr>
      </w:pPr>
      <w:r>
        <w:rPr>
          <w:rFonts w:ascii="Times New Roman" w:cs="Times New Roman" w:eastAsia="Times New Roman" w:hAnsi="Times New Roman"/>
          <w:sz w:val="14"/>
          <w:szCs w:val="14"/>
          <w:color w:val="auto"/>
        </w:rPr>
        <w:t>in the second quarter of 2025. Since the amount recorded in</w:t>
      </w:r>
    </w:p>
    <w:p>
      <w:pPr>
        <w:spacing w:after="0" w:line="233" w:lineRule="auto"/>
        <w:rPr>
          <w:sz w:val="20"/>
          <w:szCs w:val="20"/>
          <w:color w:val="auto"/>
        </w:rPr>
      </w:pPr>
      <w:r>
        <w:rPr>
          <w:rFonts w:ascii="Times New Roman" w:cs="Times New Roman" w:eastAsia="Times New Roman" w:hAnsi="Times New Roman"/>
          <w:sz w:val="14"/>
          <w:szCs w:val="14"/>
          <w:color w:val="auto"/>
        </w:rPr>
        <w:t>revenues is equal to the amount recorded as Section 31 fees,</w:t>
      </w:r>
    </w:p>
    <w:p>
      <w:pPr>
        <w:spacing w:after="0" w:line="228" w:lineRule="auto"/>
        <w:rPr>
          <w:sz w:val="20"/>
          <w:szCs w:val="20"/>
          <w:color w:val="auto"/>
        </w:rPr>
      </w:pPr>
      <w:r>
        <w:rPr>
          <w:rFonts w:ascii="Times New Roman" w:cs="Times New Roman" w:eastAsia="Times New Roman" w:hAnsi="Times New Roman"/>
          <w:sz w:val="16"/>
          <w:szCs w:val="16"/>
          <w:color w:val="auto"/>
        </w:rPr>
        <w:t>there is no impact on our net revenues.</w:t>
      </w:r>
    </w:p>
    <w:p>
      <w:pPr>
        <w:ind w:left="22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ectPr>
          <w:pgSz w:w="11900" w:h="16840" w:orient="portrait"/>
          <w:cols w:equalWidth="0" w:num="1">
            <w:col w:w="9400"/>
          </w:cols>
          <w:pgMar w:left="1060" w:top="547" w:right="1440" w:bottom="248" w:gutter="0" w:footer="0" w:header="0"/>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U.S. equity options</w:t>
      </w:r>
    </w:p>
    <w:p>
      <w:pPr>
        <w:spacing w:after="0" w:line="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Total industry average daily volume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254571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45715" cy="205740"/>
                    </a:xfrm>
                    <a:prstGeom prst="rect">
                      <a:avLst/>
                    </a:prstGeom>
                    <a:noFill/>
                  </pic:spPr>
                </pic:pic>
              </a:graphicData>
            </a:graphic>
          </wp:anchor>
        </w:drawing>
      </w:r>
    </w:p>
    <w:p>
      <w:pPr>
        <w:ind w:right="280"/>
        <w:spacing w:after="0" w:line="243" w:lineRule="auto"/>
        <w:rPr>
          <w:sz w:val="20"/>
          <w:szCs w:val="20"/>
          <w:color w:val="auto"/>
        </w:rPr>
      </w:pPr>
      <w:r>
        <w:rPr>
          <w:rFonts w:ascii="Times New Roman" w:cs="Times New Roman" w:eastAsia="Times New Roman" w:hAnsi="Times New Roman"/>
          <w:sz w:val="14"/>
          <w:szCs w:val="14"/>
          <w:color w:val="auto"/>
        </w:rPr>
        <w:t>Nasdaq PHLX matched market share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600" w:val="left"/>
          <w:tab w:leader="none" w:pos="12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11512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35" w:lineRule="exact"/>
        <w:rPr>
          <w:sz w:val="20"/>
          <w:szCs w:val="20"/>
          <w:color w:val="auto"/>
        </w:rPr>
      </w:pPr>
    </w:p>
    <w:p>
      <w:pPr>
        <w:ind w:left="40"/>
        <w:spacing w:after="0"/>
        <w:tabs>
          <w:tab w:leader="none" w:pos="620" w:val="left"/>
          <w:tab w:leader="none" w:pos="1240" w:val="left"/>
        </w:tabs>
        <w:rPr>
          <w:sz w:val="20"/>
          <w:szCs w:val="20"/>
          <w:color w:val="auto"/>
        </w:rPr>
      </w:pPr>
      <w:r>
        <w:rPr>
          <w:rFonts w:ascii="Times New Roman" w:cs="Times New Roman" w:eastAsia="Times New Roman" w:hAnsi="Times New Roman"/>
          <w:sz w:val="16"/>
          <w:szCs w:val="16"/>
          <w:color w:val="auto"/>
        </w:rPr>
        <w:t>55.8</w:t>
      </w:r>
      <w:r>
        <w:rPr>
          <w:sz w:val="20"/>
          <w:szCs w:val="20"/>
          <w:color w:val="auto"/>
        </w:rPr>
        <w:tab/>
      </w:r>
      <w:r>
        <w:rPr>
          <w:rFonts w:ascii="Times New Roman" w:cs="Times New Roman" w:eastAsia="Times New Roman" w:hAnsi="Times New Roman"/>
          <w:sz w:val="16"/>
          <w:szCs w:val="16"/>
          <w:color w:val="auto"/>
        </w:rPr>
        <w:t>44.4</w:t>
      </w:r>
      <w:r>
        <w:rPr>
          <w:sz w:val="20"/>
          <w:szCs w:val="20"/>
          <w:color w:val="auto"/>
        </w:rPr>
        <w:tab/>
      </w:r>
      <w:r>
        <w:rPr>
          <w:rFonts w:ascii="Times New Roman" w:cs="Times New Roman" w:eastAsia="Times New Roman" w:hAnsi="Times New Roman"/>
          <w:sz w:val="16"/>
          <w:szCs w:val="16"/>
          <w:color w:val="auto"/>
        </w:rPr>
        <w:t>40.4</w:t>
      </w:r>
    </w:p>
    <w:p>
      <w:pPr>
        <w:spacing w:after="0" w:line="128" w:lineRule="exact"/>
        <w:rPr>
          <w:sz w:val="20"/>
          <w:szCs w:val="20"/>
          <w:color w:val="auto"/>
        </w:rPr>
      </w:pPr>
    </w:p>
    <w:p>
      <w:pPr>
        <w:spacing w:after="0"/>
        <w:tabs>
          <w:tab w:leader="none" w:pos="600" w:val="left"/>
          <w:tab w:leader="none" w:pos="1200" w:val="left"/>
        </w:tabs>
        <w:rPr>
          <w:sz w:val="20"/>
          <w:szCs w:val="20"/>
          <w:color w:val="auto"/>
        </w:rPr>
      </w:pPr>
      <w:r>
        <w:rPr>
          <w:rFonts w:ascii="Times New Roman" w:cs="Times New Roman" w:eastAsia="Times New Roman" w:hAnsi="Times New Roman"/>
          <w:sz w:val="16"/>
          <w:szCs w:val="16"/>
          <w:color w:val="auto"/>
        </w:rPr>
        <w:t>10.3%</w:t>
        <w:tab/>
        <w:t>10.0%</w:t>
      </w:r>
      <w:r>
        <w:rPr>
          <w:sz w:val="20"/>
          <w:szCs w:val="20"/>
          <w:color w:val="auto"/>
        </w:rPr>
        <w:tab/>
      </w:r>
      <w:r>
        <w:rPr>
          <w:rFonts w:ascii="Times New Roman" w:cs="Times New Roman" w:eastAsia="Times New Roman" w:hAnsi="Times New Roman"/>
          <w:sz w:val="14"/>
          <w:szCs w:val="14"/>
          <w:color w:val="auto"/>
        </w:rPr>
        <w:t>11.3%</w:t>
      </w:r>
    </w:p>
    <w:p>
      <w:pPr>
        <w:spacing w:after="0" w:line="160" w:lineRule="exact"/>
        <w:rPr>
          <w:sz w:val="20"/>
          <w:szCs w:val="20"/>
          <w:color w:val="auto"/>
        </w:rPr>
      </w:pPr>
    </w:p>
    <w:p>
      <w:pPr>
        <w:sectPr>
          <w:pgSz w:w="11900" w:h="16840" w:orient="portrait"/>
          <w:cols w:equalWidth="0" w:num="2">
            <w:col w:w="2080" w:space="120"/>
            <w:col w:w="7200"/>
          </w:cols>
          <w:pgMar w:left="1060" w:top="547" w:right="1440" w:bottom="248"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Nasdaq Options Market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5.5%</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6.1%</w:t>
            </w:r>
          </w:p>
        </w:tc>
      </w:tr>
      <w:tr>
        <w:trPr>
          <w:trHeight w:val="208"/>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matched market share</w:t>
            </w:r>
          </w:p>
        </w:tc>
        <w:tc>
          <w:tcPr>
            <w:tcW w:w="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Nasdaq BX Options matched</w:t>
            </w:r>
          </w:p>
        </w:tc>
        <w:tc>
          <w:tcPr>
            <w:tcW w:w="60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1.6%</w:t>
            </w:r>
          </w:p>
        </w:tc>
        <w:tc>
          <w:tcPr>
            <w:tcW w:w="6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2.1%</w:t>
            </w:r>
          </w:p>
        </w:tc>
        <w:tc>
          <w:tcPr>
            <w:tcW w:w="6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3.3%</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market share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0"/>
        </w:trPr>
        <w:tc>
          <w:tcPr>
            <w:tcW w:w="2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44"/>
        </w:trPr>
        <w:tc>
          <w:tcPr>
            <w:tcW w:w="2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Nasdaq ISE Options matched</w:t>
            </w:r>
          </w:p>
        </w:tc>
        <w:tc>
          <w:tcPr>
            <w:tcW w:w="6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6.7%</w:t>
            </w:r>
          </w:p>
        </w:tc>
        <w:tc>
          <w:tcPr>
            <w:tcW w:w="60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6.9%</w:t>
            </w:r>
          </w:p>
        </w:tc>
        <w:tc>
          <w:tcPr>
            <w:tcW w:w="6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5.9%</w:t>
            </w:r>
          </w:p>
        </w:tc>
      </w:tr>
      <w:tr>
        <w:trPr>
          <w:trHeight w:val="208"/>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share</w:t>
            </w:r>
          </w:p>
        </w:tc>
        <w:tc>
          <w:tcPr>
            <w:tcW w:w="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Nasdaq GEMX Options matched</w:t>
            </w:r>
          </w:p>
        </w:tc>
        <w:tc>
          <w:tcPr>
            <w:tcW w:w="60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3.6%</w:t>
            </w:r>
          </w:p>
        </w:tc>
        <w:tc>
          <w:tcPr>
            <w:tcW w:w="6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2.6%</w:t>
            </w:r>
          </w:p>
        </w:tc>
        <w:tc>
          <w:tcPr>
            <w:tcW w:w="6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2.4%</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market share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0"/>
        </w:trPr>
        <w:tc>
          <w:tcPr>
            <w:tcW w:w="2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44"/>
        </w:trPr>
        <w:tc>
          <w:tcPr>
            <w:tcW w:w="2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Nasdaq MRX Options matched</w:t>
            </w:r>
          </w:p>
        </w:tc>
        <w:tc>
          <w:tcPr>
            <w:tcW w:w="6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3.4%</w:t>
            </w:r>
          </w:p>
        </w:tc>
        <w:tc>
          <w:tcPr>
            <w:tcW w:w="60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2.7%</w:t>
            </w:r>
          </w:p>
        </w:tc>
        <w:tc>
          <w:tcPr>
            <w:tcW w:w="6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2.0%</w:t>
            </w:r>
          </w:p>
        </w:tc>
      </w:tr>
      <w:tr>
        <w:trPr>
          <w:trHeight w:val="228"/>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share</w:t>
            </w:r>
          </w:p>
        </w:tc>
        <w:tc>
          <w:tcPr>
            <w:tcW w:w="6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136"/>
        </w:trPr>
        <w:tc>
          <w:tcPr>
            <w:tcW w:w="21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matched market share</w:t>
            </w:r>
          </w:p>
        </w:tc>
        <w:tc>
          <w:tcPr>
            <w:tcW w:w="60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1"/>
                <w:szCs w:val="11"/>
                <w:color w:val="auto"/>
              </w:rPr>
            </w:pPr>
          </w:p>
        </w:tc>
        <w:tc>
          <w:tcPr>
            <w:tcW w:w="58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29.8%</w:t>
            </w: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31.0%</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executed on Nasdaq’s exchanges</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2540</wp:posOffset>
            </wp:positionV>
            <wp:extent cx="11512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U.S. equity derivative trading revenues and U.S.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-101600</wp:posOffset>
            </wp:positionV>
            <wp:extent cx="11512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derivative trading revenues, net increased for the year ended</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compared with the same period in 2024</w:t>
      </w:r>
    </w:p>
    <w:p>
      <w:pPr>
        <w:spacing w:after="0" w:line="203" w:lineRule="auto"/>
        <w:rPr>
          <w:sz w:val="20"/>
          <w:szCs w:val="20"/>
          <w:color w:val="auto"/>
        </w:rPr>
      </w:pPr>
      <w:r>
        <w:rPr>
          <w:rFonts w:ascii="Times New Roman" w:cs="Times New Roman" w:eastAsia="Times New Roman" w:hAnsi="Times New Roman"/>
          <w:sz w:val="16"/>
          <w:szCs w:val="16"/>
          <w:color w:val="auto"/>
        </w:rPr>
        <w:t>primarily due to higher industry trading volumes, partially</w:t>
      </w:r>
    </w:p>
    <w:p>
      <w:pPr>
        <w:spacing w:after="0" w:line="204" w:lineRule="auto"/>
        <w:rPr>
          <w:sz w:val="20"/>
          <w:szCs w:val="20"/>
          <w:color w:val="auto"/>
        </w:rPr>
      </w:pPr>
      <w:r>
        <w:rPr>
          <w:rFonts w:ascii="Times New Roman" w:cs="Times New Roman" w:eastAsia="Times New Roman" w:hAnsi="Times New Roman"/>
          <w:sz w:val="16"/>
          <w:szCs w:val="16"/>
          <w:color w:val="auto"/>
        </w:rPr>
        <w:t>offset by lower capture and lower overall U.S. matched</w:t>
      </w:r>
    </w:p>
    <w:p>
      <w:pPr>
        <w:spacing w:after="0" w:line="203" w:lineRule="auto"/>
        <w:rPr>
          <w:sz w:val="20"/>
          <w:szCs w:val="20"/>
          <w:color w:val="auto"/>
        </w:rPr>
      </w:pPr>
      <w:r>
        <w:rPr>
          <w:rFonts w:ascii="Times New Roman" w:cs="Times New Roman" w:eastAsia="Times New Roman" w:hAnsi="Times New Roman"/>
          <w:sz w:val="16"/>
          <w:szCs w:val="16"/>
          <w:color w:val="auto"/>
        </w:rPr>
        <w:t>market share executed on Nasdaq’s exchanges.</w:t>
      </w:r>
    </w:p>
    <w:p>
      <w:pPr>
        <w:spacing w:after="0" w:line="204" w:lineRule="auto"/>
        <w:rPr>
          <w:sz w:val="20"/>
          <w:szCs w:val="20"/>
          <w:color w:val="auto"/>
        </w:rPr>
      </w:pPr>
      <w:r>
        <w:rPr>
          <w:rFonts w:ascii="Times New Roman" w:cs="Times New Roman" w:eastAsia="Times New Roman" w:hAnsi="Times New Roman"/>
          <w:sz w:val="16"/>
          <w:szCs w:val="16"/>
          <w:color w:val="auto"/>
        </w:rPr>
        <w:t>Transaction rebates, in which we credit a portion of the</w:t>
      </w:r>
    </w:p>
    <w:p>
      <w:pPr>
        <w:spacing w:after="0" w:line="203" w:lineRule="auto"/>
        <w:rPr>
          <w:sz w:val="20"/>
          <w:szCs w:val="20"/>
          <w:color w:val="auto"/>
        </w:rPr>
      </w:pPr>
      <w:r>
        <w:rPr>
          <w:rFonts w:ascii="Times New Roman" w:cs="Times New Roman" w:eastAsia="Times New Roman" w:hAnsi="Times New Roman"/>
          <w:sz w:val="16"/>
          <w:szCs w:val="16"/>
          <w:color w:val="auto"/>
        </w:rPr>
        <w:t>execution charge to the market participant, increased for the</w:t>
      </w:r>
    </w:p>
    <w:p>
      <w:pPr>
        <w:spacing w:after="0" w:line="204" w:lineRule="auto"/>
        <w:rPr>
          <w:sz w:val="20"/>
          <w:szCs w:val="20"/>
          <w:color w:val="auto"/>
        </w:rPr>
      </w:pPr>
      <w:r>
        <w:rPr>
          <w:rFonts w:ascii="Times New Roman" w:cs="Times New Roman" w:eastAsia="Times New Roman" w:hAnsi="Times New Roman"/>
          <w:sz w:val="16"/>
          <w:szCs w:val="16"/>
          <w:color w:val="auto"/>
        </w:rPr>
        <w:t>year ended December 31, 2025 compared with the same</w:t>
      </w:r>
    </w:p>
    <w:p>
      <w:pPr>
        <w:spacing w:after="0" w:line="203" w:lineRule="auto"/>
        <w:rPr>
          <w:sz w:val="20"/>
          <w:szCs w:val="20"/>
          <w:color w:val="auto"/>
        </w:rPr>
      </w:pPr>
      <w:r>
        <w:rPr>
          <w:rFonts w:ascii="Times New Roman" w:cs="Times New Roman" w:eastAsia="Times New Roman" w:hAnsi="Times New Roman"/>
          <w:sz w:val="16"/>
          <w:szCs w:val="16"/>
          <w:color w:val="auto"/>
        </w:rPr>
        <w:t>period in 2024 primarily due to higher industry trading</w:t>
      </w:r>
    </w:p>
    <w:p>
      <w:pPr>
        <w:spacing w:after="0" w:line="204" w:lineRule="auto"/>
        <w:rPr>
          <w:sz w:val="20"/>
          <w:szCs w:val="20"/>
          <w:color w:val="auto"/>
        </w:rPr>
      </w:pPr>
      <w:r>
        <w:rPr>
          <w:rFonts w:ascii="Times New Roman" w:cs="Times New Roman" w:eastAsia="Times New Roman" w:hAnsi="Times New Roman"/>
          <w:sz w:val="16"/>
          <w:szCs w:val="16"/>
          <w:color w:val="auto"/>
        </w:rPr>
        <w:t>volumes, partially offset by lower rebate capture rate and</w:t>
      </w:r>
    </w:p>
    <w:p>
      <w:pPr>
        <w:spacing w:after="0" w:line="204" w:lineRule="auto"/>
        <w:rPr>
          <w:sz w:val="20"/>
          <w:szCs w:val="20"/>
          <w:color w:val="auto"/>
        </w:rPr>
      </w:pPr>
      <w:r>
        <w:rPr>
          <w:rFonts w:ascii="Times New Roman" w:cs="Times New Roman" w:eastAsia="Times New Roman" w:hAnsi="Times New Roman"/>
          <w:sz w:val="16"/>
          <w:szCs w:val="16"/>
          <w:color w:val="auto"/>
        </w:rPr>
        <w:t>lower overall U.S. matched market share executed on</w:t>
      </w:r>
    </w:p>
    <w:p>
      <w:pPr>
        <w:spacing w:after="0" w:line="203" w:lineRule="auto"/>
        <w:rPr>
          <w:sz w:val="20"/>
          <w:szCs w:val="20"/>
          <w:color w:val="auto"/>
        </w:rPr>
      </w:pPr>
      <w:r>
        <w:rPr>
          <w:rFonts w:ascii="Times New Roman" w:cs="Times New Roman" w:eastAsia="Times New Roman" w:hAnsi="Times New Roman"/>
          <w:sz w:val="16"/>
          <w:szCs w:val="16"/>
          <w:color w:val="auto"/>
        </w:rPr>
        <w:t>Nasdaq’s exchanges.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Cash Equity Trading Revenues</w:t>
      </w:r>
    </w:p>
    <w:p>
      <w:pPr>
        <w:spacing w:after="0"/>
        <w:rPr>
          <w:sz w:val="20"/>
          <w:szCs w:val="20"/>
          <w:color w:val="auto"/>
        </w:rPr>
      </w:pPr>
      <w:r>
        <w:rPr>
          <w:rFonts w:ascii="Times New Roman" w:cs="Times New Roman" w:eastAsia="Times New Roman" w:hAnsi="Times New Roman"/>
          <w:sz w:val="16"/>
          <w:szCs w:val="16"/>
          <w:color w:val="auto"/>
        </w:rPr>
        <w:t>The following tables present total revenues, transaction-based</w:t>
      </w:r>
    </w:p>
    <w:p>
      <w:pPr>
        <w:sectPr>
          <w:pgSz w:w="11900" w:h="16840" w:orient="portrait"/>
          <w:cols w:equalWidth="0" w:num="1">
            <w:col w:w="9400"/>
          </w:cols>
          <w:pgMar w:left="1060" w:top="547" w:right="1440" w:bottom="248"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Total U.S.-listed securities</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Total industry average daily share volume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2545715" cy="236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5715" cy="236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43180</wp:posOffset>
            </wp:positionV>
            <wp:extent cx="11512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58" w:lineRule="exact"/>
        <w:rPr>
          <w:sz w:val="20"/>
          <w:szCs w:val="20"/>
          <w:color w:val="auto"/>
        </w:rPr>
      </w:pPr>
    </w:p>
    <w:p>
      <w:pPr>
        <w:spacing w:after="0"/>
        <w:tabs>
          <w:tab w:leader="none" w:pos="600" w:val="left"/>
          <w:tab w:leader="none" w:pos="12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67" w:lineRule="exact"/>
        <w:rPr>
          <w:sz w:val="20"/>
          <w:szCs w:val="20"/>
          <w:color w:val="auto"/>
        </w:rPr>
      </w:pPr>
    </w:p>
    <w:p>
      <w:pPr>
        <w:ind w:left="40"/>
        <w:spacing w:after="0"/>
        <w:tabs>
          <w:tab w:leader="none" w:pos="620" w:val="left"/>
          <w:tab w:leader="none" w:pos="1240" w:val="left"/>
        </w:tabs>
        <w:rPr>
          <w:sz w:val="20"/>
          <w:szCs w:val="20"/>
          <w:color w:val="auto"/>
        </w:rPr>
      </w:pPr>
      <w:r>
        <w:rPr>
          <w:rFonts w:ascii="Times New Roman" w:cs="Times New Roman" w:eastAsia="Times New Roman" w:hAnsi="Times New Roman"/>
          <w:sz w:val="16"/>
          <w:szCs w:val="16"/>
          <w:color w:val="auto"/>
        </w:rPr>
        <w:t>17.6</w:t>
      </w:r>
      <w:r>
        <w:rPr>
          <w:sz w:val="20"/>
          <w:szCs w:val="20"/>
          <w:color w:val="auto"/>
        </w:rPr>
        <w:tab/>
      </w:r>
      <w:r>
        <w:rPr>
          <w:rFonts w:ascii="Times New Roman" w:cs="Times New Roman" w:eastAsia="Times New Roman" w:hAnsi="Times New Roman"/>
          <w:sz w:val="16"/>
          <w:szCs w:val="16"/>
          <w:color w:val="auto"/>
        </w:rPr>
        <w:t>12.2</w:t>
      </w:r>
      <w:r>
        <w:rPr>
          <w:sz w:val="20"/>
          <w:szCs w:val="20"/>
          <w:color w:val="auto"/>
        </w:rPr>
        <w:tab/>
      </w:r>
      <w:r>
        <w:rPr>
          <w:rFonts w:ascii="Times New Roman" w:cs="Times New Roman" w:eastAsia="Times New Roman" w:hAnsi="Times New Roman"/>
          <w:sz w:val="16"/>
          <w:szCs w:val="16"/>
          <w:color w:val="auto"/>
        </w:rPr>
        <w:t>11.0</w:t>
      </w:r>
    </w:p>
    <w:p>
      <w:pPr>
        <w:spacing w:after="0" w:line="176" w:lineRule="exact"/>
        <w:rPr>
          <w:sz w:val="20"/>
          <w:szCs w:val="20"/>
          <w:color w:val="auto"/>
        </w:rPr>
      </w:pPr>
    </w:p>
    <w:p>
      <w:pPr>
        <w:sectPr>
          <w:pgSz w:w="11900" w:h="16840" w:orient="portrait"/>
          <w:cols w:equalWidth="0" w:num="2">
            <w:col w:w="1960" w:space="240"/>
            <w:col w:w="7200"/>
          </w:cols>
          <w:pgMar w:left="1060" w:top="547" w:right="1440" w:bottom="248"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Matched share volume (in billions)</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625.7</w:t>
            </w:r>
          </w:p>
        </w:tc>
        <w:tc>
          <w:tcPr>
            <w:tcW w:w="200" w:type="dxa"/>
            <w:vAlign w:val="bottom"/>
          </w:tcPr>
          <w:p>
            <w:pPr>
              <w:spacing w:after="0"/>
              <w:rPr>
                <w:sz w:val="17"/>
                <w:szCs w:val="17"/>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479.4</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455.6</w:t>
            </w:r>
          </w:p>
        </w:tc>
      </w:tr>
      <w:tr>
        <w:trPr>
          <w:trHeight w:val="74"/>
        </w:trPr>
        <w:tc>
          <w:tcPr>
            <w:tcW w:w="2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44"/>
        </w:trPr>
        <w:tc>
          <w:tcPr>
            <w:tcW w:w="2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The Nasdaq Stock Market matched</w:t>
            </w:r>
          </w:p>
        </w:tc>
        <w:tc>
          <w:tcPr>
            <w:tcW w:w="60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13.9%</w:t>
            </w:r>
          </w:p>
        </w:tc>
        <w:tc>
          <w:tcPr>
            <w:tcW w:w="60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15.1%</w:t>
            </w:r>
          </w:p>
        </w:tc>
        <w:tc>
          <w:tcPr>
            <w:tcW w:w="6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15.8%</w:t>
            </w:r>
          </w:p>
        </w:tc>
      </w:tr>
      <w:tr>
        <w:trPr>
          <w:trHeight w:val="208"/>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share</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Nasdaq BX matched market share</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7"/>
                <w:szCs w:val="17"/>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0.4%</w:t>
            </w:r>
          </w:p>
        </w:tc>
      </w:tr>
      <w:tr>
        <w:trPr>
          <w:trHeight w:val="37"/>
        </w:trPr>
        <w:tc>
          <w:tcPr>
            <w:tcW w:w="2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0"/>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 PSX matched market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0.2%</w:t>
            </w:r>
          </w:p>
        </w:tc>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w:t>
            </w:r>
          </w:p>
        </w:tc>
      </w:tr>
      <w:tr>
        <w:trPr>
          <w:trHeight w:val="136"/>
        </w:trPr>
        <w:tc>
          <w:tcPr>
            <w:tcW w:w="21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matched market share</w:t>
            </w:r>
          </w:p>
        </w:tc>
        <w:tc>
          <w:tcPr>
            <w:tcW w:w="600" w:type="dxa"/>
            <w:vAlign w:val="bottom"/>
            <w:tcBorders>
              <w:top w:val="single" w:sz="8" w:color="auto"/>
            </w:tcBorders>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14.2%</w:t>
            </w:r>
          </w:p>
        </w:tc>
        <w:tc>
          <w:tcPr>
            <w:tcW w:w="20" w:type="dxa"/>
            <w:vAlign w:val="bottom"/>
          </w:tcPr>
          <w:p>
            <w:pPr>
              <w:spacing w:after="0"/>
              <w:rPr>
                <w:sz w:val="11"/>
                <w:szCs w:val="11"/>
                <w:color w:val="auto"/>
              </w:rPr>
            </w:pPr>
          </w:p>
        </w:tc>
        <w:tc>
          <w:tcPr>
            <w:tcW w:w="58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15.6%</w:t>
            </w: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16.5%</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executed on Nasdaq’s exchanges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8"/>
        </w:trPr>
        <w:tc>
          <w:tcPr>
            <w:tcW w:w="2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44"/>
        </w:trPr>
        <w:tc>
          <w:tcPr>
            <w:tcW w:w="2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Market share reported to the</w:t>
            </w:r>
          </w:p>
        </w:tc>
        <w:tc>
          <w:tcPr>
            <w:tcW w:w="60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47.8%</w:t>
            </w:r>
          </w:p>
        </w:tc>
        <w:tc>
          <w:tcPr>
            <w:tcW w:w="60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44.3%</w:t>
            </w:r>
          </w:p>
        </w:tc>
        <w:tc>
          <w:tcPr>
            <w:tcW w:w="6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36.7%</w:t>
            </w:r>
          </w:p>
        </w:tc>
      </w:tr>
      <w:tr>
        <w:trPr>
          <w:trHeight w:val="132"/>
        </w:trPr>
        <w:tc>
          <w:tcPr>
            <w:tcW w:w="2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FINRA/Nasdaq Trade Reporting</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240"/>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Facility</w:t>
            </w:r>
          </w:p>
        </w:tc>
        <w:tc>
          <w:tcPr>
            <w:tcW w:w="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19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Total market share</w:t>
            </w:r>
          </w:p>
        </w:tc>
        <w:tc>
          <w:tcPr>
            <w:tcW w:w="6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62.0%</w:t>
            </w:r>
          </w:p>
        </w:tc>
        <w:tc>
          <w:tcPr>
            <w:tcW w:w="20" w:type="dxa"/>
            <w:vAlign w:val="bottom"/>
          </w:tcPr>
          <w:p>
            <w:pPr>
              <w:spacing w:after="0"/>
              <w:rPr>
                <w:sz w:val="17"/>
                <w:szCs w:val="17"/>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59.9%</w:t>
            </w:r>
          </w:p>
        </w:tc>
        <w:tc>
          <w:tcPr>
            <w:tcW w:w="4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53.2%</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09"/>
        </w:trPr>
        <w:tc>
          <w:tcPr>
            <w:tcW w:w="2780" w:type="dxa"/>
            <w:vAlign w:val="bottom"/>
            <w:gridSpan w:val="3"/>
            <w:shd w:val="clear" w:color="auto" w:fill="CCEEFF"/>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Nasdaq Nordic and Nasdaq Baltic securities</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76"/>
        </w:trPr>
        <w:tc>
          <w:tcPr>
            <w:tcW w:w="218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Average daily number of equity</w:t>
            </w:r>
          </w:p>
        </w:tc>
        <w:tc>
          <w:tcPr>
            <w:tcW w:w="60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6"/>
                <w:szCs w:val="16"/>
                <w:color w:val="auto"/>
              </w:rPr>
              <w:t>710,314</w:t>
            </w:r>
          </w:p>
        </w:tc>
        <w:tc>
          <w:tcPr>
            <w:tcW w:w="6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651,455</w:t>
            </w:r>
          </w:p>
        </w:tc>
        <w:tc>
          <w:tcPr>
            <w:tcW w:w="6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666,411</w:t>
            </w:r>
          </w:p>
        </w:tc>
      </w:tr>
      <w:tr>
        <w:trPr>
          <w:trHeight w:val="132"/>
        </w:trPr>
        <w:tc>
          <w:tcPr>
            <w:tcW w:w="21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trades executed on Nasdaq’s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exchanges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76"/>
        </w:trPr>
        <w:tc>
          <w:tcPr>
            <w:tcW w:w="2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44"/>
        </w:trPr>
        <w:tc>
          <w:tcPr>
            <w:tcW w:w="2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Total average daily value of shares</w:t>
            </w:r>
          </w:p>
        </w:tc>
        <w:tc>
          <w:tcPr>
            <w:tcW w:w="4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$ 5.1</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$ 4.5</w:t>
            </w:r>
          </w:p>
        </w:tc>
        <w:tc>
          <w:tcPr>
            <w:tcW w:w="6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$ 4.5</w:t>
            </w:r>
          </w:p>
        </w:tc>
      </w:tr>
      <w:tr>
        <w:trPr>
          <w:trHeight w:val="208"/>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traded (in billions)</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Total market share executed on</w:t>
            </w:r>
          </w:p>
        </w:tc>
        <w:tc>
          <w:tcPr>
            <w:tcW w:w="60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6"/>
                <w:szCs w:val="16"/>
                <w:color w:val="auto"/>
              </w:rPr>
              <w:t>72.2%</w:t>
            </w:r>
          </w:p>
        </w:tc>
        <w:tc>
          <w:tcPr>
            <w:tcW w:w="6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72.6%</w:t>
            </w:r>
          </w:p>
        </w:tc>
        <w:tc>
          <w:tcPr>
            <w:tcW w:w="6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rPr>
              <w:t>71.0%</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Nasdaq’s exchanges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equity trading revenues and cash equity trading</w:t>
      </w:r>
    </w:p>
    <w:p>
      <w:pPr>
        <w:spacing w:after="0" w:line="203" w:lineRule="auto"/>
        <w:rPr>
          <w:sz w:val="20"/>
          <w:szCs w:val="20"/>
          <w:color w:val="auto"/>
        </w:rPr>
      </w:pPr>
      <w:r>
        <w:rPr>
          <w:rFonts w:ascii="Times New Roman" w:cs="Times New Roman" w:eastAsia="Times New Roman" w:hAnsi="Times New Roman"/>
          <w:sz w:val="16"/>
          <w:szCs w:val="16"/>
          <w:color w:val="auto"/>
        </w:rPr>
        <w:t>revenues, net increased for the year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compared with the same period in 2024 primarily due</w:t>
      </w:r>
    </w:p>
    <w:p>
      <w:pPr>
        <w:spacing w:after="0" w:line="203" w:lineRule="auto"/>
        <w:rPr>
          <w:sz w:val="20"/>
          <w:szCs w:val="20"/>
          <w:color w:val="auto"/>
        </w:rPr>
      </w:pPr>
      <w:r>
        <w:rPr>
          <w:rFonts w:ascii="Times New Roman" w:cs="Times New Roman" w:eastAsia="Times New Roman" w:hAnsi="Times New Roman"/>
          <w:sz w:val="16"/>
          <w:szCs w:val="16"/>
          <w:color w:val="auto"/>
        </w:rPr>
        <w:t>to higher U.S. and European industry trading volumes,</w:t>
      </w:r>
    </w:p>
    <w:p>
      <w:pPr>
        <w:spacing w:after="0" w:line="204" w:lineRule="auto"/>
        <w:rPr>
          <w:sz w:val="20"/>
          <w:szCs w:val="20"/>
          <w:color w:val="auto"/>
        </w:rPr>
      </w:pPr>
      <w:r>
        <w:rPr>
          <w:rFonts w:ascii="Times New Roman" w:cs="Times New Roman" w:eastAsia="Times New Roman" w:hAnsi="Times New Roman"/>
          <w:sz w:val="16"/>
          <w:szCs w:val="16"/>
          <w:color w:val="auto"/>
        </w:rPr>
        <w:t>partially offset by lower overall U.S. matched market share</w:t>
      </w:r>
    </w:p>
    <w:p>
      <w:pPr>
        <w:spacing w:after="0" w:line="203" w:lineRule="auto"/>
        <w:rPr>
          <w:sz w:val="20"/>
          <w:szCs w:val="20"/>
          <w:color w:val="auto"/>
        </w:rPr>
      </w:pPr>
      <w:r>
        <w:rPr>
          <w:rFonts w:ascii="Times New Roman" w:cs="Times New Roman" w:eastAsia="Times New Roman" w:hAnsi="Times New Roman"/>
          <w:sz w:val="16"/>
          <w:szCs w:val="16"/>
          <w:color w:val="auto"/>
        </w:rPr>
        <w:t>executed on Nasdaq's exchanges. Cash equity trading</w:t>
      </w:r>
    </w:p>
    <w:p>
      <w:pPr>
        <w:spacing w:after="0" w:line="204" w:lineRule="auto"/>
        <w:rPr>
          <w:sz w:val="20"/>
          <w:szCs w:val="20"/>
          <w:color w:val="auto"/>
        </w:rPr>
      </w:pPr>
      <w:r>
        <w:rPr>
          <w:rFonts w:ascii="Times New Roman" w:cs="Times New Roman" w:eastAsia="Times New Roman" w:hAnsi="Times New Roman"/>
          <w:sz w:val="16"/>
          <w:szCs w:val="16"/>
          <w:color w:val="auto"/>
        </w:rPr>
        <w:t>revenues, net was also partially offset by lower capture.</w:t>
      </w:r>
    </w:p>
    <w:p>
      <w:pPr>
        <w:spacing w:after="0" w:line="203" w:lineRule="auto"/>
        <w:rPr>
          <w:sz w:val="20"/>
          <w:szCs w:val="20"/>
          <w:color w:val="auto"/>
        </w:rPr>
      </w:pPr>
      <w:r>
        <w:rPr>
          <w:rFonts w:ascii="Times New Roman" w:cs="Times New Roman" w:eastAsia="Times New Roman" w:hAnsi="Times New Roman"/>
          <w:sz w:val="16"/>
          <w:szCs w:val="16"/>
          <w:color w:val="auto"/>
        </w:rPr>
        <w:t>Transaction rebates increased for the year ended December</w:t>
      </w:r>
    </w:p>
    <w:p>
      <w:pPr>
        <w:spacing w:after="0" w:line="204" w:lineRule="auto"/>
        <w:rPr>
          <w:sz w:val="20"/>
          <w:szCs w:val="20"/>
          <w:color w:val="auto"/>
        </w:rPr>
      </w:pPr>
      <w:r>
        <w:rPr>
          <w:rFonts w:ascii="Times New Roman" w:cs="Times New Roman" w:eastAsia="Times New Roman" w:hAnsi="Times New Roman"/>
          <w:sz w:val="16"/>
          <w:szCs w:val="16"/>
          <w:color w:val="auto"/>
        </w:rPr>
        <w:t>31, 2025 compared with the same period in 2024 primarily</w:t>
      </w:r>
    </w:p>
    <w:p>
      <w:pPr>
        <w:spacing w:after="0" w:line="203" w:lineRule="auto"/>
        <w:rPr>
          <w:sz w:val="20"/>
          <w:szCs w:val="20"/>
          <w:color w:val="auto"/>
        </w:rPr>
      </w:pPr>
      <w:r>
        <w:rPr>
          <w:rFonts w:ascii="Times New Roman" w:cs="Times New Roman" w:eastAsia="Times New Roman" w:hAnsi="Times New Roman"/>
          <w:sz w:val="16"/>
          <w:szCs w:val="16"/>
          <w:color w:val="auto"/>
        </w:rPr>
        <w:t>due to higher U.S. industry volumes and higher capture,</w:t>
      </w:r>
    </w:p>
    <w:p>
      <w:pPr>
        <w:spacing w:after="0" w:line="204" w:lineRule="auto"/>
        <w:rPr>
          <w:sz w:val="20"/>
          <w:szCs w:val="20"/>
          <w:color w:val="auto"/>
        </w:rPr>
      </w:pPr>
      <w:r>
        <w:rPr>
          <w:rFonts w:ascii="Times New Roman" w:cs="Times New Roman" w:eastAsia="Times New Roman" w:hAnsi="Times New Roman"/>
          <w:sz w:val="16"/>
          <w:szCs w:val="16"/>
          <w:color w:val="auto"/>
        </w:rPr>
        <w:t>partially offset by lower overall U.S. matched market share</w:t>
      </w:r>
    </w:p>
    <w:p>
      <w:pPr>
        <w:spacing w:after="0" w:line="204" w:lineRule="auto"/>
        <w:rPr>
          <w:sz w:val="20"/>
          <w:szCs w:val="20"/>
          <w:color w:val="auto"/>
        </w:rPr>
      </w:pPr>
      <w:r>
        <w:rPr>
          <w:rFonts w:ascii="Times New Roman" w:cs="Times New Roman" w:eastAsia="Times New Roman" w:hAnsi="Times New Roman"/>
          <w:sz w:val="16"/>
          <w:szCs w:val="16"/>
          <w:color w:val="auto"/>
        </w:rPr>
        <w:t>executed on Nasdaq’s exchanges. For The Nasdaq Stock</w:t>
      </w:r>
    </w:p>
    <w:p>
      <w:pPr>
        <w:spacing w:after="0" w:line="203" w:lineRule="auto"/>
        <w:rPr>
          <w:sz w:val="20"/>
          <w:szCs w:val="20"/>
          <w:color w:val="auto"/>
        </w:rPr>
      </w:pPr>
      <w:r>
        <w:rPr>
          <w:rFonts w:ascii="Times New Roman" w:cs="Times New Roman" w:eastAsia="Times New Roman" w:hAnsi="Times New Roman"/>
          <w:sz w:val="16"/>
          <w:szCs w:val="16"/>
          <w:color w:val="auto"/>
        </w:rPr>
        <w:t>Market and Nasdaq PSX, we credit a portion of the per share</w:t>
      </w:r>
    </w:p>
    <w:p>
      <w:pPr>
        <w:spacing w:after="0" w:line="204" w:lineRule="auto"/>
        <w:rPr>
          <w:sz w:val="20"/>
          <w:szCs w:val="20"/>
          <w:color w:val="auto"/>
        </w:rPr>
      </w:pPr>
      <w:r>
        <w:rPr>
          <w:rFonts w:ascii="Times New Roman" w:cs="Times New Roman" w:eastAsia="Times New Roman" w:hAnsi="Times New Roman"/>
          <w:sz w:val="16"/>
          <w:szCs w:val="16"/>
          <w:color w:val="auto"/>
        </w:rPr>
        <w:t>execution charge to the market participant that provides the</w:t>
      </w:r>
    </w:p>
    <w:p>
      <w:pPr>
        <w:spacing w:after="0" w:line="203" w:lineRule="auto"/>
        <w:rPr>
          <w:sz w:val="20"/>
          <w:szCs w:val="20"/>
          <w:color w:val="auto"/>
        </w:rPr>
      </w:pPr>
      <w:r>
        <w:rPr>
          <w:rFonts w:ascii="Times New Roman" w:cs="Times New Roman" w:eastAsia="Times New Roman" w:hAnsi="Times New Roman"/>
          <w:sz w:val="16"/>
          <w:szCs w:val="16"/>
          <w:color w:val="auto"/>
        </w:rPr>
        <w:t>liquidity, and for Nasdaq BX, we credit a portion of the per</w:t>
      </w:r>
    </w:p>
    <w:p>
      <w:pPr>
        <w:spacing w:after="0" w:line="204" w:lineRule="auto"/>
        <w:rPr>
          <w:sz w:val="20"/>
          <w:szCs w:val="20"/>
          <w:color w:val="auto"/>
        </w:rPr>
      </w:pPr>
      <w:r>
        <w:rPr>
          <w:rFonts w:ascii="Times New Roman" w:cs="Times New Roman" w:eastAsia="Times New Roman" w:hAnsi="Times New Roman"/>
          <w:sz w:val="16"/>
          <w:szCs w:val="16"/>
          <w:color w:val="auto"/>
        </w:rPr>
        <w:t>share execution charge to the market participant that takes the</w:t>
      </w:r>
    </w:p>
    <w:p>
      <w:pPr>
        <w:spacing w:after="0" w:line="203" w:lineRule="auto"/>
        <w:rPr>
          <w:sz w:val="20"/>
          <w:szCs w:val="20"/>
          <w:color w:val="auto"/>
        </w:rPr>
      </w:pPr>
      <w:r>
        <w:rPr>
          <w:rFonts w:ascii="Times New Roman" w:cs="Times New Roman" w:eastAsia="Times New Roman" w:hAnsi="Times New Roman"/>
          <w:sz w:val="16"/>
          <w:szCs w:val="16"/>
          <w:color w:val="auto"/>
        </w:rPr>
        <w:t>liquidity.</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U.S. Tape Plans</w:t>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 presents revenues from our U.S. Tape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plans business:</w:t>
      </w:r>
    </w:p>
    <w:p>
      <w:pPr>
        <w:sectPr>
          <w:pgSz w:w="11900" w:h="16840" w:orient="portrait"/>
          <w:cols w:equalWidth="0" w:num="1">
            <w:col w:w="9400"/>
          </w:cols>
          <w:pgMar w:left="1060" w:top="547" w:right="1440" w:bottom="248"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Change</w:t>
            </w:r>
          </w:p>
        </w:tc>
      </w:tr>
      <w:tr>
        <w:trPr>
          <w:trHeight w:val="52"/>
        </w:trPr>
        <w:tc>
          <w:tcPr>
            <w:tcW w:w="10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100"/>
        </w:trPr>
        <w:tc>
          <w:tcPr>
            <w:tcW w:w="1020" w:type="dxa"/>
            <w:vAlign w:val="bottom"/>
          </w:tcPr>
          <w:p>
            <w:pPr>
              <w:spacing w:after="0"/>
              <w:rPr>
                <w:sz w:val="8"/>
                <w:szCs w:val="8"/>
                <w:color w:val="auto"/>
              </w:rPr>
            </w:pPr>
          </w:p>
        </w:tc>
        <w:tc>
          <w:tcPr>
            <w:tcW w:w="58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8"/>
                <w:szCs w:val="8"/>
                <w:color w:val="auto"/>
              </w:rPr>
            </w:pPr>
          </w:p>
        </w:tc>
        <w:tc>
          <w:tcPr>
            <w:tcW w:w="54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 vs.</w:t>
            </w:r>
          </w:p>
        </w:tc>
        <w:tc>
          <w:tcPr>
            <w:tcW w:w="64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2024 vs.</w:t>
            </w:r>
          </w:p>
        </w:tc>
      </w:tr>
      <w:tr>
        <w:trPr>
          <w:trHeight w:val="142"/>
        </w:trPr>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10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34"/>
        </w:trPr>
        <w:tc>
          <w:tcPr>
            <w:tcW w:w="10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U.S. Tape</w:t>
            </w: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  139</w:t>
            </w: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125</w:t>
            </w: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  141</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11.1 %</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(11.5)%</w:t>
            </w: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plans</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-210185</wp:posOffset>
            </wp:positionV>
            <wp:extent cx="2560955" cy="236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0955" cy="236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U.S. Tape plans revenues increased for the year ended</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compared with the same period in 2024</w:t>
      </w:r>
    </w:p>
    <w:p>
      <w:pPr>
        <w:spacing w:after="0" w:line="204" w:lineRule="auto"/>
        <w:rPr>
          <w:sz w:val="20"/>
          <w:szCs w:val="20"/>
          <w:color w:val="auto"/>
        </w:rPr>
      </w:pPr>
      <w:r>
        <w:rPr>
          <w:rFonts w:ascii="Times New Roman" w:cs="Times New Roman" w:eastAsia="Times New Roman" w:hAnsi="Times New Roman"/>
          <w:sz w:val="16"/>
          <w:szCs w:val="16"/>
          <w:color w:val="auto"/>
        </w:rPr>
        <w:t>primarily due to higher market share, higher usage volume</w:t>
      </w:r>
    </w:p>
    <w:p>
      <w:pPr>
        <w:spacing w:after="0" w:line="203" w:lineRule="auto"/>
        <w:rPr>
          <w:sz w:val="20"/>
          <w:szCs w:val="20"/>
          <w:color w:val="auto"/>
        </w:rPr>
      </w:pPr>
      <w:r>
        <w:rPr>
          <w:rFonts w:ascii="Times New Roman" w:cs="Times New Roman" w:eastAsia="Times New Roman" w:hAnsi="Times New Roman"/>
          <w:sz w:val="16"/>
          <w:szCs w:val="16"/>
          <w:color w:val="auto"/>
        </w:rPr>
        <w:t>and higher one-time industry-wide adjustments.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Other</w:t>
      </w:r>
    </w:p>
    <w:p>
      <w:pPr>
        <w:spacing w:after="0" w:line="203" w:lineRule="auto"/>
        <w:rPr>
          <w:sz w:val="20"/>
          <w:szCs w:val="20"/>
          <w:color w:val="auto"/>
        </w:rPr>
      </w:pPr>
      <w:r>
        <w:rPr>
          <w:rFonts w:ascii="Times New Roman" w:cs="Times New Roman" w:eastAsia="Times New Roman" w:hAnsi="Times New Roman"/>
          <w:sz w:val="16"/>
          <w:szCs w:val="16"/>
          <w:color w:val="auto"/>
        </w:rPr>
        <w:t>Other includes Nordic fixed income trading and clearing,</w:t>
      </w:r>
    </w:p>
    <w:p>
      <w:pPr>
        <w:spacing w:after="0" w:line="204" w:lineRule="auto"/>
        <w:rPr>
          <w:sz w:val="20"/>
          <w:szCs w:val="20"/>
          <w:color w:val="auto"/>
        </w:rPr>
      </w:pPr>
      <w:r>
        <w:rPr>
          <w:rFonts w:ascii="Times New Roman" w:cs="Times New Roman" w:eastAsia="Times New Roman" w:hAnsi="Times New Roman"/>
          <w:sz w:val="16"/>
          <w:szCs w:val="16"/>
          <w:color w:val="auto"/>
        </w:rPr>
        <w:t>Nordic derivatives and Canadian cash equities trading. The</w:t>
      </w:r>
    </w:p>
    <w:p>
      <w:pPr>
        <w:spacing w:after="0" w:line="228" w:lineRule="auto"/>
        <w:rPr>
          <w:sz w:val="20"/>
          <w:szCs w:val="20"/>
          <w:color w:val="auto"/>
        </w:rPr>
      </w:pPr>
      <w:r>
        <w:rPr>
          <w:rFonts w:ascii="Times New Roman" w:cs="Times New Roman" w:eastAsia="Times New Roman" w:hAnsi="Times New Roman"/>
          <w:sz w:val="16"/>
          <w:szCs w:val="16"/>
          <w:color w:val="auto"/>
        </w:rPr>
        <w:t>following table presents revenues from our Other business:</w:t>
      </w:r>
    </w:p>
    <w:tbl>
      <w:tblPr>
        <w:tblLayout w:type="fixed"/>
        <w:tblInd w:w="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Change</w:t>
            </w:r>
          </w:p>
        </w:tc>
      </w:tr>
      <w:tr>
        <w:trPr>
          <w:trHeight w:val="50"/>
        </w:trPr>
        <w:tc>
          <w:tcPr>
            <w:tcW w:w="10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100"/>
        </w:trPr>
        <w:tc>
          <w:tcPr>
            <w:tcW w:w="1020" w:type="dxa"/>
            <w:vAlign w:val="bottom"/>
          </w:tcPr>
          <w:p>
            <w:pPr>
              <w:spacing w:after="0"/>
              <w:rPr>
                <w:sz w:val="8"/>
                <w:szCs w:val="8"/>
                <w:color w:val="auto"/>
              </w:rPr>
            </w:pPr>
          </w:p>
        </w:tc>
        <w:tc>
          <w:tcPr>
            <w:tcW w:w="58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8"/>
                <w:szCs w:val="8"/>
                <w:color w:val="auto"/>
              </w:rPr>
            </w:pPr>
          </w:p>
        </w:tc>
        <w:tc>
          <w:tcPr>
            <w:tcW w:w="54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 vs.</w:t>
            </w:r>
          </w:p>
        </w:tc>
        <w:tc>
          <w:tcPr>
            <w:tcW w:w="64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2024 vs.</w:t>
            </w:r>
          </w:p>
        </w:tc>
      </w:tr>
      <w:tr>
        <w:trPr>
          <w:trHeight w:val="142"/>
        </w:trPr>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10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34"/>
        </w:trPr>
        <w:tc>
          <w:tcPr>
            <w:tcW w:w="10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   84</w:t>
            </w: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70</w:t>
            </w: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   75</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18.9 %</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-120015</wp:posOffset>
            </wp:positionV>
            <wp:extent cx="2560955" cy="129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0955" cy="129540"/>
                    </a:xfrm>
                    <a:prstGeom prst="rect">
                      <a:avLst/>
                    </a:prstGeom>
                    <a:noFill/>
                  </pic:spPr>
                </pic:pic>
              </a:graphicData>
            </a:graphic>
          </wp:anchor>
        </w:drawing>
      </w:r>
    </w:p>
    <w:p>
      <w:pPr>
        <w:spacing w:after="0" w:line="212" w:lineRule="auto"/>
        <w:rPr>
          <w:sz w:val="20"/>
          <w:szCs w:val="20"/>
          <w:color w:val="auto"/>
        </w:rPr>
      </w:pPr>
      <w:r>
        <w:rPr>
          <w:rFonts w:ascii="Times New Roman" w:cs="Times New Roman" w:eastAsia="Times New Roman" w:hAnsi="Times New Roman"/>
          <w:sz w:val="16"/>
          <w:szCs w:val="16"/>
          <w:color w:val="auto"/>
        </w:rPr>
        <w:t>In the preceding tables, Other is presented net of Canadian</w:t>
      </w:r>
    </w:p>
    <w:p>
      <w:pPr>
        <w:spacing w:after="0" w:line="204" w:lineRule="auto"/>
        <w:rPr>
          <w:sz w:val="20"/>
          <w:szCs w:val="20"/>
          <w:color w:val="auto"/>
        </w:rPr>
      </w:pPr>
      <w:r>
        <w:rPr>
          <w:rFonts w:ascii="Times New Roman" w:cs="Times New Roman" w:eastAsia="Times New Roman" w:hAnsi="Times New Roman"/>
          <w:sz w:val="16"/>
          <w:szCs w:val="16"/>
          <w:color w:val="auto"/>
        </w:rPr>
        <w:t>cash equity transaction rebates of $29 million, $22 million</w:t>
      </w:r>
    </w:p>
    <w:p>
      <w:pPr>
        <w:spacing w:after="0" w:line="203" w:lineRule="auto"/>
        <w:rPr>
          <w:sz w:val="20"/>
          <w:szCs w:val="20"/>
          <w:color w:val="auto"/>
        </w:rPr>
      </w:pPr>
      <w:r>
        <w:rPr>
          <w:rFonts w:ascii="Times New Roman" w:cs="Times New Roman" w:eastAsia="Times New Roman" w:hAnsi="Times New Roman"/>
          <w:sz w:val="16"/>
          <w:szCs w:val="16"/>
          <w:color w:val="auto"/>
        </w:rPr>
        <w:t>and $20 million for the years ended December 31, 2025,</w:t>
      </w:r>
    </w:p>
    <w:p>
      <w:pPr>
        <w:spacing w:after="0" w:line="204" w:lineRule="auto"/>
        <w:rPr>
          <w:sz w:val="20"/>
          <w:szCs w:val="20"/>
          <w:color w:val="auto"/>
        </w:rPr>
      </w:pPr>
      <w:r>
        <w:rPr>
          <w:rFonts w:ascii="Times New Roman" w:cs="Times New Roman" w:eastAsia="Times New Roman" w:hAnsi="Times New Roman"/>
          <w:sz w:val="16"/>
          <w:szCs w:val="16"/>
          <w:color w:val="auto"/>
        </w:rPr>
        <w:t>2024 and 2023, respectively.</w:t>
      </w:r>
    </w:p>
    <w:p>
      <w:pPr>
        <w:spacing w:after="0" w:line="203" w:lineRule="auto"/>
        <w:rPr>
          <w:sz w:val="20"/>
          <w:szCs w:val="20"/>
          <w:color w:val="auto"/>
        </w:rPr>
      </w:pPr>
      <w:r>
        <w:rPr>
          <w:rFonts w:ascii="Times New Roman" w:cs="Times New Roman" w:eastAsia="Times New Roman" w:hAnsi="Times New Roman"/>
          <w:sz w:val="16"/>
          <w:szCs w:val="16"/>
          <w:color w:val="auto"/>
        </w:rPr>
        <w:t>Other revenues increased for the year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compared with the same period in 2024 due to an</w:t>
      </w:r>
    </w:p>
    <w:p>
      <w:pPr>
        <w:spacing w:after="0" w:line="204" w:lineRule="auto"/>
        <w:rPr>
          <w:sz w:val="20"/>
          <w:szCs w:val="20"/>
          <w:color w:val="auto"/>
        </w:rPr>
      </w:pPr>
      <w:r>
        <w:rPr>
          <w:rFonts w:ascii="Times New Roman" w:cs="Times New Roman" w:eastAsia="Times New Roman" w:hAnsi="Times New Roman"/>
          <w:sz w:val="16"/>
          <w:szCs w:val="16"/>
          <w:color w:val="auto"/>
        </w:rPr>
        <w:t>increase in Nordic equity derivatives revenues and Canadian</w:t>
      </w:r>
    </w:p>
    <w:p>
      <w:pPr>
        <w:spacing w:after="0" w:line="203" w:lineRule="auto"/>
        <w:rPr>
          <w:sz w:val="20"/>
          <w:szCs w:val="20"/>
          <w:color w:val="auto"/>
        </w:rPr>
      </w:pPr>
      <w:r>
        <w:rPr>
          <w:rFonts w:ascii="Times New Roman" w:cs="Times New Roman" w:eastAsia="Times New Roman" w:hAnsi="Times New Roman"/>
          <w:sz w:val="16"/>
          <w:szCs w:val="16"/>
          <w:color w:val="auto"/>
        </w:rPr>
        <w:t>cash equity revenues.</w:t>
      </w:r>
    </w:p>
    <w:p>
      <w:pPr>
        <w:spacing w:after="0"/>
        <w:rPr>
          <w:sz w:val="20"/>
          <w:szCs w:val="20"/>
          <w:color w:val="auto"/>
        </w:rPr>
      </w:pPr>
      <w:r>
        <w:rPr>
          <w:rFonts w:ascii="Times New Roman" w:cs="Times New Roman" w:eastAsia="Times New Roman" w:hAnsi="Times New Roman"/>
          <w:sz w:val="16"/>
          <w:szCs w:val="16"/>
          <w:b w:val="1"/>
          <w:bCs w:val="1"/>
          <w:color w:val="auto"/>
        </w:rPr>
        <w:t>Other Revenues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w:t>
      </w:r>
    </w:p>
    <w:p>
      <w:pPr>
        <w:spacing w:after="0" w:line="203" w:lineRule="auto"/>
        <w:rPr>
          <w:sz w:val="20"/>
          <w:szCs w:val="20"/>
          <w:color w:val="auto"/>
        </w:rPr>
      </w:pPr>
      <w:r>
        <w:rPr>
          <w:rFonts w:ascii="Times New Roman" w:cs="Times New Roman" w:eastAsia="Times New Roman" w:hAnsi="Times New Roman"/>
          <w:sz w:val="16"/>
          <w:szCs w:val="16"/>
          <w:color w:val="auto"/>
        </w:rPr>
        <w:t>The increase in compensation and benefits expense for the</w:t>
      </w:r>
    </w:p>
    <w:p>
      <w:pPr>
        <w:spacing w:after="0" w:line="204" w:lineRule="auto"/>
        <w:rPr>
          <w:sz w:val="20"/>
          <w:szCs w:val="20"/>
          <w:color w:val="auto"/>
        </w:rPr>
      </w:pPr>
      <w:r>
        <w:rPr>
          <w:rFonts w:ascii="Times New Roman" w:cs="Times New Roman" w:eastAsia="Times New Roman" w:hAnsi="Times New Roman"/>
          <w:sz w:val="16"/>
          <w:szCs w:val="16"/>
          <w:color w:val="auto"/>
        </w:rPr>
        <w:t>year ended December 31, 2025 compared with the same</w:t>
      </w:r>
    </w:p>
    <w:p>
      <w:pPr>
        <w:spacing w:after="0" w:line="203" w:lineRule="auto"/>
        <w:rPr>
          <w:sz w:val="20"/>
          <w:szCs w:val="20"/>
          <w:color w:val="auto"/>
        </w:rPr>
      </w:pPr>
      <w:r>
        <w:rPr>
          <w:rFonts w:ascii="Times New Roman" w:cs="Times New Roman" w:eastAsia="Times New Roman" w:hAnsi="Times New Roman"/>
          <w:sz w:val="16"/>
          <w:szCs w:val="16"/>
          <w:color w:val="auto"/>
        </w:rPr>
        <w:t>period in 2024 was primarily driven by increased headcount</w:t>
      </w:r>
    </w:p>
    <w:p>
      <w:pPr>
        <w:spacing w:after="0" w:line="204" w:lineRule="auto"/>
        <w:rPr>
          <w:sz w:val="20"/>
          <w:szCs w:val="20"/>
          <w:color w:val="auto"/>
        </w:rPr>
      </w:pPr>
      <w:r>
        <w:rPr>
          <w:rFonts w:ascii="Times New Roman" w:cs="Times New Roman" w:eastAsia="Times New Roman" w:hAnsi="Times New Roman"/>
          <w:sz w:val="16"/>
          <w:szCs w:val="16"/>
          <w:color w:val="auto"/>
        </w:rPr>
        <w:t>and higher incentive compensation and the unfavorable</w:t>
      </w:r>
    </w:p>
    <w:p>
      <w:pPr>
        <w:spacing w:after="0" w:line="203" w:lineRule="auto"/>
        <w:rPr>
          <w:sz w:val="20"/>
          <w:szCs w:val="20"/>
          <w:color w:val="auto"/>
        </w:rPr>
      </w:pPr>
      <w:r>
        <w:rPr>
          <w:rFonts w:ascii="Times New Roman" w:cs="Times New Roman" w:eastAsia="Times New Roman" w:hAnsi="Times New Roman"/>
          <w:sz w:val="16"/>
          <w:szCs w:val="16"/>
          <w:color w:val="auto"/>
        </w:rPr>
        <w:t>impact from changes in foreign currency rates. The increase</w:t>
      </w:r>
    </w:p>
    <w:p>
      <w:pPr>
        <w:spacing w:after="0" w:line="204" w:lineRule="auto"/>
        <w:rPr>
          <w:sz w:val="20"/>
          <w:szCs w:val="20"/>
          <w:color w:val="auto"/>
        </w:rPr>
      </w:pPr>
      <w:r>
        <w:rPr>
          <w:rFonts w:ascii="Times New Roman" w:cs="Times New Roman" w:eastAsia="Times New Roman" w:hAnsi="Times New Roman"/>
          <w:sz w:val="16"/>
          <w:szCs w:val="16"/>
          <w:color w:val="auto"/>
        </w:rPr>
        <w:t>in 2025 compared with the same period in 2024 was partially</w:t>
      </w:r>
    </w:p>
    <w:p>
      <w:pPr>
        <w:spacing w:after="0" w:line="203" w:lineRule="auto"/>
        <w:rPr>
          <w:sz w:val="20"/>
          <w:szCs w:val="20"/>
          <w:color w:val="auto"/>
        </w:rPr>
      </w:pPr>
      <w:r>
        <w:rPr>
          <w:rFonts w:ascii="Times New Roman" w:cs="Times New Roman" w:eastAsia="Times New Roman" w:hAnsi="Times New Roman"/>
          <w:sz w:val="16"/>
          <w:szCs w:val="16"/>
          <w:color w:val="auto"/>
        </w:rPr>
        <w:t>offset by a pre-tax charge of $23 million in the first quarter of</w:t>
      </w:r>
    </w:p>
    <w:p>
      <w:pPr>
        <w:spacing w:after="0" w:line="204" w:lineRule="auto"/>
        <w:rPr>
          <w:sz w:val="20"/>
          <w:szCs w:val="20"/>
          <w:color w:val="auto"/>
        </w:rPr>
      </w:pPr>
      <w:r>
        <w:rPr>
          <w:rFonts w:ascii="Times New Roman" w:cs="Times New Roman" w:eastAsia="Times New Roman" w:hAnsi="Times New Roman"/>
          <w:sz w:val="16"/>
          <w:szCs w:val="16"/>
          <w:color w:val="auto"/>
        </w:rPr>
        <w:t>2024 resulting from the finalization of the termination of our</w:t>
      </w:r>
    </w:p>
    <w:p>
      <w:pPr>
        <w:spacing w:after="0" w:line="203" w:lineRule="auto"/>
        <w:rPr>
          <w:sz w:val="20"/>
          <w:szCs w:val="20"/>
          <w:color w:val="auto"/>
        </w:rPr>
      </w:pPr>
      <w:r>
        <w:rPr>
          <w:rFonts w:ascii="Times New Roman" w:cs="Times New Roman" w:eastAsia="Times New Roman" w:hAnsi="Times New Roman"/>
          <w:sz w:val="16"/>
          <w:szCs w:val="16"/>
          <w:color w:val="auto"/>
        </w:rPr>
        <w:t>pension plan.</w:t>
      </w:r>
    </w:p>
    <w:p>
      <w:pPr>
        <w:spacing w:after="0" w:line="204" w:lineRule="auto"/>
        <w:rPr>
          <w:sz w:val="20"/>
          <w:szCs w:val="20"/>
          <w:color w:val="auto"/>
        </w:rPr>
      </w:pPr>
      <w:r>
        <w:rPr>
          <w:rFonts w:ascii="Times New Roman" w:cs="Times New Roman" w:eastAsia="Times New Roman" w:hAnsi="Times New Roman"/>
          <w:sz w:val="16"/>
          <w:szCs w:val="16"/>
          <w:color w:val="auto"/>
        </w:rPr>
        <w:t>Headcount, including employees of non-wholly owned</w:t>
      </w:r>
    </w:p>
    <w:p>
      <w:pPr>
        <w:spacing w:after="0" w:line="204" w:lineRule="auto"/>
        <w:rPr>
          <w:sz w:val="20"/>
          <w:szCs w:val="20"/>
          <w:color w:val="auto"/>
        </w:rPr>
      </w:pPr>
      <w:r>
        <w:rPr>
          <w:rFonts w:ascii="Times New Roman" w:cs="Times New Roman" w:eastAsia="Times New Roman" w:hAnsi="Times New Roman"/>
          <w:sz w:val="16"/>
          <w:szCs w:val="16"/>
          <w:color w:val="auto"/>
        </w:rPr>
        <w:t>consolidated subsidiaries, increased to 9,525 employees as of</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from 9,162 employees as of December</w:t>
      </w:r>
    </w:p>
    <w:p>
      <w:pPr>
        <w:spacing w:after="0" w:line="204" w:lineRule="auto"/>
        <w:rPr>
          <w:sz w:val="20"/>
          <w:szCs w:val="20"/>
          <w:color w:val="auto"/>
        </w:rPr>
      </w:pPr>
      <w:r>
        <w:rPr>
          <w:rFonts w:ascii="Times New Roman" w:cs="Times New Roman" w:eastAsia="Times New Roman" w:hAnsi="Times New Roman"/>
          <w:sz w:val="16"/>
          <w:szCs w:val="16"/>
          <w:color w:val="auto"/>
        </w:rPr>
        <w:t>31, 2024, as we support revenue growth and innovation.</w:t>
      </w:r>
    </w:p>
    <w:p>
      <w:pPr>
        <w:spacing w:after="0" w:line="203" w:lineRule="auto"/>
        <w:rPr>
          <w:sz w:val="20"/>
          <w:szCs w:val="20"/>
          <w:color w:val="auto"/>
        </w:rPr>
      </w:pPr>
      <w:r>
        <w:rPr>
          <w:rFonts w:ascii="Times New Roman" w:cs="Times New Roman" w:eastAsia="Times New Roman" w:hAnsi="Times New Roman"/>
          <w:sz w:val="16"/>
          <w:szCs w:val="16"/>
          <w:color w:val="auto"/>
        </w:rPr>
        <w:t>Professional and contract services expense increased for the</w:t>
      </w:r>
    </w:p>
    <w:p>
      <w:pPr>
        <w:spacing w:after="0" w:line="204" w:lineRule="auto"/>
        <w:rPr>
          <w:sz w:val="20"/>
          <w:szCs w:val="20"/>
          <w:color w:val="auto"/>
        </w:rPr>
      </w:pPr>
      <w:r>
        <w:rPr>
          <w:rFonts w:ascii="Times New Roman" w:cs="Times New Roman" w:eastAsia="Times New Roman" w:hAnsi="Times New Roman"/>
          <w:sz w:val="16"/>
          <w:szCs w:val="16"/>
          <w:color w:val="auto"/>
        </w:rPr>
        <w:t>year ended December 31, 2025 compared with the same</w:t>
      </w:r>
    </w:p>
    <w:p>
      <w:pPr>
        <w:spacing w:after="0" w:line="203" w:lineRule="auto"/>
        <w:rPr>
          <w:sz w:val="20"/>
          <w:szCs w:val="20"/>
          <w:color w:val="auto"/>
        </w:rPr>
      </w:pPr>
      <w:r>
        <w:rPr>
          <w:rFonts w:ascii="Times New Roman" w:cs="Times New Roman" w:eastAsia="Times New Roman" w:hAnsi="Times New Roman"/>
          <w:sz w:val="16"/>
          <w:szCs w:val="16"/>
          <w:color w:val="auto"/>
        </w:rPr>
        <w:t>period in 2024 primarily due to higher consulting fees,</w:t>
      </w:r>
    </w:p>
    <w:p>
      <w:pPr>
        <w:spacing w:after="0" w:line="204" w:lineRule="auto"/>
        <w:rPr>
          <w:sz w:val="20"/>
          <w:szCs w:val="20"/>
          <w:color w:val="auto"/>
        </w:rPr>
      </w:pPr>
      <w:r>
        <w:rPr>
          <w:rFonts w:ascii="Times New Roman" w:cs="Times New Roman" w:eastAsia="Times New Roman" w:hAnsi="Times New Roman"/>
          <w:sz w:val="16"/>
          <w:szCs w:val="16"/>
          <w:color w:val="auto"/>
        </w:rPr>
        <w:t>partially offset by lower legal fee accruals.</w:t>
      </w:r>
    </w:p>
    <w:p>
      <w:pPr>
        <w:spacing w:after="0" w:line="203" w:lineRule="auto"/>
        <w:rPr>
          <w:sz w:val="20"/>
          <w:szCs w:val="20"/>
          <w:color w:val="auto"/>
        </w:rPr>
      </w:pPr>
      <w:r>
        <w:rPr>
          <w:rFonts w:ascii="Times New Roman" w:cs="Times New Roman" w:eastAsia="Times New Roman" w:hAnsi="Times New Roman"/>
          <w:sz w:val="16"/>
          <w:szCs w:val="16"/>
          <w:color w:val="auto"/>
        </w:rPr>
        <w:t>Technology and communication infrastructure expense</w:t>
      </w:r>
    </w:p>
    <w:p>
      <w:pPr>
        <w:spacing w:after="0" w:line="204" w:lineRule="auto"/>
        <w:rPr>
          <w:sz w:val="20"/>
          <w:szCs w:val="20"/>
          <w:color w:val="auto"/>
        </w:rPr>
      </w:pPr>
      <w:r>
        <w:rPr>
          <w:rFonts w:ascii="Times New Roman" w:cs="Times New Roman" w:eastAsia="Times New Roman" w:hAnsi="Times New Roman"/>
          <w:sz w:val="16"/>
          <w:szCs w:val="16"/>
          <w:color w:val="auto"/>
        </w:rPr>
        <w:t>increased for the year ended December 31, 2025 compared</w:t>
      </w:r>
    </w:p>
    <w:p>
      <w:pPr>
        <w:spacing w:after="0" w:line="204" w:lineRule="auto"/>
        <w:rPr>
          <w:sz w:val="20"/>
          <w:szCs w:val="20"/>
          <w:color w:val="auto"/>
        </w:rPr>
      </w:pPr>
      <w:r>
        <w:rPr>
          <w:rFonts w:ascii="Times New Roman" w:cs="Times New Roman" w:eastAsia="Times New Roman" w:hAnsi="Times New Roman"/>
          <w:sz w:val="16"/>
          <w:szCs w:val="16"/>
          <w:color w:val="auto"/>
        </w:rPr>
        <w:t>with the same period in 2024 primarily due to increased</w:t>
      </w:r>
    </w:p>
    <w:p>
      <w:pPr>
        <w:spacing w:after="0" w:line="203" w:lineRule="auto"/>
        <w:rPr>
          <w:sz w:val="20"/>
          <w:szCs w:val="20"/>
          <w:color w:val="auto"/>
        </w:rPr>
      </w:pPr>
      <w:r>
        <w:rPr>
          <w:rFonts w:ascii="Times New Roman" w:cs="Times New Roman" w:eastAsia="Times New Roman" w:hAnsi="Times New Roman"/>
          <w:sz w:val="16"/>
          <w:szCs w:val="16"/>
          <w:color w:val="auto"/>
        </w:rPr>
        <w:t>investment in technology, particularly our cloud initiatives</w:t>
      </w:r>
    </w:p>
    <w:p>
      <w:pPr>
        <w:spacing w:after="0" w:line="204" w:lineRule="auto"/>
        <w:rPr>
          <w:sz w:val="20"/>
          <w:szCs w:val="20"/>
          <w:color w:val="auto"/>
        </w:rPr>
      </w:pPr>
      <w:r>
        <w:rPr>
          <w:rFonts w:ascii="Times New Roman" w:cs="Times New Roman" w:eastAsia="Times New Roman" w:hAnsi="Times New Roman"/>
          <w:sz w:val="16"/>
          <w:szCs w:val="16"/>
          <w:color w:val="auto"/>
        </w:rPr>
        <w:t>and software licensing.</w:t>
      </w:r>
    </w:p>
    <w:p>
      <w:pPr>
        <w:spacing w:after="0" w:line="203" w:lineRule="auto"/>
        <w:rPr>
          <w:sz w:val="20"/>
          <w:szCs w:val="20"/>
          <w:color w:val="auto"/>
        </w:rPr>
      </w:pPr>
      <w:r>
        <w:rPr>
          <w:rFonts w:ascii="Times New Roman" w:cs="Times New Roman" w:eastAsia="Times New Roman" w:hAnsi="Times New Roman"/>
          <w:sz w:val="16"/>
          <w:szCs w:val="16"/>
          <w:color w:val="auto"/>
        </w:rPr>
        <w:t>Occupancy expense increased for the year ended December</w:t>
      </w:r>
    </w:p>
    <w:p>
      <w:pPr>
        <w:spacing w:after="0" w:line="204" w:lineRule="auto"/>
        <w:rPr>
          <w:sz w:val="20"/>
          <w:szCs w:val="20"/>
          <w:color w:val="auto"/>
        </w:rPr>
      </w:pPr>
      <w:r>
        <w:rPr>
          <w:rFonts w:ascii="Times New Roman" w:cs="Times New Roman" w:eastAsia="Times New Roman" w:hAnsi="Times New Roman"/>
          <w:sz w:val="16"/>
          <w:szCs w:val="16"/>
          <w:color w:val="auto"/>
        </w:rPr>
        <w:t>31, 2025 compared with the same period in 2024 primarily</w:t>
      </w:r>
    </w:p>
    <w:p>
      <w:pPr>
        <w:spacing w:after="0" w:line="203" w:lineRule="auto"/>
        <w:rPr>
          <w:sz w:val="20"/>
          <w:szCs w:val="20"/>
          <w:color w:val="auto"/>
        </w:rPr>
      </w:pPr>
      <w:r>
        <w:rPr>
          <w:rFonts w:ascii="Times New Roman" w:cs="Times New Roman" w:eastAsia="Times New Roman" w:hAnsi="Times New Roman"/>
          <w:sz w:val="16"/>
          <w:szCs w:val="16"/>
          <w:color w:val="auto"/>
        </w:rPr>
        <w:t>due to colocation data center growth.</w:t>
      </w:r>
    </w:p>
    <w:p>
      <w:pPr>
        <w:spacing w:after="0" w:line="204" w:lineRule="auto"/>
        <w:rPr>
          <w:sz w:val="20"/>
          <w:szCs w:val="20"/>
          <w:color w:val="auto"/>
        </w:rPr>
      </w:pPr>
      <w:r>
        <w:rPr>
          <w:rFonts w:ascii="Times New Roman" w:cs="Times New Roman" w:eastAsia="Times New Roman" w:hAnsi="Times New Roman"/>
          <w:sz w:val="16"/>
          <w:szCs w:val="16"/>
          <w:color w:val="auto"/>
        </w:rPr>
        <w:t>General, administrative and other expense decreased for the</w:t>
      </w:r>
    </w:p>
    <w:p>
      <w:pPr>
        <w:spacing w:after="0" w:line="203" w:lineRule="auto"/>
        <w:rPr>
          <w:sz w:val="20"/>
          <w:szCs w:val="20"/>
          <w:color w:val="auto"/>
        </w:rPr>
      </w:pPr>
      <w:r>
        <w:rPr>
          <w:rFonts w:ascii="Times New Roman" w:cs="Times New Roman" w:eastAsia="Times New Roman" w:hAnsi="Times New Roman"/>
          <w:sz w:val="16"/>
          <w:szCs w:val="16"/>
          <w:color w:val="auto"/>
        </w:rPr>
        <w:t>year ended December 31, 2025 compared with the same</w:t>
      </w:r>
    </w:p>
    <w:p>
      <w:pPr>
        <w:spacing w:after="0" w:line="204" w:lineRule="auto"/>
        <w:rPr>
          <w:sz w:val="20"/>
          <w:szCs w:val="20"/>
          <w:color w:val="auto"/>
        </w:rPr>
      </w:pPr>
      <w:r>
        <w:rPr>
          <w:rFonts w:ascii="Times New Roman" w:cs="Times New Roman" w:eastAsia="Times New Roman" w:hAnsi="Times New Roman"/>
          <w:sz w:val="16"/>
          <w:szCs w:val="16"/>
          <w:color w:val="auto"/>
        </w:rPr>
        <w:t>period in 2024 primarily due to a gain on extinguishment of</w:t>
      </w:r>
    </w:p>
    <w:p>
      <w:pPr>
        <w:spacing w:after="0" w:line="203" w:lineRule="auto"/>
        <w:rPr>
          <w:sz w:val="20"/>
          <w:szCs w:val="20"/>
          <w:color w:val="auto"/>
        </w:rPr>
      </w:pPr>
      <w:r>
        <w:rPr>
          <w:rFonts w:ascii="Times New Roman" w:cs="Times New Roman" w:eastAsia="Times New Roman" w:hAnsi="Times New Roman"/>
          <w:sz w:val="16"/>
          <w:szCs w:val="16"/>
          <w:color w:val="auto"/>
        </w:rPr>
        <w:t>debt recorded for the year ended December 31, 2025 as well</w:t>
      </w:r>
    </w:p>
    <w:p>
      <w:pPr>
        <w:spacing w:after="0" w:line="204" w:lineRule="auto"/>
        <w:rPr>
          <w:sz w:val="20"/>
          <w:szCs w:val="20"/>
          <w:color w:val="auto"/>
        </w:rPr>
      </w:pPr>
      <w:r>
        <w:rPr>
          <w:rFonts w:ascii="Times New Roman" w:cs="Times New Roman" w:eastAsia="Times New Roman" w:hAnsi="Times New Roman"/>
          <w:sz w:val="16"/>
          <w:szCs w:val="16"/>
          <w:color w:val="auto"/>
        </w:rPr>
        <w:t>as the change in classification of costs related to the CAT</w:t>
      </w:r>
    </w:p>
    <w:p>
      <w:pPr>
        <w:spacing w:after="0" w:line="204" w:lineRule="auto"/>
        <w:rPr>
          <w:sz w:val="20"/>
          <w:szCs w:val="20"/>
          <w:color w:val="auto"/>
        </w:rPr>
      </w:pPr>
      <w:r>
        <w:rPr>
          <w:rFonts w:ascii="Times New Roman" w:cs="Times New Roman" w:eastAsia="Times New Roman" w:hAnsi="Times New Roman"/>
          <w:sz w:val="16"/>
          <w:szCs w:val="16"/>
          <w:color w:val="auto"/>
        </w:rPr>
        <w:t>from general, administrative and other expense to regulatory</w:t>
      </w:r>
    </w:p>
    <w:p>
      <w:pPr>
        <w:spacing w:after="0" w:line="203" w:lineRule="auto"/>
        <w:rPr>
          <w:sz w:val="20"/>
          <w:szCs w:val="20"/>
          <w:color w:val="auto"/>
        </w:rPr>
      </w:pPr>
      <w:r>
        <w:rPr>
          <w:rFonts w:ascii="Times New Roman" w:cs="Times New Roman" w:eastAsia="Times New Roman" w:hAnsi="Times New Roman"/>
          <w:sz w:val="16"/>
          <w:szCs w:val="16"/>
          <w:color w:val="auto"/>
        </w:rPr>
        <w:t>expense, beginning in the fourth quarter of 2024. See Note 9,</w:t>
      </w:r>
    </w:p>
    <w:p>
      <w:pPr>
        <w:spacing w:after="0" w:line="204" w:lineRule="auto"/>
        <w:rPr>
          <w:sz w:val="20"/>
          <w:szCs w:val="20"/>
          <w:color w:val="auto"/>
        </w:rPr>
      </w:pPr>
      <w:r>
        <w:rPr>
          <w:rFonts w:ascii="Times New Roman" w:cs="Times New Roman" w:eastAsia="Times New Roman" w:hAnsi="Times New Roman"/>
          <w:sz w:val="16"/>
          <w:szCs w:val="16"/>
          <w:color w:val="auto"/>
        </w:rPr>
        <w:t>“Debt Obligations,” to the consolidated financial statements</w:t>
      </w:r>
    </w:p>
    <w:p>
      <w:pPr>
        <w:spacing w:after="0" w:line="203" w:lineRule="auto"/>
        <w:rPr>
          <w:sz w:val="20"/>
          <w:szCs w:val="20"/>
          <w:color w:val="auto"/>
        </w:rPr>
      </w:pPr>
      <w:r>
        <w:rPr>
          <w:rFonts w:ascii="Times New Roman" w:cs="Times New Roman" w:eastAsia="Times New Roman" w:hAnsi="Times New Roman"/>
          <w:sz w:val="16"/>
          <w:szCs w:val="16"/>
          <w:color w:val="auto"/>
        </w:rPr>
        <w:t>for further discussion of the gain on extinguishment of debt.</w:t>
      </w:r>
    </w:p>
    <w:p>
      <w:pPr>
        <w:spacing w:after="0" w:line="204" w:lineRule="auto"/>
        <w:rPr>
          <w:sz w:val="20"/>
          <w:szCs w:val="20"/>
          <w:color w:val="auto"/>
        </w:rPr>
      </w:pPr>
      <w:r>
        <w:rPr>
          <w:rFonts w:ascii="Times New Roman" w:cs="Times New Roman" w:eastAsia="Times New Roman" w:hAnsi="Times New Roman"/>
          <w:sz w:val="16"/>
          <w:szCs w:val="16"/>
          <w:color w:val="auto"/>
        </w:rPr>
        <w:t>Marketing and advertising expense increased for the year</w:t>
      </w:r>
    </w:p>
    <w:p>
      <w:pPr>
        <w:spacing w:after="0" w:line="203" w:lineRule="auto"/>
        <w:rPr>
          <w:sz w:val="20"/>
          <w:szCs w:val="20"/>
          <w:color w:val="auto"/>
        </w:rPr>
      </w:pPr>
      <w:r>
        <w:rPr>
          <w:rFonts w:ascii="Times New Roman" w:cs="Times New Roman" w:eastAsia="Times New Roman" w:hAnsi="Times New Roman"/>
          <w:sz w:val="16"/>
          <w:szCs w:val="16"/>
          <w:color w:val="auto"/>
        </w:rPr>
        <w:t>ended December 31, 2025 compared with the same period in</w:t>
      </w:r>
    </w:p>
    <w:p>
      <w:pPr>
        <w:spacing w:after="0" w:line="204" w:lineRule="auto"/>
        <w:rPr>
          <w:sz w:val="20"/>
          <w:szCs w:val="20"/>
          <w:color w:val="auto"/>
        </w:rPr>
      </w:pPr>
      <w:r>
        <w:rPr>
          <w:rFonts w:ascii="Times New Roman" w:cs="Times New Roman" w:eastAsia="Times New Roman" w:hAnsi="Times New Roman"/>
          <w:sz w:val="16"/>
          <w:szCs w:val="16"/>
          <w:color w:val="auto"/>
        </w:rPr>
        <w:t>2024 primarily due to higher marketing expense resulting</w:t>
      </w:r>
    </w:p>
    <w:p>
      <w:pPr>
        <w:spacing w:after="0" w:line="203" w:lineRule="auto"/>
        <w:rPr>
          <w:sz w:val="20"/>
          <w:szCs w:val="20"/>
          <w:color w:val="auto"/>
        </w:rPr>
      </w:pPr>
      <w:r>
        <w:rPr>
          <w:rFonts w:ascii="Times New Roman" w:cs="Times New Roman" w:eastAsia="Times New Roman" w:hAnsi="Times New Roman"/>
          <w:sz w:val="16"/>
          <w:szCs w:val="16"/>
          <w:color w:val="auto"/>
        </w:rPr>
        <w:t>from higher IPO activity.</w:t>
      </w:r>
    </w:p>
    <w:p>
      <w:pPr>
        <w:spacing w:after="0" w:line="204" w:lineRule="auto"/>
        <w:rPr>
          <w:sz w:val="20"/>
          <w:szCs w:val="20"/>
          <w:color w:val="auto"/>
        </w:rPr>
      </w:pPr>
      <w:r>
        <w:rPr>
          <w:rFonts w:ascii="Times New Roman" w:cs="Times New Roman" w:eastAsia="Times New Roman" w:hAnsi="Times New Roman"/>
          <w:sz w:val="16"/>
          <w:szCs w:val="16"/>
          <w:color w:val="auto"/>
        </w:rPr>
        <w:t>Depreciation and amortization expense increased for the year</w:t>
      </w:r>
    </w:p>
    <w:p>
      <w:pPr>
        <w:spacing w:after="0" w:line="204" w:lineRule="auto"/>
        <w:rPr>
          <w:sz w:val="20"/>
          <w:szCs w:val="20"/>
          <w:color w:val="auto"/>
        </w:rPr>
      </w:pPr>
      <w:r>
        <w:rPr>
          <w:rFonts w:ascii="Times New Roman" w:cs="Times New Roman" w:eastAsia="Times New Roman" w:hAnsi="Times New Roman"/>
          <w:sz w:val="16"/>
          <w:szCs w:val="16"/>
          <w:color w:val="auto"/>
        </w:rPr>
        <w:t>ended December 31, 2025 compared with the same period in</w:t>
      </w:r>
    </w:p>
    <w:p>
      <w:pPr>
        <w:spacing w:after="0" w:line="203" w:lineRule="auto"/>
        <w:rPr>
          <w:sz w:val="20"/>
          <w:szCs w:val="20"/>
          <w:color w:val="auto"/>
        </w:rPr>
      </w:pPr>
      <w:r>
        <w:rPr>
          <w:rFonts w:ascii="Times New Roman" w:cs="Times New Roman" w:eastAsia="Times New Roman" w:hAnsi="Times New Roman"/>
          <w:sz w:val="16"/>
          <w:szCs w:val="16"/>
          <w:color w:val="auto"/>
        </w:rPr>
        <w:t>2024 due to increased depreciation of capitalized software</w:t>
      </w:r>
    </w:p>
    <w:p>
      <w:pPr>
        <w:spacing w:after="0" w:line="204" w:lineRule="auto"/>
        <w:rPr>
          <w:sz w:val="20"/>
          <w:szCs w:val="20"/>
          <w:color w:val="auto"/>
        </w:rPr>
      </w:pPr>
      <w:r>
        <w:rPr>
          <w:rFonts w:ascii="Times New Roman" w:cs="Times New Roman" w:eastAsia="Times New Roman" w:hAnsi="Times New Roman"/>
          <w:sz w:val="16"/>
          <w:szCs w:val="16"/>
          <w:color w:val="auto"/>
        </w:rPr>
        <w:t>projects.</w:t>
      </w:r>
    </w:p>
    <w:p>
      <w:pPr>
        <w:spacing w:after="0" w:line="203" w:lineRule="auto"/>
        <w:rPr>
          <w:sz w:val="20"/>
          <w:szCs w:val="20"/>
          <w:color w:val="auto"/>
        </w:rPr>
      </w:pPr>
      <w:r>
        <w:rPr>
          <w:rFonts w:ascii="Times New Roman" w:cs="Times New Roman" w:eastAsia="Times New Roman" w:hAnsi="Times New Roman"/>
          <w:sz w:val="16"/>
          <w:szCs w:val="16"/>
          <w:color w:val="auto"/>
        </w:rPr>
        <w:t>Regulatory expense decreased for the year ended December</w:t>
      </w:r>
    </w:p>
    <w:p>
      <w:pPr>
        <w:spacing w:after="0" w:line="204" w:lineRule="auto"/>
        <w:rPr>
          <w:sz w:val="20"/>
          <w:szCs w:val="20"/>
          <w:color w:val="auto"/>
        </w:rPr>
      </w:pPr>
      <w:r>
        <w:rPr>
          <w:rFonts w:ascii="Times New Roman" w:cs="Times New Roman" w:eastAsia="Times New Roman" w:hAnsi="Times New Roman"/>
          <w:sz w:val="16"/>
          <w:szCs w:val="16"/>
          <w:color w:val="auto"/>
        </w:rPr>
        <w:t>31, 2025 compared with the same period in 2024 primarily</w:t>
      </w:r>
    </w:p>
    <w:p>
      <w:pPr>
        <w:spacing w:after="0" w:line="203" w:lineRule="auto"/>
        <w:rPr>
          <w:sz w:val="20"/>
          <w:szCs w:val="20"/>
          <w:color w:val="auto"/>
        </w:rPr>
      </w:pPr>
      <w:r>
        <w:rPr>
          <w:rFonts w:ascii="Times New Roman" w:cs="Times New Roman" w:eastAsia="Times New Roman" w:hAnsi="Times New Roman"/>
          <w:sz w:val="16"/>
          <w:szCs w:val="16"/>
          <w:color w:val="auto"/>
        </w:rPr>
        <w:t>due to the settlement of an SFSA fine in 2024, partially offset</w:t>
      </w:r>
    </w:p>
    <w:p>
      <w:pPr>
        <w:spacing w:after="0" w:line="204" w:lineRule="auto"/>
        <w:rPr>
          <w:sz w:val="20"/>
          <w:szCs w:val="20"/>
          <w:color w:val="auto"/>
        </w:rPr>
      </w:pPr>
      <w:r>
        <w:rPr>
          <w:rFonts w:ascii="Times New Roman" w:cs="Times New Roman" w:eastAsia="Times New Roman" w:hAnsi="Times New Roman"/>
          <w:sz w:val="16"/>
          <w:szCs w:val="16"/>
          <w:color w:val="auto"/>
        </w:rPr>
        <w:t>by an increase relating to a change in classification of costs</w:t>
      </w:r>
    </w:p>
    <w:p>
      <w:pPr>
        <w:spacing w:after="0" w:line="203" w:lineRule="auto"/>
        <w:rPr>
          <w:sz w:val="20"/>
          <w:szCs w:val="20"/>
          <w:color w:val="auto"/>
        </w:rPr>
      </w:pPr>
      <w:r>
        <w:rPr>
          <w:rFonts w:ascii="Times New Roman" w:cs="Times New Roman" w:eastAsia="Times New Roman" w:hAnsi="Times New Roman"/>
          <w:sz w:val="16"/>
          <w:szCs w:val="16"/>
          <w:color w:val="auto"/>
        </w:rPr>
        <w:t>related to the CAT described above.</w:t>
      </w:r>
    </w:p>
    <w:p>
      <w:pPr>
        <w:spacing w:after="0" w:line="204" w:lineRule="auto"/>
        <w:rPr>
          <w:sz w:val="20"/>
          <w:szCs w:val="20"/>
          <w:color w:val="auto"/>
        </w:rPr>
      </w:pPr>
      <w:r>
        <w:rPr>
          <w:rFonts w:ascii="Times New Roman" w:cs="Times New Roman" w:eastAsia="Times New Roman" w:hAnsi="Times New Roman"/>
          <w:sz w:val="16"/>
          <w:szCs w:val="16"/>
          <w:color w:val="auto"/>
        </w:rPr>
        <w:t>We have pursued various strategic initiatives and completed</w:t>
      </w:r>
    </w:p>
    <w:p>
      <w:pPr>
        <w:spacing w:after="0" w:line="203" w:lineRule="auto"/>
        <w:rPr>
          <w:sz w:val="20"/>
          <w:szCs w:val="20"/>
          <w:color w:val="auto"/>
        </w:rPr>
      </w:pPr>
      <w:r>
        <w:rPr>
          <w:rFonts w:ascii="Times New Roman" w:cs="Times New Roman" w:eastAsia="Times New Roman" w:hAnsi="Times New Roman"/>
          <w:sz w:val="16"/>
          <w:szCs w:val="16"/>
          <w:color w:val="auto"/>
        </w:rPr>
        <w:t>acquisitions and divestitures in recent years, which have</w:t>
      </w:r>
    </w:p>
    <w:p>
      <w:pPr>
        <w:spacing w:after="0" w:line="204" w:lineRule="auto"/>
        <w:rPr>
          <w:sz w:val="20"/>
          <w:szCs w:val="20"/>
          <w:color w:val="auto"/>
        </w:rPr>
      </w:pPr>
      <w:r>
        <w:rPr>
          <w:rFonts w:ascii="Times New Roman" w:cs="Times New Roman" w:eastAsia="Times New Roman" w:hAnsi="Times New Roman"/>
          <w:sz w:val="16"/>
          <w:szCs w:val="16"/>
          <w:color w:val="auto"/>
        </w:rPr>
        <w:t>resulted in expenses which would not have otherwise been</w:t>
      </w:r>
    </w:p>
    <w:p>
      <w:pPr>
        <w:spacing w:after="0" w:line="204" w:lineRule="auto"/>
        <w:rPr>
          <w:sz w:val="20"/>
          <w:szCs w:val="20"/>
          <w:color w:val="auto"/>
        </w:rPr>
      </w:pPr>
      <w:r>
        <w:rPr>
          <w:rFonts w:ascii="Times New Roman" w:cs="Times New Roman" w:eastAsia="Times New Roman" w:hAnsi="Times New Roman"/>
          <w:sz w:val="16"/>
          <w:szCs w:val="16"/>
          <w:color w:val="auto"/>
        </w:rPr>
        <w:t>incurred. These expenses generally include integration costs,</w:t>
      </w:r>
    </w:p>
    <w:p>
      <w:pPr>
        <w:spacing w:after="0" w:line="203" w:lineRule="auto"/>
        <w:rPr>
          <w:sz w:val="20"/>
          <w:szCs w:val="20"/>
          <w:color w:val="auto"/>
        </w:rPr>
      </w:pPr>
      <w:r>
        <w:rPr>
          <w:rFonts w:ascii="Times New Roman" w:cs="Times New Roman" w:eastAsia="Times New Roman" w:hAnsi="Times New Roman"/>
          <w:sz w:val="16"/>
          <w:szCs w:val="16"/>
          <w:color w:val="auto"/>
        </w:rPr>
        <w:t>as well as legal, due diligence and other third-party</w:t>
      </w:r>
    </w:p>
    <w:p>
      <w:pPr>
        <w:spacing w:after="0" w:line="204" w:lineRule="auto"/>
        <w:rPr>
          <w:sz w:val="20"/>
          <w:szCs w:val="20"/>
          <w:color w:val="auto"/>
        </w:rPr>
      </w:pPr>
      <w:r>
        <w:rPr>
          <w:rFonts w:ascii="Times New Roman" w:cs="Times New Roman" w:eastAsia="Times New Roman" w:hAnsi="Times New Roman"/>
          <w:sz w:val="16"/>
          <w:szCs w:val="16"/>
          <w:color w:val="auto"/>
        </w:rPr>
        <w:t>transaction costs and vary based on the size and frequency of</w:t>
      </w:r>
    </w:p>
    <w:p>
      <w:pPr>
        <w:spacing w:after="0" w:line="203" w:lineRule="auto"/>
        <w:rPr>
          <w:sz w:val="20"/>
          <w:szCs w:val="20"/>
          <w:color w:val="auto"/>
        </w:rPr>
      </w:pPr>
      <w:r>
        <w:rPr>
          <w:rFonts w:ascii="Times New Roman" w:cs="Times New Roman" w:eastAsia="Times New Roman" w:hAnsi="Times New Roman"/>
          <w:sz w:val="16"/>
          <w:szCs w:val="16"/>
          <w:color w:val="auto"/>
        </w:rPr>
        <w:t>the activities described above. For the years ended December</w:t>
      </w:r>
    </w:p>
    <w:p>
      <w:pPr>
        <w:spacing w:after="0" w:line="204" w:lineRule="auto"/>
        <w:rPr>
          <w:sz w:val="20"/>
          <w:szCs w:val="20"/>
          <w:color w:val="auto"/>
        </w:rPr>
      </w:pPr>
      <w:r>
        <w:rPr>
          <w:rFonts w:ascii="Times New Roman" w:cs="Times New Roman" w:eastAsia="Times New Roman" w:hAnsi="Times New Roman"/>
          <w:sz w:val="16"/>
          <w:szCs w:val="16"/>
          <w:color w:val="auto"/>
        </w:rPr>
        <w:t>31, 2025, and 2024, these costs included Adenza integration</w:t>
      </w:r>
    </w:p>
    <w:p>
      <w:pPr>
        <w:spacing w:after="0" w:line="203" w:lineRule="auto"/>
        <w:rPr>
          <w:sz w:val="20"/>
          <w:szCs w:val="20"/>
          <w:color w:val="auto"/>
        </w:rPr>
      </w:pPr>
      <w:r>
        <w:rPr>
          <w:rFonts w:ascii="Times New Roman" w:cs="Times New Roman" w:eastAsia="Times New Roman" w:hAnsi="Times New Roman"/>
          <w:sz w:val="16"/>
          <w:szCs w:val="16"/>
          <w:color w:val="auto"/>
        </w:rPr>
        <w:t>costs and other strategic initiative costs. For the year ended</w:t>
      </w:r>
    </w:p>
    <w:p>
      <w:pPr>
        <w:spacing w:after="0" w:line="204" w:lineRule="auto"/>
        <w:rPr>
          <w:sz w:val="20"/>
          <w:szCs w:val="20"/>
          <w:color w:val="auto"/>
        </w:rPr>
      </w:pPr>
      <w:r>
        <w:rPr>
          <w:rFonts w:ascii="Times New Roman" w:cs="Times New Roman" w:eastAsia="Times New Roman" w:hAnsi="Times New Roman"/>
          <w:sz w:val="16"/>
          <w:szCs w:val="16"/>
          <w:color w:val="auto"/>
        </w:rPr>
        <w:t>December 31, 2024, these costs were partially offset by</w:t>
      </w:r>
    </w:p>
    <w:p>
      <w:pPr>
        <w:spacing w:after="0" w:line="203" w:lineRule="auto"/>
        <w:rPr>
          <w:sz w:val="20"/>
          <w:szCs w:val="20"/>
          <w:color w:val="auto"/>
        </w:rPr>
      </w:pPr>
      <w:r>
        <w:rPr>
          <w:rFonts w:ascii="Times New Roman" w:cs="Times New Roman" w:eastAsia="Times New Roman" w:hAnsi="Times New Roman"/>
          <w:sz w:val="16"/>
          <w:szCs w:val="16"/>
          <w:color w:val="auto"/>
        </w:rPr>
        <w:t>recognition of a termination fee due to Nasdaq in the second</w:t>
      </w:r>
    </w:p>
    <w:p>
      <w:pPr>
        <w:spacing w:after="0" w:line="204" w:lineRule="auto"/>
        <w:rPr>
          <w:sz w:val="20"/>
          <w:szCs w:val="20"/>
          <w:color w:val="auto"/>
        </w:rPr>
      </w:pPr>
      <w:r>
        <w:rPr>
          <w:rFonts w:ascii="Times New Roman" w:cs="Times New Roman" w:eastAsia="Times New Roman" w:hAnsi="Times New Roman"/>
          <w:sz w:val="16"/>
          <w:szCs w:val="16"/>
          <w:color w:val="auto"/>
        </w:rPr>
        <w:t>quarter of 2024 related to the termination of the then</w:t>
      </w:r>
    </w:p>
    <w:p>
      <w:pPr>
        <w:spacing w:after="0" w:line="204" w:lineRule="auto"/>
        <w:rPr>
          <w:sz w:val="20"/>
          <w:szCs w:val="20"/>
          <w:color w:val="auto"/>
        </w:rPr>
      </w:pPr>
      <w:r>
        <w:rPr>
          <w:rFonts w:ascii="Times New Roman" w:cs="Times New Roman" w:eastAsia="Times New Roman" w:hAnsi="Times New Roman"/>
          <w:sz w:val="16"/>
          <w:szCs w:val="16"/>
          <w:color w:val="auto"/>
        </w:rPr>
        <w:t>proposed divestiture of our Nordic power futures business.</w:t>
      </w:r>
    </w:p>
    <w:p>
      <w:pPr>
        <w:spacing w:after="0" w:line="203" w:lineRule="auto"/>
        <w:rPr>
          <w:sz w:val="20"/>
          <w:szCs w:val="20"/>
          <w:color w:val="auto"/>
        </w:rPr>
      </w:pPr>
      <w:r>
        <w:rPr>
          <w:rFonts w:ascii="Times New Roman" w:cs="Times New Roman" w:eastAsia="Times New Roman" w:hAnsi="Times New Roman"/>
          <w:sz w:val="16"/>
          <w:szCs w:val="16"/>
          <w:color w:val="auto"/>
        </w:rPr>
        <w:t>For the year ended December 31, 2025, these costs included</w:t>
      </w:r>
    </w:p>
    <w:p>
      <w:pPr>
        <w:spacing w:after="0" w:line="204" w:lineRule="auto"/>
        <w:rPr>
          <w:sz w:val="20"/>
          <w:szCs w:val="20"/>
          <w:color w:val="auto"/>
        </w:rPr>
      </w:pPr>
      <w:r>
        <w:rPr>
          <w:rFonts w:ascii="Times New Roman" w:cs="Times New Roman" w:eastAsia="Times New Roman" w:hAnsi="Times New Roman"/>
          <w:sz w:val="16"/>
          <w:szCs w:val="16"/>
          <w:color w:val="auto"/>
        </w:rPr>
        <w:t>a repayment of this fee due to the sale of the Nordic power</w:t>
      </w:r>
    </w:p>
    <w:p>
      <w:pPr>
        <w:spacing w:after="0" w:line="203" w:lineRule="auto"/>
        <w:rPr>
          <w:sz w:val="20"/>
          <w:szCs w:val="20"/>
          <w:color w:val="auto"/>
        </w:rPr>
      </w:pPr>
      <w:r>
        <w:rPr>
          <w:rFonts w:ascii="Times New Roman" w:cs="Times New Roman" w:eastAsia="Times New Roman" w:hAnsi="Times New Roman"/>
          <w:sz w:val="16"/>
          <w:szCs w:val="16"/>
          <w:color w:val="auto"/>
        </w:rPr>
        <w:t>futures business to another buyer, as designated in the</w:t>
      </w:r>
    </w:p>
    <w:p>
      <w:pPr>
        <w:spacing w:after="0" w:line="204" w:lineRule="auto"/>
        <w:rPr>
          <w:sz w:val="20"/>
          <w:szCs w:val="20"/>
          <w:color w:val="auto"/>
        </w:rPr>
      </w:pPr>
      <w:r>
        <w:rPr>
          <w:rFonts w:ascii="Times New Roman" w:cs="Times New Roman" w:eastAsia="Times New Roman" w:hAnsi="Times New Roman"/>
          <w:sz w:val="16"/>
          <w:szCs w:val="16"/>
          <w:color w:val="auto"/>
        </w:rPr>
        <w:t>settlement agreement.</w:t>
      </w:r>
    </w:p>
    <w:p>
      <w:pPr>
        <w:spacing w:after="0" w:line="203" w:lineRule="auto"/>
        <w:rPr>
          <w:sz w:val="20"/>
          <w:szCs w:val="20"/>
          <w:color w:val="auto"/>
        </w:rPr>
      </w:pPr>
      <w:r>
        <w:rPr>
          <w:rFonts w:ascii="Times New Roman" w:cs="Times New Roman" w:eastAsia="Times New Roman" w:hAnsi="Times New Roman"/>
          <w:sz w:val="16"/>
          <w:szCs w:val="16"/>
          <w:color w:val="auto"/>
        </w:rPr>
        <w:t>Restructuring charges decreased for the year ended</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compared with the same period in 2024</w:t>
      </w:r>
    </w:p>
    <w:p>
      <w:pPr>
        <w:spacing w:after="0" w:line="203" w:lineRule="auto"/>
        <w:rPr>
          <w:sz w:val="20"/>
          <w:szCs w:val="20"/>
          <w:color w:val="auto"/>
        </w:rPr>
      </w:pPr>
      <w:r>
        <w:rPr>
          <w:rFonts w:ascii="Times New Roman" w:cs="Times New Roman" w:eastAsia="Times New Roman" w:hAnsi="Times New Roman"/>
          <w:sz w:val="16"/>
          <w:szCs w:val="16"/>
          <w:color w:val="auto"/>
        </w:rPr>
        <w:t>primarily due to the completion of our divisional realignment</w:t>
      </w:r>
    </w:p>
    <w:p>
      <w:pPr>
        <w:spacing w:after="0" w:line="204" w:lineRule="auto"/>
        <w:rPr>
          <w:sz w:val="20"/>
          <w:szCs w:val="20"/>
          <w:color w:val="auto"/>
        </w:rPr>
      </w:pPr>
      <w:r>
        <w:rPr>
          <w:rFonts w:ascii="Times New Roman" w:cs="Times New Roman" w:eastAsia="Times New Roman" w:hAnsi="Times New Roman"/>
          <w:sz w:val="16"/>
          <w:szCs w:val="16"/>
          <w:color w:val="auto"/>
        </w:rPr>
        <w:t>program in September 2024.</w:t>
      </w:r>
    </w:p>
    <w:p>
      <w:pPr>
        <w:spacing w:after="0"/>
        <w:rPr>
          <w:sz w:val="20"/>
          <w:szCs w:val="20"/>
          <w:color w:val="auto"/>
        </w:rPr>
      </w:pPr>
      <w:r>
        <w:rPr>
          <w:rFonts w:ascii="Times New Roman" w:cs="Times New Roman" w:eastAsia="Times New Roman" w:hAnsi="Times New Roman"/>
          <w:sz w:val="16"/>
          <w:szCs w:val="16"/>
          <w:color w:val="auto"/>
        </w:rPr>
        <w:t>We further expanded our Adenza restructuring program in</w:t>
      </w:r>
    </w:p>
    <w:p>
      <w:pPr>
        <w:sectPr>
          <w:pgSz w:w="11900" w:h="16840" w:orient="portrait"/>
          <w:cols w:equalWidth="0" w:num="1">
            <w:col w:w="9400"/>
          </w:cols>
          <w:pgMar w:left="1060" w:top="567" w:right="1440" w:bottom="44"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the fourth quarter of 2024 following the achievement of our</w:t>
      </w:r>
    </w:p>
    <w:p>
      <w:pPr>
        <w:spacing w:after="0" w:line="203" w:lineRule="auto"/>
        <w:rPr>
          <w:sz w:val="20"/>
          <w:szCs w:val="20"/>
          <w:color w:val="auto"/>
        </w:rPr>
      </w:pPr>
      <w:r>
        <w:rPr>
          <w:rFonts w:ascii="Times New Roman" w:cs="Times New Roman" w:eastAsia="Times New Roman" w:hAnsi="Times New Roman"/>
          <w:sz w:val="16"/>
          <w:szCs w:val="16"/>
          <w:color w:val="auto"/>
        </w:rPr>
        <w:t>initial targets. In connection with this program, we expect to</w:t>
      </w:r>
    </w:p>
    <w:p>
      <w:pPr>
        <w:spacing w:after="0" w:line="204" w:lineRule="auto"/>
        <w:rPr>
          <w:sz w:val="20"/>
          <w:szCs w:val="20"/>
          <w:color w:val="auto"/>
        </w:rPr>
      </w:pPr>
      <w:r>
        <w:rPr>
          <w:rFonts w:ascii="Times New Roman" w:cs="Times New Roman" w:eastAsia="Times New Roman" w:hAnsi="Times New Roman"/>
          <w:sz w:val="16"/>
          <w:szCs w:val="16"/>
          <w:color w:val="auto"/>
        </w:rPr>
        <w:t>incur approximately $140 million in pre-tax charges. We</w:t>
      </w:r>
    </w:p>
    <w:p>
      <w:pPr>
        <w:spacing w:after="0" w:line="203" w:lineRule="auto"/>
        <w:rPr>
          <w:sz w:val="20"/>
          <w:szCs w:val="20"/>
          <w:color w:val="auto"/>
        </w:rPr>
      </w:pPr>
      <w:r>
        <w:rPr>
          <w:rFonts w:ascii="Times New Roman" w:cs="Times New Roman" w:eastAsia="Times New Roman" w:hAnsi="Times New Roman"/>
          <w:sz w:val="16"/>
          <w:szCs w:val="16"/>
          <w:color w:val="auto"/>
        </w:rPr>
        <w:t>have incurred costs principally related to employee-related</w:t>
      </w:r>
    </w:p>
    <w:p>
      <w:pPr>
        <w:spacing w:after="0" w:line="204" w:lineRule="auto"/>
        <w:rPr>
          <w:sz w:val="20"/>
          <w:szCs w:val="20"/>
          <w:color w:val="auto"/>
        </w:rPr>
      </w:pPr>
      <w:r>
        <w:rPr>
          <w:rFonts w:ascii="Times New Roman" w:cs="Times New Roman" w:eastAsia="Times New Roman" w:hAnsi="Times New Roman"/>
          <w:sz w:val="16"/>
          <w:szCs w:val="16"/>
          <w:color w:val="auto"/>
        </w:rPr>
        <w:t>costs, contract terminations, asset impairments and other</w:t>
      </w:r>
    </w:p>
    <w:p>
      <w:pPr>
        <w:spacing w:after="0" w:line="203" w:lineRule="auto"/>
        <w:rPr>
          <w:sz w:val="20"/>
          <w:szCs w:val="20"/>
          <w:color w:val="auto"/>
        </w:rPr>
      </w:pPr>
      <w:r>
        <w:rPr>
          <w:rFonts w:ascii="Times New Roman" w:cs="Times New Roman" w:eastAsia="Times New Roman" w:hAnsi="Times New Roman"/>
          <w:sz w:val="16"/>
          <w:szCs w:val="16"/>
          <w:color w:val="auto"/>
        </w:rPr>
        <w:t>related costs and expect to incur additional costs in these</w:t>
      </w:r>
    </w:p>
    <w:p>
      <w:pPr>
        <w:spacing w:after="0" w:line="204" w:lineRule="auto"/>
        <w:rPr>
          <w:sz w:val="20"/>
          <w:szCs w:val="20"/>
          <w:color w:val="auto"/>
        </w:rPr>
      </w:pPr>
      <w:r>
        <w:rPr>
          <w:rFonts w:ascii="Times New Roman" w:cs="Times New Roman" w:eastAsia="Times New Roman" w:hAnsi="Times New Roman"/>
          <w:sz w:val="16"/>
          <w:szCs w:val="16"/>
          <w:color w:val="auto"/>
        </w:rPr>
        <w:t>areas in an effort to accelerate efficiencies through location</w:t>
      </w:r>
    </w:p>
    <w:p>
      <w:pPr>
        <w:spacing w:after="0" w:line="203" w:lineRule="auto"/>
        <w:rPr>
          <w:sz w:val="20"/>
          <w:szCs w:val="20"/>
          <w:color w:val="auto"/>
        </w:rPr>
      </w:pPr>
      <w:r>
        <w:rPr>
          <w:rFonts w:ascii="Times New Roman" w:cs="Times New Roman" w:eastAsia="Times New Roman" w:hAnsi="Times New Roman"/>
          <w:sz w:val="16"/>
          <w:szCs w:val="16"/>
          <w:color w:val="auto"/>
        </w:rPr>
        <w:t>strategy and enhanced AI capabilities. Actions taken as part</w:t>
      </w:r>
    </w:p>
    <w:p>
      <w:pPr>
        <w:spacing w:after="0" w:line="204" w:lineRule="auto"/>
        <w:rPr>
          <w:sz w:val="20"/>
          <w:szCs w:val="20"/>
          <w:color w:val="auto"/>
        </w:rPr>
      </w:pPr>
      <w:r>
        <w:rPr>
          <w:rFonts w:ascii="Times New Roman" w:cs="Times New Roman" w:eastAsia="Times New Roman" w:hAnsi="Times New Roman"/>
          <w:sz w:val="16"/>
          <w:szCs w:val="16"/>
          <w:color w:val="auto"/>
        </w:rPr>
        <w:t>of this program were completed as of December 31, 2025,</w:t>
      </w:r>
    </w:p>
    <w:p>
      <w:pPr>
        <w:spacing w:after="0" w:line="203" w:lineRule="auto"/>
        <w:rPr>
          <w:sz w:val="20"/>
          <w:szCs w:val="20"/>
          <w:color w:val="auto"/>
        </w:rPr>
      </w:pPr>
      <w:r>
        <w:rPr>
          <w:rFonts w:ascii="Times New Roman" w:cs="Times New Roman" w:eastAsia="Times New Roman" w:hAnsi="Times New Roman"/>
          <w:sz w:val="16"/>
          <w:szCs w:val="16"/>
          <w:color w:val="auto"/>
        </w:rPr>
        <w:t>while certain costs may be recognized in the first half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2026. We have achieved benefits primarily in the form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Non-Operating Income and Expenses</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presents our non-operating income and</w:t>
      </w:r>
    </w:p>
    <w:p>
      <w:pPr>
        <w:spacing w:after="0" w:line="228" w:lineRule="auto"/>
        <w:rPr>
          <w:sz w:val="20"/>
          <w:szCs w:val="20"/>
          <w:color w:val="auto"/>
        </w:rPr>
      </w:pPr>
      <w:r>
        <w:rPr>
          <w:rFonts w:ascii="Times New Roman" w:cs="Times New Roman" w:eastAsia="Times New Roman" w:hAnsi="Times New Roman"/>
          <w:sz w:val="16"/>
          <w:szCs w:val="16"/>
          <w:color w:val="auto"/>
        </w:rPr>
        <w:t>expenses:</w:t>
      </w:r>
    </w:p>
    <w:tbl>
      <w:tblPr>
        <w:tblLayout w:type="fixed"/>
        <w:tblInd w:w="0" w:type="dxa"/>
        <w:tblCellMar>
          <w:top w:w="0" w:type="dxa"/>
          <w:left w:w="0" w:type="dxa"/>
          <w:bottom w:w="0" w:type="dxa"/>
          <w:right w:w="0" w:type="dxa"/>
        </w:tblCellMar>
      </w:tblPr>
      <w:tr>
        <w:trPr>
          <w:trHeight w:val="142"/>
        </w:trPr>
        <w:tc>
          <w:tcPr>
            <w:tcW w:w="1060" w:type="dxa"/>
            <w:vAlign w:val="bottom"/>
          </w:tcPr>
          <w:p>
            <w:pPr>
              <w:spacing w:after="0"/>
              <w:rPr>
                <w:sz w:val="12"/>
                <w:szCs w:val="12"/>
                <w:color w:val="auto"/>
              </w:rPr>
            </w:pPr>
          </w:p>
        </w:tc>
        <w:tc>
          <w:tcPr>
            <w:tcW w:w="1280" w:type="dxa"/>
            <w:vAlign w:val="bottom"/>
            <w:gridSpan w:val="1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Change</w:t>
            </w:r>
          </w:p>
        </w:tc>
      </w:tr>
      <w:tr>
        <w:trPr>
          <w:trHeight w:val="74"/>
        </w:trPr>
        <w:tc>
          <w:tcPr>
            <w:tcW w:w="10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r>
      <w:tr>
        <w:trPr>
          <w:trHeight w:val="100"/>
        </w:trPr>
        <w:tc>
          <w:tcPr>
            <w:tcW w:w="1060" w:type="dxa"/>
            <w:vAlign w:val="bottom"/>
          </w:tcPr>
          <w:p>
            <w:pPr>
              <w:spacing w:after="0"/>
              <w:rPr>
                <w:sz w:val="8"/>
                <w:szCs w:val="8"/>
                <w:color w:val="auto"/>
              </w:rPr>
            </w:pPr>
          </w:p>
        </w:tc>
        <w:tc>
          <w:tcPr>
            <w:tcW w:w="50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gridSpan w:val="4"/>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3"/>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 vs.</w:t>
            </w:r>
          </w:p>
        </w:tc>
        <w:tc>
          <w:tcPr>
            <w:tcW w:w="76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2024 vs.</w:t>
            </w:r>
          </w:p>
        </w:tc>
      </w:tr>
      <w:tr>
        <w:trPr>
          <w:trHeight w:val="142"/>
        </w:trPr>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10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34"/>
        </w:trPr>
        <w:tc>
          <w:tcPr>
            <w:tcW w:w="1060" w:type="dxa"/>
            <w:vAlign w:val="bottom"/>
          </w:tcPr>
          <w:p>
            <w:pPr>
              <w:spacing w:after="0"/>
              <w:rPr>
                <w:sz w:val="11"/>
                <w:szCs w:val="11"/>
                <w:color w:val="auto"/>
              </w:rPr>
            </w:pPr>
          </w:p>
        </w:tc>
        <w:tc>
          <w:tcPr>
            <w:tcW w:w="76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38"/>
        </w:trPr>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08"/>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28</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$ 115</w:t>
            </w:r>
          </w:p>
        </w:tc>
        <w:tc>
          <w:tcPr>
            <w:tcW w:w="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37.5 %</w:t>
            </w:r>
          </w:p>
        </w:tc>
        <w:tc>
          <w:tcPr>
            <w:tcW w:w="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(75.5)%</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2"/>
              </w:rPr>
              <w:t>(367)</w:t>
            </w:r>
          </w:p>
        </w:tc>
        <w:tc>
          <w:tcPr>
            <w:tcW w:w="52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color w:val="auto"/>
              </w:rPr>
              <w:t>(414)</w:t>
            </w:r>
          </w:p>
        </w:tc>
        <w:tc>
          <w:tcPr>
            <w:tcW w:w="20" w:type="dxa"/>
            <w:vAlign w:val="bottom"/>
          </w:tcPr>
          <w:p>
            <w:pPr>
              <w:spacing w:after="0"/>
              <w:rPr>
                <w:sz w:val="16"/>
                <w:szCs w:val="16"/>
                <w:color w:val="auto"/>
              </w:rPr>
            </w:pPr>
          </w:p>
        </w:tc>
        <w:tc>
          <w:tcPr>
            <w:tcW w:w="5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(11.4)%</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45.6 %</w:t>
            </w:r>
          </w:p>
        </w:tc>
      </w:tr>
      <w:tr>
        <w:trPr>
          <w:trHeight w:val="40"/>
        </w:trPr>
        <w:tc>
          <w:tcPr>
            <w:tcW w:w="10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gridSpan w:val="2"/>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gridSpan w:val="2"/>
          </w:tcPr>
          <w:p>
            <w:pPr>
              <w:spacing w:after="0"/>
              <w:rPr>
                <w:sz w:val="3"/>
                <w:szCs w:val="3"/>
                <w:color w:val="auto"/>
              </w:rPr>
            </w:pPr>
          </w:p>
        </w:tc>
      </w:tr>
      <w:tr>
        <w:trPr>
          <w:trHeight w:val="124"/>
        </w:trPr>
        <w:tc>
          <w:tcPr>
            <w:tcW w:w="10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Net interest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4"/>
                <w:szCs w:val="14"/>
                <w:color w:val="auto"/>
                <w:w w:val="92"/>
              </w:rPr>
              <w:t>(328)</w:t>
            </w:r>
          </w:p>
        </w:tc>
        <w:tc>
          <w:tcPr>
            <w:tcW w:w="2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4"/>
                <w:szCs w:val="14"/>
                <w:color w:val="auto"/>
              </w:rPr>
              <w:t>(386)</w:t>
            </w:r>
          </w:p>
        </w:tc>
        <w:tc>
          <w:tcPr>
            <w:tcW w:w="2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4"/>
                <w:szCs w:val="14"/>
                <w:color w:val="auto"/>
              </w:rPr>
              <w:t>(169)</w:t>
            </w:r>
          </w:p>
        </w:tc>
        <w:tc>
          <w:tcPr>
            <w:tcW w:w="660" w:type="dxa"/>
            <w:vAlign w:val="bottom"/>
            <w:gridSpan w:val="4"/>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color w:val="auto"/>
              </w:rPr>
              <w:t>(15.0)%</w:t>
            </w:r>
          </w:p>
        </w:tc>
        <w:tc>
          <w:tcPr>
            <w:tcW w:w="760" w:type="dxa"/>
            <w:vAlign w:val="bottom"/>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color w:val="auto"/>
              </w:rPr>
              <w:t>128.3 %</w:t>
            </w:r>
          </w:p>
        </w:tc>
      </w:tr>
      <w:tr>
        <w:trPr>
          <w:trHeight w:val="208"/>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32"/>
        </w:trPr>
        <w:tc>
          <w:tcPr>
            <w:tcW w:w="10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Net gain 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4"/>
          </w:tcPr>
          <w:p>
            <w:pPr>
              <w:ind w:left="40"/>
              <w:spacing w:after="0" w:line="132" w:lineRule="exact"/>
              <w:rPr>
                <w:sz w:val="20"/>
                <w:szCs w:val="20"/>
                <w:color w:val="auto"/>
              </w:rPr>
            </w:pPr>
            <w:r>
              <w:rPr>
                <w:rFonts w:ascii="Times New Roman" w:cs="Times New Roman" w:eastAsia="Times New Roman" w:hAnsi="Times New Roman"/>
                <w:sz w:val="14"/>
                <w:szCs w:val="14"/>
                <w:color w:val="auto"/>
              </w:rPr>
              <w:t>100.0 %</w:t>
            </w:r>
          </w:p>
        </w:tc>
        <w:tc>
          <w:tcPr>
            <w:tcW w:w="76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4"/>
                <w:szCs w:val="14"/>
                <w:color w:val="auto"/>
              </w:rPr>
              <w:t>— %</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divestitures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52"/>
        </w:trPr>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r>
      <w:tr>
        <w:trPr>
          <w:trHeight w:val="132"/>
        </w:trPr>
        <w:tc>
          <w:tcPr>
            <w:tcW w:w="10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Other income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w w:val="85"/>
              </w:rPr>
              <w:t>21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w w:val="97"/>
              </w:rPr>
              <w:t>(1)</w:t>
            </w:r>
          </w:p>
        </w:tc>
        <w:tc>
          <w:tcPr>
            <w:tcW w:w="660" w:type="dxa"/>
            <w:vAlign w:val="bottom"/>
            <w:gridSpan w:val="4"/>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rPr>
              <w:t>(224.3)%</w:t>
            </w:r>
          </w:p>
        </w:tc>
        <w:tc>
          <w:tcPr>
            <w:tcW w:w="76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rPr>
              <w:t>(5,232.5)%</w:t>
            </w:r>
          </w:p>
        </w:tc>
      </w:tr>
      <w:tr>
        <w:trPr>
          <w:trHeight w:val="188"/>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64"/>
        </w:trPr>
        <w:tc>
          <w:tcPr>
            <w:tcW w:w="10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gridSpan w:val="2"/>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760" w:type="dxa"/>
            <w:vAlign w:val="bottom"/>
            <w:gridSpan w:val="2"/>
            <w:shd w:val="clear" w:color="auto" w:fill="CCEEFF"/>
          </w:tcPr>
          <w:p>
            <w:pPr>
              <w:spacing w:after="0"/>
              <w:rPr>
                <w:sz w:val="5"/>
                <w:szCs w:val="5"/>
                <w:color w:val="auto"/>
              </w:rPr>
            </w:pPr>
          </w:p>
        </w:tc>
      </w:tr>
      <w:tr>
        <w:trPr>
          <w:trHeight w:val="132"/>
        </w:trPr>
        <w:tc>
          <w:tcPr>
            <w:tcW w:w="10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w w:val="85"/>
              </w:rPr>
              <w:t>16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w w:val="97"/>
              </w:rPr>
              <w:t>(7)</w:t>
            </w:r>
          </w:p>
        </w:tc>
        <w:tc>
          <w:tcPr>
            <w:tcW w:w="660" w:type="dxa"/>
            <w:vAlign w:val="bottom"/>
            <w:gridSpan w:val="4"/>
          </w:tcPr>
          <w:p>
            <w:pPr>
              <w:ind w:left="40"/>
              <w:spacing w:after="0" w:line="132" w:lineRule="exact"/>
              <w:rPr>
                <w:sz w:val="20"/>
                <w:szCs w:val="20"/>
                <w:color w:val="auto"/>
              </w:rPr>
            </w:pPr>
            <w:r>
              <w:rPr>
                <w:rFonts w:ascii="Times New Roman" w:cs="Times New Roman" w:eastAsia="Times New Roman" w:hAnsi="Times New Roman"/>
                <w:sz w:val="14"/>
                <w:szCs w:val="14"/>
                <w:color w:val="auto"/>
              </w:rPr>
              <w:t>414.8 %</w:t>
            </w:r>
          </w:p>
        </w:tc>
        <w:tc>
          <w:tcPr>
            <w:tcW w:w="76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4"/>
                <w:szCs w:val="14"/>
                <w:color w:val="auto"/>
              </w:rPr>
              <w:t>(328.7)%</w:t>
            </w:r>
          </w:p>
        </w:tc>
      </w:tr>
      <w:tr>
        <w:trPr>
          <w:trHeight w:val="144"/>
        </w:trPr>
        <w:tc>
          <w:tcPr>
            <w:tcW w:w="10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(loss) from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10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unconsolidated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investees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52"/>
        </w:trPr>
        <w:tc>
          <w:tcPr>
            <w:tcW w:w="10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gridSpan w:val="2"/>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gridSpan w:val="2"/>
          </w:tcPr>
          <w:p>
            <w:pPr>
              <w:spacing w:after="0"/>
              <w:rPr>
                <w:sz w:val="4"/>
                <w:szCs w:val="4"/>
                <w:color w:val="auto"/>
              </w:rPr>
            </w:pPr>
          </w:p>
        </w:tc>
      </w:tr>
      <w:tr>
        <w:trPr>
          <w:trHeight w:val="124"/>
        </w:trPr>
        <w:tc>
          <w:tcPr>
            <w:tcW w:w="10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Total non-</w:t>
            </w:r>
          </w:p>
        </w:tc>
        <w:tc>
          <w:tcPr>
            <w:tcW w:w="500" w:type="dxa"/>
            <w:vAlign w:val="bottom"/>
            <w:gridSpan w:val="3"/>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4"/>
                <w:szCs w:val="14"/>
                <w:color w:val="auto"/>
                <w:w w:val="97"/>
              </w:rPr>
              <w:t>$ (186)</w:t>
            </w:r>
          </w:p>
        </w:tc>
        <w:tc>
          <w:tcPr>
            <w:tcW w:w="2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4"/>
                <w:szCs w:val="14"/>
                <w:color w:val="auto"/>
                <w:w w:val="97"/>
              </w:rPr>
              <w:t>$ (349)</w:t>
            </w:r>
          </w:p>
        </w:tc>
        <w:tc>
          <w:tcPr>
            <w:tcW w:w="2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4"/>
                <w:szCs w:val="14"/>
                <w:color w:val="auto"/>
                <w:w w:val="97"/>
              </w:rPr>
              <w:t>$ (177)</w:t>
            </w:r>
          </w:p>
        </w:tc>
        <w:tc>
          <w:tcPr>
            <w:tcW w:w="660" w:type="dxa"/>
            <w:vAlign w:val="bottom"/>
            <w:gridSpan w:val="4"/>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color w:val="auto"/>
              </w:rPr>
              <w:t>(46.5)%</w:t>
            </w:r>
          </w:p>
        </w:tc>
        <w:tc>
          <w:tcPr>
            <w:tcW w:w="760" w:type="dxa"/>
            <w:vAlign w:val="bottom"/>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color w:val="auto"/>
              </w:rPr>
              <w:t>97.4 %</w:t>
            </w:r>
          </w:p>
        </w:tc>
      </w:tr>
      <w:tr>
        <w:trPr>
          <w:trHeight w:val="132"/>
        </w:trPr>
        <w:tc>
          <w:tcPr>
            <w:tcW w:w="10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operating</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3"/>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r>
        <w:trPr>
          <w:trHeight w:val="122"/>
        </w:trPr>
        <w:tc>
          <w:tcPr>
            <w:tcW w:w="3260" w:type="dxa"/>
            <w:vAlign w:val="bottom"/>
            <w:gridSpan w:val="18"/>
          </w:tcPr>
          <w:p>
            <w:pPr>
              <w:spacing w:after="0" w:line="122" w:lineRule="exact"/>
              <w:rPr>
                <w:sz w:val="20"/>
                <w:szCs w:val="20"/>
                <w:color w:val="auto"/>
              </w:rPr>
            </w:pPr>
            <w:r>
              <w:rPr>
                <w:rFonts w:ascii="Times New Roman" w:cs="Times New Roman" w:eastAsia="Times New Roman" w:hAnsi="Times New Roman"/>
                <w:sz w:val="14"/>
                <w:szCs w:val="14"/>
                <w:color w:val="auto"/>
              </w:rPr>
              <w:t>The following table presents our interest expense:</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2"/>
        </w:trPr>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11"/>
          </w:tcPr>
          <w:p>
            <w:pPr>
              <w:spacing w:after="0"/>
              <w:rPr>
                <w:sz w:val="20"/>
                <w:szCs w:val="20"/>
                <w:color w:val="auto"/>
              </w:rPr>
            </w:pPr>
            <w:r>
              <w:rPr>
                <w:rFonts w:ascii="Times New Roman" w:cs="Times New Roman" w:eastAsia="Times New Roman" w:hAnsi="Times New Roman"/>
                <w:sz w:val="11"/>
                <w:szCs w:val="11"/>
                <w:b w:val="1"/>
                <w:bCs w:val="1"/>
                <w:color w:val="auto"/>
                <w:w w:val="98"/>
              </w:rPr>
              <w:t>Year Ended December 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Change</w:t>
            </w:r>
          </w:p>
        </w:tc>
      </w:tr>
      <w:tr>
        <w:trPr>
          <w:trHeight w:val="64"/>
        </w:trPr>
        <w:tc>
          <w:tcPr>
            <w:tcW w:w="1060" w:type="dxa"/>
            <w:vAlign w:val="bottom"/>
          </w:tcPr>
          <w:p>
            <w:pPr>
              <w:spacing w:after="0"/>
              <w:rPr>
                <w:sz w:val="5"/>
                <w:szCs w:val="5"/>
                <w:color w:val="auto"/>
              </w:rPr>
            </w:pPr>
          </w:p>
        </w:tc>
        <w:tc>
          <w:tcPr>
            <w:tcW w:w="500" w:type="dxa"/>
            <w:vAlign w:val="bottom"/>
            <w:gridSpan w:val="3"/>
          </w:tcPr>
          <w:p>
            <w:pPr>
              <w:spacing w:after="0"/>
              <w:rPr>
                <w:sz w:val="5"/>
                <w:szCs w:val="5"/>
                <w:color w:val="auto"/>
              </w:rPr>
            </w:pPr>
          </w:p>
        </w:tc>
        <w:tc>
          <w:tcPr>
            <w:tcW w:w="8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100"/>
        </w:trPr>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top w:val="single" w:sz="8" w:color="auto"/>
            </w:tcBorders>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top w:val="single" w:sz="8" w:color="auto"/>
            </w:tcBorders>
            <w:gridSpan w:val="5"/>
          </w:tcPr>
          <w:p>
            <w:pPr>
              <w:ind w:left="120"/>
              <w:spacing w:after="0" w:line="100"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4"/>
          </w:tcPr>
          <w:p>
            <w:pPr>
              <w:jc w:val="right"/>
              <w:ind w:right="48"/>
              <w:spacing w:after="0" w:line="100"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 vs.</w:t>
            </w: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2024 vs.</w:t>
            </w:r>
          </w:p>
        </w:tc>
      </w:tr>
      <w:tr>
        <w:trPr>
          <w:trHeight w:val="142"/>
        </w:trPr>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Borders>
              <w:bottom w:val="single" w:sz="8" w:color="auto"/>
            </w:tcBorders>
            <w:gridSpan w:val="4"/>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34"/>
        </w:trPr>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38"/>
        </w:trPr>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640" w:type="dxa"/>
            <w:vAlign w:val="bottom"/>
          </w:tcPr>
          <w:p>
            <w:pPr>
              <w:spacing w:after="0"/>
              <w:rPr>
                <w:sz w:val="3"/>
                <w:szCs w:val="3"/>
                <w:color w:val="auto"/>
              </w:rPr>
            </w:pPr>
          </w:p>
        </w:tc>
      </w:tr>
      <w:tr>
        <w:trPr>
          <w:trHeight w:val="132"/>
        </w:trPr>
        <w:tc>
          <w:tcPr>
            <w:tcW w:w="10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354</w:t>
            </w:r>
          </w:p>
        </w:tc>
        <w:tc>
          <w:tcPr>
            <w:tcW w:w="260" w:type="dxa"/>
            <w:vAlign w:val="bottom"/>
            <w:gridSpan w:val="4"/>
            <w:shd w:val="clear" w:color="auto" w:fill="CCEEFF"/>
          </w:tcPr>
          <w:p>
            <w:pPr>
              <w:ind w:left="120"/>
              <w:spacing w:after="0" w:line="13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398</w:t>
            </w:r>
          </w:p>
        </w:tc>
        <w:tc>
          <w:tcPr>
            <w:tcW w:w="24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66"/>
              <w:spacing w:after="0" w:line="132" w:lineRule="exact"/>
              <w:rPr>
                <w:sz w:val="20"/>
                <w:szCs w:val="20"/>
                <w:color w:val="auto"/>
              </w:rPr>
            </w:pPr>
            <w:r>
              <w:rPr>
                <w:rFonts w:ascii="Times New Roman" w:cs="Times New Roman" w:eastAsia="Times New Roman" w:hAnsi="Times New Roman"/>
                <w:sz w:val="14"/>
                <w:szCs w:val="14"/>
                <w:color w:val="auto"/>
              </w:rPr>
              <w:t>272</w:t>
            </w:r>
          </w:p>
        </w:tc>
        <w:tc>
          <w:tcPr>
            <w:tcW w:w="580" w:type="dxa"/>
            <w:vAlign w:val="bottom"/>
            <w:gridSpan w:val="3"/>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rPr>
              <w:t>(11.2)%</w:t>
            </w:r>
          </w:p>
        </w:tc>
        <w:tc>
          <w:tcPr>
            <w:tcW w:w="6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4"/>
                <w:szCs w:val="14"/>
                <w:color w:val="auto"/>
              </w:rPr>
              <w:t>46.3 %</w:t>
            </w:r>
          </w:p>
        </w:tc>
      </w:tr>
      <w:tr>
        <w:trPr>
          <w:trHeight w:val="220"/>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on debt</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132"/>
        </w:trPr>
        <w:tc>
          <w:tcPr>
            <w:tcW w:w="10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Accretion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gridSpan w:val="2"/>
          </w:tcPr>
          <w:p>
            <w:pPr>
              <w:jc w:val="right"/>
              <w:ind w:right="66"/>
              <w:spacing w:after="0" w:line="132" w:lineRule="exact"/>
              <w:rPr>
                <w:sz w:val="20"/>
                <w:szCs w:val="20"/>
                <w:color w:val="auto"/>
              </w:rPr>
            </w:pPr>
            <w:r>
              <w:rPr>
                <w:rFonts w:ascii="Times New Roman" w:cs="Times New Roman" w:eastAsia="Times New Roman" w:hAnsi="Times New Roman"/>
                <w:sz w:val="14"/>
                <w:szCs w:val="14"/>
                <w:color w:val="auto"/>
                <w:w w:val="85"/>
              </w:rPr>
              <w:t>9</w:t>
            </w:r>
          </w:p>
        </w:tc>
        <w:tc>
          <w:tcPr>
            <w:tcW w:w="580" w:type="dxa"/>
            <w:vAlign w:val="bottom"/>
            <w:gridSpan w:val="3"/>
          </w:tcPr>
          <w:p>
            <w:pPr>
              <w:ind w:left="40"/>
              <w:spacing w:after="0" w:line="132" w:lineRule="exact"/>
              <w:rPr>
                <w:sz w:val="20"/>
                <w:szCs w:val="20"/>
                <w:color w:val="auto"/>
              </w:rPr>
            </w:pPr>
            <w:r>
              <w:rPr>
                <w:rFonts w:ascii="Times New Roman" w:cs="Times New Roman" w:eastAsia="Times New Roman" w:hAnsi="Times New Roman"/>
                <w:sz w:val="14"/>
                <w:szCs w:val="14"/>
                <w:color w:val="auto"/>
              </w:rPr>
              <w:t>(17.9)%</w:t>
            </w:r>
          </w:p>
        </w:tc>
        <w:tc>
          <w:tcPr>
            <w:tcW w:w="640" w:type="dxa"/>
            <w:vAlign w:val="bottom"/>
          </w:tcPr>
          <w:p>
            <w:pPr>
              <w:ind w:left="60"/>
              <w:spacing w:after="0" w:line="132" w:lineRule="exact"/>
              <w:rPr>
                <w:sz w:val="20"/>
                <w:szCs w:val="20"/>
                <w:color w:val="auto"/>
              </w:rPr>
            </w:pPr>
            <w:r>
              <w:rPr>
                <w:rFonts w:ascii="Times New Roman" w:cs="Times New Roman" w:eastAsia="Times New Roman" w:hAnsi="Times New Roman"/>
                <w:sz w:val="14"/>
                <w:szCs w:val="14"/>
                <w:color w:val="auto"/>
              </w:rPr>
              <w:t>33.9 %</w:t>
            </w:r>
          </w:p>
        </w:tc>
      </w:tr>
      <w:tr>
        <w:trPr>
          <w:trHeight w:val="144"/>
        </w:trPr>
        <w:tc>
          <w:tcPr>
            <w:tcW w:w="10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debt issuance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10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costs and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discount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52"/>
        </w:trPr>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640" w:type="dxa"/>
            <w:vAlign w:val="bottom"/>
          </w:tcPr>
          <w:p>
            <w:pPr>
              <w:spacing w:after="0"/>
              <w:rPr>
                <w:sz w:val="4"/>
                <w:szCs w:val="4"/>
                <w:color w:val="auto"/>
              </w:rPr>
            </w:pPr>
          </w:p>
        </w:tc>
      </w:tr>
      <w:tr>
        <w:trPr>
          <w:trHeight w:val="228"/>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fees</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w w:val="85"/>
              </w:rPr>
              <w:t>3</w:t>
            </w:r>
          </w:p>
        </w:tc>
        <w:tc>
          <w:tcPr>
            <w:tcW w:w="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(16.1)%</w:t>
            </w:r>
          </w:p>
        </w:tc>
        <w:tc>
          <w:tcPr>
            <w:tcW w:w="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18.7 %</w:t>
            </w:r>
          </w:p>
        </w:tc>
      </w:tr>
      <w:tr>
        <w:trPr>
          <w:trHeight w:val="180"/>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Borders>
              <w:top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4"/>
                <w:szCs w:val="14"/>
                <w:color w:val="auto"/>
              </w:rPr>
              <w:t>284</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(11.4)%</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2540</wp:posOffset>
            </wp:positionV>
            <wp:extent cx="10820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20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Interest income increased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-101600</wp:posOffset>
            </wp:positionV>
            <wp:extent cx="10820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2040"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2025 compared with the same period in 2024 primarily due</w:t>
      </w:r>
    </w:p>
    <w:p>
      <w:pPr>
        <w:spacing w:after="0" w:line="204" w:lineRule="auto"/>
        <w:rPr>
          <w:sz w:val="20"/>
          <w:szCs w:val="20"/>
          <w:color w:val="auto"/>
        </w:rPr>
      </w:pPr>
      <w:r>
        <w:rPr>
          <w:rFonts w:ascii="Times New Roman" w:cs="Times New Roman" w:eastAsia="Times New Roman" w:hAnsi="Times New Roman"/>
          <w:sz w:val="16"/>
          <w:szCs w:val="16"/>
          <w:color w:val="auto"/>
        </w:rPr>
        <w:t>to a higher average cash balance.</w:t>
      </w:r>
    </w:p>
    <w:p>
      <w:pPr>
        <w:spacing w:after="0" w:line="203" w:lineRule="auto"/>
        <w:rPr>
          <w:sz w:val="20"/>
          <w:szCs w:val="20"/>
          <w:color w:val="auto"/>
        </w:rPr>
      </w:pPr>
      <w:r>
        <w:rPr>
          <w:rFonts w:ascii="Times New Roman" w:cs="Times New Roman" w:eastAsia="Times New Roman" w:hAnsi="Times New Roman"/>
          <w:sz w:val="16"/>
          <w:szCs w:val="16"/>
          <w:color w:val="auto"/>
        </w:rPr>
        <w:t>Interest expense decreased for the year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compared with the same period in 2024 primarily due</w:t>
      </w:r>
    </w:p>
    <w:p>
      <w:pPr>
        <w:spacing w:after="0" w:line="203" w:lineRule="auto"/>
        <w:rPr>
          <w:sz w:val="20"/>
          <w:szCs w:val="20"/>
          <w:color w:val="auto"/>
        </w:rPr>
      </w:pPr>
      <w:r>
        <w:rPr>
          <w:rFonts w:ascii="Times New Roman" w:cs="Times New Roman" w:eastAsia="Times New Roman" w:hAnsi="Times New Roman"/>
          <w:sz w:val="16"/>
          <w:szCs w:val="16"/>
          <w:color w:val="auto"/>
        </w:rPr>
        <w:t>to lower outstanding debt following the repayment of our</w:t>
      </w:r>
    </w:p>
    <w:p>
      <w:pPr>
        <w:spacing w:after="0" w:line="204" w:lineRule="auto"/>
        <w:rPr>
          <w:sz w:val="20"/>
          <w:szCs w:val="20"/>
          <w:color w:val="auto"/>
        </w:rPr>
      </w:pPr>
      <w:r>
        <w:rPr>
          <w:rFonts w:ascii="Times New Roman" w:cs="Times New Roman" w:eastAsia="Times New Roman" w:hAnsi="Times New Roman"/>
          <w:sz w:val="16"/>
          <w:szCs w:val="16"/>
          <w:color w:val="auto"/>
        </w:rPr>
        <w:t>2025 Notes and the partial repurchases of several series of</w:t>
      </w:r>
    </w:p>
    <w:p>
      <w:pPr>
        <w:spacing w:after="0" w:line="203" w:lineRule="auto"/>
        <w:rPr>
          <w:sz w:val="20"/>
          <w:szCs w:val="20"/>
          <w:color w:val="auto"/>
        </w:rPr>
      </w:pPr>
      <w:r>
        <w:rPr>
          <w:rFonts w:ascii="Times New Roman" w:cs="Times New Roman" w:eastAsia="Times New Roman" w:hAnsi="Times New Roman"/>
          <w:sz w:val="16"/>
          <w:szCs w:val="16"/>
          <w:color w:val="auto"/>
        </w:rPr>
        <w:t>outstanding senior unsecured notes. See Note 9, “Debt</w:t>
      </w:r>
    </w:p>
    <w:p>
      <w:pPr>
        <w:spacing w:after="0" w:line="204" w:lineRule="auto"/>
        <w:rPr>
          <w:sz w:val="20"/>
          <w:szCs w:val="20"/>
          <w:color w:val="auto"/>
        </w:rPr>
      </w:pPr>
      <w:r>
        <w:rPr>
          <w:rFonts w:ascii="Times New Roman" w:cs="Times New Roman" w:eastAsia="Times New Roman" w:hAnsi="Times New Roman"/>
          <w:sz w:val="16"/>
          <w:szCs w:val="16"/>
          <w:color w:val="auto"/>
        </w:rPr>
        <w:t>Obligations,” to the consolidated financial statements for</w:t>
      </w:r>
    </w:p>
    <w:p>
      <w:pPr>
        <w:spacing w:after="0" w:line="203" w:lineRule="auto"/>
        <w:rPr>
          <w:sz w:val="20"/>
          <w:szCs w:val="20"/>
          <w:color w:val="auto"/>
        </w:rPr>
      </w:pPr>
      <w:r>
        <w:rPr>
          <w:rFonts w:ascii="Times New Roman" w:cs="Times New Roman" w:eastAsia="Times New Roman" w:hAnsi="Times New Roman"/>
          <w:sz w:val="16"/>
          <w:szCs w:val="16"/>
          <w:color w:val="auto"/>
        </w:rPr>
        <w:t>further discussion.</w:t>
      </w:r>
    </w:p>
    <w:p>
      <w:pPr>
        <w:spacing w:after="0" w:line="204" w:lineRule="auto"/>
        <w:rPr>
          <w:sz w:val="20"/>
          <w:szCs w:val="20"/>
          <w:color w:val="auto"/>
        </w:rPr>
      </w:pPr>
      <w:r>
        <w:rPr>
          <w:rFonts w:ascii="Times New Roman" w:cs="Times New Roman" w:eastAsia="Times New Roman" w:hAnsi="Times New Roman"/>
          <w:sz w:val="16"/>
          <w:szCs w:val="16"/>
          <w:color w:val="auto"/>
        </w:rPr>
        <w:t>Net gains on divestitures for the year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relates to the divestitures of our Solovis business, our</w:t>
      </w:r>
    </w:p>
    <w:p>
      <w:pPr>
        <w:spacing w:after="0" w:line="203" w:lineRule="auto"/>
        <w:rPr>
          <w:sz w:val="20"/>
          <w:szCs w:val="20"/>
          <w:color w:val="auto"/>
        </w:rPr>
      </w:pPr>
      <w:r>
        <w:rPr>
          <w:rFonts w:ascii="Times New Roman" w:cs="Times New Roman" w:eastAsia="Times New Roman" w:hAnsi="Times New Roman"/>
          <w:sz w:val="16"/>
          <w:szCs w:val="16"/>
          <w:color w:val="auto"/>
        </w:rPr>
        <w:t>Nordic power futures business and our Nasdaq Risk</w:t>
      </w:r>
    </w:p>
    <w:p>
      <w:pPr>
        <w:spacing w:after="0" w:line="204" w:lineRule="auto"/>
        <w:rPr>
          <w:sz w:val="20"/>
          <w:szCs w:val="20"/>
          <w:color w:val="auto"/>
        </w:rPr>
      </w:pPr>
      <w:r>
        <w:rPr>
          <w:rFonts w:ascii="Times New Roman" w:cs="Times New Roman" w:eastAsia="Times New Roman" w:hAnsi="Times New Roman"/>
          <w:sz w:val="16"/>
          <w:szCs w:val="16"/>
          <w:color w:val="auto"/>
        </w:rPr>
        <w:t>Modelling for Catastrophes business. See Note 4,</w:t>
      </w:r>
    </w:p>
    <w:p>
      <w:pPr>
        <w:spacing w:after="0" w:line="203" w:lineRule="auto"/>
        <w:rPr>
          <w:sz w:val="20"/>
          <w:szCs w:val="20"/>
          <w:color w:val="auto"/>
        </w:rPr>
      </w:pPr>
      <w:r>
        <w:rPr>
          <w:rFonts w:ascii="Times New Roman" w:cs="Times New Roman" w:eastAsia="Times New Roman" w:hAnsi="Times New Roman"/>
          <w:sz w:val="16"/>
          <w:szCs w:val="16"/>
          <w:color w:val="auto"/>
        </w:rPr>
        <w:t>“Acquisition and Divestitures,” to the consolidated financial</w:t>
      </w:r>
    </w:p>
    <w:p>
      <w:pPr>
        <w:spacing w:after="0" w:line="204" w:lineRule="auto"/>
        <w:rPr>
          <w:sz w:val="20"/>
          <w:szCs w:val="20"/>
          <w:color w:val="auto"/>
        </w:rPr>
      </w:pPr>
      <w:r>
        <w:rPr>
          <w:rFonts w:ascii="Times New Roman" w:cs="Times New Roman" w:eastAsia="Times New Roman" w:hAnsi="Times New Roman"/>
          <w:sz w:val="16"/>
          <w:szCs w:val="16"/>
          <w:color w:val="auto"/>
        </w:rPr>
        <w:t>statements for further discussion of these transactions.</w:t>
      </w:r>
    </w:p>
    <w:p>
      <w:pPr>
        <w:spacing w:after="0" w:line="203" w:lineRule="auto"/>
        <w:rPr>
          <w:sz w:val="20"/>
          <w:szCs w:val="20"/>
          <w:color w:val="auto"/>
        </w:rPr>
      </w:pPr>
      <w:r>
        <w:rPr>
          <w:rFonts w:ascii="Times New Roman" w:cs="Times New Roman" w:eastAsia="Times New Roman" w:hAnsi="Times New Roman"/>
          <w:sz w:val="16"/>
          <w:szCs w:val="16"/>
          <w:color w:val="auto"/>
        </w:rPr>
        <w:t>Other income (loss) primarily represents realized and</w:t>
      </w:r>
    </w:p>
    <w:p>
      <w:pPr>
        <w:spacing w:after="0" w:line="204" w:lineRule="auto"/>
        <w:rPr>
          <w:sz w:val="20"/>
          <w:szCs w:val="20"/>
          <w:color w:val="auto"/>
        </w:rPr>
      </w:pPr>
      <w:r>
        <w:rPr>
          <w:rFonts w:ascii="Times New Roman" w:cs="Times New Roman" w:eastAsia="Times New Roman" w:hAnsi="Times New Roman"/>
          <w:sz w:val="16"/>
          <w:szCs w:val="16"/>
          <w:color w:val="auto"/>
        </w:rPr>
        <w:t>unrealized gains and losses from strategic investments related</w:t>
      </w:r>
    </w:p>
    <w:p>
      <w:pPr>
        <w:spacing w:after="0" w:line="203" w:lineRule="auto"/>
        <w:rPr>
          <w:sz w:val="20"/>
          <w:szCs w:val="20"/>
          <w:color w:val="auto"/>
        </w:rPr>
      </w:pPr>
      <w:r>
        <w:rPr>
          <w:rFonts w:ascii="Times New Roman" w:cs="Times New Roman" w:eastAsia="Times New Roman" w:hAnsi="Times New Roman"/>
          <w:sz w:val="16"/>
          <w:szCs w:val="16"/>
          <w:color w:val="auto"/>
        </w:rPr>
        <w:t>to our corporate venture program. See “Equity Securities,” of</w:t>
      </w:r>
    </w:p>
    <w:p>
      <w:pPr>
        <w:spacing w:after="0" w:line="204" w:lineRule="auto"/>
        <w:rPr>
          <w:sz w:val="20"/>
          <w:szCs w:val="20"/>
          <w:color w:val="auto"/>
        </w:rPr>
      </w:pPr>
      <w:r>
        <w:rPr>
          <w:rFonts w:ascii="Times New Roman" w:cs="Times New Roman" w:eastAsia="Times New Roman" w:hAnsi="Times New Roman"/>
          <w:sz w:val="16"/>
          <w:szCs w:val="16"/>
          <w:color w:val="auto"/>
        </w:rPr>
        <w:t>Note 6, “Investments,” to the consolidated financial</w:t>
      </w:r>
    </w:p>
    <w:p>
      <w:pPr>
        <w:spacing w:after="0" w:line="204" w:lineRule="auto"/>
        <w:rPr>
          <w:sz w:val="20"/>
          <w:szCs w:val="20"/>
          <w:color w:val="auto"/>
        </w:rPr>
      </w:pPr>
      <w:r>
        <w:rPr>
          <w:rFonts w:ascii="Times New Roman" w:cs="Times New Roman" w:eastAsia="Times New Roman" w:hAnsi="Times New Roman"/>
          <w:sz w:val="16"/>
          <w:szCs w:val="16"/>
          <w:color w:val="auto"/>
        </w:rPr>
        <w:t>statements for further discussion of these transactions.</w:t>
      </w:r>
    </w:p>
    <w:p>
      <w:pPr>
        <w:spacing w:after="0" w:line="203" w:lineRule="auto"/>
        <w:rPr>
          <w:sz w:val="20"/>
          <w:szCs w:val="20"/>
          <w:color w:val="auto"/>
        </w:rPr>
      </w:pPr>
      <w:r>
        <w:rPr>
          <w:rFonts w:ascii="Times New Roman" w:cs="Times New Roman" w:eastAsia="Times New Roman" w:hAnsi="Times New Roman"/>
          <w:sz w:val="16"/>
          <w:szCs w:val="16"/>
          <w:color w:val="auto"/>
        </w:rPr>
        <w:t>Net income (loss) from unconsolidated investees increased</w:t>
      </w:r>
    </w:p>
    <w:p>
      <w:pPr>
        <w:spacing w:after="0" w:line="204" w:lineRule="auto"/>
        <w:rPr>
          <w:sz w:val="20"/>
          <w:szCs w:val="20"/>
          <w:color w:val="auto"/>
        </w:rPr>
      </w:pPr>
      <w:r>
        <w:rPr>
          <w:rFonts w:ascii="Times New Roman" w:cs="Times New Roman" w:eastAsia="Times New Roman" w:hAnsi="Times New Roman"/>
          <w:sz w:val="16"/>
          <w:szCs w:val="16"/>
          <w:color w:val="auto"/>
        </w:rPr>
        <w:t>for the year ended December 31, 2025 compared with the</w:t>
      </w:r>
    </w:p>
    <w:p>
      <w:pPr>
        <w:spacing w:after="0" w:line="203" w:lineRule="auto"/>
        <w:rPr>
          <w:sz w:val="20"/>
          <w:szCs w:val="20"/>
          <w:color w:val="auto"/>
        </w:rPr>
      </w:pPr>
      <w:r>
        <w:rPr>
          <w:rFonts w:ascii="Times New Roman" w:cs="Times New Roman" w:eastAsia="Times New Roman" w:hAnsi="Times New Roman"/>
          <w:sz w:val="16"/>
          <w:szCs w:val="16"/>
          <w:color w:val="auto"/>
        </w:rPr>
        <w:t>same period in 2024 due to higher income recognized from</w:t>
      </w:r>
    </w:p>
    <w:p>
      <w:pPr>
        <w:spacing w:after="0" w:line="204" w:lineRule="auto"/>
        <w:rPr>
          <w:sz w:val="20"/>
          <w:szCs w:val="20"/>
          <w:color w:val="auto"/>
        </w:rPr>
      </w:pPr>
      <w:r>
        <w:rPr>
          <w:rFonts w:ascii="Times New Roman" w:cs="Times New Roman" w:eastAsia="Times New Roman" w:hAnsi="Times New Roman"/>
          <w:sz w:val="16"/>
          <w:szCs w:val="16"/>
          <w:color w:val="auto"/>
        </w:rPr>
        <w:t>our equity method investment in OCC driven by higher</w:t>
      </w:r>
    </w:p>
    <w:p>
      <w:pPr>
        <w:spacing w:after="0" w:line="203" w:lineRule="auto"/>
        <w:rPr>
          <w:sz w:val="20"/>
          <w:szCs w:val="20"/>
          <w:color w:val="auto"/>
        </w:rPr>
      </w:pPr>
      <w:r>
        <w:rPr>
          <w:rFonts w:ascii="Times New Roman" w:cs="Times New Roman" w:eastAsia="Times New Roman" w:hAnsi="Times New Roman"/>
          <w:sz w:val="16"/>
          <w:szCs w:val="16"/>
          <w:color w:val="auto"/>
        </w:rPr>
        <w:t>industry volumes. See “Equity Method Investments,” of Note</w:t>
      </w:r>
    </w:p>
    <w:p>
      <w:pPr>
        <w:spacing w:after="0" w:line="204" w:lineRule="auto"/>
        <w:rPr>
          <w:sz w:val="20"/>
          <w:szCs w:val="20"/>
          <w:color w:val="auto"/>
        </w:rPr>
      </w:pPr>
      <w:r>
        <w:rPr>
          <w:rFonts w:ascii="Times New Roman" w:cs="Times New Roman" w:eastAsia="Times New Roman" w:hAnsi="Times New Roman"/>
          <w:sz w:val="16"/>
          <w:szCs w:val="16"/>
          <w:color w:val="auto"/>
        </w:rPr>
        <w:t>6, “Investments,” to the consolidated financial statements for</w:t>
      </w:r>
    </w:p>
    <w:p>
      <w:pPr>
        <w:spacing w:after="0" w:line="203" w:lineRule="auto"/>
        <w:rPr>
          <w:sz w:val="20"/>
          <w:szCs w:val="20"/>
          <w:color w:val="auto"/>
        </w:rPr>
      </w:pPr>
      <w:r>
        <w:rPr>
          <w:rFonts w:ascii="Times New Roman" w:cs="Times New Roman" w:eastAsia="Times New Roman" w:hAnsi="Times New Roman"/>
          <w:sz w:val="16"/>
          <w:szCs w:val="16"/>
          <w:color w:val="auto"/>
        </w:rPr>
        <w:t>further discussion.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Tax Matters</w:t>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 presents our income tax provision and</w:t>
      </w:r>
    </w:p>
    <w:p>
      <w:pPr>
        <w:spacing w:after="0" w:line="229" w:lineRule="auto"/>
        <w:rPr>
          <w:sz w:val="20"/>
          <w:szCs w:val="20"/>
          <w:color w:val="auto"/>
        </w:rPr>
      </w:pPr>
      <w:r>
        <w:rPr>
          <w:rFonts w:ascii="Times New Roman" w:cs="Times New Roman" w:eastAsia="Times New Roman" w:hAnsi="Times New Roman"/>
          <w:sz w:val="16"/>
          <w:szCs w:val="16"/>
          <w:color w:val="auto"/>
        </w:rPr>
        <w:t>effective tax rate:</w:t>
      </w:r>
    </w:p>
    <w:tbl>
      <w:tblPr>
        <w:tblLayout w:type="fixed"/>
        <w:tblInd w:w="0" w:type="dxa"/>
        <w:tblCellMar>
          <w:top w:w="0" w:type="dxa"/>
          <w:left w:w="0" w:type="dxa"/>
          <w:bottom w:w="0" w:type="dxa"/>
          <w:right w:w="0" w:type="dxa"/>
        </w:tblCellMar>
      </w:tblPr>
      <w:tr>
        <w:trPr>
          <w:trHeight w:val="142"/>
        </w:trPr>
        <w:tc>
          <w:tcPr>
            <w:tcW w:w="1260" w:type="dxa"/>
            <w:vAlign w:val="bottom"/>
          </w:tcPr>
          <w:p>
            <w:pPr>
              <w:spacing w:after="0"/>
              <w:rPr>
                <w:sz w:val="12"/>
                <w:szCs w:val="12"/>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Pr>
          <w:p>
            <w:pPr>
              <w:spacing w:after="0"/>
              <w:rPr>
                <w:sz w:val="12"/>
                <w:szCs w:val="12"/>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Change</w:t>
            </w:r>
          </w:p>
        </w:tc>
      </w:tr>
      <w:tr>
        <w:trPr>
          <w:trHeight w:val="38"/>
        </w:trPr>
        <w:tc>
          <w:tcPr>
            <w:tcW w:w="12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00"/>
        </w:trPr>
        <w:tc>
          <w:tcPr>
            <w:tcW w:w="1260" w:type="dxa"/>
            <w:vAlign w:val="bottom"/>
          </w:tcPr>
          <w:p>
            <w:pPr>
              <w:spacing w:after="0"/>
              <w:rPr>
                <w:sz w:val="8"/>
                <w:szCs w:val="8"/>
                <w:color w:val="auto"/>
              </w:rPr>
            </w:pPr>
          </w:p>
        </w:tc>
        <w:tc>
          <w:tcPr>
            <w:tcW w:w="56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8"/>
                <w:szCs w:val="8"/>
                <w:color w:val="auto"/>
              </w:rPr>
            </w:pPr>
          </w:p>
        </w:tc>
        <w:tc>
          <w:tcPr>
            <w:tcW w:w="46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2025 vs.</w:t>
            </w:r>
          </w:p>
        </w:tc>
        <w:tc>
          <w:tcPr>
            <w:tcW w:w="620" w:type="dxa"/>
            <w:vAlign w:val="bottom"/>
          </w:tcPr>
          <w:p>
            <w:pPr>
              <w:ind w:left="100"/>
              <w:spacing w:after="0" w:line="100" w:lineRule="exact"/>
              <w:rPr>
                <w:sz w:val="20"/>
                <w:szCs w:val="20"/>
                <w:color w:val="auto"/>
              </w:rPr>
            </w:pPr>
            <w:r>
              <w:rPr>
                <w:rFonts w:ascii="Times New Roman" w:cs="Times New Roman" w:eastAsia="Times New Roman" w:hAnsi="Times New Roman"/>
                <w:sz w:val="11"/>
                <w:szCs w:val="11"/>
                <w:b w:val="1"/>
                <w:bCs w:val="1"/>
                <w:color w:val="auto"/>
              </w:rPr>
              <w:t>2024 vs.</w:t>
            </w:r>
          </w:p>
        </w:tc>
      </w:tr>
      <w:tr>
        <w:trPr>
          <w:trHeight w:val="142"/>
        </w:trPr>
        <w:tc>
          <w:tcPr>
            <w:tcW w:w="1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12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34"/>
        </w:trPr>
        <w:tc>
          <w:tcPr>
            <w:tcW w:w="126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38"/>
        </w:trPr>
        <w:tc>
          <w:tcPr>
            <w:tcW w:w="1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44"/>
        </w:trPr>
        <w:tc>
          <w:tcPr>
            <w:tcW w:w="1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Income tax</w:t>
            </w:r>
          </w:p>
        </w:tc>
        <w:tc>
          <w:tcPr>
            <w:tcW w:w="5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$ 358</w:t>
            </w:r>
          </w:p>
        </w:tc>
        <w:tc>
          <w:tcPr>
            <w:tcW w:w="5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$ 334</w:t>
            </w:r>
          </w:p>
        </w:tc>
        <w:tc>
          <w:tcPr>
            <w:tcW w:w="58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$ 344</w:t>
            </w:r>
          </w:p>
        </w:tc>
        <w:tc>
          <w:tcPr>
            <w:tcW w:w="4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7.0 %</w:t>
            </w:r>
          </w:p>
        </w:tc>
        <w:tc>
          <w:tcPr>
            <w:tcW w:w="62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6"/>
                <w:szCs w:val="16"/>
                <w:color w:val="auto"/>
              </w:rPr>
              <w:t>(2.8)%</w:t>
            </w:r>
          </w:p>
        </w:tc>
      </w:tr>
      <w:tr>
        <w:trPr>
          <w:trHeight w:val="232"/>
        </w:trPr>
        <w:tc>
          <w:tcPr>
            <w:tcW w:w="1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w:t>
            </w:r>
          </w:p>
        </w:tc>
        <w:tc>
          <w:tcPr>
            <w:tcW w:w="5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03"/>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16.7 %</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23.1 %</w:t>
            </w:r>
          </w:p>
        </w:tc>
        <w:tc>
          <w:tcPr>
            <w:tcW w:w="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24.6 %</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w:t>
      </w:r>
    </w:p>
    <w:p>
      <w:pPr>
        <w:spacing w:after="0" w:line="203" w:lineRule="auto"/>
        <w:rPr>
          <w:sz w:val="20"/>
          <w:szCs w:val="20"/>
          <w:color w:val="auto"/>
        </w:rPr>
      </w:pPr>
      <w:r>
        <w:rPr>
          <w:rFonts w:ascii="Times New Roman" w:cs="Times New Roman" w:eastAsia="Times New Roman" w:hAnsi="Times New Roman"/>
          <w:sz w:val="16"/>
          <w:szCs w:val="16"/>
          <w:color w:val="auto"/>
        </w:rPr>
        <w:t>We understand that analysts and investors regularly rely on</w:t>
      </w:r>
    </w:p>
    <w:p>
      <w:pPr>
        <w:spacing w:after="0" w:line="204" w:lineRule="auto"/>
        <w:rPr>
          <w:sz w:val="20"/>
          <w:szCs w:val="20"/>
          <w:color w:val="auto"/>
        </w:rPr>
      </w:pPr>
      <w:r>
        <w:rPr>
          <w:rFonts w:ascii="Times New Roman" w:cs="Times New Roman" w:eastAsia="Times New Roman" w:hAnsi="Times New Roman"/>
          <w:sz w:val="16"/>
          <w:szCs w:val="16"/>
          <w:color w:val="auto"/>
        </w:rPr>
        <w:t>non-GAAP financial measures, such as non-GAAP net</w:t>
      </w:r>
    </w:p>
    <w:p>
      <w:pPr>
        <w:spacing w:after="0" w:line="203" w:lineRule="auto"/>
        <w:rPr>
          <w:sz w:val="20"/>
          <w:szCs w:val="20"/>
          <w:color w:val="auto"/>
        </w:rPr>
      </w:pPr>
      <w:r>
        <w:rPr>
          <w:rFonts w:ascii="Times New Roman" w:cs="Times New Roman" w:eastAsia="Times New Roman" w:hAnsi="Times New Roman"/>
          <w:sz w:val="16"/>
          <w:szCs w:val="16"/>
          <w:color w:val="auto"/>
        </w:rPr>
        <w:t>income attributable to Nasdaq and non-GAAP diluted</w:t>
      </w:r>
    </w:p>
    <w:p>
      <w:pPr>
        <w:spacing w:after="0" w:line="204" w:lineRule="auto"/>
        <w:rPr>
          <w:sz w:val="20"/>
          <w:szCs w:val="20"/>
          <w:color w:val="auto"/>
        </w:rPr>
      </w:pPr>
      <w:r>
        <w:rPr>
          <w:rFonts w:ascii="Times New Roman" w:cs="Times New Roman" w:eastAsia="Times New Roman" w:hAnsi="Times New Roman"/>
          <w:sz w:val="16"/>
          <w:szCs w:val="16"/>
          <w:color w:val="auto"/>
        </w:rPr>
        <w:t>earnings per share, to assess operating performance. We use</w:t>
      </w:r>
    </w:p>
    <w:p>
      <w:pPr>
        <w:spacing w:after="0"/>
        <w:rPr>
          <w:sz w:val="20"/>
          <w:szCs w:val="20"/>
          <w:color w:val="auto"/>
        </w:rPr>
      </w:pPr>
      <w:r>
        <w:rPr>
          <w:rFonts w:ascii="Times New Roman" w:cs="Times New Roman" w:eastAsia="Times New Roman" w:hAnsi="Times New Roman"/>
          <w:sz w:val="16"/>
          <w:szCs w:val="16"/>
          <w:color w:val="auto"/>
        </w:rPr>
        <w:t>non-GAAP net income attributable to Nasdaq and non-</w:t>
      </w:r>
    </w:p>
    <w:p>
      <w:pPr>
        <w:sectPr>
          <w:pgSz w:w="11900" w:h="16840" w:orient="portrait"/>
          <w:cols w:equalWidth="0" w:num="1">
            <w:col w:w="9400"/>
          </w:cols>
          <w:pgMar w:left="1060" w:top="547" w:right="1440" w:bottom="1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GAAP diluted earnings per share because they highlight</w:t>
      </w:r>
    </w:p>
    <w:p>
      <w:pPr>
        <w:spacing w:after="0" w:line="203" w:lineRule="auto"/>
        <w:rPr>
          <w:sz w:val="20"/>
          <w:szCs w:val="20"/>
          <w:color w:val="auto"/>
        </w:rPr>
      </w:pPr>
      <w:r>
        <w:rPr>
          <w:rFonts w:ascii="Times New Roman" w:cs="Times New Roman" w:eastAsia="Times New Roman" w:hAnsi="Times New Roman"/>
          <w:sz w:val="16"/>
          <w:szCs w:val="16"/>
          <w:color w:val="auto"/>
        </w:rPr>
        <w:t>trends more clearly in our business that may not otherwise be</w:t>
      </w:r>
    </w:p>
    <w:p>
      <w:pPr>
        <w:spacing w:after="0" w:line="204" w:lineRule="auto"/>
        <w:rPr>
          <w:sz w:val="20"/>
          <w:szCs w:val="20"/>
          <w:color w:val="auto"/>
        </w:rPr>
      </w:pPr>
      <w:r>
        <w:rPr>
          <w:rFonts w:ascii="Times New Roman" w:cs="Times New Roman" w:eastAsia="Times New Roman" w:hAnsi="Times New Roman"/>
          <w:sz w:val="16"/>
          <w:szCs w:val="16"/>
          <w:color w:val="auto"/>
        </w:rPr>
        <w:t>apparent when relying solely on U.S. GAAP financial</w:t>
      </w:r>
    </w:p>
    <w:p>
      <w:pPr>
        <w:spacing w:after="0" w:line="203" w:lineRule="auto"/>
        <w:rPr>
          <w:sz w:val="20"/>
          <w:szCs w:val="20"/>
          <w:color w:val="auto"/>
        </w:rPr>
      </w:pPr>
      <w:r>
        <w:rPr>
          <w:rFonts w:ascii="Times New Roman" w:cs="Times New Roman" w:eastAsia="Times New Roman" w:hAnsi="Times New Roman"/>
          <w:sz w:val="16"/>
          <w:szCs w:val="16"/>
          <w:color w:val="auto"/>
        </w:rPr>
        <w:t>measures, since these measures eliminate from our results</w:t>
      </w:r>
    </w:p>
    <w:p>
      <w:pPr>
        <w:spacing w:after="0" w:line="204" w:lineRule="auto"/>
        <w:rPr>
          <w:sz w:val="20"/>
          <w:szCs w:val="20"/>
          <w:color w:val="auto"/>
        </w:rPr>
      </w:pPr>
      <w:r>
        <w:rPr>
          <w:rFonts w:ascii="Times New Roman" w:cs="Times New Roman" w:eastAsia="Times New Roman" w:hAnsi="Times New Roman"/>
          <w:sz w:val="16"/>
          <w:szCs w:val="16"/>
          <w:color w:val="auto"/>
        </w:rPr>
        <w:t>specific financial items that have less bearing on our ongoing</w:t>
      </w:r>
    </w:p>
    <w:p>
      <w:pPr>
        <w:spacing w:after="0" w:line="203" w:lineRule="auto"/>
        <w:rPr>
          <w:sz w:val="20"/>
          <w:szCs w:val="20"/>
          <w:color w:val="auto"/>
        </w:rPr>
      </w:pPr>
      <w:r>
        <w:rPr>
          <w:rFonts w:ascii="Times New Roman" w:cs="Times New Roman" w:eastAsia="Times New Roman" w:hAnsi="Times New Roman"/>
          <w:sz w:val="16"/>
          <w:szCs w:val="16"/>
          <w:color w:val="auto"/>
        </w:rPr>
        <w:t>operating performance.</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presents reconciliations between U.S.</w:t>
      </w:r>
    </w:p>
    <w:p>
      <w:pPr>
        <w:spacing w:after="0" w:line="203" w:lineRule="auto"/>
        <w:rPr>
          <w:sz w:val="20"/>
          <w:szCs w:val="20"/>
          <w:color w:val="auto"/>
        </w:rPr>
      </w:pPr>
      <w:r>
        <w:rPr>
          <w:rFonts w:ascii="Times New Roman" w:cs="Times New Roman" w:eastAsia="Times New Roman" w:hAnsi="Times New Roman"/>
          <w:sz w:val="16"/>
          <w:szCs w:val="16"/>
          <w:color w:val="auto"/>
        </w:rPr>
        <w:t>GAAP net income attributable to Nasdaq and diluted</w:t>
      </w:r>
    </w:p>
    <w:p>
      <w:pPr>
        <w:spacing w:after="0" w:line="204" w:lineRule="auto"/>
        <w:rPr>
          <w:sz w:val="20"/>
          <w:szCs w:val="20"/>
          <w:color w:val="auto"/>
        </w:rPr>
      </w:pPr>
      <w:r>
        <w:rPr>
          <w:rFonts w:ascii="Times New Roman" w:cs="Times New Roman" w:eastAsia="Times New Roman" w:hAnsi="Times New Roman"/>
          <w:sz w:val="16"/>
          <w:szCs w:val="16"/>
          <w:color w:val="auto"/>
        </w:rPr>
        <w:t>earnings per share and non-GAAP net income attributable to</w:t>
      </w:r>
    </w:p>
    <w:p>
      <w:pPr>
        <w:spacing w:after="0" w:line="228" w:lineRule="auto"/>
        <w:rPr>
          <w:sz w:val="20"/>
          <w:szCs w:val="20"/>
          <w:color w:val="auto"/>
        </w:rPr>
      </w:pPr>
      <w:r>
        <w:rPr>
          <w:rFonts w:ascii="Times New Roman" w:cs="Times New Roman" w:eastAsia="Times New Roman" w:hAnsi="Times New Roman"/>
          <w:sz w:val="16"/>
          <w:szCs w:val="16"/>
          <w:color w:val="auto"/>
        </w:rPr>
        <w:t>Nasdaq and diluted earnings per share:</w:t>
      </w:r>
    </w:p>
    <w:tbl>
      <w:tblPr>
        <w:tblLayout w:type="fixed"/>
        <w:tblInd w:w="0" w:type="dxa"/>
        <w:tblCellMar>
          <w:top w:w="0" w:type="dxa"/>
          <w:left w:w="0" w:type="dxa"/>
          <w:bottom w:w="0" w:type="dxa"/>
          <w:right w:w="0" w:type="dxa"/>
        </w:tblCellMar>
      </w:tblPr>
      <w:tr>
        <w:trPr>
          <w:trHeight w:val="142"/>
        </w:trPr>
        <w:tc>
          <w:tcPr>
            <w:tcW w:w="2180" w:type="dxa"/>
            <w:vAlign w:val="bottom"/>
          </w:tcPr>
          <w:p>
            <w:pPr>
              <w:spacing w:after="0"/>
              <w:rPr>
                <w:sz w:val="12"/>
                <w:szCs w:val="12"/>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8"/>
              </w:rPr>
              <w:t>Year Ended December 31,</w:t>
            </w:r>
          </w:p>
        </w:tc>
        <w:tc>
          <w:tcPr>
            <w:tcW w:w="580" w:type="dxa"/>
            <w:vAlign w:val="bottom"/>
          </w:tcPr>
          <w:p>
            <w:pPr>
              <w:spacing w:after="0"/>
              <w:rPr>
                <w:sz w:val="12"/>
                <w:szCs w:val="12"/>
                <w:color w:val="auto"/>
              </w:rPr>
            </w:pPr>
          </w:p>
        </w:tc>
      </w:tr>
      <w:tr>
        <w:trPr>
          <w:trHeight w:val="62"/>
        </w:trPr>
        <w:tc>
          <w:tcPr>
            <w:tcW w:w="21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134"/>
        </w:trPr>
        <w:tc>
          <w:tcPr>
            <w:tcW w:w="21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6"/>
        </w:trPr>
        <w:tc>
          <w:tcPr>
            <w:tcW w:w="218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r>
      <w:tr>
        <w:trPr>
          <w:trHeight w:val="100"/>
        </w:trPr>
        <w:tc>
          <w:tcPr>
            <w:tcW w:w="2180" w:type="dxa"/>
            <w:vAlign w:val="bottom"/>
          </w:tcPr>
          <w:p>
            <w:pPr>
              <w:spacing w:after="0"/>
              <w:rPr>
                <w:sz w:val="8"/>
                <w:szCs w:val="8"/>
                <w:color w:val="auto"/>
              </w:rPr>
            </w:pPr>
          </w:p>
        </w:tc>
        <w:tc>
          <w:tcPr>
            <w:tcW w:w="1820" w:type="dxa"/>
            <w:vAlign w:val="bottom"/>
            <w:gridSpan w:val="5"/>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(in millions, except per share</w:t>
            </w:r>
          </w:p>
        </w:tc>
      </w:tr>
      <w:tr>
        <w:trPr>
          <w:trHeight w:val="142"/>
        </w:trPr>
        <w:tc>
          <w:tcPr>
            <w:tcW w:w="2180" w:type="dxa"/>
            <w:vAlign w:val="bottom"/>
          </w:tcPr>
          <w:p>
            <w:pPr>
              <w:spacing w:after="0"/>
              <w:rPr>
                <w:sz w:val="12"/>
                <w:szCs w:val="1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6"/>
        </w:trPr>
        <w:tc>
          <w:tcPr>
            <w:tcW w:w="2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32"/>
        </w:trPr>
        <w:tc>
          <w:tcPr>
            <w:tcW w:w="2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U.S. GAAP net income</w:t>
            </w:r>
          </w:p>
        </w:tc>
        <w:tc>
          <w:tcPr>
            <w:tcW w:w="6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$1,788</w:t>
            </w:r>
          </w:p>
        </w:tc>
        <w:tc>
          <w:tcPr>
            <w:tcW w:w="60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rPr>
              <w:t>$1,117</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$1,059</w:t>
            </w:r>
          </w:p>
        </w:tc>
      </w:tr>
      <w:tr>
        <w:trPr>
          <w:trHeight w:val="19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attributable to Nasdaq</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74"/>
        </w:trPr>
        <w:tc>
          <w:tcPr>
            <w:tcW w:w="2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Non-GAAP adjustments:</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0"/>
        </w:trPr>
        <w:tc>
          <w:tcPr>
            <w:tcW w:w="2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32"/>
        </w:trPr>
        <w:tc>
          <w:tcPr>
            <w:tcW w:w="2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Adenza purchase accounting</w:t>
            </w:r>
          </w:p>
        </w:tc>
        <w:tc>
          <w:tcPr>
            <w:tcW w:w="600" w:type="dxa"/>
            <w:vAlign w:val="bottom"/>
            <w:shd w:val="clear" w:color="auto" w:fill="CCEEFF"/>
          </w:tcPr>
          <w:p>
            <w:pPr>
              <w:jc w:val="right"/>
              <w:ind w:right="171"/>
              <w:spacing w:after="0" w:line="13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68"/>
              <w:spacing w:after="0" w:line="132" w:lineRule="exact"/>
              <w:rPr>
                <w:sz w:val="20"/>
                <w:szCs w:val="20"/>
                <w:color w:val="auto"/>
              </w:rPr>
            </w:pPr>
            <w:r>
              <w:rPr>
                <w:rFonts w:ascii="Times New Roman" w:cs="Times New Roman" w:eastAsia="Times New Roman" w:hAnsi="Times New Roman"/>
                <w:sz w:val="14"/>
                <w:szCs w:val="14"/>
                <w:color w:val="auto"/>
              </w:rPr>
              <w:t>34</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69"/>
              <w:spacing w:after="0" w:line="132" w:lineRule="exact"/>
              <w:rPr>
                <w:sz w:val="20"/>
                <w:szCs w:val="20"/>
                <w:color w:val="auto"/>
              </w:rPr>
            </w:pPr>
            <w:r>
              <w:rPr>
                <w:rFonts w:ascii="Times New Roman" w:cs="Times New Roman" w:eastAsia="Times New Roman" w:hAnsi="Times New Roman"/>
                <w:sz w:val="14"/>
                <w:szCs w:val="14"/>
                <w:color w:val="auto"/>
              </w:rPr>
              <w:t>—</w:t>
            </w:r>
          </w:p>
        </w:tc>
      </w:tr>
      <w:tr>
        <w:trPr>
          <w:trHeight w:val="20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32"/>
        </w:trPr>
        <w:tc>
          <w:tcPr>
            <w:tcW w:w="21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Amortization expense of acquired</w:t>
            </w:r>
          </w:p>
        </w:tc>
        <w:tc>
          <w:tcPr>
            <w:tcW w:w="600" w:type="dxa"/>
            <w:vAlign w:val="bottom"/>
          </w:tcPr>
          <w:p>
            <w:pPr>
              <w:jc w:val="right"/>
              <w:ind w:right="171"/>
              <w:spacing w:after="0" w:line="132" w:lineRule="exact"/>
              <w:rPr>
                <w:sz w:val="20"/>
                <w:szCs w:val="20"/>
                <w:color w:val="auto"/>
              </w:rPr>
            </w:pPr>
            <w:r>
              <w:rPr>
                <w:rFonts w:ascii="Times New Roman" w:cs="Times New Roman" w:eastAsia="Times New Roman" w:hAnsi="Times New Roman"/>
                <w:sz w:val="14"/>
                <w:szCs w:val="14"/>
                <w:color w:val="auto"/>
              </w:rPr>
              <w:t>487</w:t>
            </w:r>
          </w:p>
        </w:tc>
        <w:tc>
          <w:tcPr>
            <w:tcW w:w="600" w:type="dxa"/>
            <w:vAlign w:val="bottom"/>
            <w:gridSpan w:val="2"/>
          </w:tcPr>
          <w:p>
            <w:pPr>
              <w:jc w:val="right"/>
              <w:ind w:right="168"/>
              <w:spacing w:after="0" w:line="132" w:lineRule="exact"/>
              <w:rPr>
                <w:sz w:val="20"/>
                <w:szCs w:val="20"/>
                <w:color w:val="auto"/>
              </w:rPr>
            </w:pPr>
            <w:r>
              <w:rPr>
                <w:rFonts w:ascii="Times New Roman" w:cs="Times New Roman" w:eastAsia="Times New Roman" w:hAnsi="Times New Roman"/>
                <w:sz w:val="14"/>
                <w:szCs w:val="14"/>
                <w:color w:val="auto"/>
              </w:rPr>
              <w:t>488</w:t>
            </w:r>
          </w:p>
        </w:tc>
        <w:tc>
          <w:tcPr>
            <w:tcW w:w="40" w:type="dxa"/>
            <w:vAlign w:val="bottom"/>
          </w:tcPr>
          <w:p>
            <w:pPr>
              <w:spacing w:after="0"/>
              <w:rPr>
                <w:sz w:val="11"/>
                <w:szCs w:val="11"/>
                <w:color w:val="auto"/>
              </w:rPr>
            </w:pPr>
          </w:p>
        </w:tc>
        <w:tc>
          <w:tcPr>
            <w:tcW w:w="580" w:type="dxa"/>
            <w:vAlign w:val="bottom"/>
          </w:tcPr>
          <w:p>
            <w:pPr>
              <w:jc w:val="right"/>
              <w:ind w:right="169"/>
              <w:spacing w:after="0" w:line="132" w:lineRule="exact"/>
              <w:rPr>
                <w:sz w:val="20"/>
                <w:szCs w:val="20"/>
                <w:color w:val="auto"/>
              </w:rPr>
            </w:pPr>
            <w:r>
              <w:rPr>
                <w:rFonts w:ascii="Times New Roman" w:cs="Times New Roman" w:eastAsia="Times New Roman" w:hAnsi="Times New Roman"/>
                <w:sz w:val="14"/>
                <w:szCs w:val="14"/>
                <w:color w:val="auto"/>
              </w:rPr>
              <w:t>206</w:t>
            </w:r>
          </w:p>
        </w:tc>
      </w:tr>
      <w:tr>
        <w:trPr>
          <w:trHeight w:val="19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40"/>
        </w:trPr>
        <w:tc>
          <w:tcPr>
            <w:tcW w:w="21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Merger and strategic initiatives</w:t>
            </w:r>
          </w:p>
        </w:tc>
        <w:tc>
          <w:tcPr>
            <w:tcW w:w="600" w:type="dxa"/>
            <w:vAlign w:val="bottom"/>
            <w:shd w:val="clear" w:color="auto" w:fill="CCEEFF"/>
          </w:tcPr>
          <w:p>
            <w:pPr>
              <w:jc w:val="right"/>
              <w:ind w:right="171"/>
              <w:spacing w:after="0" w:line="140" w:lineRule="exact"/>
              <w:rPr>
                <w:sz w:val="20"/>
                <w:szCs w:val="20"/>
                <w:color w:val="auto"/>
              </w:rPr>
            </w:pPr>
            <w:r>
              <w:rPr>
                <w:rFonts w:ascii="Times New Roman" w:cs="Times New Roman" w:eastAsia="Times New Roman" w:hAnsi="Times New Roman"/>
                <w:sz w:val="14"/>
                <w:szCs w:val="14"/>
                <w:color w:val="auto"/>
              </w:rPr>
              <w:t>60</w:t>
            </w:r>
          </w:p>
        </w:tc>
        <w:tc>
          <w:tcPr>
            <w:tcW w:w="600" w:type="dxa"/>
            <w:vAlign w:val="bottom"/>
            <w:gridSpan w:val="2"/>
            <w:shd w:val="clear" w:color="auto" w:fill="CCEEFF"/>
          </w:tcPr>
          <w:p>
            <w:pPr>
              <w:jc w:val="right"/>
              <w:ind w:right="168"/>
              <w:spacing w:after="0" w:line="140" w:lineRule="exact"/>
              <w:rPr>
                <w:sz w:val="20"/>
                <w:szCs w:val="20"/>
                <w:color w:val="auto"/>
              </w:rPr>
            </w:pPr>
            <w:r>
              <w:rPr>
                <w:rFonts w:ascii="Times New Roman" w:cs="Times New Roman" w:eastAsia="Times New Roman" w:hAnsi="Times New Roman"/>
                <w:sz w:val="14"/>
                <w:szCs w:val="14"/>
                <w:color w:val="auto"/>
              </w:rPr>
              <w:t>35</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69"/>
              <w:spacing w:after="0" w:line="140" w:lineRule="exact"/>
              <w:rPr>
                <w:sz w:val="20"/>
                <w:szCs w:val="20"/>
                <w:color w:val="auto"/>
              </w:rPr>
            </w:pPr>
            <w:r>
              <w:rPr>
                <w:rFonts w:ascii="Times New Roman" w:cs="Times New Roman" w:eastAsia="Times New Roman" w:hAnsi="Times New Roman"/>
                <w:sz w:val="14"/>
                <w:szCs w:val="14"/>
                <w:color w:val="auto"/>
              </w:rPr>
              <w:t>148</w:t>
            </w:r>
          </w:p>
        </w:tc>
      </w:tr>
      <w:tr>
        <w:trPr>
          <w:trHeight w:val="20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charges</w:t>
            </w: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42</w:t>
            </w:r>
          </w:p>
        </w:tc>
        <w:tc>
          <w:tcPr>
            <w:tcW w:w="6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116</w:t>
            </w:r>
          </w:p>
        </w:tc>
        <w:tc>
          <w:tcPr>
            <w:tcW w:w="40" w:type="dxa"/>
            <w:vAlign w:val="bottom"/>
          </w:tcPr>
          <w:p>
            <w:pPr>
              <w:spacing w:after="0"/>
              <w:rPr>
                <w:sz w:val="17"/>
                <w:szCs w:val="17"/>
                <w:color w:val="auto"/>
              </w:rPr>
            </w:pP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80</w:t>
            </w:r>
          </w:p>
        </w:tc>
      </w:tr>
      <w:tr>
        <w:trPr>
          <w:trHeight w:val="21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asset impairments</w:t>
            </w:r>
          </w:p>
        </w:tc>
        <w:tc>
          <w:tcPr>
            <w:tcW w:w="6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25</w:t>
            </w:r>
          </w:p>
        </w:tc>
      </w:tr>
      <w:tr>
        <w:trPr>
          <w:trHeight w:val="132"/>
        </w:trPr>
        <w:tc>
          <w:tcPr>
            <w:tcW w:w="21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(Gain) loss on extinguishment of</w:t>
            </w:r>
          </w:p>
        </w:tc>
        <w:tc>
          <w:tcPr>
            <w:tcW w:w="600" w:type="dxa"/>
            <w:vAlign w:val="bottom"/>
          </w:tcPr>
          <w:p>
            <w:pPr>
              <w:jc w:val="right"/>
              <w:ind w:right="131"/>
              <w:spacing w:after="0" w:line="132" w:lineRule="exact"/>
              <w:rPr>
                <w:sz w:val="20"/>
                <w:szCs w:val="20"/>
                <w:color w:val="auto"/>
              </w:rPr>
            </w:pPr>
            <w:r>
              <w:rPr>
                <w:rFonts w:ascii="Times New Roman" w:cs="Times New Roman" w:eastAsia="Times New Roman" w:hAnsi="Times New Roman"/>
                <w:sz w:val="14"/>
                <w:szCs w:val="14"/>
                <w:color w:val="auto"/>
              </w:rPr>
              <w:t>(18)</w:t>
            </w:r>
          </w:p>
        </w:tc>
        <w:tc>
          <w:tcPr>
            <w:tcW w:w="600" w:type="dxa"/>
            <w:vAlign w:val="bottom"/>
            <w:gridSpan w:val="2"/>
          </w:tcPr>
          <w:p>
            <w:pPr>
              <w:jc w:val="right"/>
              <w:ind w:right="168"/>
              <w:spacing w:after="0" w:line="132"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1"/>
                <w:szCs w:val="11"/>
                <w:color w:val="auto"/>
              </w:rPr>
            </w:pPr>
          </w:p>
        </w:tc>
        <w:tc>
          <w:tcPr>
            <w:tcW w:w="580" w:type="dxa"/>
            <w:vAlign w:val="bottom"/>
          </w:tcPr>
          <w:p>
            <w:pPr>
              <w:jc w:val="right"/>
              <w:ind w:right="169"/>
              <w:spacing w:after="0" w:line="132" w:lineRule="exact"/>
              <w:rPr>
                <w:sz w:val="20"/>
                <w:szCs w:val="20"/>
                <w:color w:val="auto"/>
              </w:rPr>
            </w:pPr>
            <w:r>
              <w:rPr>
                <w:rFonts w:ascii="Times New Roman" w:cs="Times New Roman" w:eastAsia="Times New Roman" w:hAnsi="Times New Roman"/>
                <w:sz w:val="14"/>
                <w:szCs w:val="14"/>
                <w:color w:val="auto"/>
              </w:rPr>
              <w:t>—</w:t>
            </w:r>
          </w:p>
        </w:tc>
      </w:tr>
      <w:tr>
        <w:trPr>
          <w:trHeight w:val="19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debt</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gain on divestitures</w:t>
            </w: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r>
      <w:tr>
        <w:trPr>
          <w:trHeight w:val="132"/>
        </w:trPr>
        <w:tc>
          <w:tcPr>
            <w:tcW w:w="21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Net (income) loss from</w:t>
            </w:r>
          </w:p>
        </w:tc>
        <w:tc>
          <w:tcPr>
            <w:tcW w:w="600" w:type="dxa"/>
            <w:vAlign w:val="bottom"/>
          </w:tcPr>
          <w:p>
            <w:pPr>
              <w:jc w:val="right"/>
              <w:ind w:right="131"/>
              <w:spacing w:after="0" w:line="132" w:lineRule="exact"/>
              <w:rPr>
                <w:sz w:val="20"/>
                <w:szCs w:val="20"/>
                <w:color w:val="auto"/>
              </w:rPr>
            </w:pPr>
            <w:r>
              <w:rPr>
                <w:rFonts w:ascii="Times New Roman" w:cs="Times New Roman" w:eastAsia="Times New Roman" w:hAnsi="Times New Roman"/>
                <w:sz w:val="14"/>
                <w:szCs w:val="14"/>
                <w:color w:val="auto"/>
              </w:rPr>
              <w:t>(83)</w:t>
            </w:r>
          </w:p>
        </w:tc>
        <w:tc>
          <w:tcPr>
            <w:tcW w:w="600" w:type="dxa"/>
            <w:vAlign w:val="bottom"/>
            <w:gridSpan w:val="2"/>
          </w:tcPr>
          <w:p>
            <w:pPr>
              <w:jc w:val="right"/>
              <w:ind w:right="108"/>
              <w:spacing w:after="0" w:line="132"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1"/>
                <w:szCs w:val="11"/>
                <w:color w:val="auto"/>
              </w:rPr>
            </w:pPr>
          </w:p>
        </w:tc>
        <w:tc>
          <w:tcPr>
            <w:tcW w:w="580" w:type="dxa"/>
            <w:vAlign w:val="bottom"/>
          </w:tcPr>
          <w:p>
            <w:pPr>
              <w:jc w:val="right"/>
              <w:ind w:right="169"/>
              <w:spacing w:after="0" w:line="132" w:lineRule="exact"/>
              <w:rPr>
                <w:sz w:val="20"/>
                <w:szCs w:val="20"/>
                <w:color w:val="auto"/>
              </w:rPr>
            </w:pPr>
            <w:r>
              <w:rPr>
                <w:rFonts w:ascii="Times New Roman" w:cs="Times New Roman" w:eastAsia="Times New Roman" w:hAnsi="Times New Roman"/>
                <w:sz w:val="14"/>
                <w:szCs w:val="14"/>
                <w:color w:val="auto"/>
              </w:rPr>
              <w:t>7</w:t>
            </w:r>
          </w:p>
        </w:tc>
      </w:tr>
      <w:tr>
        <w:trPr>
          <w:trHeight w:val="19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unconsolidated investees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and regulatory matters</w:t>
            </w:r>
          </w:p>
        </w:tc>
        <w:tc>
          <w:tcPr>
            <w:tcW w:w="6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Pension settlement charge</w:t>
            </w: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7"/>
                <w:szCs w:val="17"/>
                <w:color w:val="auto"/>
              </w:rPr>
            </w:pP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9</w:t>
            </w:r>
          </w:p>
        </w:tc>
      </w:tr>
      <w:tr>
        <w:trPr>
          <w:trHeight w:val="21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(gain) loss</w:t>
            </w:r>
          </w:p>
        </w:tc>
        <w:tc>
          <w:tcPr>
            <w:tcW w:w="6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21</w:t>
            </w:r>
          </w:p>
        </w:tc>
      </w:tr>
      <w:tr>
        <w:trPr>
          <w:trHeight w:val="182"/>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Total non-GAAP adjustments</w:t>
            </w:r>
          </w:p>
        </w:tc>
        <w:tc>
          <w:tcPr>
            <w:tcW w:w="60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$ 448</w:t>
            </w:r>
          </w:p>
        </w:tc>
        <w:tc>
          <w:tcPr>
            <w:tcW w:w="20" w:type="dxa"/>
            <w:vAlign w:val="bottom"/>
          </w:tcPr>
          <w:p>
            <w:pPr>
              <w:spacing w:after="0"/>
              <w:rPr>
                <w:sz w:val="15"/>
                <w:szCs w:val="15"/>
                <w:color w:val="auto"/>
              </w:rPr>
            </w:pPr>
          </w:p>
        </w:tc>
        <w:tc>
          <w:tcPr>
            <w:tcW w:w="5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$ 689</w:t>
            </w:r>
          </w:p>
        </w:tc>
        <w:tc>
          <w:tcPr>
            <w:tcW w:w="40" w:type="dxa"/>
            <w:vAlign w:val="bottom"/>
          </w:tcPr>
          <w:p>
            <w:pPr>
              <w:spacing w:after="0"/>
              <w:rPr>
                <w:sz w:val="15"/>
                <w:szCs w:val="15"/>
                <w:color w:val="auto"/>
              </w:rPr>
            </w:pPr>
          </w:p>
        </w:tc>
        <w:tc>
          <w:tcPr>
            <w:tcW w:w="58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$ 508</w:t>
            </w:r>
          </w:p>
        </w:tc>
      </w:tr>
      <w:tr>
        <w:trPr>
          <w:trHeight w:val="20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non-GAAP tax adjustments</w:t>
            </w: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(113)</w:t>
            </w:r>
          </w:p>
        </w:tc>
        <w:tc>
          <w:tcPr>
            <w:tcW w:w="6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(134)</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Other tax adjustments</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(109)</w:t>
            </w: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6"/>
                <w:szCs w:val="16"/>
                <w:color w:val="auto"/>
              </w:rPr>
            </w:pP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r>
      <w:tr>
        <w:trPr>
          <w:trHeight w:val="40"/>
        </w:trPr>
        <w:tc>
          <w:tcPr>
            <w:tcW w:w="21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24"/>
        </w:trPr>
        <w:tc>
          <w:tcPr>
            <w:tcW w:w="21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non-GAAP adjustments,</w:t>
            </w:r>
          </w:p>
        </w:tc>
        <w:tc>
          <w:tcPr>
            <w:tcW w:w="600" w:type="dxa"/>
            <w:vAlign w:val="bottom"/>
            <w:shd w:val="clear" w:color="auto" w:fill="CCEEFF"/>
          </w:tcPr>
          <w:p>
            <w:pPr>
              <w:jc w:val="right"/>
              <w:ind w:right="171"/>
              <w:spacing w:after="0" w:line="124" w:lineRule="exact"/>
              <w:rPr>
                <w:sz w:val="20"/>
                <w:szCs w:val="20"/>
                <w:color w:val="auto"/>
              </w:rPr>
            </w:pPr>
            <w:r>
              <w:rPr>
                <w:rFonts w:ascii="Times New Roman" w:cs="Times New Roman" w:eastAsia="Times New Roman" w:hAnsi="Times New Roman"/>
                <w:sz w:val="14"/>
                <w:szCs w:val="14"/>
                <w:color w:val="auto"/>
              </w:rPr>
              <w:t>$ 226</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68"/>
              <w:spacing w:after="0" w:line="124" w:lineRule="exact"/>
              <w:rPr>
                <w:sz w:val="20"/>
                <w:szCs w:val="20"/>
                <w:color w:val="auto"/>
              </w:rPr>
            </w:pPr>
            <w:r>
              <w:rPr>
                <w:rFonts w:ascii="Times New Roman" w:cs="Times New Roman" w:eastAsia="Times New Roman" w:hAnsi="Times New Roman"/>
                <w:sz w:val="14"/>
                <w:szCs w:val="14"/>
                <w:color w:val="auto"/>
              </w:rPr>
              <w:t>$ 514</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69"/>
              <w:spacing w:after="0" w:line="124" w:lineRule="exact"/>
              <w:rPr>
                <w:sz w:val="20"/>
                <w:szCs w:val="20"/>
                <w:color w:val="auto"/>
              </w:rPr>
            </w:pPr>
            <w:r>
              <w:rPr>
                <w:rFonts w:ascii="Times New Roman" w:cs="Times New Roman" w:eastAsia="Times New Roman" w:hAnsi="Times New Roman"/>
                <w:sz w:val="14"/>
                <w:szCs w:val="14"/>
                <w:color w:val="auto"/>
              </w:rPr>
              <w:t>$ 374</w:t>
            </w:r>
          </w:p>
        </w:tc>
      </w:tr>
      <w:tr>
        <w:trPr>
          <w:trHeight w:val="228"/>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6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124"/>
        </w:trPr>
        <w:tc>
          <w:tcPr>
            <w:tcW w:w="21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Non-GAAP net income</w:t>
            </w:r>
          </w:p>
        </w:tc>
        <w:tc>
          <w:tcPr>
            <w:tcW w:w="60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0"/>
                <w:szCs w:val="10"/>
                <w:color w:val="auto"/>
              </w:rPr>
            </w:pPr>
          </w:p>
        </w:tc>
        <w:tc>
          <w:tcPr>
            <w:tcW w:w="580" w:type="dxa"/>
            <w:vAlign w:val="bottom"/>
            <w:tcBorders>
              <w:top w:val="single" w:sz="8" w:color="auto"/>
            </w:tcBorders>
          </w:tcPr>
          <w:p>
            <w:pPr>
              <w:ind w:left="20"/>
              <w:spacing w:after="0" w:line="124" w:lineRule="exact"/>
              <w:rPr>
                <w:sz w:val="20"/>
                <w:szCs w:val="20"/>
                <w:color w:val="auto"/>
              </w:rPr>
            </w:pPr>
            <w:r>
              <w:rPr>
                <w:rFonts w:ascii="Times New Roman" w:cs="Times New Roman" w:eastAsia="Times New Roman" w:hAnsi="Times New Roman"/>
                <w:sz w:val="14"/>
                <w:szCs w:val="14"/>
                <w:color w:val="auto"/>
              </w:rPr>
              <w:t>$1,631</w:t>
            </w: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color w:val="auto"/>
              </w:rPr>
              <w:t>$1,433</w:t>
            </w:r>
          </w:p>
        </w:tc>
      </w:tr>
      <w:tr>
        <w:trPr>
          <w:trHeight w:val="190"/>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attributable to Nasdaq</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74"/>
        </w:trPr>
        <w:tc>
          <w:tcPr>
            <w:tcW w:w="21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r>
        <w:trPr>
          <w:trHeight w:val="20"/>
        </w:trPr>
        <w:tc>
          <w:tcPr>
            <w:tcW w:w="2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0"/>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U.S. GAAP effective tax rate</w:t>
            </w:r>
          </w:p>
        </w:tc>
        <w:tc>
          <w:tcPr>
            <w:tcW w:w="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16.7 %</w:t>
            </w: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23.1 %</w:t>
            </w: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24.6 %</w:t>
            </w:r>
          </w:p>
        </w:tc>
      </w:tr>
      <w:tr>
        <w:trPr>
          <w:trHeight w:val="132"/>
        </w:trPr>
        <w:tc>
          <w:tcPr>
            <w:tcW w:w="21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Total adjustments from non-</w:t>
            </w:r>
          </w:p>
        </w:tc>
        <w:tc>
          <w:tcPr>
            <w:tcW w:w="60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5.7 %</w:t>
            </w:r>
          </w:p>
        </w:tc>
        <w:tc>
          <w:tcPr>
            <w:tcW w:w="600" w:type="dxa"/>
            <w:vAlign w:val="bottom"/>
            <w:gridSpan w:val="2"/>
          </w:tcPr>
          <w:p>
            <w:pPr>
              <w:jc w:val="right"/>
              <w:ind w:right="168"/>
              <w:spacing w:after="0" w:line="132" w:lineRule="exact"/>
              <w:rPr>
                <w:sz w:val="20"/>
                <w:szCs w:val="20"/>
                <w:color w:val="auto"/>
              </w:rPr>
            </w:pPr>
            <w:r>
              <w:rPr>
                <w:rFonts w:ascii="Times New Roman" w:cs="Times New Roman" w:eastAsia="Times New Roman" w:hAnsi="Times New Roman"/>
                <w:sz w:val="14"/>
                <w:szCs w:val="14"/>
                <w:color w:val="auto"/>
              </w:rPr>
              <w:t>0.7 %</w:t>
            </w:r>
          </w:p>
        </w:tc>
        <w:tc>
          <w:tcPr>
            <w:tcW w:w="40" w:type="dxa"/>
            <w:vAlign w:val="bottom"/>
          </w:tcPr>
          <w:p>
            <w:pPr>
              <w:spacing w:after="0"/>
              <w:rPr>
                <w:sz w:val="11"/>
                <w:szCs w:val="11"/>
                <w:color w:val="auto"/>
              </w:rPr>
            </w:pPr>
          </w:p>
        </w:tc>
        <w:tc>
          <w:tcPr>
            <w:tcW w:w="580" w:type="dxa"/>
            <w:vAlign w:val="bottom"/>
          </w:tcPr>
          <w:p>
            <w:pPr>
              <w:jc w:val="right"/>
              <w:ind w:right="169"/>
              <w:spacing w:after="0" w:line="132" w:lineRule="exact"/>
              <w:rPr>
                <w:sz w:val="20"/>
                <w:szCs w:val="20"/>
                <w:color w:val="auto"/>
              </w:rPr>
            </w:pPr>
            <w:r>
              <w:rPr>
                <w:rFonts w:ascii="Times New Roman" w:cs="Times New Roman" w:eastAsia="Times New Roman" w:hAnsi="Times New Roman"/>
                <w:sz w:val="14"/>
                <w:szCs w:val="14"/>
                <w:color w:val="auto"/>
                <w:w w:val="97"/>
              </w:rPr>
              <w:t>0.4 %</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GAAP tax rate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52"/>
        </w:trPr>
        <w:tc>
          <w:tcPr>
            <w:tcW w:w="21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07"/>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Non-GAAP effective tax rate</w:t>
            </w: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22.4 %</w:t>
            </w: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23.8 %</w:t>
            </w: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25.0 %</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Weighted-average common shares</w:t>
            </w:r>
          </w:p>
        </w:tc>
        <w:tc>
          <w:tcPr>
            <w:tcW w:w="600" w:type="dxa"/>
            <w:vAlign w:val="bottom"/>
            <w:shd w:val="clear" w:color="auto" w:fill="CCEEFF"/>
          </w:tcPr>
          <w:p>
            <w:pPr>
              <w:jc w:val="right"/>
              <w:ind w:right="171"/>
              <w:spacing w:after="0" w:line="126" w:lineRule="exact"/>
              <w:rPr>
                <w:sz w:val="20"/>
                <w:szCs w:val="20"/>
                <w:color w:val="auto"/>
              </w:rPr>
            </w:pPr>
            <w:r>
              <w:rPr>
                <w:rFonts w:ascii="Times New Roman" w:cs="Times New Roman" w:eastAsia="Times New Roman" w:hAnsi="Times New Roman"/>
                <w:sz w:val="14"/>
                <w:szCs w:val="14"/>
                <w:color w:val="auto"/>
              </w:rPr>
              <w:t>578.6</w:t>
            </w:r>
          </w:p>
        </w:tc>
        <w:tc>
          <w:tcPr>
            <w:tcW w:w="600" w:type="dxa"/>
            <w:vAlign w:val="bottom"/>
            <w:gridSpan w:val="2"/>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579.2</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69"/>
              <w:spacing w:after="0" w:line="126" w:lineRule="exact"/>
              <w:rPr>
                <w:sz w:val="20"/>
                <w:szCs w:val="20"/>
                <w:color w:val="auto"/>
              </w:rPr>
            </w:pPr>
            <w:r>
              <w:rPr>
                <w:rFonts w:ascii="Times New Roman" w:cs="Times New Roman" w:eastAsia="Times New Roman" w:hAnsi="Times New Roman"/>
                <w:sz w:val="14"/>
                <w:szCs w:val="14"/>
                <w:color w:val="auto"/>
              </w:rPr>
              <w:t>508.4</w:t>
            </w:r>
          </w:p>
        </w:tc>
      </w:tr>
      <w:tr>
        <w:trPr>
          <w:trHeight w:val="144"/>
        </w:trPr>
        <w:tc>
          <w:tcPr>
            <w:tcW w:w="2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outstanding for diluted earnings</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220"/>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w:t>
            </w:r>
          </w:p>
        </w:tc>
        <w:tc>
          <w:tcPr>
            <w:tcW w:w="6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48"/>
        </w:trPr>
        <w:tc>
          <w:tcPr>
            <w:tcW w:w="2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132"/>
        </w:trPr>
        <w:tc>
          <w:tcPr>
            <w:tcW w:w="2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U.S. GAAP diluted earnings per</w:t>
            </w:r>
          </w:p>
        </w:tc>
        <w:tc>
          <w:tcPr>
            <w:tcW w:w="600" w:type="dxa"/>
            <w:vAlign w:val="bottom"/>
            <w:shd w:val="clear" w:color="auto" w:fill="CCEEFF"/>
          </w:tcPr>
          <w:p>
            <w:pPr>
              <w:jc w:val="right"/>
              <w:ind w:right="171"/>
              <w:spacing w:after="0" w:line="132" w:lineRule="exact"/>
              <w:rPr>
                <w:sz w:val="20"/>
                <w:szCs w:val="20"/>
                <w:color w:val="auto"/>
              </w:rPr>
            </w:pPr>
            <w:r>
              <w:rPr>
                <w:rFonts w:ascii="Times New Roman" w:cs="Times New Roman" w:eastAsia="Times New Roman" w:hAnsi="Times New Roman"/>
                <w:sz w:val="14"/>
                <w:szCs w:val="14"/>
                <w:color w:val="auto"/>
                <w:w w:val="97"/>
              </w:rPr>
              <w:t>$ 3.09</w:t>
            </w:r>
          </w:p>
        </w:tc>
        <w:tc>
          <w:tcPr>
            <w:tcW w:w="600" w:type="dxa"/>
            <w:vAlign w:val="bottom"/>
            <w:gridSpan w:val="2"/>
            <w:shd w:val="clear" w:color="auto" w:fill="CCEEFF"/>
          </w:tcPr>
          <w:p>
            <w:pPr>
              <w:jc w:val="right"/>
              <w:ind w:right="168"/>
              <w:spacing w:after="0" w:line="132" w:lineRule="exact"/>
              <w:rPr>
                <w:sz w:val="20"/>
                <w:szCs w:val="20"/>
                <w:color w:val="auto"/>
              </w:rPr>
            </w:pPr>
            <w:r>
              <w:rPr>
                <w:rFonts w:ascii="Times New Roman" w:cs="Times New Roman" w:eastAsia="Times New Roman" w:hAnsi="Times New Roman"/>
                <w:sz w:val="14"/>
                <w:szCs w:val="14"/>
                <w:color w:val="auto"/>
              </w:rPr>
              <w:t>$1.93</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69"/>
              <w:spacing w:after="0" w:line="132" w:lineRule="exact"/>
              <w:rPr>
                <w:sz w:val="20"/>
                <w:szCs w:val="20"/>
                <w:color w:val="auto"/>
              </w:rPr>
            </w:pPr>
            <w:r>
              <w:rPr>
                <w:rFonts w:ascii="Times New Roman" w:cs="Times New Roman" w:eastAsia="Times New Roman" w:hAnsi="Times New Roman"/>
                <w:sz w:val="14"/>
                <w:szCs w:val="14"/>
                <w:color w:val="auto"/>
              </w:rPr>
              <w:t>$2.08</w:t>
            </w:r>
          </w:p>
        </w:tc>
      </w:tr>
      <w:tr>
        <w:trPr>
          <w:trHeight w:val="220"/>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132"/>
        </w:trPr>
        <w:tc>
          <w:tcPr>
            <w:tcW w:w="21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Total adjustments from non-</w:t>
            </w:r>
          </w:p>
        </w:tc>
        <w:tc>
          <w:tcPr>
            <w:tcW w:w="600" w:type="dxa"/>
            <w:vAlign w:val="bottom"/>
          </w:tcPr>
          <w:p>
            <w:pPr>
              <w:jc w:val="right"/>
              <w:ind w:right="171"/>
              <w:spacing w:after="0" w:line="132" w:lineRule="exact"/>
              <w:rPr>
                <w:sz w:val="20"/>
                <w:szCs w:val="20"/>
                <w:color w:val="auto"/>
              </w:rPr>
            </w:pPr>
            <w:r>
              <w:rPr>
                <w:rFonts w:ascii="Times New Roman" w:cs="Times New Roman" w:eastAsia="Times New Roman" w:hAnsi="Times New Roman"/>
                <w:sz w:val="14"/>
                <w:szCs w:val="14"/>
                <w:color w:val="auto"/>
              </w:rPr>
              <w:t>0.39</w:t>
            </w:r>
          </w:p>
        </w:tc>
        <w:tc>
          <w:tcPr>
            <w:tcW w:w="600" w:type="dxa"/>
            <w:vAlign w:val="bottom"/>
            <w:gridSpan w:val="2"/>
          </w:tcPr>
          <w:p>
            <w:pPr>
              <w:jc w:val="right"/>
              <w:ind w:right="168"/>
              <w:spacing w:after="0" w:line="132" w:lineRule="exact"/>
              <w:rPr>
                <w:sz w:val="20"/>
                <w:szCs w:val="20"/>
                <w:color w:val="auto"/>
              </w:rPr>
            </w:pPr>
            <w:r>
              <w:rPr>
                <w:rFonts w:ascii="Times New Roman" w:cs="Times New Roman" w:eastAsia="Times New Roman" w:hAnsi="Times New Roman"/>
                <w:sz w:val="14"/>
                <w:szCs w:val="14"/>
                <w:color w:val="auto"/>
              </w:rPr>
              <w:t>0.89</w:t>
            </w:r>
          </w:p>
        </w:tc>
        <w:tc>
          <w:tcPr>
            <w:tcW w:w="40" w:type="dxa"/>
            <w:vAlign w:val="bottom"/>
          </w:tcPr>
          <w:p>
            <w:pPr>
              <w:spacing w:after="0"/>
              <w:rPr>
                <w:sz w:val="11"/>
                <w:szCs w:val="11"/>
                <w:color w:val="auto"/>
              </w:rPr>
            </w:pPr>
          </w:p>
        </w:tc>
        <w:tc>
          <w:tcPr>
            <w:tcW w:w="580" w:type="dxa"/>
            <w:vAlign w:val="bottom"/>
          </w:tcPr>
          <w:p>
            <w:pPr>
              <w:jc w:val="right"/>
              <w:ind w:right="169"/>
              <w:spacing w:after="0" w:line="132" w:lineRule="exact"/>
              <w:rPr>
                <w:sz w:val="20"/>
                <w:szCs w:val="20"/>
                <w:color w:val="auto"/>
              </w:rPr>
            </w:pPr>
            <w:r>
              <w:rPr>
                <w:rFonts w:ascii="Times New Roman" w:cs="Times New Roman" w:eastAsia="Times New Roman" w:hAnsi="Times New Roman"/>
                <w:sz w:val="14"/>
                <w:szCs w:val="14"/>
                <w:color w:val="auto"/>
              </w:rPr>
              <w:t>0.74</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GAAP net income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52"/>
        </w:trPr>
        <w:tc>
          <w:tcPr>
            <w:tcW w:w="21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124"/>
        </w:trPr>
        <w:tc>
          <w:tcPr>
            <w:tcW w:w="21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Non-GAAP diluted earnings per</w:t>
            </w:r>
          </w:p>
        </w:tc>
        <w:tc>
          <w:tcPr>
            <w:tcW w:w="600" w:type="dxa"/>
            <w:vAlign w:val="bottom"/>
            <w:shd w:val="clear" w:color="auto" w:fill="CCEEFF"/>
          </w:tcPr>
          <w:p>
            <w:pPr>
              <w:jc w:val="right"/>
              <w:ind w:right="171"/>
              <w:spacing w:after="0" w:line="124" w:lineRule="exact"/>
              <w:rPr>
                <w:sz w:val="20"/>
                <w:szCs w:val="20"/>
                <w:color w:val="auto"/>
              </w:rPr>
            </w:pPr>
            <w:r>
              <w:rPr>
                <w:rFonts w:ascii="Times New Roman" w:cs="Times New Roman" w:eastAsia="Times New Roman" w:hAnsi="Times New Roman"/>
                <w:sz w:val="14"/>
                <w:szCs w:val="14"/>
                <w:color w:val="auto"/>
                <w:w w:val="97"/>
              </w:rPr>
              <w:t>$ 3.48</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68"/>
              <w:spacing w:after="0" w:line="124" w:lineRule="exact"/>
              <w:rPr>
                <w:sz w:val="20"/>
                <w:szCs w:val="20"/>
                <w:color w:val="auto"/>
              </w:rPr>
            </w:pPr>
            <w:r>
              <w:rPr>
                <w:rFonts w:ascii="Times New Roman" w:cs="Times New Roman" w:eastAsia="Times New Roman" w:hAnsi="Times New Roman"/>
                <w:sz w:val="14"/>
                <w:szCs w:val="14"/>
                <w:color w:val="auto"/>
              </w:rPr>
              <w:t>$2.82</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69"/>
              <w:spacing w:after="0" w:line="124" w:lineRule="exact"/>
              <w:rPr>
                <w:sz w:val="20"/>
                <w:szCs w:val="20"/>
                <w:color w:val="auto"/>
              </w:rPr>
            </w:pPr>
            <w:r>
              <w:rPr>
                <w:rFonts w:ascii="Times New Roman" w:cs="Times New Roman" w:eastAsia="Times New Roman" w:hAnsi="Times New Roman"/>
                <w:sz w:val="14"/>
                <w:szCs w:val="14"/>
                <w:color w:val="auto"/>
              </w:rPr>
              <w:t>$2.82</w:t>
            </w:r>
          </w:p>
        </w:tc>
      </w:tr>
      <w:tr>
        <w:trPr>
          <w:trHeight w:val="208"/>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r>
    </w:tbl>
    <w:p>
      <w:pPr>
        <w:spacing w:after="0" w:line="225" w:lineRule="auto"/>
        <w:rPr>
          <w:sz w:val="20"/>
          <w:szCs w:val="20"/>
          <w:color w:val="auto"/>
        </w:rPr>
      </w:pPr>
      <w:r>
        <w:rPr>
          <w:rFonts w:ascii="Times New Roman" w:cs="Times New Roman" w:eastAsia="Times New Roman" w:hAnsi="Times New Roman"/>
          <w:sz w:val="16"/>
          <w:szCs w:val="16"/>
          <w:color w:val="auto"/>
        </w:rPr>
        <w:t>We believe that excluding the above items, described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-100965</wp:posOffset>
            </wp:positionV>
            <wp:extent cx="11588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58875"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below, from the non-GAAP net income attributable to</w:t>
      </w:r>
    </w:p>
    <w:p>
      <w:pPr>
        <w:spacing w:after="0" w:line="203" w:lineRule="auto"/>
        <w:rPr>
          <w:sz w:val="20"/>
          <w:szCs w:val="20"/>
          <w:color w:val="auto"/>
        </w:rPr>
      </w:pPr>
      <w:r>
        <w:rPr>
          <w:rFonts w:ascii="Times New Roman" w:cs="Times New Roman" w:eastAsia="Times New Roman" w:hAnsi="Times New Roman"/>
          <w:sz w:val="16"/>
          <w:szCs w:val="16"/>
          <w:color w:val="auto"/>
        </w:rPr>
        <w:t>Nasdaq provides a more meaningful analysis of Nasdaq’s</w:t>
      </w:r>
    </w:p>
    <w:p>
      <w:pPr>
        <w:spacing w:after="0" w:line="204" w:lineRule="auto"/>
        <w:rPr>
          <w:sz w:val="20"/>
          <w:szCs w:val="20"/>
          <w:color w:val="auto"/>
        </w:rPr>
      </w:pPr>
      <w:r>
        <w:rPr>
          <w:rFonts w:ascii="Times New Roman" w:cs="Times New Roman" w:eastAsia="Times New Roman" w:hAnsi="Times New Roman"/>
          <w:sz w:val="16"/>
          <w:szCs w:val="16"/>
          <w:color w:val="auto"/>
        </w:rPr>
        <w:t>ongoing operating performance and comparisons in Nasdaq’s</w:t>
      </w:r>
    </w:p>
    <w:p>
      <w:pPr>
        <w:spacing w:after="0" w:line="203" w:lineRule="auto"/>
        <w:rPr>
          <w:sz w:val="20"/>
          <w:szCs w:val="20"/>
          <w:color w:val="auto"/>
        </w:rPr>
      </w:pPr>
      <w:r>
        <w:rPr>
          <w:rFonts w:ascii="Times New Roman" w:cs="Times New Roman" w:eastAsia="Times New Roman" w:hAnsi="Times New Roman"/>
          <w:sz w:val="16"/>
          <w:szCs w:val="16"/>
          <w:color w:val="auto"/>
        </w:rPr>
        <w:t>performance between periods:</w:t>
      </w:r>
    </w:p>
    <w:p>
      <w:pPr>
        <w:spacing w:after="0" w:line="204" w:lineRule="auto"/>
        <w:rPr>
          <w:sz w:val="20"/>
          <w:szCs w:val="20"/>
          <w:color w:val="auto"/>
        </w:rPr>
      </w:pPr>
      <w:r>
        <w:rPr>
          <w:rFonts w:ascii="Times New Roman" w:cs="Times New Roman" w:eastAsia="Times New Roman" w:hAnsi="Times New Roman"/>
          <w:sz w:val="16"/>
          <w:szCs w:val="16"/>
          <w:i w:val="1"/>
          <w:iCs w:val="1"/>
          <w:color w:val="231F20"/>
        </w:rPr>
        <w:t>•</w:t>
      </w:r>
      <w:r>
        <w:rPr>
          <w:rFonts w:ascii="Times New Roman" w:cs="Times New Roman" w:eastAsia="Times New Roman" w:hAnsi="Times New Roman"/>
          <w:sz w:val="16"/>
          <w:szCs w:val="16"/>
          <w:i w:val="1"/>
          <w:iCs w:val="1"/>
          <w:color w:val="000000"/>
        </w:rPr>
        <w:t>Adenza purchase accounting adjustment:</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000000"/>
        </w:rPr>
        <w:t>As discussed in</w:t>
      </w:r>
    </w:p>
    <w:p>
      <w:pPr>
        <w:spacing w:after="0" w:line="204" w:lineRule="auto"/>
        <w:rPr>
          <w:sz w:val="20"/>
          <w:szCs w:val="20"/>
          <w:color w:val="auto"/>
        </w:rPr>
      </w:pPr>
      <w:r>
        <w:rPr>
          <w:rFonts w:ascii="Times New Roman" w:cs="Times New Roman" w:eastAsia="Times New Roman" w:hAnsi="Times New Roman"/>
          <w:sz w:val="16"/>
          <w:szCs w:val="16"/>
          <w:color w:val="auto"/>
        </w:rPr>
        <w:t>Note 3, “Revenue from Contracts with Customers,” to the</w:t>
      </w:r>
    </w:p>
    <w:p>
      <w:pPr>
        <w:spacing w:after="0" w:line="203" w:lineRule="auto"/>
        <w:rPr>
          <w:sz w:val="20"/>
          <w:szCs w:val="20"/>
          <w:color w:val="auto"/>
        </w:rPr>
      </w:pPr>
      <w:r>
        <w:rPr>
          <w:rFonts w:ascii="Times New Roman" w:cs="Times New Roman" w:eastAsia="Times New Roman" w:hAnsi="Times New Roman"/>
          <w:sz w:val="16"/>
          <w:szCs w:val="16"/>
          <w:color w:val="auto"/>
        </w:rPr>
        <w:t>consolidated financial statements, during the third quarter</w:t>
      </w:r>
    </w:p>
    <w:p>
      <w:pPr>
        <w:spacing w:after="0" w:line="204" w:lineRule="auto"/>
        <w:rPr>
          <w:sz w:val="20"/>
          <w:szCs w:val="20"/>
          <w:color w:val="auto"/>
        </w:rPr>
      </w:pPr>
      <w:r>
        <w:rPr>
          <w:rFonts w:ascii="Times New Roman" w:cs="Times New Roman" w:eastAsia="Times New Roman" w:hAnsi="Times New Roman"/>
          <w:sz w:val="16"/>
          <w:szCs w:val="16"/>
          <w:color w:val="auto"/>
        </w:rPr>
        <w:t>of 2024, as part of finalizing the purchase accounting of the</w:t>
      </w:r>
    </w:p>
    <w:p>
      <w:pPr>
        <w:spacing w:after="0" w:line="203" w:lineRule="auto"/>
        <w:rPr>
          <w:sz w:val="20"/>
          <w:szCs w:val="20"/>
          <w:color w:val="auto"/>
        </w:rPr>
      </w:pPr>
      <w:r>
        <w:rPr>
          <w:rFonts w:ascii="Times New Roman" w:cs="Times New Roman" w:eastAsia="Times New Roman" w:hAnsi="Times New Roman"/>
          <w:sz w:val="16"/>
          <w:szCs w:val="16"/>
          <w:color w:val="auto"/>
        </w:rPr>
        <w:t>Adenza acquisition, a one-time net revenue reduction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 million was recorded in our Financial Technology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46</w:t>
      </w:r>
    </w:p>
    <w:p>
      <w:pPr>
        <w:spacing w:after="0" w:line="203" w:lineRule="auto"/>
        <w:rPr>
          <w:sz w:val="20"/>
          <w:szCs w:val="20"/>
          <w:color w:val="auto"/>
        </w:rPr>
      </w:pPr>
      <w:r>
        <w:rPr>
          <w:rFonts w:ascii="Times New Roman" w:cs="Times New Roman" w:eastAsia="Times New Roman" w:hAnsi="Times New Roman"/>
          <w:sz w:val="16"/>
          <w:szCs w:val="16"/>
          <w:color w:val="auto"/>
        </w:rPr>
        <w:t>costs may be recognized in the first half of 2026. In</w:t>
      </w:r>
    </w:p>
    <w:p>
      <w:pPr>
        <w:spacing w:after="0" w:line="204" w:lineRule="auto"/>
        <w:rPr>
          <w:sz w:val="20"/>
          <w:szCs w:val="20"/>
          <w:color w:val="auto"/>
        </w:rPr>
      </w:pPr>
      <w:r>
        <w:rPr>
          <w:rFonts w:ascii="Times New Roman" w:cs="Times New Roman" w:eastAsia="Times New Roman" w:hAnsi="Times New Roman"/>
          <w:sz w:val="16"/>
          <w:szCs w:val="16"/>
          <w:color w:val="auto"/>
        </w:rPr>
        <w:t>addition, we completed our divisional realignment program</w:t>
      </w:r>
    </w:p>
    <w:p>
      <w:pPr>
        <w:spacing w:after="0" w:line="203" w:lineRule="auto"/>
        <w:rPr>
          <w:sz w:val="20"/>
          <w:szCs w:val="20"/>
          <w:color w:val="auto"/>
        </w:rPr>
      </w:pPr>
      <w:r>
        <w:rPr>
          <w:rFonts w:ascii="Times New Roman" w:cs="Times New Roman" w:eastAsia="Times New Roman" w:hAnsi="Times New Roman"/>
          <w:sz w:val="16"/>
          <w:szCs w:val="16"/>
          <w:color w:val="auto"/>
        </w:rPr>
        <w:t>in September 2024. See Note 20, “Restructuring Charges,”</w:t>
      </w:r>
    </w:p>
    <w:p>
      <w:pPr>
        <w:spacing w:after="0" w:line="204" w:lineRule="auto"/>
        <w:rPr>
          <w:sz w:val="20"/>
          <w:szCs w:val="20"/>
          <w:color w:val="auto"/>
        </w:rPr>
      </w:pPr>
      <w:r>
        <w:rPr>
          <w:rFonts w:ascii="Times New Roman" w:cs="Times New Roman" w:eastAsia="Times New Roman" w:hAnsi="Times New Roman"/>
          <w:sz w:val="16"/>
          <w:szCs w:val="16"/>
          <w:color w:val="auto"/>
        </w:rPr>
        <w:t>to the consolidated financial statements for further</w:t>
      </w:r>
    </w:p>
    <w:p>
      <w:pPr>
        <w:spacing w:after="0" w:line="203" w:lineRule="auto"/>
        <w:rPr>
          <w:sz w:val="20"/>
          <w:szCs w:val="20"/>
          <w:color w:val="auto"/>
        </w:rPr>
      </w:pPr>
      <w:r>
        <w:rPr>
          <w:rFonts w:ascii="Times New Roman" w:cs="Times New Roman" w:eastAsia="Times New Roman" w:hAnsi="Times New Roman"/>
          <w:sz w:val="16"/>
          <w:szCs w:val="16"/>
          <w:color w:val="auto"/>
        </w:rPr>
        <w:t>discussion of these programs.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•Lease asset impairments: </w:t>
      </w:r>
      <w:r>
        <w:rPr>
          <w:rFonts w:ascii="Times New Roman" w:cs="Times New Roman" w:eastAsia="Times New Roman" w:hAnsi="Times New Roman"/>
          <w:sz w:val="16"/>
          <w:szCs w:val="16"/>
          <w:color w:val="auto"/>
        </w:rPr>
        <w:t>For the year ended December 31,</w:t>
      </w:r>
    </w:p>
    <w:p>
      <w:pPr>
        <w:spacing w:after="0" w:line="203" w:lineRule="auto"/>
        <w:rPr>
          <w:sz w:val="20"/>
          <w:szCs w:val="20"/>
          <w:color w:val="auto"/>
        </w:rPr>
      </w:pPr>
      <w:r>
        <w:rPr>
          <w:rFonts w:ascii="Times New Roman" w:cs="Times New Roman" w:eastAsia="Times New Roman" w:hAnsi="Times New Roman"/>
          <w:sz w:val="16"/>
          <w:szCs w:val="16"/>
          <w:color w:val="auto"/>
        </w:rPr>
        <w:t>2023, this included impairment charges related to our</w:t>
      </w:r>
    </w:p>
    <w:p>
      <w:pPr>
        <w:spacing w:after="0" w:line="204" w:lineRule="auto"/>
        <w:rPr>
          <w:sz w:val="20"/>
          <w:szCs w:val="20"/>
          <w:color w:val="auto"/>
        </w:rPr>
      </w:pPr>
      <w:r>
        <w:rPr>
          <w:rFonts w:ascii="Times New Roman" w:cs="Times New Roman" w:eastAsia="Times New Roman" w:hAnsi="Times New Roman"/>
          <w:sz w:val="16"/>
          <w:szCs w:val="16"/>
          <w:color w:val="auto"/>
        </w:rPr>
        <w:t>operating lease assets and leasehold improvements</w:t>
      </w:r>
    </w:p>
    <w:p>
      <w:pPr>
        <w:spacing w:after="0" w:line="203" w:lineRule="auto"/>
        <w:rPr>
          <w:sz w:val="20"/>
          <w:szCs w:val="20"/>
          <w:color w:val="auto"/>
        </w:rPr>
      </w:pPr>
      <w:r>
        <w:rPr>
          <w:rFonts w:ascii="Times New Roman" w:cs="Times New Roman" w:eastAsia="Times New Roman" w:hAnsi="Times New Roman"/>
          <w:sz w:val="16"/>
          <w:szCs w:val="16"/>
          <w:color w:val="auto"/>
        </w:rPr>
        <w:t>associated with vacating certain leased office space, which</w:t>
      </w:r>
    </w:p>
    <w:p>
      <w:pPr>
        <w:spacing w:after="0" w:line="204" w:lineRule="auto"/>
        <w:rPr>
          <w:sz w:val="20"/>
          <w:szCs w:val="20"/>
          <w:color w:val="auto"/>
        </w:rPr>
      </w:pPr>
      <w:r>
        <w:rPr>
          <w:rFonts w:ascii="Times New Roman" w:cs="Times New Roman" w:eastAsia="Times New Roman" w:hAnsi="Times New Roman"/>
          <w:sz w:val="16"/>
          <w:szCs w:val="16"/>
          <w:color w:val="auto"/>
        </w:rPr>
        <w:t>are recorded in occupancy and depreciation and</w:t>
      </w:r>
    </w:p>
    <w:p>
      <w:pPr>
        <w:spacing w:after="0" w:line="204" w:lineRule="auto"/>
        <w:rPr>
          <w:sz w:val="20"/>
          <w:szCs w:val="20"/>
          <w:color w:val="auto"/>
        </w:rPr>
      </w:pPr>
      <w:r>
        <w:rPr>
          <w:rFonts w:ascii="Times New Roman" w:cs="Times New Roman" w:eastAsia="Times New Roman" w:hAnsi="Times New Roman"/>
          <w:sz w:val="16"/>
          <w:szCs w:val="16"/>
          <w:color w:val="auto"/>
        </w:rPr>
        <w:t>amortization expense in the Consolidated Statements of</w:t>
      </w:r>
    </w:p>
    <w:p>
      <w:pPr>
        <w:spacing w:after="0" w:line="203" w:lineRule="auto"/>
        <w:rPr>
          <w:sz w:val="20"/>
          <w:szCs w:val="20"/>
          <w:color w:val="auto"/>
        </w:rPr>
      </w:pPr>
      <w:r>
        <w:rPr>
          <w:rFonts w:ascii="Times New Roman" w:cs="Times New Roman" w:eastAsia="Times New Roman" w:hAnsi="Times New Roman"/>
          <w:sz w:val="16"/>
          <w:szCs w:val="16"/>
          <w:color w:val="auto"/>
        </w:rPr>
        <w:t>Income.</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•Gain/loss on extinguishment of debt: </w:t>
      </w:r>
      <w:r>
        <w:rPr>
          <w:rFonts w:ascii="Times New Roman" w:cs="Times New Roman" w:eastAsia="Times New Roman" w:hAnsi="Times New Roman"/>
          <w:sz w:val="16"/>
          <w:szCs w:val="16"/>
          <w:color w:val="auto"/>
        </w:rPr>
        <w:t>For the year ended</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we recorded a gain on early</w:t>
      </w:r>
    </w:p>
    <w:p>
      <w:pPr>
        <w:spacing w:after="0" w:line="204" w:lineRule="auto"/>
        <w:rPr>
          <w:sz w:val="20"/>
          <w:szCs w:val="20"/>
          <w:color w:val="auto"/>
        </w:rPr>
      </w:pPr>
      <w:r>
        <w:rPr>
          <w:rFonts w:ascii="Times New Roman" w:cs="Times New Roman" w:eastAsia="Times New Roman" w:hAnsi="Times New Roman"/>
          <w:sz w:val="16"/>
          <w:szCs w:val="16"/>
          <w:color w:val="auto"/>
        </w:rPr>
        <w:t>extinguishment of debt and for the year ended December</w:t>
      </w:r>
    </w:p>
    <w:p>
      <w:pPr>
        <w:spacing w:after="0" w:line="203" w:lineRule="auto"/>
        <w:rPr>
          <w:sz w:val="20"/>
          <w:szCs w:val="20"/>
          <w:color w:val="auto"/>
        </w:rPr>
      </w:pPr>
      <w:r>
        <w:rPr>
          <w:rFonts w:ascii="Times New Roman" w:cs="Times New Roman" w:eastAsia="Times New Roman" w:hAnsi="Times New Roman"/>
          <w:sz w:val="16"/>
          <w:szCs w:val="16"/>
          <w:color w:val="auto"/>
        </w:rPr>
        <w:t>31, 2024 we recorded a loss on early extinguishment of</w:t>
      </w:r>
    </w:p>
    <w:p>
      <w:pPr>
        <w:spacing w:after="0" w:line="204" w:lineRule="auto"/>
        <w:rPr>
          <w:sz w:val="20"/>
          <w:szCs w:val="20"/>
          <w:color w:val="auto"/>
        </w:rPr>
      </w:pPr>
      <w:r>
        <w:rPr>
          <w:rFonts w:ascii="Times New Roman" w:cs="Times New Roman" w:eastAsia="Times New Roman" w:hAnsi="Times New Roman"/>
          <w:sz w:val="16"/>
          <w:szCs w:val="16"/>
          <w:color w:val="auto"/>
        </w:rPr>
        <w:t>debt. These gains and losses were recorded under general,</w:t>
      </w:r>
    </w:p>
    <w:p>
      <w:pPr>
        <w:spacing w:after="0" w:line="203" w:lineRule="auto"/>
        <w:rPr>
          <w:sz w:val="20"/>
          <w:szCs w:val="20"/>
          <w:color w:val="auto"/>
        </w:rPr>
      </w:pPr>
      <w:r>
        <w:rPr>
          <w:rFonts w:ascii="Times New Roman" w:cs="Times New Roman" w:eastAsia="Times New Roman" w:hAnsi="Times New Roman"/>
          <w:sz w:val="16"/>
          <w:szCs w:val="16"/>
          <w:color w:val="auto"/>
        </w:rPr>
        <w:t>administrative and other expense in the Consolidated</w:t>
      </w:r>
    </w:p>
    <w:p>
      <w:pPr>
        <w:spacing w:after="0" w:line="204" w:lineRule="auto"/>
        <w:rPr>
          <w:sz w:val="20"/>
          <w:szCs w:val="20"/>
          <w:color w:val="auto"/>
        </w:rPr>
      </w:pPr>
      <w:r>
        <w:rPr>
          <w:rFonts w:ascii="Times New Roman" w:cs="Times New Roman" w:eastAsia="Times New Roman" w:hAnsi="Times New Roman"/>
          <w:sz w:val="16"/>
          <w:szCs w:val="16"/>
          <w:color w:val="auto"/>
        </w:rPr>
        <w:t>Statements of Income. See Note 9, “Debt Obligations,” to</w:t>
      </w:r>
    </w:p>
    <w:p>
      <w:pPr>
        <w:spacing w:after="0" w:line="204" w:lineRule="auto"/>
        <w:rPr>
          <w:sz w:val="20"/>
          <w:szCs w:val="20"/>
          <w:color w:val="auto"/>
        </w:rPr>
      </w:pPr>
      <w:r>
        <w:rPr>
          <w:rFonts w:ascii="Times New Roman" w:cs="Times New Roman" w:eastAsia="Times New Roman" w:hAnsi="Times New Roman"/>
          <w:sz w:val="16"/>
          <w:szCs w:val="16"/>
          <w:color w:val="auto"/>
        </w:rPr>
        <w:t>the consolidated financial statements for further discussion.</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•Net gain on divestitures: </w:t>
      </w:r>
      <w:r>
        <w:rPr>
          <w:rFonts w:ascii="Times New Roman" w:cs="Times New Roman" w:eastAsia="Times New Roman" w:hAnsi="Times New Roman"/>
          <w:sz w:val="16"/>
          <w:szCs w:val="16"/>
          <w:color w:val="auto"/>
        </w:rPr>
        <w:t>For the year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this includes net gains on divestitures of our Solovis</w:t>
      </w:r>
    </w:p>
    <w:p>
      <w:pPr>
        <w:spacing w:after="0" w:line="203" w:lineRule="auto"/>
        <w:rPr>
          <w:sz w:val="20"/>
          <w:szCs w:val="20"/>
          <w:color w:val="auto"/>
        </w:rPr>
      </w:pPr>
      <w:r>
        <w:rPr>
          <w:rFonts w:ascii="Times New Roman" w:cs="Times New Roman" w:eastAsia="Times New Roman" w:hAnsi="Times New Roman"/>
          <w:sz w:val="16"/>
          <w:szCs w:val="16"/>
          <w:color w:val="auto"/>
        </w:rPr>
        <w:t>business, Nordic power futures business and our Nasdaq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 Modelling for Catastrophes business. These gains are</w:t>
      </w:r>
    </w:p>
    <w:p>
      <w:pPr>
        <w:sectPr>
          <w:pgSz w:w="11900" w:h="16840" w:orient="portrait"/>
          <w:cols w:equalWidth="0" w:num="1">
            <w:col w:w="9400"/>
          </w:cols>
          <w:pgMar w:left="1060" w:top="547" w:right="1440" w:bottom="80" w:gutter="0" w:footer="0" w:header="0"/>
        </w:sectPr>
      </w:pPr>
    </w:p>
    <w:bookmarkStart w:id="41" w:name="page42"/>
    <w:bookmarkEnd w:id="41"/>
    <w:p>
      <w:pPr>
        <w:ind w:left="10"/>
        <w:spacing w:after="0"/>
        <w:rPr>
          <w:sz w:val="20"/>
          <w:szCs w:val="20"/>
          <w:color w:val="auto"/>
        </w:rPr>
      </w:pPr>
      <w:r>
        <w:rPr>
          <w:rFonts w:ascii="Times New Roman" w:cs="Times New Roman" w:eastAsia="Times New Roman" w:hAnsi="Times New Roman"/>
          <w:sz w:val="16"/>
          <w:szCs w:val="16"/>
          <w:color w:val="auto"/>
        </w:rPr>
        <w:t>net of costs to sell. See Note 4, “Acquisition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Divestitures,” to the consolidated financial statements for</w:t>
      </w:r>
    </w:p>
    <w:p>
      <w:pPr>
        <w:ind w:left="10"/>
        <w:spacing w:after="0" w:line="204" w:lineRule="auto"/>
        <w:rPr>
          <w:sz w:val="20"/>
          <w:szCs w:val="20"/>
          <w:color w:val="auto"/>
        </w:rPr>
      </w:pPr>
      <w:r>
        <w:rPr>
          <w:rFonts w:ascii="Times New Roman" w:cs="Times New Roman" w:eastAsia="Times New Roman" w:hAnsi="Times New Roman"/>
          <w:sz w:val="16"/>
          <w:szCs w:val="16"/>
          <w:color w:val="auto"/>
        </w:rPr>
        <w:t>further discussion of these transactions.</w:t>
      </w:r>
    </w:p>
    <w:p>
      <w:pPr>
        <w:ind w:left="10"/>
        <w:spacing w:after="0" w:line="203" w:lineRule="auto"/>
        <w:rPr>
          <w:sz w:val="20"/>
          <w:szCs w:val="20"/>
          <w:color w:val="auto"/>
        </w:rPr>
      </w:pPr>
      <w:r>
        <w:rPr>
          <w:rFonts w:ascii="Times New Roman" w:cs="Times New Roman" w:eastAsia="Times New Roman" w:hAnsi="Times New Roman"/>
          <w:sz w:val="16"/>
          <w:szCs w:val="16"/>
          <w:i w:val="1"/>
          <w:iCs w:val="1"/>
          <w:color w:val="auto"/>
        </w:rPr>
        <w:t>•Net (income) loss from unconsolidated investees</w:t>
      </w:r>
      <w:r>
        <w:rPr>
          <w:rFonts w:ascii="Times New Roman" w:cs="Times New Roman" w:eastAsia="Times New Roman" w:hAnsi="Times New Roman"/>
          <w:sz w:val="16"/>
          <w:szCs w:val="16"/>
          <w:color w:val="auto"/>
        </w:rPr>
        <w:t>: We</w:t>
      </w:r>
    </w:p>
    <w:p>
      <w:pPr>
        <w:ind w:left="10"/>
        <w:spacing w:after="0" w:line="204" w:lineRule="auto"/>
        <w:rPr>
          <w:sz w:val="20"/>
          <w:szCs w:val="20"/>
          <w:color w:val="auto"/>
        </w:rPr>
      </w:pPr>
      <w:r>
        <w:rPr>
          <w:rFonts w:ascii="Times New Roman" w:cs="Times New Roman" w:eastAsia="Times New Roman" w:hAnsi="Times New Roman"/>
          <w:sz w:val="16"/>
          <w:szCs w:val="16"/>
          <w:color w:val="auto"/>
        </w:rPr>
        <w:t>exclude our share of the earnings and losses of our equity</w:t>
      </w:r>
    </w:p>
    <w:p>
      <w:pPr>
        <w:ind w:left="10"/>
        <w:spacing w:after="0" w:line="203" w:lineRule="auto"/>
        <w:rPr>
          <w:sz w:val="20"/>
          <w:szCs w:val="20"/>
          <w:color w:val="auto"/>
        </w:rPr>
      </w:pPr>
      <w:r>
        <w:rPr>
          <w:rFonts w:ascii="Times New Roman" w:cs="Times New Roman" w:eastAsia="Times New Roman" w:hAnsi="Times New Roman"/>
          <w:sz w:val="16"/>
          <w:szCs w:val="16"/>
          <w:color w:val="auto"/>
        </w:rPr>
        <w:t>method investments. This provides a more meaningful</w:t>
      </w:r>
    </w:p>
    <w:p>
      <w:pPr>
        <w:ind w:left="10"/>
        <w:spacing w:after="0" w:line="204" w:lineRule="auto"/>
        <w:rPr>
          <w:sz w:val="20"/>
          <w:szCs w:val="20"/>
          <w:color w:val="auto"/>
        </w:rPr>
      </w:pPr>
      <w:r>
        <w:rPr>
          <w:rFonts w:ascii="Times New Roman" w:cs="Times New Roman" w:eastAsia="Times New Roman" w:hAnsi="Times New Roman"/>
          <w:sz w:val="16"/>
          <w:szCs w:val="16"/>
          <w:color w:val="auto"/>
        </w:rPr>
        <w:t>analysis of Nasdaq’s ongoing operating performance or</w:t>
      </w:r>
    </w:p>
    <w:p>
      <w:pPr>
        <w:ind w:left="10"/>
        <w:spacing w:after="0" w:line="203" w:lineRule="auto"/>
        <w:rPr>
          <w:sz w:val="20"/>
          <w:szCs w:val="20"/>
          <w:color w:val="auto"/>
        </w:rPr>
      </w:pPr>
      <w:r>
        <w:rPr>
          <w:rFonts w:ascii="Times New Roman" w:cs="Times New Roman" w:eastAsia="Times New Roman" w:hAnsi="Times New Roman"/>
          <w:sz w:val="16"/>
          <w:szCs w:val="16"/>
          <w:color w:val="auto"/>
        </w:rPr>
        <w:t>comparisons in Nasdaq’s performance between periods.</w:t>
      </w:r>
    </w:p>
    <w:p>
      <w:pPr>
        <w:ind w:left="10"/>
        <w:spacing w:after="0" w:line="204" w:lineRule="auto"/>
        <w:rPr>
          <w:sz w:val="20"/>
          <w:szCs w:val="20"/>
          <w:color w:val="auto"/>
        </w:rPr>
      </w:pPr>
      <w:r>
        <w:rPr>
          <w:rFonts w:ascii="Times New Roman" w:cs="Times New Roman" w:eastAsia="Times New Roman" w:hAnsi="Times New Roman"/>
          <w:sz w:val="16"/>
          <w:szCs w:val="16"/>
          <w:color w:val="auto"/>
        </w:rPr>
        <w:t>See “Equity Method Investments,” of Note 6,</w:t>
      </w:r>
    </w:p>
    <w:p>
      <w:pPr>
        <w:ind w:left="10"/>
        <w:spacing w:after="0" w:line="203" w:lineRule="auto"/>
        <w:rPr>
          <w:sz w:val="20"/>
          <w:szCs w:val="20"/>
          <w:color w:val="auto"/>
        </w:rPr>
      </w:pPr>
      <w:r>
        <w:rPr>
          <w:rFonts w:ascii="Times New Roman" w:cs="Times New Roman" w:eastAsia="Times New Roman" w:hAnsi="Times New Roman"/>
          <w:sz w:val="16"/>
          <w:szCs w:val="16"/>
          <w:color w:val="auto"/>
        </w:rPr>
        <w:t>“Investments,” to the consolidated financial statements for</w:t>
      </w:r>
    </w:p>
    <w:p>
      <w:pPr>
        <w:ind w:left="10"/>
        <w:spacing w:after="0" w:line="204" w:lineRule="auto"/>
        <w:rPr>
          <w:sz w:val="20"/>
          <w:szCs w:val="20"/>
          <w:color w:val="auto"/>
        </w:rPr>
      </w:pPr>
      <w:r>
        <w:rPr>
          <w:rFonts w:ascii="Times New Roman" w:cs="Times New Roman" w:eastAsia="Times New Roman" w:hAnsi="Times New Roman"/>
          <w:sz w:val="16"/>
          <w:szCs w:val="16"/>
          <w:color w:val="auto"/>
        </w:rPr>
        <w:t>further discussion.</w:t>
      </w:r>
    </w:p>
    <w:p>
      <w:pPr>
        <w:ind w:left="10"/>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Legal and regulatory matters: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w:t>
      </w:r>
    </w:p>
    <w:p>
      <w:pPr>
        <w:ind w:left="10"/>
        <w:spacing w:after="0" w:line="203" w:lineRule="auto"/>
        <w:rPr>
          <w:sz w:val="20"/>
          <w:szCs w:val="20"/>
          <w:color w:val="auto"/>
        </w:rPr>
      </w:pPr>
      <w:r>
        <w:rPr>
          <w:rFonts w:ascii="Times New Roman" w:cs="Times New Roman" w:eastAsia="Times New Roman" w:hAnsi="Times New Roman"/>
          <w:sz w:val="16"/>
          <w:szCs w:val="16"/>
          <w:color w:val="auto"/>
        </w:rPr>
        <w:t>December 31, 2025, this includes accruals relating to</w:t>
      </w:r>
    </w:p>
    <w:p>
      <w:pPr>
        <w:ind w:left="10"/>
        <w:spacing w:after="0" w:line="204" w:lineRule="auto"/>
        <w:rPr>
          <w:sz w:val="20"/>
          <w:szCs w:val="20"/>
          <w:color w:val="auto"/>
        </w:rPr>
      </w:pPr>
      <w:r>
        <w:rPr>
          <w:rFonts w:ascii="Times New Roman" w:cs="Times New Roman" w:eastAsia="Times New Roman" w:hAnsi="Times New Roman"/>
          <w:sz w:val="16"/>
          <w:szCs w:val="16"/>
          <w:color w:val="auto"/>
        </w:rPr>
        <w:t>certain legal matters, which are recorded in professional</w:t>
      </w:r>
    </w:p>
    <w:p>
      <w:pPr>
        <w:ind w:left="10"/>
        <w:spacing w:after="0" w:line="203" w:lineRule="auto"/>
        <w:rPr>
          <w:sz w:val="20"/>
          <w:szCs w:val="20"/>
          <w:color w:val="auto"/>
        </w:rPr>
      </w:pPr>
      <w:r>
        <w:rPr>
          <w:rFonts w:ascii="Times New Roman" w:cs="Times New Roman" w:eastAsia="Times New Roman" w:hAnsi="Times New Roman"/>
          <w:sz w:val="16"/>
          <w:szCs w:val="16"/>
          <w:color w:val="auto"/>
        </w:rPr>
        <w:t>and contract services in the Consolidated Statements of</w:t>
      </w:r>
    </w:p>
    <w:p>
      <w:pPr>
        <w:ind w:left="10"/>
        <w:spacing w:after="0" w:line="204" w:lineRule="auto"/>
        <w:rPr>
          <w:sz w:val="20"/>
          <w:szCs w:val="20"/>
          <w:color w:val="auto"/>
        </w:rPr>
      </w:pPr>
      <w:r>
        <w:rPr>
          <w:rFonts w:ascii="Times New Roman" w:cs="Times New Roman" w:eastAsia="Times New Roman" w:hAnsi="Times New Roman"/>
          <w:sz w:val="16"/>
          <w:szCs w:val="16"/>
          <w:color w:val="auto"/>
        </w:rPr>
        <w:t>Income. For the year ended December 31, 2024, this</w:t>
      </w:r>
    </w:p>
    <w:p>
      <w:pPr>
        <w:ind w:left="10"/>
        <w:spacing w:after="0" w:line="203" w:lineRule="auto"/>
        <w:rPr>
          <w:sz w:val="20"/>
          <w:szCs w:val="20"/>
          <w:color w:val="auto"/>
        </w:rPr>
      </w:pPr>
      <w:r>
        <w:rPr>
          <w:rFonts w:ascii="Times New Roman" w:cs="Times New Roman" w:eastAsia="Times New Roman" w:hAnsi="Times New Roman"/>
          <w:sz w:val="16"/>
          <w:szCs w:val="16"/>
          <w:color w:val="auto"/>
        </w:rPr>
        <w:t>primarily related to the settlement of an SFSA fine,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accruals related to certain legal matters, which are recorded</w:t>
      </w:r>
    </w:p>
    <w:p>
      <w:pPr>
        <w:ind w:left="10"/>
        <w:spacing w:after="0" w:line="203" w:lineRule="auto"/>
        <w:rPr>
          <w:sz w:val="20"/>
          <w:szCs w:val="20"/>
          <w:color w:val="auto"/>
        </w:rPr>
      </w:pPr>
      <w:r>
        <w:rPr>
          <w:rFonts w:ascii="Times New Roman" w:cs="Times New Roman" w:eastAsia="Times New Roman" w:hAnsi="Times New Roman"/>
          <w:sz w:val="16"/>
          <w:szCs w:val="16"/>
          <w:color w:val="auto"/>
        </w:rPr>
        <w:t>in regulatory expense and professional and contract</w:t>
      </w:r>
    </w:p>
    <w:p>
      <w:pPr>
        <w:ind w:left="10"/>
        <w:spacing w:after="0" w:line="204" w:lineRule="auto"/>
        <w:rPr>
          <w:sz w:val="20"/>
          <w:szCs w:val="20"/>
          <w:color w:val="auto"/>
        </w:rPr>
      </w:pPr>
      <w:r>
        <w:rPr>
          <w:rFonts w:ascii="Times New Roman" w:cs="Times New Roman" w:eastAsia="Times New Roman" w:hAnsi="Times New Roman"/>
          <w:sz w:val="16"/>
          <w:szCs w:val="16"/>
          <w:color w:val="auto"/>
        </w:rPr>
        <w:t>services in the Consolidated Statements of Income.</w:t>
      </w:r>
    </w:p>
    <w:p>
      <w:pPr>
        <w:ind w:left="10"/>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Pension settlement charge: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years ended December</w:t>
      </w:r>
    </w:p>
    <w:p>
      <w:pPr>
        <w:ind w:left="10"/>
        <w:spacing w:after="0" w:line="203" w:lineRule="auto"/>
        <w:rPr>
          <w:sz w:val="20"/>
          <w:szCs w:val="20"/>
          <w:color w:val="auto"/>
        </w:rPr>
      </w:pPr>
      <w:r>
        <w:rPr>
          <w:rFonts w:ascii="Times New Roman" w:cs="Times New Roman" w:eastAsia="Times New Roman" w:hAnsi="Times New Roman"/>
          <w:sz w:val="16"/>
          <w:szCs w:val="16"/>
          <w:color w:val="auto"/>
        </w:rPr>
        <w:t>31, 2024 and 2023, we recorded a pre-tax charge as a result</w:t>
      </w:r>
    </w:p>
    <w:p>
      <w:pPr>
        <w:ind w:left="10"/>
        <w:spacing w:after="0" w:line="204" w:lineRule="auto"/>
        <w:rPr>
          <w:sz w:val="20"/>
          <w:szCs w:val="20"/>
          <w:color w:val="auto"/>
        </w:rPr>
      </w:pPr>
      <w:r>
        <w:rPr>
          <w:rFonts w:ascii="Times New Roman" w:cs="Times New Roman" w:eastAsia="Times New Roman" w:hAnsi="Times New Roman"/>
          <w:sz w:val="16"/>
          <w:szCs w:val="16"/>
          <w:color w:val="auto"/>
        </w:rPr>
        <w:t>of settling our U.S. pension plan. The plan was terminated</w:t>
      </w:r>
    </w:p>
    <w:p>
      <w:pPr>
        <w:ind w:left="10"/>
        <w:spacing w:after="0" w:line="203" w:lineRule="auto"/>
        <w:rPr>
          <w:sz w:val="20"/>
          <w:szCs w:val="20"/>
          <w:color w:val="auto"/>
        </w:rPr>
      </w:pPr>
      <w:r>
        <w:rPr>
          <w:rFonts w:ascii="Times New Roman" w:cs="Times New Roman" w:eastAsia="Times New Roman" w:hAnsi="Times New Roman"/>
          <w:sz w:val="16"/>
          <w:szCs w:val="16"/>
          <w:color w:val="auto"/>
        </w:rPr>
        <w:t>and partially settled in 2023, with final settlement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occurring during the first quarter of 2024. The pre-tax</w:t>
      </w:r>
    </w:p>
    <w:p>
      <w:pPr>
        <w:ind w:left="10"/>
        <w:spacing w:after="0" w:line="203" w:lineRule="auto"/>
        <w:rPr>
          <w:sz w:val="20"/>
          <w:szCs w:val="20"/>
          <w:color w:val="auto"/>
        </w:rPr>
      </w:pPr>
      <w:r>
        <w:rPr>
          <w:rFonts w:ascii="Times New Roman" w:cs="Times New Roman" w:eastAsia="Times New Roman" w:hAnsi="Times New Roman"/>
          <w:sz w:val="16"/>
          <w:szCs w:val="16"/>
          <w:color w:val="auto"/>
        </w:rPr>
        <w:t>charge is recorded in compensation and benefits expense in</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Consolidated Statements of Income.</w:t>
      </w:r>
    </w:p>
    <w:p>
      <w:pPr>
        <w:ind w:left="1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Other (gain) loss:</w:t>
      </w:r>
      <w:r>
        <w:rPr>
          <w:rFonts w:ascii="Times New Roman" w:cs="Times New Roman" w:eastAsia="Times New Roman" w:hAnsi="Times New Roman"/>
          <w:sz w:val="16"/>
          <w:szCs w:val="16"/>
          <w:color w:val="auto"/>
        </w:rPr>
        <w:t xml:space="preserve"> For the years ended December 31, 2025</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2024, other items primarily include net gains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losses from strategic investments entered into through our</w:t>
      </w:r>
    </w:p>
    <w:p>
      <w:pPr>
        <w:ind w:left="10"/>
        <w:spacing w:after="0" w:line="204" w:lineRule="auto"/>
        <w:rPr>
          <w:sz w:val="20"/>
          <w:szCs w:val="20"/>
          <w:color w:val="auto"/>
        </w:rPr>
      </w:pPr>
      <w:r>
        <w:rPr>
          <w:rFonts w:ascii="Times New Roman" w:cs="Times New Roman" w:eastAsia="Times New Roman" w:hAnsi="Times New Roman"/>
          <w:sz w:val="16"/>
          <w:szCs w:val="16"/>
          <w:color w:val="auto"/>
        </w:rPr>
        <w:t>corporate venture program, which are included in other</w:t>
      </w:r>
    </w:p>
    <w:p>
      <w:pPr>
        <w:ind w:left="10"/>
        <w:spacing w:after="0" w:line="204" w:lineRule="auto"/>
        <w:rPr>
          <w:sz w:val="20"/>
          <w:szCs w:val="20"/>
          <w:color w:val="auto"/>
        </w:rPr>
      </w:pPr>
      <w:r>
        <w:rPr>
          <w:rFonts w:ascii="Times New Roman" w:cs="Times New Roman" w:eastAsia="Times New Roman" w:hAnsi="Times New Roman"/>
          <w:sz w:val="16"/>
          <w:szCs w:val="16"/>
          <w:color w:val="auto"/>
        </w:rPr>
        <w:t>income (loss) in our Consolidated Statements of Income.</w:t>
      </w:r>
    </w:p>
    <w:p>
      <w:pPr>
        <w:ind w:left="1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Total non-GAAP tax adjustments:</w:t>
      </w:r>
      <w:r>
        <w:rPr>
          <w:rFonts w:ascii="Times New Roman" w:cs="Times New Roman" w:eastAsia="Times New Roman" w:hAnsi="Times New Roman"/>
          <w:sz w:val="16"/>
          <w:szCs w:val="16"/>
          <w:color w:val="auto"/>
        </w:rPr>
        <w:t xml:space="preserve"> The non-GAAP</w:t>
      </w:r>
    </w:p>
    <w:p>
      <w:pPr>
        <w:ind w:left="10"/>
        <w:spacing w:after="0" w:line="204" w:lineRule="auto"/>
        <w:rPr>
          <w:sz w:val="20"/>
          <w:szCs w:val="20"/>
          <w:color w:val="auto"/>
        </w:rPr>
      </w:pPr>
      <w:r>
        <w:rPr>
          <w:rFonts w:ascii="Times New Roman" w:cs="Times New Roman" w:eastAsia="Times New Roman" w:hAnsi="Times New Roman"/>
          <w:sz w:val="16"/>
          <w:szCs w:val="16"/>
          <w:color w:val="auto"/>
        </w:rPr>
        <w:t>adjustment to the income tax provision for all periods</w:t>
      </w:r>
    </w:p>
    <w:p>
      <w:pPr>
        <w:ind w:left="10"/>
        <w:spacing w:after="0" w:line="203" w:lineRule="auto"/>
        <w:rPr>
          <w:sz w:val="20"/>
          <w:szCs w:val="20"/>
          <w:color w:val="auto"/>
        </w:rPr>
      </w:pPr>
      <w:r>
        <w:rPr>
          <w:rFonts w:ascii="Times New Roman" w:cs="Times New Roman" w:eastAsia="Times New Roman" w:hAnsi="Times New Roman"/>
          <w:sz w:val="16"/>
          <w:szCs w:val="16"/>
          <w:color w:val="auto"/>
        </w:rPr>
        <w:t>primarily includes the tax impact of each non-GAAP</w:t>
      </w:r>
    </w:p>
    <w:p>
      <w:pPr>
        <w:ind w:left="10"/>
        <w:spacing w:after="0" w:line="204" w:lineRule="auto"/>
        <w:rPr>
          <w:sz w:val="20"/>
          <w:szCs w:val="20"/>
          <w:color w:val="auto"/>
        </w:rPr>
      </w:pPr>
      <w:r>
        <w:rPr>
          <w:rFonts w:ascii="Times New Roman" w:cs="Times New Roman" w:eastAsia="Times New Roman" w:hAnsi="Times New Roman"/>
          <w:sz w:val="16"/>
          <w:szCs w:val="16"/>
          <w:color w:val="auto"/>
        </w:rPr>
        <w:t>adjustment.</w:t>
      </w:r>
    </w:p>
    <w:p>
      <w:pPr>
        <w:ind w:left="1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Other tax adjustments:</w:t>
      </w:r>
      <w:r>
        <w:rPr>
          <w:rFonts w:ascii="Times New Roman" w:cs="Times New Roman" w:eastAsia="Times New Roman" w:hAnsi="Times New Roman"/>
          <w:sz w:val="16"/>
          <w:szCs w:val="16"/>
          <w:color w:val="auto"/>
        </w:rPr>
        <w:t xml:space="preserve"> For the years ended December 31,</w:t>
      </w:r>
    </w:p>
    <w:p>
      <w:pPr>
        <w:ind w:left="10"/>
        <w:spacing w:after="0" w:line="204" w:lineRule="auto"/>
        <w:rPr>
          <w:sz w:val="20"/>
          <w:szCs w:val="20"/>
          <w:color w:val="auto"/>
        </w:rPr>
      </w:pPr>
      <w:r>
        <w:rPr>
          <w:rFonts w:ascii="Times New Roman" w:cs="Times New Roman" w:eastAsia="Times New Roman" w:hAnsi="Times New Roman"/>
          <w:sz w:val="16"/>
          <w:szCs w:val="16"/>
          <w:color w:val="auto"/>
        </w:rPr>
        <w:t>2025 and 2024, other tax adjustments reflect a tax benefit</w:t>
      </w:r>
    </w:p>
    <w:p>
      <w:pPr>
        <w:ind w:left="10"/>
        <w:spacing w:after="0" w:line="203" w:lineRule="auto"/>
        <w:rPr>
          <w:sz w:val="20"/>
          <w:szCs w:val="20"/>
          <w:color w:val="auto"/>
        </w:rPr>
      </w:pPr>
      <w:r>
        <w:rPr>
          <w:rFonts w:ascii="Times New Roman" w:cs="Times New Roman" w:eastAsia="Times New Roman" w:hAnsi="Times New Roman"/>
          <w:sz w:val="16"/>
          <w:szCs w:val="16"/>
          <w:color w:val="auto"/>
        </w:rPr>
        <w:t>related to payments made to certain former Adenza</w:t>
      </w:r>
    </w:p>
    <w:p>
      <w:pPr>
        <w:ind w:left="10"/>
        <w:spacing w:after="0" w:line="204" w:lineRule="auto"/>
        <w:rPr>
          <w:sz w:val="20"/>
          <w:szCs w:val="20"/>
          <w:color w:val="auto"/>
        </w:rPr>
      </w:pPr>
      <w:r>
        <w:rPr>
          <w:rFonts w:ascii="Times New Roman" w:cs="Times New Roman" w:eastAsia="Times New Roman" w:hAnsi="Times New Roman"/>
          <w:sz w:val="16"/>
          <w:szCs w:val="16"/>
          <w:color w:val="auto"/>
        </w:rPr>
        <w:t>employees. For the year ended December 31, 2025, this</w:t>
      </w:r>
    </w:p>
    <w:p>
      <w:pPr>
        <w:ind w:left="10"/>
        <w:spacing w:after="0" w:line="204" w:lineRule="auto"/>
        <w:rPr>
          <w:sz w:val="20"/>
          <w:szCs w:val="20"/>
          <w:color w:val="auto"/>
        </w:rPr>
      </w:pPr>
      <w:r>
        <w:rPr>
          <w:rFonts w:ascii="Times New Roman" w:cs="Times New Roman" w:eastAsia="Times New Roman" w:hAnsi="Times New Roman"/>
          <w:sz w:val="16"/>
          <w:szCs w:val="16"/>
          <w:color w:val="auto"/>
        </w:rPr>
        <w:t>also reflects tax benefits from the revaluation of deferred</w:t>
      </w:r>
    </w:p>
    <w:p>
      <w:pPr>
        <w:ind w:left="10"/>
        <w:spacing w:after="0" w:line="203" w:lineRule="auto"/>
        <w:rPr>
          <w:sz w:val="20"/>
          <w:szCs w:val="20"/>
          <w:color w:val="auto"/>
        </w:rPr>
      </w:pPr>
      <w:r>
        <w:rPr>
          <w:rFonts w:ascii="Times New Roman" w:cs="Times New Roman" w:eastAsia="Times New Roman" w:hAnsi="Times New Roman"/>
          <w:sz w:val="16"/>
          <w:szCs w:val="16"/>
          <w:color w:val="auto"/>
        </w:rPr>
        <w:t>tax liabilities to a lower blended state and local tax rate,</w:t>
      </w:r>
    </w:p>
    <w:p>
      <w:pPr>
        <w:ind w:left="10"/>
        <w:spacing w:after="0" w:line="204" w:lineRule="auto"/>
        <w:rPr>
          <w:sz w:val="20"/>
          <w:szCs w:val="20"/>
          <w:color w:val="auto"/>
        </w:rPr>
      </w:pPr>
      <w:r>
        <w:rPr>
          <w:rFonts w:ascii="Times New Roman" w:cs="Times New Roman" w:eastAsia="Times New Roman" w:hAnsi="Times New Roman"/>
          <w:sz w:val="16"/>
          <w:szCs w:val="16"/>
          <w:color w:val="auto"/>
        </w:rPr>
        <w:t>revised state positions related to prior years, the release of</w:t>
      </w:r>
    </w:p>
    <w:p>
      <w:pPr>
        <w:ind w:left="10"/>
        <w:spacing w:after="0" w:line="203" w:lineRule="auto"/>
        <w:rPr>
          <w:sz w:val="20"/>
          <w:szCs w:val="20"/>
          <w:color w:val="auto"/>
        </w:rPr>
      </w:pPr>
      <w:r>
        <w:rPr>
          <w:rFonts w:ascii="Times New Roman" w:cs="Times New Roman" w:eastAsia="Times New Roman" w:hAnsi="Times New Roman"/>
          <w:sz w:val="16"/>
          <w:szCs w:val="16"/>
          <w:color w:val="auto"/>
        </w:rPr>
        <w:t>a prior year reserve following a favorable audit settlement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a divestiture in 2025. For the year ended December 31,</w:t>
      </w:r>
    </w:p>
    <w:p>
      <w:pPr>
        <w:ind w:left="10"/>
        <w:spacing w:after="0" w:line="203" w:lineRule="auto"/>
        <w:rPr>
          <w:sz w:val="20"/>
          <w:szCs w:val="20"/>
          <w:color w:val="auto"/>
        </w:rPr>
      </w:pPr>
      <w:r>
        <w:rPr>
          <w:rFonts w:ascii="Times New Roman" w:cs="Times New Roman" w:eastAsia="Times New Roman" w:hAnsi="Times New Roman"/>
          <w:sz w:val="16"/>
          <w:szCs w:val="16"/>
          <w:color w:val="auto"/>
        </w:rPr>
        <w:t>2024, other tax adjustments reflect a one-time net tax</w:t>
      </w:r>
    </w:p>
    <w:p>
      <w:pPr>
        <w:ind w:left="10"/>
        <w:spacing w:after="0" w:line="204" w:lineRule="auto"/>
        <w:rPr>
          <w:sz w:val="20"/>
          <w:szCs w:val="20"/>
          <w:color w:val="auto"/>
        </w:rPr>
      </w:pPr>
      <w:r>
        <w:rPr>
          <w:rFonts w:ascii="Times New Roman" w:cs="Times New Roman" w:eastAsia="Times New Roman" w:hAnsi="Times New Roman"/>
          <w:sz w:val="16"/>
          <w:szCs w:val="16"/>
          <w:color w:val="auto"/>
        </w:rPr>
        <w:t>expense of $33 million related to the completion of an</w:t>
      </w:r>
    </w:p>
    <w:p>
      <w:pPr>
        <w:ind w:left="10"/>
        <w:spacing w:after="0" w:line="203" w:lineRule="auto"/>
        <w:rPr>
          <w:sz w:val="20"/>
          <w:szCs w:val="20"/>
          <w:color w:val="auto"/>
        </w:rPr>
      </w:pPr>
      <w:r>
        <w:rPr>
          <w:rFonts w:ascii="Times New Roman" w:cs="Times New Roman" w:eastAsia="Times New Roman" w:hAnsi="Times New Roman"/>
          <w:sz w:val="16"/>
          <w:szCs w:val="16"/>
          <w:color w:val="auto"/>
        </w:rPr>
        <w:t>intra-group transfer of certain IP assets to our U.S.</w:t>
      </w:r>
    </w:p>
    <w:p>
      <w:pPr>
        <w:ind w:left="10"/>
        <w:spacing w:after="0" w:line="204" w:lineRule="auto"/>
        <w:rPr>
          <w:sz w:val="20"/>
          <w:szCs w:val="20"/>
          <w:color w:val="auto"/>
        </w:rPr>
      </w:pPr>
      <w:r>
        <w:rPr>
          <w:rFonts w:ascii="Times New Roman" w:cs="Times New Roman" w:eastAsia="Times New Roman" w:hAnsi="Times New Roman"/>
          <w:sz w:val="16"/>
          <w:szCs w:val="16"/>
          <w:color w:val="auto"/>
        </w:rPr>
        <w:t>headquarters as well as a tax benefit related to return to</w:t>
      </w:r>
    </w:p>
    <w:p>
      <w:pPr>
        <w:ind w:left="10"/>
        <w:spacing w:after="0" w:line="203" w:lineRule="auto"/>
        <w:rPr>
          <w:sz w:val="20"/>
          <w:szCs w:val="20"/>
          <w:color w:val="auto"/>
        </w:rPr>
      </w:pPr>
      <w:r>
        <w:rPr>
          <w:rFonts w:ascii="Times New Roman" w:cs="Times New Roman" w:eastAsia="Times New Roman" w:hAnsi="Times New Roman"/>
          <w:sz w:val="16"/>
          <w:szCs w:val="16"/>
          <w:color w:val="auto"/>
        </w:rPr>
        <w:t>provision adjustments and release of tax reserves due to</w:t>
      </w:r>
    </w:p>
    <w:p>
      <w:pPr>
        <w:ind w:left="10"/>
        <w:spacing w:after="0" w:line="204" w:lineRule="auto"/>
        <w:rPr>
          <w:sz w:val="20"/>
          <w:szCs w:val="20"/>
          <w:color w:val="auto"/>
        </w:rPr>
      </w:pPr>
      <w:r>
        <w:rPr>
          <w:rFonts w:ascii="Times New Roman" w:cs="Times New Roman" w:eastAsia="Times New Roman" w:hAnsi="Times New Roman"/>
          <w:sz w:val="16"/>
          <w:szCs w:val="16"/>
          <w:color w:val="auto"/>
        </w:rPr>
        <w:t>lapse in statute of limitations.</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LIQUIDITY AND CAPITAL RESOURCES</w:t>
      </w:r>
    </w:p>
    <w:p>
      <w:pPr>
        <w:ind w:left="10"/>
        <w:spacing w:after="0" w:line="203" w:lineRule="auto"/>
        <w:rPr>
          <w:sz w:val="20"/>
          <w:szCs w:val="20"/>
          <w:color w:val="auto"/>
        </w:rPr>
      </w:pPr>
      <w:r>
        <w:rPr>
          <w:rFonts w:ascii="Times New Roman" w:cs="Times New Roman" w:eastAsia="Times New Roman" w:hAnsi="Times New Roman"/>
          <w:sz w:val="16"/>
          <w:szCs w:val="16"/>
          <w:color w:val="auto"/>
        </w:rPr>
        <w:t>Historically, we have funded our operating activities and met</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commitments through cash generated by operations,</w:t>
      </w:r>
    </w:p>
    <w:p>
      <w:pPr>
        <w:ind w:left="10"/>
        <w:spacing w:after="0" w:line="203" w:lineRule="auto"/>
        <w:rPr>
          <w:sz w:val="20"/>
          <w:szCs w:val="20"/>
          <w:color w:val="auto"/>
        </w:rPr>
      </w:pPr>
      <w:r>
        <w:rPr>
          <w:rFonts w:ascii="Times New Roman" w:cs="Times New Roman" w:eastAsia="Times New Roman" w:hAnsi="Times New Roman"/>
          <w:sz w:val="16"/>
          <w:szCs w:val="16"/>
          <w:color w:val="auto"/>
        </w:rPr>
        <w:t>augmented by the periodic issuance of debt. Currently, our</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cost and availability of funding remain healthy. We continue</w:t>
      </w:r>
    </w:p>
    <w:p>
      <w:pPr>
        <w:ind w:left="10"/>
        <w:spacing w:after="0" w:line="229" w:lineRule="auto"/>
        <w:rPr>
          <w:sz w:val="20"/>
          <w:szCs w:val="20"/>
          <w:color w:val="auto"/>
        </w:rPr>
      </w:pPr>
      <w:r>
        <w:rPr>
          <w:rFonts w:ascii="Times New Roman" w:cs="Times New Roman" w:eastAsia="Times New Roman" w:hAnsi="Times New Roman"/>
          <w:sz w:val="16"/>
          <w:szCs w:val="16"/>
          <w:color w:val="auto"/>
        </w:rPr>
        <w:t>47</w:t>
      </w:r>
    </w:p>
    <w:p>
      <w:pPr>
        <w:spacing w:after="0" w:line="1" w:lineRule="exact"/>
        <w:rPr>
          <w:sz w:val="20"/>
          <w:szCs w:val="20"/>
          <w:color w:val="auto"/>
        </w:rPr>
      </w:pPr>
    </w:p>
    <w:p>
      <w:pPr>
        <w:ind w:left="10" w:right="5700" w:hanging="10"/>
        <w:spacing w:after="0" w:line="203" w:lineRule="auto"/>
        <w:tabs>
          <w:tab w:leader="none" w:pos="1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 downgrades, which could limit our access to additional debt;</w:t>
      </w:r>
    </w:p>
    <w:p>
      <w:pPr>
        <w:ind w:left="10" w:right="5720" w:hanging="10"/>
        <w:spacing w:after="0" w:line="203" w:lineRule="auto"/>
        <w:tabs>
          <w:tab w:leader="none" w:pos="1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decrease in the market price of our common stock; and</w:t>
      </w:r>
    </w:p>
    <w:p>
      <w:pPr>
        <w:ind w:left="10" w:right="6040" w:hanging="10"/>
        <w:spacing w:after="0" w:line="203" w:lineRule="auto"/>
        <w:tabs>
          <w:tab w:leader="none" w:pos="1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or disruption in the public debt and equity markets.</w:t>
      </w:r>
    </w:p>
    <w:p>
      <w:pPr>
        <w:ind w:left="10" w:right="5820"/>
        <w:spacing w:after="0" w:line="21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summarizes selected measures of our liquidity and capital resources: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186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62"/>
        </w:trPr>
        <w:tc>
          <w:tcPr>
            <w:tcW w:w="18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134"/>
        </w:trPr>
        <w:tc>
          <w:tcPr>
            <w:tcW w:w="18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62"/>
        </w:trPr>
        <w:tc>
          <w:tcPr>
            <w:tcW w:w="18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Working capital</w:t>
            </w: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7"/>
              </w:rPr>
              <w:t>(116)</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2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604</w:t>
            </w:r>
          </w:p>
        </w:tc>
        <w:tc>
          <w:tcPr>
            <w:tcW w:w="420" w:type="dxa"/>
            <w:vAlign w:val="bottom"/>
          </w:tcPr>
          <w:p>
            <w:pPr>
              <w:spacing w:after="0"/>
              <w:rPr>
                <w:sz w:val="17"/>
                <w:szCs w:val="17"/>
                <w:color w:val="auto"/>
              </w:rPr>
            </w:pPr>
          </w:p>
        </w:tc>
        <w:tc>
          <w:tcPr>
            <w:tcW w:w="6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1"/>
              </w:rPr>
              <w:t>592</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Financial investments</w:t>
            </w:r>
          </w:p>
        </w:tc>
        <w:tc>
          <w:tcPr>
            <w:tcW w:w="620" w:type="dxa"/>
            <w:vAlign w:val="bottom"/>
          </w:tcPr>
          <w:p>
            <w:pPr>
              <w:spacing w:after="0"/>
              <w:rPr>
                <w:sz w:val="19"/>
                <w:szCs w:val="19"/>
                <w:color w:val="auto"/>
              </w:rPr>
            </w:pPr>
          </w:p>
        </w:tc>
        <w:tc>
          <w:tcPr>
            <w:tcW w:w="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w:t>
            </w:r>
          </w:p>
        </w:tc>
        <w:tc>
          <w:tcPr>
            <w:tcW w:w="420" w:type="dxa"/>
            <w:vAlign w:val="bottom"/>
          </w:tcPr>
          <w:p>
            <w:pPr>
              <w:spacing w:after="0"/>
              <w:rPr>
                <w:sz w:val="19"/>
                <w:szCs w:val="19"/>
                <w:color w:val="auto"/>
              </w:rPr>
            </w:pPr>
          </w:p>
        </w:tc>
        <w:tc>
          <w:tcPr>
            <w:tcW w:w="6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1"/>
              </w:rPr>
              <w:t>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2530475" cy="15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0475" cy="152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b w:val="1"/>
          <w:bCs w:val="1"/>
          <w:color w:val="auto"/>
        </w:rPr>
        <w:t>Working Capital</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increase in working capital from December 31, 2024 to</w:t>
      </w:r>
    </w:p>
    <w:p>
      <w:pPr>
        <w:ind w:left="10"/>
        <w:spacing w:after="0" w:line="204" w:lineRule="auto"/>
        <w:rPr>
          <w:sz w:val="20"/>
          <w:szCs w:val="20"/>
          <w:color w:val="auto"/>
        </w:rPr>
      </w:pPr>
      <w:r>
        <w:rPr>
          <w:rFonts w:ascii="Times New Roman" w:cs="Times New Roman" w:eastAsia="Times New Roman" w:hAnsi="Times New Roman"/>
          <w:sz w:val="16"/>
          <w:szCs w:val="16"/>
          <w:color w:val="auto"/>
        </w:rPr>
        <w:t>December 31, 2025, excluding default funds and margin</w:t>
      </w:r>
    </w:p>
    <w:p>
      <w:pPr>
        <w:ind w:left="10"/>
        <w:spacing w:after="0" w:line="203" w:lineRule="auto"/>
        <w:rPr>
          <w:sz w:val="20"/>
          <w:szCs w:val="20"/>
          <w:color w:val="auto"/>
        </w:rPr>
      </w:pPr>
      <w:r>
        <w:rPr>
          <w:rFonts w:ascii="Times New Roman" w:cs="Times New Roman" w:eastAsia="Times New Roman" w:hAnsi="Times New Roman"/>
          <w:sz w:val="16"/>
          <w:szCs w:val="16"/>
          <w:color w:val="auto"/>
        </w:rPr>
        <w:t>deposits, which are both equal and offsetting, is primarily due</w:t>
      </w:r>
    </w:p>
    <w:p>
      <w:pPr>
        <w:ind w:left="10"/>
        <w:spacing w:after="0" w:line="204" w:lineRule="auto"/>
        <w:rPr>
          <w:sz w:val="20"/>
          <w:szCs w:val="20"/>
          <w:color w:val="auto"/>
        </w:rPr>
      </w:pPr>
      <w:r>
        <w:rPr>
          <w:rFonts w:ascii="Times New Roman" w:cs="Times New Roman" w:eastAsia="Times New Roman" w:hAnsi="Times New Roman"/>
          <w:sz w:val="16"/>
          <w:szCs w:val="16"/>
          <w:color w:val="auto"/>
        </w:rPr>
        <w:t>to a decrease in current liabilities and an increase in current</w:t>
      </w:r>
    </w:p>
    <w:p>
      <w:pPr>
        <w:ind w:left="10"/>
        <w:spacing w:after="0" w:line="203" w:lineRule="auto"/>
        <w:rPr>
          <w:sz w:val="20"/>
          <w:szCs w:val="20"/>
          <w:color w:val="auto"/>
        </w:rPr>
      </w:pPr>
      <w:r>
        <w:rPr>
          <w:rFonts w:ascii="Times New Roman" w:cs="Times New Roman" w:eastAsia="Times New Roman" w:hAnsi="Times New Roman"/>
          <w:sz w:val="16"/>
          <w:szCs w:val="16"/>
          <w:color w:val="auto"/>
        </w:rPr>
        <w:t>assets.</w:t>
      </w:r>
    </w:p>
    <w:p>
      <w:pPr>
        <w:ind w:left="10"/>
        <w:spacing w:after="0" w:line="204" w:lineRule="auto"/>
        <w:rPr>
          <w:sz w:val="20"/>
          <w:szCs w:val="20"/>
          <w:color w:val="auto"/>
        </w:rPr>
      </w:pPr>
      <w:r>
        <w:rPr>
          <w:rFonts w:ascii="Times New Roman" w:cs="Times New Roman" w:eastAsia="Times New Roman" w:hAnsi="Times New Roman"/>
          <w:sz w:val="16"/>
          <w:szCs w:val="16"/>
          <w:color w:val="auto"/>
        </w:rPr>
        <w:t>Decreased current liabilities were primarily due to:</w:t>
      </w:r>
    </w:p>
    <w:p>
      <w:pPr>
        <w:ind w:left="10"/>
        <w:spacing w:after="0" w:line="203" w:lineRule="auto"/>
        <w:rPr>
          <w:sz w:val="20"/>
          <w:szCs w:val="20"/>
          <w:color w:val="auto"/>
        </w:rPr>
      </w:pPr>
      <w:r>
        <w:rPr>
          <w:rFonts w:ascii="Times New Roman" w:cs="Times New Roman" w:eastAsia="Times New Roman" w:hAnsi="Times New Roman"/>
          <w:sz w:val="16"/>
          <w:szCs w:val="16"/>
          <w:color w:val="auto"/>
        </w:rPr>
        <w:t>•a decrease in Section 31 fees payable due to a decrease in</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fee rate, partially offset by</w:t>
      </w:r>
    </w:p>
    <w:p>
      <w:pPr>
        <w:ind w:left="10"/>
        <w:spacing w:after="0" w:line="203" w:lineRule="auto"/>
        <w:rPr>
          <w:sz w:val="20"/>
          <w:szCs w:val="20"/>
          <w:color w:val="auto"/>
        </w:rPr>
      </w:pPr>
      <w:r>
        <w:rPr>
          <w:rFonts w:ascii="Times New Roman" w:cs="Times New Roman" w:eastAsia="Times New Roman" w:hAnsi="Times New Roman"/>
          <w:sz w:val="16"/>
          <w:szCs w:val="16"/>
          <w:color w:val="auto"/>
        </w:rPr>
        <w:t>•higher deferred revenue due to higher average billings,</w:t>
      </w:r>
    </w:p>
    <w:p>
      <w:pPr>
        <w:ind w:left="10"/>
        <w:spacing w:after="0" w:line="204" w:lineRule="auto"/>
        <w:rPr>
          <w:sz w:val="20"/>
          <w:szCs w:val="20"/>
          <w:color w:val="auto"/>
        </w:rPr>
      </w:pPr>
      <w:r>
        <w:rPr>
          <w:rFonts w:ascii="Times New Roman" w:cs="Times New Roman" w:eastAsia="Times New Roman" w:hAnsi="Times New Roman"/>
          <w:sz w:val="16"/>
          <w:szCs w:val="16"/>
          <w:color w:val="auto"/>
        </w:rPr>
        <w:t>•an increase in other current liabilities,</w:t>
      </w:r>
    </w:p>
    <w:p>
      <w:pPr>
        <w:ind w:left="10"/>
        <w:spacing w:after="0" w:line="204" w:lineRule="auto"/>
        <w:rPr>
          <w:sz w:val="20"/>
          <w:szCs w:val="20"/>
          <w:color w:val="auto"/>
        </w:rPr>
      </w:pPr>
      <w:r>
        <w:rPr>
          <w:rFonts w:ascii="Times New Roman" w:cs="Times New Roman" w:eastAsia="Times New Roman" w:hAnsi="Times New Roman"/>
          <w:sz w:val="16"/>
          <w:szCs w:val="16"/>
          <w:color w:val="auto"/>
        </w:rPr>
        <w:t>•an increase in accrued personnel costs,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•an increase in short-term debt due to the reclassification of</w:t>
      </w:r>
    </w:p>
    <w:p>
      <w:pPr>
        <w:ind w:left="10"/>
        <w:spacing w:after="0" w:line="204" w:lineRule="auto"/>
        <w:rPr>
          <w:sz w:val="20"/>
          <w:szCs w:val="20"/>
          <w:color w:val="auto"/>
        </w:rPr>
      </w:pPr>
      <w:r>
        <w:rPr>
          <w:rFonts w:ascii="Times New Roman" w:cs="Times New Roman" w:eastAsia="Times New Roman" w:hAnsi="Times New Roman"/>
          <w:sz w:val="16"/>
          <w:szCs w:val="16"/>
          <w:color w:val="auto"/>
        </w:rPr>
        <w:t>2026 Notes, partially offset by the repayment of the 2025</w:t>
      </w:r>
    </w:p>
    <w:p>
      <w:pPr>
        <w:ind w:left="10"/>
        <w:spacing w:after="0" w:line="203" w:lineRule="auto"/>
        <w:rPr>
          <w:sz w:val="20"/>
          <w:szCs w:val="20"/>
          <w:color w:val="auto"/>
        </w:rPr>
      </w:pPr>
      <w:r>
        <w:rPr>
          <w:rFonts w:ascii="Times New Roman" w:cs="Times New Roman" w:eastAsia="Times New Roman" w:hAnsi="Times New Roman"/>
          <w:sz w:val="16"/>
          <w:szCs w:val="16"/>
          <w:color w:val="auto"/>
        </w:rPr>
        <w:t>Notes.</w:t>
      </w:r>
    </w:p>
    <w:p>
      <w:pPr>
        <w:ind w:left="10"/>
        <w:spacing w:after="0" w:line="204" w:lineRule="auto"/>
        <w:rPr>
          <w:sz w:val="20"/>
          <w:szCs w:val="20"/>
          <w:color w:val="auto"/>
        </w:rPr>
      </w:pPr>
      <w:r>
        <w:rPr>
          <w:rFonts w:ascii="Times New Roman" w:cs="Times New Roman" w:eastAsia="Times New Roman" w:hAnsi="Times New Roman"/>
          <w:sz w:val="16"/>
          <w:szCs w:val="16"/>
          <w:color w:val="auto"/>
        </w:rPr>
        <w:t>Increased current assets were primarily due to:</w:t>
      </w:r>
    </w:p>
    <w:p>
      <w:pPr>
        <w:ind w:left="10"/>
        <w:spacing w:after="0" w:line="203" w:lineRule="auto"/>
        <w:rPr>
          <w:sz w:val="20"/>
          <w:szCs w:val="20"/>
          <w:color w:val="auto"/>
        </w:rPr>
      </w:pPr>
      <w:r>
        <w:rPr>
          <w:rFonts w:ascii="Times New Roman" w:cs="Times New Roman" w:eastAsia="Times New Roman" w:hAnsi="Times New Roman"/>
          <w:sz w:val="16"/>
          <w:szCs w:val="16"/>
          <w:color w:val="auto"/>
        </w:rPr>
        <w:t>•higher restricted cash primarily due to the movement of</w:t>
      </w:r>
    </w:p>
    <w:p>
      <w:pPr>
        <w:ind w:left="10"/>
        <w:spacing w:after="0" w:line="204" w:lineRule="auto"/>
        <w:rPr>
          <w:sz w:val="20"/>
          <w:szCs w:val="20"/>
          <w:color w:val="auto"/>
        </w:rPr>
      </w:pPr>
      <w:r>
        <w:rPr>
          <w:rFonts w:ascii="Times New Roman" w:cs="Times New Roman" w:eastAsia="Times New Roman" w:hAnsi="Times New Roman"/>
          <w:sz w:val="16"/>
          <w:szCs w:val="16"/>
          <w:color w:val="auto"/>
        </w:rPr>
        <w:t>regulatory capital to shorter term investments qualifying as</w:t>
      </w:r>
    </w:p>
    <w:p>
      <w:pPr>
        <w:ind w:left="10"/>
        <w:spacing w:after="0" w:line="203" w:lineRule="auto"/>
        <w:rPr>
          <w:sz w:val="20"/>
          <w:szCs w:val="20"/>
          <w:color w:val="auto"/>
        </w:rPr>
      </w:pPr>
      <w:r>
        <w:rPr>
          <w:rFonts w:ascii="Times New Roman" w:cs="Times New Roman" w:eastAsia="Times New Roman" w:hAnsi="Times New Roman"/>
          <w:sz w:val="16"/>
          <w:szCs w:val="16"/>
          <w:color w:val="auto"/>
        </w:rPr>
        <w:t>cash equivalents,</w:t>
      </w:r>
    </w:p>
    <w:p>
      <w:pPr>
        <w:ind w:left="10"/>
        <w:spacing w:after="0" w:line="204" w:lineRule="auto"/>
        <w:rPr>
          <w:sz w:val="20"/>
          <w:szCs w:val="20"/>
          <w:color w:val="auto"/>
        </w:rPr>
      </w:pPr>
      <w:r>
        <w:rPr>
          <w:rFonts w:ascii="Times New Roman" w:cs="Times New Roman" w:eastAsia="Times New Roman" w:hAnsi="Times New Roman"/>
          <w:sz w:val="16"/>
          <w:szCs w:val="16"/>
          <w:color w:val="auto"/>
        </w:rPr>
        <w:t>•an increase in other current assets,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•an increase in cash and cash equivalents; partially offset by</w:t>
      </w:r>
    </w:p>
    <w:p>
      <w:pPr>
        <w:ind w:left="10"/>
        <w:spacing w:after="0" w:line="203" w:lineRule="auto"/>
        <w:rPr>
          <w:sz w:val="20"/>
          <w:szCs w:val="20"/>
          <w:color w:val="auto"/>
        </w:rPr>
      </w:pPr>
      <w:r>
        <w:rPr>
          <w:rFonts w:ascii="Times New Roman" w:cs="Times New Roman" w:eastAsia="Times New Roman" w:hAnsi="Times New Roman"/>
          <w:sz w:val="16"/>
          <w:szCs w:val="16"/>
          <w:color w:val="auto"/>
        </w:rPr>
        <w:t>•lower financial investments at fair value offset in restricted</w:t>
      </w:r>
    </w:p>
    <w:p>
      <w:pPr>
        <w:ind w:left="10"/>
        <w:spacing w:after="0" w:line="204" w:lineRule="auto"/>
        <w:rPr>
          <w:sz w:val="20"/>
          <w:szCs w:val="20"/>
          <w:color w:val="auto"/>
        </w:rPr>
      </w:pPr>
      <w:r>
        <w:rPr>
          <w:rFonts w:ascii="Times New Roman" w:cs="Times New Roman" w:eastAsia="Times New Roman" w:hAnsi="Times New Roman"/>
          <w:sz w:val="16"/>
          <w:szCs w:val="16"/>
          <w:color w:val="auto"/>
        </w:rPr>
        <w:t>cash above,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•decreased receivables, net due to timing of billings.</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Cash and Cash Equivalents</w:t>
      </w:r>
    </w:p>
    <w:p>
      <w:pPr>
        <w:ind w:left="10"/>
        <w:spacing w:after="0" w:line="203" w:lineRule="auto"/>
        <w:rPr>
          <w:sz w:val="20"/>
          <w:szCs w:val="20"/>
          <w:color w:val="auto"/>
        </w:rPr>
      </w:pPr>
      <w:r>
        <w:rPr>
          <w:rFonts w:ascii="Times New Roman" w:cs="Times New Roman" w:eastAsia="Times New Roman" w:hAnsi="Times New Roman"/>
          <w:sz w:val="16"/>
          <w:szCs w:val="16"/>
          <w:color w:val="auto"/>
        </w:rPr>
        <w:t>Cash and cash equivalents includes all non-restricted cash in</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banks and highly liquid investments with original maturities</w:t>
      </w:r>
    </w:p>
    <w:p>
      <w:pPr>
        <w:sectPr>
          <w:pgSz w:w="11900" w:h="16840" w:orient="portrait"/>
          <w:cols w:equalWidth="0" w:num="1">
            <w:col w:w="9410"/>
          </w:cols>
          <w:pgMar w:left="1050" w:top="547" w:right="1440" w:bottom="116"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of 90 days or less at the time of purchase. The balance</w:t>
      </w:r>
    </w:p>
    <w:p>
      <w:pPr>
        <w:spacing w:after="0" w:line="203" w:lineRule="auto"/>
        <w:rPr>
          <w:sz w:val="20"/>
          <w:szCs w:val="20"/>
          <w:color w:val="auto"/>
        </w:rPr>
      </w:pPr>
      <w:r>
        <w:rPr>
          <w:rFonts w:ascii="Times New Roman" w:cs="Times New Roman" w:eastAsia="Times New Roman" w:hAnsi="Times New Roman"/>
          <w:sz w:val="16"/>
          <w:szCs w:val="16"/>
          <w:color w:val="auto"/>
        </w:rPr>
        <w:t>retained in cash and cash equivalents is a function of</w:t>
      </w:r>
    </w:p>
    <w:p>
      <w:pPr>
        <w:spacing w:after="0" w:line="204" w:lineRule="auto"/>
        <w:rPr>
          <w:sz w:val="20"/>
          <w:szCs w:val="20"/>
          <w:color w:val="auto"/>
        </w:rPr>
      </w:pPr>
      <w:r>
        <w:rPr>
          <w:rFonts w:ascii="Times New Roman" w:cs="Times New Roman" w:eastAsia="Times New Roman" w:hAnsi="Times New Roman"/>
          <w:sz w:val="16"/>
          <w:szCs w:val="16"/>
          <w:color w:val="auto"/>
        </w:rPr>
        <w:t>anticipated or possible short-term cash needs, prevailing</w:t>
      </w:r>
    </w:p>
    <w:p>
      <w:pPr>
        <w:spacing w:after="0" w:line="203" w:lineRule="auto"/>
        <w:rPr>
          <w:sz w:val="20"/>
          <w:szCs w:val="20"/>
          <w:color w:val="auto"/>
        </w:rPr>
      </w:pPr>
      <w:r>
        <w:rPr>
          <w:rFonts w:ascii="Times New Roman" w:cs="Times New Roman" w:eastAsia="Times New Roman" w:hAnsi="Times New Roman"/>
          <w:sz w:val="16"/>
          <w:szCs w:val="16"/>
          <w:color w:val="auto"/>
        </w:rPr>
        <w:t>interest rates, our investment policy, and alternative</w:t>
      </w:r>
    </w:p>
    <w:p>
      <w:pPr>
        <w:spacing w:after="0" w:line="204" w:lineRule="auto"/>
        <w:rPr>
          <w:sz w:val="20"/>
          <w:szCs w:val="20"/>
          <w:color w:val="auto"/>
        </w:rPr>
      </w:pPr>
      <w:r>
        <w:rPr>
          <w:rFonts w:ascii="Times New Roman" w:cs="Times New Roman" w:eastAsia="Times New Roman" w:hAnsi="Times New Roman"/>
          <w:sz w:val="16"/>
          <w:szCs w:val="16"/>
          <w:color w:val="auto"/>
        </w:rPr>
        <w:t>investment choices. As of December 31, 2025, our cash and</w:t>
      </w:r>
    </w:p>
    <w:p>
      <w:pPr>
        <w:spacing w:after="0" w:line="203" w:lineRule="auto"/>
        <w:rPr>
          <w:sz w:val="20"/>
          <w:szCs w:val="20"/>
          <w:color w:val="auto"/>
        </w:rPr>
      </w:pPr>
      <w:r>
        <w:rPr>
          <w:rFonts w:ascii="Times New Roman" w:cs="Times New Roman" w:eastAsia="Times New Roman" w:hAnsi="Times New Roman"/>
          <w:sz w:val="16"/>
          <w:szCs w:val="16"/>
          <w:color w:val="auto"/>
        </w:rPr>
        <w:t>cash equivalents of $604 million were primarily invested in</w:t>
      </w:r>
    </w:p>
    <w:p>
      <w:pPr>
        <w:spacing w:after="0" w:line="204" w:lineRule="auto"/>
        <w:rPr>
          <w:sz w:val="20"/>
          <w:szCs w:val="20"/>
          <w:color w:val="auto"/>
        </w:rPr>
      </w:pPr>
      <w:r>
        <w:rPr>
          <w:rFonts w:ascii="Times New Roman" w:cs="Times New Roman" w:eastAsia="Times New Roman" w:hAnsi="Times New Roman"/>
          <w:sz w:val="16"/>
          <w:szCs w:val="16"/>
          <w:color w:val="auto"/>
        </w:rPr>
        <w:t>money market funds, European government debt securities,</w:t>
      </w:r>
    </w:p>
    <w:p>
      <w:pPr>
        <w:spacing w:after="0" w:line="203" w:lineRule="auto"/>
        <w:rPr>
          <w:sz w:val="20"/>
          <w:szCs w:val="20"/>
          <w:color w:val="auto"/>
        </w:rPr>
      </w:pPr>
      <w:r>
        <w:rPr>
          <w:rFonts w:ascii="Times New Roman" w:cs="Times New Roman" w:eastAsia="Times New Roman" w:hAnsi="Times New Roman"/>
          <w:sz w:val="16"/>
          <w:szCs w:val="16"/>
          <w:color w:val="auto"/>
        </w:rPr>
        <w:t>bank deposits and state-owned enterprises notes.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Repatriation of Cash</w:t>
      </w:r>
    </w:p>
    <w:p>
      <w:pPr>
        <w:spacing w:after="0" w:line="203" w:lineRule="auto"/>
        <w:rPr>
          <w:sz w:val="20"/>
          <w:szCs w:val="20"/>
          <w:color w:val="auto"/>
        </w:rPr>
      </w:pPr>
      <w:r>
        <w:rPr>
          <w:rFonts w:ascii="Times New Roman" w:cs="Times New Roman" w:eastAsia="Times New Roman" w:hAnsi="Times New Roman"/>
          <w:sz w:val="16"/>
          <w:szCs w:val="16"/>
          <w:color w:val="auto"/>
        </w:rPr>
        <w:t>Our cash and cash equivalents held outside of the U.S. in</w:t>
      </w:r>
    </w:p>
    <w:p>
      <w:pPr>
        <w:spacing w:after="0" w:line="204" w:lineRule="auto"/>
        <w:rPr>
          <w:sz w:val="20"/>
          <w:szCs w:val="20"/>
          <w:color w:val="auto"/>
        </w:rPr>
      </w:pPr>
      <w:r>
        <w:rPr>
          <w:rFonts w:ascii="Times New Roman" w:cs="Times New Roman" w:eastAsia="Times New Roman" w:hAnsi="Times New Roman"/>
          <w:sz w:val="16"/>
          <w:szCs w:val="16"/>
          <w:color w:val="auto"/>
        </w:rPr>
        <w:t>various foreign subsidiaries totaled $280 million as of</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and $181 million as of December 31,</w:t>
      </w:r>
    </w:p>
    <w:p>
      <w:pPr>
        <w:spacing w:after="0" w:line="203" w:lineRule="auto"/>
        <w:rPr>
          <w:sz w:val="20"/>
          <w:szCs w:val="20"/>
          <w:color w:val="auto"/>
        </w:rPr>
      </w:pPr>
      <w:r>
        <w:rPr>
          <w:rFonts w:ascii="Times New Roman" w:cs="Times New Roman" w:eastAsia="Times New Roman" w:hAnsi="Times New Roman"/>
          <w:sz w:val="16"/>
          <w:szCs w:val="16"/>
          <w:color w:val="auto"/>
        </w:rPr>
        <w:t>2024. The remaining balance held in the U.S. totaled $324</w:t>
      </w:r>
    </w:p>
    <w:p>
      <w:pPr>
        <w:spacing w:after="0" w:line="204" w:lineRule="auto"/>
        <w:rPr>
          <w:sz w:val="20"/>
          <w:szCs w:val="20"/>
          <w:color w:val="auto"/>
        </w:rPr>
      </w:pPr>
      <w:r>
        <w:rPr>
          <w:rFonts w:ascii="Times New Roman" w:cs="Times New Roman" w:eastAsia="Times New Roman" w:hAnsi="Times New Roman"/>
          <w:sz w:val="16"/>
          <w:szCs w:val="16"/>
          <w:color w:val="auto"/>
        </w:rPr>
        <w:t>million as of December 31, 2025 and $411 million as of</w:t>
      </w:r>
    </w:p>
    <w:p>
      <w:pPr>
        <w:spacing w:after="0" w:line="203" w:lineRule="auto"/>
        <w:rPr>
          <w:sz w:val="20"/>
          <w:szCs w:val="20"/>
          <w:color w:val="auto"/>
        </w:rPr>
      </w:pPr>
      <w:r>
        <w:rPr>
          <w:rFonts w:ascii="Times New Roman" w:cs="Times New Roman" w:eastAsia="Times New Roman" w:hAnsi="Times New Roman"/>
          <w:sz w:val="16"/>
          <w:szCs w:val="16"/>
          <w:color w:val="auto"/>
        </w:rPr>
        <w:t>December 31, 2024.</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Restricted Cash and Cash Equivalents</w:t>
      </w:r>
    </w:p>
    <w:p>
      <w:pPr>
        <w:spacing w:after="0" w:line="203" w:lineRule="auto"/>
        <w:rPr>
          <w:sz w:val="20"/>
          <w:szCs w:val="20"/>
          <w:color w:val="auto"/>
        </w:rPr>
      </w:pPr>
      <w:r>
        <w:rPr>
          <w:rFonts w:ascii="Times New Roman" w:cs="Times New Roman" w:eastAsia="Times New Roman" w:hAnsi="Times New Roman"/>
          <w:sz w:val="16"/>
          <w:szCs w:val="16"/>
          <w:color w:val="auto"/>
        </w:rPr>
        <w:t>Restricted cash and cash equivalents, which was $210 million</w:t>
      </w:r>
    </w:p>
    <w:p>
      <w:pPr>
        <w:spacing w:after="0" w:line="204" w:lineRule="auto"/>
        <w:rPr>
          <w:sz w:val="20"/>
          <w:szCs w:val="20"/>
          <w:color w:val="auto"/>
        </w:rPr>
      </w:pPr>
      <w:r>
        <w:rPr>
          <w:rFonts w:ascii="Times New Roman" w:cs="Times New Roman" w:eastAsia="Times New Roman" w:hAnsi="Times New Roman"/>
          <w:sz w:val="16"/>
          <w:szCs w:val="16"/>
          <w:color w:val="auto"/>
        </w:rPr>
        <w:t>as of December 31, 2025 and $31 million as of December 31,</w:t>
      </w:r>
    </w:p>
    <w:p>
      <w:pPr>
        <w:spacing w:after="0" w:line="203" w:lineRule="auto"/>
        <w:rPr>
          <w:sz w:val="20"/>
          <w:szCs w:val="20"/>
          <w:color w:val="auto"/>
        </w:rPr>
      </w:pPr>
      <w:r>
        <w:rPr>
          <w:rFonts w:ascii="Times New Roman" w:cs="Times New Roman" w:eastAsia="Times New Roman" w:hAnsi="Times New Roman"/>
          <w:sz w:val="16"/>
          <w:szCs w:val="16"/>
          <w:color w:val="auto"/>
        </w:rPr>
        <w:t>2024, is restricted from withdrawal due to a contractual or</w:t>
      </w:r>
    </w:p>
    <w:p>
      <w:pPr>
        <w:spacing w:after="0" w:line="204" w:lineRule="auto"/>
        <w:rPr>
          <w:sz w:val="20"/>
          <w:szCs w:val="20"/>
          <w:color w:val="auto"/>
        </w:rPr>
      </w:pPr>
      <w:r>
        <w:rPr>
          <w:rFonts w:ascii="Times New Roman" w:cs="Times New Roman" w:eastAsia="Times New Roman" w:hAnsi="Times New Roman"/>
          <w:sz w:val="16"/>
          <w:szCs w:val="16"/>
          <w:color w:val="auto"/>
        </w:rPr>
        <w:t>regulatory requirement or not available for general use and as</w:t>
      </w:r>
    </w:p>
    <w:p>
      <w:pPr>
        <w:spacing w:after="0" w:line="204" w:lineRule="auto"/>
        <w:rPr>
          <w:sz w:val="20"/>
          <w:szCs w:val="20"/>
          <w:color w:val="auto"/>
        </w:rPr>
      </w:pPr>
      <w:r>
        <w:rPr>
          <w:rFonts w:ascii="Times New Roman" w:cs="Times New Roman" w:eastAsia="Times New Roman" w:hAnsi="Times New Roman"/>
          <w:sz w:val="16"/>
          <w:szCs w:val="16"/>
          <w:color w:val="auto"/>
        </w:rPr>
        <w:t>such is classified as restricted in the Consolidated Balance</w:t>
      </w:r>
    </w:p>
    <w:p>
      <w:pPr>
        <w:spacing w:after="0" w:line="203" w:lineRule="auto"/>
        <w:rPr>
          <w:sz w:val="20"/>
          <w:szCs w:val="20"/>
          <w:color w:val="auto"/>
        </w:rPr>
      </w:pPr>
      <w:r>
        <w:rPr>
          <w:rFonts w:ascii="Times New Roman" w:cs="Times New Roman" w:eastAsia="Times New Roman" w:hAnsi="Times New Roman"/>
          <w:sz w:val="16"/>
          <w:szCs w:val="16"/>
          <w:color w:val="auto"/>
        </w:rPr>
        <w:t>Sheets. The increase in this balance as of December 31, 2025</w:t>
      </w:r>
    </w:p>
    <w:p>
      <w:pPr>
        <w:spacing w:after="0" w:line="204" w:lineRule="auto"/>
        <w:rPr>
          <w:sz w:val="20"/>
          <w:szCs w:val="20"/>
          <w:color w:val="auto"/>
        </w:rPr>
      </w:pPr>
      <w:r>
        <w:rPr>
          <w:rFonts w:ascii="Times New Roman" w:cs="Times New Roman" w:eastAsia="Times New Roman" w:hAnsi="Times New Roman"/>
          <w:sz w:val="16"/>
          <w:szCs w:val="16"/>
          <w:color w:val="auto"/>
        </w:rPr>
        <w:t>is primarily due to more regulatory capital being invested in</w:t>
      </w:r>
    </w:p>
    <w:p>
      <w:pPr>
        <w:spacing w:after="0" w:line="203" w:lineRule="auto"/>
        <w:rPr>
          <w:sz w:val="20"/>
          <w:szCs w:val="20"/>
          <w:color w:val="auto"/>
        </w:rPr>
      </w:pPr>
      <w:r>
        <w:rPr>
          <w:rFonts w:ascii="Times New Roman" w:cs="Times New Roman" w:eastAsia="Times New Roman" w:hAnsi="Times New Roman"/>
          <w:sz w:val="16"/>
          <w:szCs w:val="16"/>
          <w:color w:val="auto"/>
        </w:rPr>
        <w:t>shorter term investments, which are classified as cash</w:t>
      </w:r>
    </w:p>
    <w:p>
      <w:pPr>
        <w:spacing w:after="0" w:line="204" w:lineRule="auto"/>
        <w:rPr>
          <w:sz w:val="20"/>
          <w:szCs w:val="20"/>
          <w:color w:val="auto"/>
        </w:rPr>
      </w:pPr>
      <w:r>
        <w:rPr>
          <w:rFonts w:ascii="Times New Roman" w:cs="Times New Roman" w:eastAsia="Times New Roman" w:hAnsi="Times New Roman"/>
          <w:sz w:val="16"/>
          <w:szCs w:val="16"/>
          <w:color w:val="auto"/>
        </w:rPr>
        <w:t>equivalents, and are included in restricted cash and cash</w:t>
      </w:r>
    </w:p>
    <w:p>
      <w:pPr>
        <w:spacing w:after="0" w:line="203" w:lineRule="auto"/>
        <w:rPr>
          <w:sz w:val="20"/>
          <w:szCs w:val="20"/>
          <w:color w:val="auto"/>
        </w:rPr>
      </w:pPr>
      <w:r>
        <w:rPr>
          <w:rFonts w:ascii="Times New Roman" w:cs="Times New Roman" w:eastAsia="Times New Roman" w:hAnsi="Times New Roman"/>
          <w:sz w:val="16"/>
          <w:szCs w:val="16"/>
          <w:color w:val="auto"/>
        </w:rPr>
        <w:t>equivalents in the Consolidated Balance Sheets as of</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As of December 31, 2024, we had more</w:t>
      </w:r>
    </w:p>
    <w:p>
      <w:pPr>
        <w:spacing w:after="0" w:line="203" w:lineRule="auto"/>
        <w:rPr>
          <w:sz w:val="20"/>
          <w:szCs w:val="20"/>
          <w:color w:val="auto"/>
        </w:rPr>
      </w:pPr>
      <w:r>
        <w:rPr>
          <w:rFonts w:ascii="Times New Roman" w:cs="Times New Roman" w:eastAsia="Times New Roman" w:hAnsi="Times New Roman"/>
          <w:sz w:val="16"/>
          <w:szCs w:val="16"/>
          <w:color w:val="auto"/>
        </w:rPr>
        <w:t>regulatory capital being invested in longer term investments,</w:t>
      </w:r>
    </w:p>
    <w:p>
      <w:pPr>
        <w:spacing w:after="0" w:line="204" w:lineRule="auto"/>
        <w:rPr>
          <w:sz w:val="20"/>
          <w:szCs w:val="20"/>
          <w:color w:val="auto"/>
        </w:rPr>
      </w:pPr>
      <w:r>
        <w:rPr>
          <w:rFonts w:ascii="Times New Roman" w:cs="Times New Roman" w:eastAsia="Times New Roman" w:hAnsi="Times New Roman"/>
          <w:sz w:val="16"/>
          <w:szCs w:val="16"/>
          <w:color w:val="auto"/>
        </w:rPr>
        <w:t>which were classified as financial investments in the</w:t>
      </w:r>
    </w:p>
    <w:p>
      <w:pPr>
        <w:spacing w:after="0" w:line="203" w:lineRule="auto"/>
        <w:rPr>
          <w:sz w:val="20"/>
          <w:szCs w:val="20"/>
          <w:color w:val="auto"/>
        </w:rPr>
      </w:pPr>
      <w:r>
        <w:rPr>
          <w:rFonts w:ascii="Times New Roman" w:cs="Times New Roman" w:eastAsia="Times New Roman" w:hAnsi="Times New Roman"/>
          <w:sz w:val="16"/>
          <w:szCs w:val="16"/>
          <w:color w:val="auto"/>
        </w:rPr>
        <w:t>Consolidated Balance Sheets.</w:t>
      </w:r>
    </w:p>
    <w:p>
      <w:pPr>
        <w:spacing w:after="0" w:line="204" w:lineRule="auto"/>
        <w:rPr>
          <w:sz w:val="20"/>
          <w:szCs w:val="20"/>
          <w:color w:val="auto"/>
        </w:rPr>
      </w:pPr>
      <w:r>
        <w:rPr>
          <w:rFonts w:ascii="Times New Roman" w:cs="Times New Roman" w:eastAsia="Times New Roman" w:hAnsi="Times New Roman"/>
          <w:sz w:val="16"/>
          <w:szCs w:val="16"/>
          <w:i w:val="1"/>
          <w:iCs w:val="1"/>
          <w:u w:val="single" w:color="auto"/>
          <w:color w:val="auto"/>
        </w:rPr>
        <w:t>Cash Flow Analysis</w:t>
      </w:r>
    </w:p>
    <w:p>
      <w:pPr>
        <w:spacing w:after="0" w:line="228" w:lineRule="auto"/>
        <w:rPr>
          <w:sz w:val="20"/>
          <w:szCs w:val="20"/>
          <w:color w:val="auto"/>
        </w:rPr>
      </w:pPr>
      <w:r>
        <w:rPr>
          <w:rFonts w:ascii="Times New Roman" w:cs="Times New Roman" w:eastAsia="Times New Roman" w:hAnsi="Times New Roman"/>
          <w:sz w:val="16"/>
          <w:szCs w:val="16"/>
          <w:color w:val="auto"/>
        </w:rPr>
        <w:t>The following table summarizes the changes in cash flows:</w:t>
      </w:r>
    </w:p>
    <w:tbl>
      <w:tblPr>
        <w:tblLayout w:type="fixed"/>
        <w:tblInd w:w="0" w:type="dxa"/>
        <w:tblCellMar>
          <w:top w:w="0" w:type="dxa"/>
          <w:left w:w="0" w:type="dxa"/>
          <w:bottom w:w="0" w:type="dxa"/>
          <w:right w:w="0" w:type="dxa"/>
        </w:tblCellMar>
      </w:tblPr>
      <w:tr>
        <w:trPr>
          <w:trHeight w:val="142"/>
        </w:trPr>
        <w:tc>
          <w:tcPr>
            <w:tcW w:w="2320" w:type="dxa"/>
            <w:vAlign w:val="bottom"/>
          </w:tcPr>
          <w:p>
            <w:pPr>
              <w:spacing w:after="0"/>
              <w:rPr>
                <w:sz w:val="12"/>
                <w:szCs w:val="12"/>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62"/>
        </w:trPr>
        <w:tc>
          <w:tcPr>
            <w:tcW w:w="23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11"/>
                <w:szCs w:val="1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78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320" w:type="dxa"/>
            <w:vAlign w:val="bottom"/>
            <w:vMerge w:val="continue"/>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2"/>
              <w:spacing w:after="0" w:line="163" w:lineRule="exact"/>
              <w:rPr>
                <w:sz w:val="20"/>
                <w:szCs w:val="20"/>
                <w:color w:val="auto"/>
              </w:rPr>
            </w:pPr>
            <w:r>
              <w:rPr>
                <w:rFonts w:ascii="Times New Roman" w:cs="Times New Roman" w:eastAsia="Times New Roman" w:hAnsi="Times New Roman"/>
                <w:sz w:val="16"/>
                <w:szCs w:val="16"/>
                <w:color w:val="auto"/>
              </w:rPr>
              <w:t>2,255</w:t>
            </w:r>
          </w:p>
        </w:tc>
        <w:tc>
          <w:tcPr>
            <w:tcW w:w="360" w:type="dxa"/>
            <w:vAlign w:val="bottom"/>
            <w:shd w:val="clear" w:color="auto" w:fill="CCEEFF"/>
          </w:tcPr>
          <w:p>
            <w:pPr>
              <w:ind w:left="80"/>
              <w:spacing w:after="0" w:line="163"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62"/>
              <w:spacing w:after="0" w:line="163" w:lineRule="exact"/>
              <w:rPr>
                <w:sz w:val="20"/>
                <w:szCs w:val="20"/>
                <w:color w:val="auto"/>
              </w:rPr>
            </w:pPr>
            <w:r>
              <w:rPr>
                <w:rFonts w:ascii="Times New Roman" w:cs="Times New Roman" w:eastAsia="Times New Roman" w:hAnsi="Times New Roman"/>
                <w:sz w:val="16"/>
                <w:szCs w:val="16"/>
                <w:color w:val="auto"/>
              </w:rPr>
              <w:t>1,939</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w:t>
      </w:r>
    </w:p>
    <w:p>
      <w:pPr>
        <w:spacing w:after="0" w:line="203" w:lineRule="auto"/>
        <w:rPr>
          <w:sz w:val="20"/>
          <w:szCs w:val="20"/>
          <w:color w:val="auto"/>
        </w:rPr>
      </w:pPr>
      <w:r>
        <w:rPr>
          <w:rFonts w:ascii="Times New Roman" w:cs="Times New Roman" w:eastAsia="Times New Roman" w:hAnsi="Times New Roman"/>
          <w:sz w:val="16"/>
          <w:szCs w:val="16"/>
          <w:color w:val="auto"/>
        </w:rPr>
        <w:t>of property and equipment of $59 million and other investing</w:t>
      </w:r>
    </w:p>
    <w:p>
      <w:pPr>
        <w:spacing w:after="0" w:line="204" w:lineRule="auto"/>
        <w:rPr>
          <w:sz w:val="20"/>
          <w:szCs w:val="20"/>
          <w:color w:val="auto"/>
        </w:rPr>
      </w:pPr>
      <w:r>
        <w:rPr>
          <w:rFonts w:ascii="Times New Roman" w:cs="Times New Roman" w:eastAsia="Times New Roman" w:hAnsi="Times New Roman"/>
          <w:sz w:val="16"/>
          <w:szCs w:val="16"/>
          <w:color w:val="auto"/>
        </w:rPr>
        <w:t>activities of $46 million primarily related to our corporate</w:t>
      </w:r>
    </w:p>
    <w:p>
      <w:pPr>
        <w:spacing w:after="0" w:line="203" w:lineRule="auto"/>
        <w:rPr>
          <w:sz w:val="20"/>
          <w:szCs w:val="20"/>
          <w:color w:val="auto"/>
        </w:rPr>
      </w:pPr>
      <w:r>
        <w:rPr>
          <w:rFonts w:ascii="Times New Roman" w:cs="Times New Roman" w:eastAsia="Times New Roman" w:hAnsi="Times New Roman"/>
          <w:sz w:val="16"/>
          <w:szCs w:val="16"/>
          <w:color w:val="auto"/>
        </w:rPr>
        <w:t>venture program, partially offset by proceeds from sales and</w:t>
      </w:r>
    </w:p>
    <w:p>
      <w:pPr>
        <w:spacing w:after="0" w:line="204" w:lineRule="auto"/>
        <w:rPr>
          <w:sz w:val="20"/>
          <w:szCs w:val="20"/>
          <w:color w:val="auto"/>
        </w:rPr>
      </w:pPr>
      <w:r>
        <w:rPr>
          <w:rFonts w:ascii="Times New Roman" w:cs="Times New Roman" w:eastAsia="Times New Roman" w:hAnsi="Times New Roman"/>
          <w:sz w:val="16"/>
          <w:szCs w:val="16"/>
          <w:color w:val="auto"/>
        </w:rPr>
        <w:t>redemption of securities, net of $191 million, primarily due</w:t>
      </w:r>
    </w:p>
    <w:p>
      <w:pPr>
        <w:spacing w:after="0" w:line="203" w:lineRule="auto"/>
        <w:rPr>
          <w:sz w:val="20"/>
          <w:szCs w:val="20"/>
          <w:color w:val="auto"/>
        </w:rPr>
      </w:pPr>
      <w:r>
        <w:rPr>
          <w:rFonts w:ascii="Times New Roman" w:cs="Times New Roman" w:eastAsia="Times New Roman" w:hAnsi="Times New Roman"/>
          <w:sz w:val="16"/>
          <w:szCs w:val="16"/>
          <w:color w:val="auto"/>
        </w:rPr>
        <w:t>to more regulatory capital being invested in shorter term</w:t>
      </w:r>
    </w:p>
    <w:p>
      <w:pPr>
        <w:spacing w:after="0" w:line="204" w:lineRule="auto"/>
        <w:rPr>
          <w:sz w:val="20"/>
          <w:szCs w:val="20"/>
          <w:color w:val="auto"/>
        </w:rPr>
      </w:pPr>
      <w:r>
        <w:rPr>
          <w:rFonts w:ascii="Times New Roman" w:cs="Times New Roman" w:eastAsia="Times New Roman" w:hAnsi="Times New Roman"/>
          <w:sz w:val="16"/>
          <w:szCs w:val="16"/>
          <w:color w:val="auto"/>
        </w:rPr>
        <w:t>investments, which are classified as cash equivalents, and</w:t>
      </w:r>
    </w:p>
    <w:p>
      <w:pPr>
        <w:spacing w:after="0" w:line="203" w:lineRule="auto"/>
        <w:rPr>
          <w:sz w:val="20"/>
          <w:szCs w:val="20"/>
          <w:color w:val="auto"/>
        </w:rPr>
      </w:pPr>
      <w:r>
        <w:rPr>
          <w:rFonts w:ascii="Times New Roman" w:cs="Times New Roman" w:eastAsia="Times New Roman" w:hAnsi="Times New Roman"/>
          <w:sz w:val="16"/>
          <w:szCs w:val="16"/>
          <w:color w:val="auto"/>
        </w:rPr>
        <w:t>proceeds from divestitures of $140 million. The movement in</w:t>
      </w:r>
    </w:p>
    <w:p>
      <w:pPr>
        <w:spacing w:after="0" w:line="204" w:lineRule="auto"/>
        <w:rPr>
          <w:sz w:val="20"/>
          <w:szCs w:val="20"/>
          <w:color w:val="auto"/>
        </w:rPr>
      </w:pPr>
      <w:r>
        <w:rPr>
          <w:rFonts w:ascii="Times New Roman" w:cs="Times New Roman" w:eastAsia="Times New Roman" w:hAnsi="Times New Roman"/>
          <w:sz w:val="16"/>
          <w:szCs w:val="16"/>
          <w:color w:val="auto"/>
        </w:rPr>
        <w:t>our default funds and margin deposits has no impact on</w:t>
      </w:r>
    </w:p>
    <w:p>
      <w:pPr>
        <w:spacing w:after="0" w:line="203" w:lineRule="auto"/>
        <w:rPr>
          <w:sz w:val="20"/>
          <w:szCs w:val="20"/>
          <w:color w:val="auto"/>
        </w:rPr>
      </w:pPr>
      <w:r>
        <w:rPr>
          <w:rFonts w:ascii="Times New Roman" w:cs="Times New Roman" w:eastAsia="Times New Roman" w:hAnsi="Times New Roman"/>
          <w:sz w:val="16"/>
          <w:szCs w:val="16"/>
          <w:color w:val="auto"/>
        </w:rPr>
        <w:t>Nasdaq's cash, cash equivalents, restricted cash or restricted</w:t>
      </w:r>
    </w:p>
    <w:p>
      <w:pPr>
        <w:spacing w:after="0" w:line="204" w:lineRule="auto"/>
        <w:rPr>
          <w:sz w:val="20"/>
          <w:szCs w:val="20"/>
          <w:color w:val="auto"/>
        </w:rPr>
      </w:pPr>
      <w:r>
        <w:rPr>
          <w:rFonts w:ascii="Times New Roman" w:cs="Times New Roman" w:eastAsia="Times New Roman" w:hAnsi="Times New Roman"/>
          <w:sz w:val="16"/>
          <w:szCs w:val="16"/>
          <w:color w:val="auto"/>
        </w:rPr>
        <w:t>cash equivalents as it is held on behalf of our customers.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p>
      <w:pPr>
        <w:spacing w:after="0" w:line="203" w:lineRule="auto"/>
        <w:rPr>
          <w:sz w:val="20"/>
          <w:szCs w:val="20"/>
          <w:color w:val="auto"/>
        </w:rPr>
      </w:pPr>
      <w:r>
        <w:rPr>
          <w:rFonts w:ascii="Times New Roman" w:cs="Times New Roman" w:eastAsia="Times New Roman" w:hAnsi="Times New Roman"/>
          <w:sz w:val="16"/>
          <w:szCs w:val="16"/>
          <w:color w:val="auto"/>
        </w:rPr>
        <w:t>Net cash used in financing activities increased for the year</w:t>
      </w:r>
    </w:p>
    <w:p>
      <w:pPr>
        <w:spacing w:after="0" w:line="204" w:lineRule="auto"/>
        <w:rPr>
          <w:sz w:val="20"/>
          <w:szCs w:val="20"/>
          <w:color w:val="auto"/>
        </w:rPr>
      </w:pPr>
      <w:r>
        <w:rPr>
          <w:rFonts w:ascii="Times New Roman" w:cs="Times New Roman" w:eastAsia="Times New Roman" w:hAnsi="Times New Roman"/>
          <w:sz w:val="16"/>
          <w:szCs w:val="16"/>
          <w:color w:val="auto"/>
        </w:rPr>
        <w:t>ended December 31, 2025 as compared to 2024 primarily</w:t>
      </w:r>
    </w:p>
    <w:p>
      <w:pPr>
        <w:spacing w:after="0" w:line="203" w:lineRule="auto"/>
        <w:rPr>
          <w:sz w:val="20"/>
          <w:szCs w:val="20"/>
          <w:color w:val="auto"/>
        </w:rPr>
      </w:pPr>
      <w:r>
        <w:rPr>
          <w:rFonts w:ascii="Times New Roman" w:cs="Times New Roman" w:eastAsia="Times New Roman" w:hAnsi="Times New Roman"/>
          <w:sz w:val="16"/>
          <w:szCs w:val="16"/>
          <w:color w:val="auto"/>
        </w:rPr>
        <w:t>driven by increases in repurchases of common stock of $471</w:t>
      </w:r>
    </w:p>
    <w:p>
      <w:pPr>
        <w:spacing w:after="0" w:line="204" w:lineRule="auto"/>
        <w:rPr>
          <w:sz w:val="20"/>
          <w:szCs w:val="20"/>
          <w:color w:val="auto"/>
        </w:rPr>
      </w:pPr>
      <w:r>
        <w:rPr>
          <w:rFonts w:ascii="Times New Roman" w:cs="Times New Roman" w:eastAsia="Times New Roman" w:hAnsi="Times New Roman"/>
          <w:sz w:val="16"/>
          <w:szCs w:val="16"/>
          <w:color w:val="auto"/>
        </w:rPr>
        <w:t>million, an increase in dividends paid of $60 million and an</w:t>
      </w:r>
    </w:p>
    <w:p>
      <w:pPr>
        <w:spacing w:after="0" w:line="203" w:lineRule="auto"/>
        <w:rPr>
          <w:sz w:val="20"/>
          <w:szCs w:val="20"/>
          <w:color w:val="auto"/>
        </w:rPr>
      </w:pPr>
      <w:r>
        <w:rPr>
          <w:rFonts w:ascii="Times New Roman" w:cs="Times New Roman" w:eastAsia="Times New Roman" w:hAnsi="Times New Roman"/>
          <w:sz w:val="16"/>
          <w:szCs w:val="16"/>
          <w:color w:val="auto"/>
        </w:rPr>
        <w:t>increase in the repayment of debt of $14 million, resulting</w:t>
      </w:r>
    </w:p>
    <w:p>
      <w:pPr>
        <w:spacing w:after="0" w:line="204" w:lineRule="auto"/>
        <w:rPr>
          <w:sz w:val="20"/>
          <w:szCs w:val="20"/>
          <w:color w:val="auto"/>
        </w:rPr>
      </w:pPr>
      <w:r>
        <w:rPr>
          <w:rFonts w:ascii="Times New Roman" w:cs="Times New Roman" w:eastAsia="Times New Roman" w:hAnsi="Times New Roman"/>
          <w:sz w:val="16"/>
          <w:szCs w:val="16"/>
          <w:color w:val="auto"/>
        </w:rPr>
        <w:t>from our continued commitment toward deleveraging. These</w:t>
      </w:r>
    </w:p>
    <w:p>
      <w:pPr>
        <w:spacing w:after="0" w:line="203" w:lineRule="auto"/>
        <w:rPr>
          <w:sz w:val="20"/>
          <w:szCs w:val="20"/>
          <w:color w:val="auto"/>
        </w:rPr>
      </w:pPr>
      <w:r>
        <w:rPr>
          <w:rFonts w:ascii="Times New Roman" w:cs="Times New Roman" w:eastAsia="Times New Roman" w:hAnsi="Times New Roman"/>
          <w:sz w:val="16"/>
          <w:szCs w:val="16"/>
          <w:color w:val="auto"/>
        </w:rPr>
        <w:t>increases were partially offset by a decrease in default funds</w:t>
      </w:r>
    </w:p>
    <w:p>
      <w:pPr>
        <w:spacing w:after="0" w:line="204" w:lineRule="auto"/>
        <w:rPr>
          <w:sz w:val="20"/>
          <w:szCs w:val="20"/>
          <w:color w:val="auto"/>
        </w:rPr>
      </w:pPr>
      <w:r>
        <w:rPr>
          <w:rFonts w:ascii="Times New Roman" w:cs="Times New Roman" w:eastAsia="Times New Roman" w:hAnsi="Times New Roman"/>
          <w:sz w:val="16"/>
          <w:szCs w:val="16"/>
          <w:color w:val="auto"/>
        </w:rPr>
        <w:t>and margin deposits of $146 million which does not impact</w:t>
      </w:r>
    </w:p>
    <w:p>
      <w:pPr>
        <w:spacing w:after="0" w:line="204" w:lineRule="auto"/>
        <w:rPr>
          <w:sz w:val="20"/>
          <w:szCs w:val="20"/>
          <w:color w:val="auto"/>
        </w:rPr>
      </w:pPr>
      <w:r>
        <w:rPr>
          <w:rFonts w:ascii="Times New Roman" w:cs="Times New Roman" w:eastAsia="Times New Roman" w:hAnsi="Times New Roman"/>
          <w:sz w:val="16"/>
          <w:szCs w:val="16"/>
          <w:color w:val="auto"/>
        </w:rPr>
        <w:t>Nasdaq's cash, cash equivalents, restricted cash or restricted</w:t>
      </w:r>
    </w:p>
    <w:p>
      <w:pPr>
        <w:spacing w:after="0" w:line="203" w:lineRule="auto"/>
        <w:rPr>
          <w:sz w:val="20"/>
          <w:szCs w:val="20"/>
          <w:color w:val="auto"/>
        </w:rPr>
      </w:pPr>
      <w:r>
        <w:rPr>
          <w:rFonts w:ascii="Times New Roman" w:cs="Times New Roman" w:eastAsia="Times New Roman" w:hAnsi="Times New Roman"/>
          <w:sz w:val="16"/>
          <w:szCs w:val="16"/>
          <w:color w:val="auto"/>
        </w:rPr>
        <w:t>cash equivalents as it relates to customer funds.</w:t>
      </w:r>
    </w:p>
    <w:p>
      <w:pPr>
        <w:spacing w:after="0" w:line="204" w:lineRule="auto"/>
        <w:rPr>
          <w:sz w:val="20"/>
          <w:szCs w:val="20"/>
          <w:color w:val="auto"/>
        </w:rPr>
      </w:pPr>
      <w:r>
        <w:rPr>
          <w:rFonts w:ascii="Times New Roman" w:cs="Times New Roman" w:eastAsia="Times New Roman" w:hAnsi="Times New Roman"/>
          <w:sz w:val="16"/>
          <w:szCs w:val="16"/>
          <w:color w:val="auto"/>
        </w:rPr>
        <w:t>See “Default Fund Contributions and Margin Deposits” of</w:t>
      </w:r>
    </w:p>
    <w:p>
      <w:pPr>
        <w:spacing w:after="0" w:line="203" w:lineRule="auto"/>
        <w:rPr>
          <w:sz w:val="20"/>
          <w:szCs w:val="20"/>
          <w:color w:val="auto"/>
        </w:rPr>
      </w:pPr>
      <w:r>
        <w:rPr>
          <w:rFonts w:ascii="Times New Roman" w:cs="Times New Roman" w:eastAsia="Times New Roman" w:hAnsi="Times New Roman"/>
          <w:sz w:val="16"/>
          <w:szCs w:val="16"/>
          <w:color w:val="auto"/>
        </w:rPr>
        <w:t>Note 15, “Clearing Operations,” for further discussion of</w:t>
      </w:r>
    </w:p>
    <w:p>
      <w:pPr>
        <w:spacing w:after="0" w:line="204" w:lineRule="auto"/>
        <w:rPr>
          <w:sz w:val="20"/>
          <w:szCs w:val="20"/>
          <w:color w:val="auto"/>
        </w:rPr>
      </w:pPr>
      <w:r>
        <w:rPr>
          <w:rFonts w:ascii="Times New Roman" w:cs="Times New Roman" w:eastAsia="Times New Roman" w:hAnsi="Times New Roman"/>
          <w:sz w:val="16"/>
          <w:szCs w:val="16"/>
          <w:color w:val="auto"/>
        </w:rPr>
        <w:t>these balances.</w:t>
      </w:r>
    </w:p>
    <w:p>
      <w:pPr>
        <w:spacing w:after="0" w:line="203" w:lineRule="auto"/>
        <w:rPr>
          <w:sz w:val="20"/>
          <w:szCs w:val="20"/>
          <w:color w:val="auto"/>
        </w:rPr>
      </w:pPr>
      <w:r>
        <w:rPr>
          <w:rFonts w:ascii="Times New Roman" w:cs="Times New Roman" w:eastAsia="Times New Roman" w:hAnsi="Times New Roman"/>
          <w:sz w:val="16"/>
          <w:szCs w:val="16"/>
          <w:color w:val="auto"/>
        </w:rPr>
        <w:t>See Note 9, “Debt Obligations,” to the consolidated financial</w:t>
      </w:r>
    </w:p>
    <w:p>
      <w:pPr>
        <w:spacing w:after="0" w:line="204" w:lineRule="auto"/>
        <w:rPr>
          <w:sz w:val="20"/>
          <w:szCs w:val="20"/>
          <w:color w:val="auto"/>
        </w:rPr>
      </w:pPr>
      <w:r>
        <w:rPr>
          <w:rFonts w:ascii="Times New Roman" w:cs="Times New Roman" w:eastAsia="Times New Roman" w:hAnsi="Times New Roman"/>
          <w:sz w:val="16"/>
          <w:szCs w:val="16"/>
          <w:color w:val="auto"/>
        </w:rPr>
        <w:t>statements for further discussion of our debt obligations.</w:t>
      </w:r>
    </w:p>
    <w:p>
      <w:pPr>
        <w:spacing w:after="0" w:line="203" w:lineRule="auto"/>
        <w:rPr>
          <w:sz w:val="20"/>
          <w:szCs w:val="20"/>
          <w:color w:val="auto"/>
        </w:rPr>
      </w:pPr>
      <w:r>
        <w:rPr>
          <w:rFonts w:ascii="Times New Roman" w:cs="Times New Roman" w:eastAsia="Times New Roman" w:hAnsi="Times New Roman"/>
          <w:sz w:val="16"/>
          <w:szCs w:val="16"/>
          <w:color w:val="auto"/>
        </w:rPr>
        <w:t>See “Share Repurchase Program,” and “Cash Dividends on</w:t>
      </w:r>
    </w:p>
    <w:p>
      <w:pPr>
        <w:spacing w:after="0" w:line="204" w:lineRule="auto"/>
        <w:rPr>
          <w:sz w:val="20"/>
          <w:szCs w:val="20"/>
          <w:color w:val="auto"/>
        </w:rPr>
      </w:pPr>
      <w:r>
        <w:rPr>
          <w:rFonts w:ascii="Times New Roman" w:cs="Times New Roman" w:eastAsia="Times New Roman" w:hAnsi="Times New Roman"/>
          <w:sz w:val="16"/>
          <w:szCs w:val="16"/>
          <w:color w:val="auto"/>
        </w:rPr>
        <w:t>Common Stock,” of Note 12, “Nasdaq Stockholders’</w:t>
      </w:r>
    </w:p>
    <w:p>
      <w:pPr>
        <w:spacing w:after="0" w:line="203" w:lineRule="auto"/>
        <w:rPr>
          <w:sz w:val="20"/>
          <w:szCs w:val="20"/>
          <w:color w:val="auto"/>
        </w:rPr>
      </w:pPr>
      <w:r>
        <w:rPr>
          <w:rFonts w:ascii="Times New Roman" w:cs="Times New Roman" w:eastAsia="Times New Roman" w:hAnsi="Times New Roman"/>
          <w:sz w:val="16"/>
          <w:szCs w:val="16"/>
          <w:color w:val="auto"/>
        </w:rPr>
        <w:t>Equity,” to the consolidated financial statements for further</w:t>
      </w:r>
    </w:p>
    <w:p>
      <w:pPr>
        <w:spacing w:after="0" w:line="204" w:lineRule="auto"/>
        <w:rPr>
          <w:sz w:val="20"/>
          <w:szCs w:val="20"/>
          <w:color w:val="auto"/>
        </w:rPr>
      </w:pPr>
      <w:r>
        <w:rPr>
          <w:rFonts w:ascii="Times New Roman" w:cs="Times New Roman" w:eastAsia="Times New Roman" w:hAnsi="Times New Roman"/>
          <w:sz w:val="16"/>
          <w:szCs w:val="16"/>
          <w:color w:val="auto"/>
        </w:rPr>
        <w:t>discussion of our share repurchase program and cash</w:t>
      </w:r>
    </w:p>
    <w:p>
      <w:pPr>
        <w:spacing w:after="0" w:line="204" w:lineRule="auto"/>
        <w:rPr>
          <w:sz w:val="20"/>
          <w:szCs w:val="20"/>
          <w:color w:val="auto"/>
        </w:rPr>
      </w:pPr>
      <w:r>
        <w:rPr>
          <w:rFonts w:ascii="Times New Roman" w:cs="Times New Roman" w:eastAsia="Times New Roman" w:hAnsi="Times New Roman"/>
          <w:sz w:val="16"/>
          <w:szCs w:val="16"/>
          <w:color w:val="auto"/>
        </w:rPr>
        <w:t>dividends declared and paid on our common stock.</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Financial Investments</w:t>
      </w:r>
    </w:p>
    <w:p>
      <w:pPr>
        <w:spacing w:after="0" w:line="204" w:lineRule="auto"/>
        <w:rPr>
          <w:sz w:val="20"/>
          <w:szCs w:val="20"/>
          <w:color w:val="auto"/>
        </w:rPr>
      </w:pPr>
      <w:r>
        <w:rPr>
          <w:rFonts w:ascii="Times New Roman" w:cs="Times New Roman" w:eastAsia="Times New Roman" w:hAnsi="Times New Roman"/>
          <w:sz w:val="16"/>
          <w:szCs w:val="16"/>
          <w:color w:val="auto"/>
        </w:rPr>
        <w:t>Our financial investments totaled $28 million as of December</w:t>
      </w:r>
    </w:p>
    <w:p>
      <w:pPr>
        <w:spacing w:after="0" w:line="203" w:lineRule="auto"/>
        <w:rPr>
          <w:sz w:val="20"/>
          <w:szCs w:val="20"/>
          <w:color w:val="auto"/>
        </w:rPr>
      </w:pPr>
      <w:r>
        <w:rPr>
          <w:rFonts w:ascii="Times New Roman" w:cs="Times New Roman" w:eastAsia="Times New Roman" w:hAnsi="Times New Roman"/>
          <w:sz w:val="16"/>
          <w:szCs w:val="16"/>
          <w:color w:val="auto"/>
        </w:rPr>
        <w:t>31, 2025 and $184 million as of December 31, 2024. Of these</w:t>
      </w:r>
    </w:p>
    <w:p>
      <w:pPr>
        <w:spacing w:after="0" w:line="204" w:lineRule="auto"/>
        <w:rPr>
          <w:sz w:val="20"/>
          <w:szCs w:val="20"/>
          <w:color w:val="auto"/>
        </w:rPr>
      </w:pPr>
      <w:r>
        <w:rPr>
          <w:rFonts w:ascii="Times New Roman" w:cs="Times New Roman" w:eastAsia="Times New Roman" w:hAnsi="Times New Roman"/>
          <w:sz w:val="16"/>
          <w:szCs w:val="16"/>
          <w:color w:val="auto"/>
        </w:rPr>
        <w:t>securities, $18 million as of December 31, 2025 and $171</w:t>
      </w:r>
    </w:p>
    <w:p>
      <w:pPr>
        <w:spacing w:after="0" w:line="203" w:lineRule="auto"/>
        <w:rPr>
          <w:sz w:val="20"/>
          <w:szCs w:val="20"/>
          <w:color w:val="auto"/>
        </w:rPr>
      </w:pPr>
      <w:r>
        <w:rPr>
          <w:rFonts w:ascii="Times New Roman" w:cs="Times New Roman" w:eastAsia="Times New Roman" w:hAnsi="Times New Roman"/>
          <w:sz w:val="16"/>
          <w:szCs w:val="16"/>
          <w:color w:val="auto"/>
        </w:rPr>
        <w:t>million as of December 31, 2024 are assets primarily utilized</w:t>
      </w:r>
    </w:p>
    <w:p>
      <w:pPr>
        <w:spacing w:after="0" w:line="204" w:lineRule="auto"/>
        <w:rPr>
          <w:sz w:val="20"/>
          <w:szCs w:val="20"/>
          <w:color w:val="auto"/>
        </w:rPr>
      </w:pPr>
      <w:r>
        <w:rPr>
          <w:rFonts w:ascii="Times New Roman" w:cs="Times New Roman" w:eastAsia="Times New Roman" w:hAnsi="Times New Roman"/>
          <w:sz w:val="16"/>
          <w:szCs w:val="16"/>
          <w:color w:val="auto"/>
        </w:rPr>
        <w:t>to meet regulatory capital requirements, mainly for our</w:t>
      </w:r>
    </w:p>
    <w:p>
      <w:pPr>
        <w:spacing w:after="0" w:line="203" w:lineRule="auto"/>
        <w:rPr>
          <w:sz w:val="20"/>
          <w:szCs w:val="20"/>
          <w:color w:val="auto"/>
        </w:rPr>
      </w:pPr>
      <w:r>
        <w:rPr>
          <w:rFonts w:ascii="Times New Roman" w:cs="Times New Roman" w:eastAsia="Times New Roman" w:hAnsi="Times New Roman"/>
          <w:sz w:val="16"/>
          <w:szCs w:val="16"/>
          <w:color w:val="auto"/>
        </w:rPr>
        <w:t>clearing operations at Nasdaq Clearing. See Restricted Cash</w:t>
      </w:r>
    </w:p>
    <w:p>
      <w:pPr>
        <w:spacing w:after="0" w:line="204" w:lineRule="auto"/>
        <w:rPr>
          <w:sz w:val="20"/>
          <w:szCs w:val="20"/>
          <w:color w:val="auto"/>
        </w:rPr>
      </w:pPr>
      <w:r>
        <w:rPr>
          <w:rFonts w:ascii="Times New Roman" w:cs="Times New Roman" w:eastAsia="Times New Roman" w:hAnsi="Times New Roman"/>
          <w:sz w:val="16"/>
          <w:szCs w:val="16"/>
          <w:color w:val="auto"/>
        </w:rPr>
        <w:t>and Cash Equivalents above and Note 6, “Investments,” to</w:t>
      </w:r>
    </w:p>
    <w:p>
      <w:pPr>
        <w:spacing w:after="0" w:line="204" w:lineRule="auto"/>
        <w:rPr>
          <w:sz w:val="20"/>
          <w:szCs w:val="20"/>
          <w:color w:val="auto"/>
        </w:rPr>
      </w:pPr>
      <w:r>
        <w:rPr>
          <w:rFonts w:ascii="Times New Roman" w:cs="Times New Roman" w:eastAsia="Times New Roman" w:hAnsi="Times New Roman"/>
          <w:sz w:val="16"/>
          <w:szCs w:val="16"/>
          <w:color w:val="auto"/>
        </w:rPr>
        <w:t>the consolidated financial statements for further discussion.</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Regulatory Capital Requirements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Clearing Operations Regulatory Capital Requirements</w:t>
      </w:r>
    </w:p>
    <w:p>
      <w:pPr>
        <w:spacing w:after="0" w:line="203" w:lineRule="auto"/>
        <w:rPr>
          <w:sz w:val="20"/>
          <w:szCs w:val="20"/>
          <w:color w:val="auto"/>
        </w:rPr>
      </w:pPr>
      <w:r>
        <w:rPr>
          <w:rFonts w:ascii="Times New Roman" w:cs="Times New Roman" w:eastAsia="Times New Roman" w:hAnsi="Times New Roman"/>
          <w:sz w:val="16"/>
          <w:szCs w:val="16"/>
          <w:color w:val="auto"/>
        </w:rPr>
        <w:t>We are required to maintain minimum levels of regulatory</w:t>
      </w:r>
    </w:p>
    <w:p>
      <w:pPr>
        <w:spacing w:after="0" w:line="204" w:lineRule="auto"/>
        <w:rPr>
          <w:sz w:val="20"/>
          <w:szCs w:val="20"/>
          <w:color w:val="auto"/>
        </w:rPr>
      </w:pPr>
      <w:r>
        <w:rPr>
          <w:rFonts w:ascii="Times New Roman" w:cs="Times New Roman" w:eastAsia="Times New Roman" w:hAnsi="Times New Roman"/>
          <w:sz w:val="16"/>
          <w:szCs w:val="16"/>
          <w:color w:val="auto"/>
        </w:rPr>
        <w:t>capital for the clearing operations of Nasdaq Clearing. The</w:t>
      </w:r>
    </w:p>
    <w:p>
      <w:pPr>
        <w:spacing w:after="0" w:line="203" w:lineRule="auto"/>
        <w:rPr>
          <w:sz w:val="20"/>
          <w:szCs w:val="20"/>
          <w:color w:val="auto"/>
        </w:rPr>
      </w:pPr>
      <w:r>
        <w:rPr>
          <w:rFonts w:ascii="Times New Roman" w:cs="Times New Roman" w:eastAsia="Times New Roman" w:hAnsi="Times New Roman"/>
          <w:sz w:val="16"/>
          <w:szCs w:val="16"/>
          <w:color w:val="auto"/>
        </w:rPr>
        <w:t>level of regulatory capital required to be maintained is</w:t>
      </w:r>
    </w:p>
    <w:p>
      <w:pPr>
        <w:spacing w:after="0" w:line="204" w:lineRule="auto"/>
        <w:rPr>
          <w:sz w:val="20"/>
          <w:szCs w:val="20"/>
          <w:color w:val="auto"/>
        </w:rPr>
      </w:pPr>
      <w:r>
        <w:rPr>
          <w:rFonts w:ascii="Times New Roman" w:cs="Times New Roman" w:eastAsia="Times New Roman" w:hAnsi="Times New Roman"/>
          <w:sz w:val="16"/>
          <w:szCs w:val="16"/>
          <w:color w:val="auto"/>
        </w:rPr>
        <w:t>dependent upon many factors, including market conditions</w:t>
      </w:r>
    </w:p>
    <w:p>
      <w:pPr>
        <w:spacing w:after="0" w:line="203" w:lineRule="auto"/>
        <w:rPr>
          <w:sz w:val="20"/>
          <w:szCs w:val="20"/>
          <w:color w:val="auto"/>
        </w:rPr>
      </w:pPr>
      <w:r>
        <w:rPr>
          <w:rFonts w:ascii="Times New Roman" w:cs="Times New Roman" w:eastAsia="Times New Roman" w:hAnsi="Times New Roman"/>
          <w:sz w:val="16"/>
          <w:szCs w:val="16"/>
          <w:color w:val="auto"/>
        </w:rPr>
        <w:t>and creditworthiness of the counterparty. As of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our required regulatory capital of $158 million was</w:t>
      </w:r>
    </w:p>
    <w:p>
      <w:pPr>
        <w:spacing w:after="0" w:line="203" w:lineRule="auto"/>
        <w:rPr>
          <w:sz w:val="20"/>
          <w:szCs w:val="20"/>
          <w:color w:val="auto"/>
        </w:rPr>
      </w:pPr>
      <w:r>
        <w:rPr>
          <w:rFonts w:ascii="Times New Roman" w:cs="Times New Roman" w:eastAsia="Times New Roman" w:hAnsi="Times New Roman"/>
          <w:sz w:val="16"/>
          <w:szCs w:val="16"/>
          <w:color w:val="auto"/>
        </w:rPr>
        <w:t>primarily comprised of cash and cash equivalents that are</w:t>
      </w:r>
    </w:p>
    <w:p>
      <w:pPr>
        <w:spacing w:after="0" w:line="204" w:lineRule="auto"/>
        <w:rPr>
          <w:sz w:val="20"/>
          <w:szCs w:val="20"/>
          <w:color w:val="auto"/>
        </w:rPr>
      </w:pPr>
      <w:r>
        <w:rPr>
          <w:rFonts w:ascii="Times New Roman" w:cs="Times New Roman" w:eastAsia="Times New Roman" w:hAnsi="Times New Roman"/>
          <w:sz w:val="16"/>
          <w:szCs w:val="16"/>
          <w:color w:val="auto"/>
        </w:rPr>
        <w:t>included in restricted cash and cash equivalents in the</w:t>
      </w:r>
    </w:p>
    <w:p>
      <w:pPr>
        <w:spacing w:after="0" w:line="204" w:lineRule="auto"/>
        <w:rPr>
          <w:sz w:val="20"/>
          <w:szCs w:val="20"/>
          <w:color w:val="auto"/>
        </w:rPr>
      </w:pPr>
      <w:r>
        <w:rPr>
          <w:rFonts w:ascii="Times New Roman" w:cs="Times New Roman" w:eastAsia="Times New Roman" w:hAnsi="Times New Roman"/>
          <w:sz w:val="16"/>
          <w:szCs w:val="16"/>
          <w:color w:val="auto"/>
        </w:rPr>
        <w:t>Consolidated Balance Sheets.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Broker-Dealer Net Capital Requirements</w:t>
      </w:r>
    </w:p>
    <w:p>
      <w:pPr>
        <w:spacing w:after="0" w:line="204" w:lineRule="auto"/>
        <w:rPr>
          <w:sz w:val="20"/>
          <w:szCs w:val="20"/>
          <w:color w:val="auto"/>
        </w:rPr>
      </w:pPr>
      <w:r>
        <w:rPr>
          <w:rFonts w:ascii="Times New Roman" w:cs="Times New Roman" w:eastAsia="Times New Roman" w:hAnsi="Times New Roman"/>
          <w:sz w:val="16"/>
          <w:szCs w:val="16"/>
          <w:color w:val="auto"/>
        </w:rPr>
        <w:t>Our broker-dealer subsidiaries, Nasdaq Execution Services,</w:t>
      </w:r>
    </w:p>
    <w:p>
      <w:pPr>
        <w:spacing w:after="0" w:line="203" w:lineRule="auto"/>
        <w:rPr>
          <w:sz w:val="20"/>
          <w:szCs w:val="20"/>
          <w:color w:val="auto"/>
        </w:rPr>
      </w:pPr>
      <w:r>
        <w:rPr>
          <w:rFonts w:ascii="Times New Roman" w:cs="Times New Roman" w:eastAsia="Times New Roman" w:hAnsi="Times New Roman"/>
          <w:sz w:val="16"/>
          <w:szCs w:val="16"/>
          <w:color w:val="auto"/>
        </w:rPr>
        <w:t>NFSTX, LLC, and Nasdaq Capital Markets Advisory, are</w:t>
      </w:r>
    </w:p>
    <w:p>
      <w:pPr>
        <w:spacing w:after="0" w:line="204" w:lineRule="auto"/>
        <w:rPr>
          <w:sz w:val="20"/>
          <w:szCs w:val="20"/>
          <w:color w:val="auto"/>
        </w:rPr>
      </w:pPr>
      <w:r>
        <w:rPr>
          <w:rFonts w:ascii="Times New Roman" w:cs="Times New Roman" w:eastAsia="Times New Roman" w:hAnsi="Times New Roman"/>
          <w:sz w:val="16"/>
          <w:szCs w:val="16"/>
          <w:color w:val="auto"/>
        </w:rPr>
        <w:t>subject to regulatory requirements intended to ensure their</w:t>
      </w:r>
    </w:p>
    <w:p>
      <w:pPr>
        <w:spacing w:after="0" w:line="203" w:lineRule="auto"/>
        <w:rPr>
          <w:sz w:val="20"/>
          <w:szCs w:val="20"/>
          <w:color w:val="auto"/>
        </w:rPr>
      </w:pPr>
      <w:r>
        <w:rPr>
          <w:rFonts w:ascii="Times New Roman" w:cs="Times New Roman" w:eastAsia="Times New Roman" w:hAnsi="Times New Roman"/>
          <w:sz w:val="16"/>
          <w:szCs w:val="16"/>
          <w:color w:val="auto"/>
        </w:rPr>
        <w:t>general financial soundness and liquidity. These requirements</w:t>
      </w:r>
    </w:p>
    <w:p>
      <w:pPr>
        <w:spacing w:after="0" w:line="204" w:lineRule="auto"/>
        <w:rPr>
          <w:sz w:val="20"/>
          <w:szCs w:val="20"/>
          <w:color w:val="auto"/>
        </w:rPr>
      </w:pPr>
      <w:r>
        <w:rPr>
          <w:rFonts w:ascii="Times New Roman" w:cs="Times New Roman" w:eastAsia="Times New Roman" w:hAnsi="Times New Roman"/>
          <w:sz w:val="16"/>
          <w:szCs w:val="16"/>
          <w:color w:val="auto"/>
        </w:rPr>
        <w:t>obligate these subsidiaries to comply with minimum net</w:t>
      </w:r>
    </w:p>
    <w:p>
      <w:pPr>
        <w:spacing w:after="0" w:line="203" w:lineRule="auto"/>
        <w:rPr>
          <w:sz w:val="20"/>
          <w:szCs w:val="20"/>
          <w:color w:val="auto"/>
        </w:rPr>
      </w:pPr>
      <w:r>
        <w:rPr>
          <w:rFonts w:ascii="Times New Roman" w:cs="Times New Roman" w:eastAsia="Times New Roman" w:hAnsi="Times New Roman"/>
          <w:sz w:val="16"/>
          <w:szCs w:val="16"/>
          <w:color w:val="auto"/>
        </w:rPr>
        <w:t>capital requirements. As of December 31, 2025, the</w:t>
      </w:r>
    </w:p>
    <w:p>
      <w:pPr>
        <w:spacing w:after="0" w:line="204" w:lineRule="auto"/>
        <w:rPr>
          <w:sz w:val="20"/>
          <w:szCs w:val="20"/>
          <w:color w:val="auto"/>
        </w:rPr>
      </w:pPr>
      <w:r>
        <w:rPr>
          <w:rFonts w:ascii="Times New Roman" w:cs="Times New Roman" w:eastAsia="Times New Roman" w:hAnsi="Times New Roman"/>
          <w:sz w:val="16"/>
          <w:szCs w:val="16"/>
          <w:color w:val="auto"/>
        </w:rPr>
        <w:t>combined required minimum net capital totaled $1 million</w:t>
      </w:r>
    </w:p>
    <w:p>
      <w:pPr>
        <w:spacing w:after="0" w:line="204" w:lineRule="auto"/>
        <w:rPr>
          <w:sz w:val="20"/>
          <w:szCs w:val="20"/>
          <w:color w:val="auto"/>
        </w:rPr>
      </w:pPr>
      <w:r>
        <w:rPr>
          <w:rFonts w:ascii="Times New Roman" w:cs="Times New Roman" w:eastAsia="Times New Roman" w:hAnsi="Times New Roman"/>
          <w:sz w:val="16"/>
          <w:szCs w:val="16"/>
          <w:color w:val="auto"/>
        </w:rPr>
        <w:t>and the combined excess capital totaled $25 million,</w:t>
      </w:r>
    </w:p>
    <w:p>
      <w:pPr>
        <w:spacing w:after="0"/>
        <w:rPr>
          <w:sz w:val="20"/>
          <w:szCs w:val="20"/>
          <w:color w:val="auto"/>
        </w:rPr>
      </w:pPr>
      <w:r>
        <w:rPr>
          <w:rFonts w:ascii="Times New Roman" w:cs="Times New Roman" w:eastAsia="Times New Roman" w:hAnsi="Times New Roman"/>
          <w:sz w:val="16"/>
          <w:szCs w:val="16"/>
          <w:color w:val="auto"/>
        </w:rPr>
        <w:t>substantially all of which is held in cash and cash equivalents</w:t>
      </w:r>
    </w:p>
    <w:p>
      <w:pPr>
        <w:sectPr>
          <w:pgSz w:w="11900" w:h="16840" w:orient="portrait"/>
          <w:cols w:equalWidth="0" w:num="1">
            <w:col w:w="9400"/>
          </w:cols>
          <w:pgMar w:left="1060" w:top="547" w:right="1440" w:bottom="116"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in the Consolidated Balance Sheets. The required minimum</w:t>
      </w:r>
    </w:p>
    <w:p>
      <w:pPr>
        <w:spacing w:after="0" w:line="203" w:lineRule="auto"/>
        <w:rPr>
          <w:sz w:val="20"/>
          <w:szCs w:val="20"/>
          <w:color w:val="auto"/>
        </w:rPr>
      </w:pPr>
      <w:r>
        <w:rPr>
          <w:rFonts w:ascii="Times New Roman" w:cs="Times New Roman" w:eastAsia="Times New Roman" w:hAnsi="Times New Roman"/>
          <w:sz w:val="16"/>
          <w:szCs w:val="16"/>
          <w:color w:val="auto"/>
        </w:rPr>
        <w:t>net capital is included in restricted cash and cash equivalents</w:t>
      </w:r>
    </w:p>
    <w:p>
      <w:pPr>
        <w:spacing w:after="0" w:line="204" w:lineRule="auto"/>
        <w:rPr>
          <w:sz w:val="20"/>
          <w:szCs w:val="20"/>
          <w:color w:val="auto"/>
        </w:rPr>
      </w:pPr>
      <w:r>
        <w:rPr>
          <w:rFonts w:ascii="Times New Roman" w:cs="Times New Roman" w:eastAsia="Times New Roman" w:hAnsi="Times New Roman"/>
          <w:sz w:val="16"/>
          <w:szCs w:val="16"/>
          <w:color w:val="auto"/>
        </w:rPr>
        <w:t>in the Consolidated Balance Sheets.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Nordic and Baltic Exchange Regulatory Capital</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Requirements</w:t>
      </w:r>
    </w:p>
    <w:p>
      <w:pPr>
        <w:spacing w:after="0" w:line="203" w:lineRule="auto"/>
        <w:rPr>
          <w:sz w:val="20"/>
          <w:szCs w:val="20"/>
          <w:color w:val="auto"/>
        </w:rPr>
      </w:pPr>
      <w:r>
        <w:rPr>
          <w:rFonts w:ascii="Times New Roman" w:cs="Times New Roman" w:eastAsia="Times New Roman" w:hAnsi="Times New Roman"/>
          <w:sz w:val="16"/>
          <w:szCs w:val="16"/>
          <w:color w:val="auto"/>
        </w:rPr>
        <w:t>The entities that operate trading venues in the Nordic and</w:t>
      </w:r>
    </w:p>
    <w:p>
      <w:pPr>
        <w:spacing w:after="0" w:line="204" w:lineRule="auto"/>
        <w:rPr>
          <w:sz w:val="20"/>
          <w:szCs w:val="20"/>
          <w:color w:val="auto"/>
        </w:rPr>
      </w:pPr>
      <w:r>
        <w:rPr>
          <w:rFonts w:ascii="Times New Roman" w:cs="Times New Roman" w:eastAsia="Times New Roman" w:hAnsi="Times New Roman"/>
          <w:sz w:val="16"/>
          <w:szCs w:val="16"/>
          <w:color w:val="auto"/>
        </w:rPr>
        <w:t>Baltic countries are each subject to local regulations and are</w:t>
      </w:r>
    </w:p>
    <w:p>
      <w:pPr>
        <w:spacing w:after="0" w:line="203" w:lineRule="auto"/>
        <w:rPr>
          <w:sz w:val="20"/>
          <w:szCs w:val="20"/>
          <w:color w:val="auto"/>
        </w:rPr>
      </w:pPr>
      <w:r>
        <w:rPr>
          <w:rFonts w:ascii="Times New Roman" w:cs="Times New Roman" w:eastAsia="Times New Roman" w:hAnsi="Times New Roman"/>
          <w:sz w:val="16"/>
          <w:szCs w:val="16"/>
          <w:color w:val="auto"/>
        </w:rPr>
        <w:t>required to maintain regulatory capital intended to ensure</w:t>
      </w:r>
    </w:p>
    <w:p>
      <w:pPr>
        <w:spacing w:after="0" w:line="204" w:lineRule="auto"/>
        <w:rPr>
          <w:sz w:val="20"/>
          <w:szCs w:val="20"/>
          <w:color w:val="auto"/>
        </w:rPr>
      </w:pPr>
      <w:r>
        <w:rPr>
          <w:rFonts w:ascii="Times New Roman" w:cs="Times New Roman" w:eastAsia="Times New Roman" w:hAnsi="Times New Roman"/>
          <w:sz w:val="16"/>
          <w:szCs w:val="16"/>
          <w:color w:val="auto"/>
        </w:rPr>
        <w:t>their general financial soundness and liquidity. As of</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our required regulatory capital of $47</w:t>
      </w:r>
    </w:p>
    <w:p>
      <w:pPr>
        <w:spacing w:after="0" w:line="204" w:lineRule="auto"/>
        <w:rPr>
          <w:sz w:val="20"/>
          <w:szCs w:val="20"/>
          <w:color w:val="auto"/>
        </w:rPr>
      </w:pPr>
      <w:r>
        <w:rPr>
          <w:rFonts w:ascii="Times New Roman" w:cs="Times New Roman" w:eastAsia="Times New Roman" w:hAnsi="Times New Roman"/>
          <w:sz w:val="16"/>
          <w:szCs w:val="16"/>
          <w:color w:val="auto"/>
        </w:rPr>
        <w:t>million was primarily invested in cash and cash equivalents,</w:t>
      </w:r>
    </w:p>
    <w:p>
      <w:pPr>
        <w:spacing w:after="0" w:line="204" w:lineRule="auto"/>
        <w:rPr>
          <w:sz w:val="20"/>
          <w:szCs w:val="20"/>
          <w:color w:val="auto"/>
        </w:rPr>
      </w:pPr>
      <w:r>
        <w:rPr>
          <w:rFonts w:ascii="Times New Roman" w:cs="Times New Roman" w:eastAsia="Times New Roman" w:hAnsi="Times New Roman"/>
          <w:sz w:val="16"/>
          <w:szCs w:val="16"/>
          <w:color w:val="auto"/>
        </w:rPr>
        <w:t>which is included in restricted cash and cash equivalents in</w:t>
      </w:r>
    </w:p>
    <w:p>
      <w:pPr>
        <w:spacing w:after="0" w:line="203" w:lineRule="auto"/>
        <w:rPr>
          <w:sz w:val="20"/>
          <w:szCs w:val="20"/>
          <w:color w:val="auto"/>
        </w:rPr>
      </w:pPr>
      <w:r>
        <w:rPr>
          <w:rFonts w:ascii="Times New Roman" w:cs="Times New Roman" w:eastAsia="Times New Roman" w:hAnsi="Times New Roman"/>
          <w:sz w:val="16"/>
          <w:szCs w:val="16"/>
          <w:color w:val="auto"/>
        </w:rPr>
        <w:t>the Consolidated Balance Sheets and European government</w:t>
      </w:r>
    </w:p>
    <w:p>
      <w:pPr>
        <w:spacing w:after="0" w:line="204" w:lineRule="auto"/>
        <w:rPr>
          <w:sz w:val="20"/>
          <w:szCs w:val="20"/>
          <w:color w:val="auto"/>
        </w:rPr>
      </w:pPr>
      <w:r>
        <w:rPr>
          <w:rFonts w:ascii="Times New Roman" w:cs="Times New Roman" w:eastAsia="Times New Roman" w:hAnsi="Times New Roman"/>
          <w:sz w:val="16"/>
          <w:szCs w:val="16"/>
          <w:color w:val="auto"/>
        </w:rPr>
        <w:t>debt securities that are included in financial investments in</w:t>
      </w:r>
    </w:p>
    <w:p>
      <w:pPr>
        <w:spacing w:after="0" w:line="203" w:lineRule="auto"/>
        <w:rPr>
          <w:sz w:val="20"/>
          <w:szCs w:val="20"/>
          <w:color w:val="auto"/>
        </w:rPr>
      </w:pPr>
      <w:r>
        <w:rPr>
          <w:rFonts w:ascii="Times New Roman" w:cs="Times New Roman" w:eastAsia="Times New Roman" w:hAnsi="Times New Roman"/>
          <w:sz w:val="16"/>
          <w:szCs w:val="16"/>
          <w:color w:val="auto"/>
        </w:rPr>
        <w:t>the Consolidated Balance Sheets.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Other Capital Requirements</w:t>
      </w:r>
    </w:p>
    <w:p>
      <w:pPr>
        <w:spacing w:after="0" w:line="203" w:lineRule="auto"/>
        <w:rPr>
          <w:sz w:val="20"/>
          <w:szCs w:val="20"/>
          <w:color w:val="auto"/>
        </w:rPr>
      </w:pPr>
      <w:r>
        <w:rPr>
          <w:rFonts w:ascii="Times New Roman" w:cs="Times New Roman" w:eastAsia="Times New Roman" w:hAnsi="Times New Roman"/>
          <w:sz w:val="16"/>
          <w:szCs w:val="16"/>
          <w:color w:val="auto"/>
        </w:rPr>
        <w:t>We operate several other businesses which are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local regulation and are required to maintain certain levels of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Debt Obligations</w:t>
      </w:r>
    </w:p>
    <w:p>
      <w:pPr>
        <w:spacing w:after="0" w:line="233" w:lineRule="auto"/>
        <w:rPr>
          <w:sz w:val="20"/>
          <w:szCs w:val="20"/>
          <w:color w:val="auto"/>
        </w:rPr>
      </w:pPr>
      <w:r>
        <w:rPr>
          <w:rFonts w:ascii="Times New Roman" w:cs="Times New Roman" w:eastAsia="Times New Roman" w:hAnsi="Times New Roman"/>
          <w:sz w:val="14"/>
          <w:szCs w:val="14"/>
          <w:color w:val="auto"/>
        </w:rPr>
        <w:t>Our outstanding debt obligations, by contractual maturity, at December 31, 2025 are as follows (in U.S. Dollar millions):</w:t>
      </w:r>
    </w:p>
    <w:p>
      <w:pPr>
        <w:spacing w:after="0"/>
        <w:rPr>
          <w:sz w:val="20"/>
          <w:szCs w:val="20"/>
          <w:color w:val="auto"/>
        </w:rPr>
      </w:pPr>
      <w:r>
        <w:rPr>
          <w:rFonts w:ascii="Wingdings" w:cs="Wingdings" w:eastAsia="Wingdings" w:hAnsi="Wingdings"/>
          <w:sz w:val="16"/>
          <w:szCs w:val="16"/>
          <w:color w:val="0092BC"/>
        </w:rPr>
        <w:t xml:space="preserve">n </w:t>
      </w:r>
      <w:r>
        <w:rPr>
          <w:rFonts w:ascii="Times New Roman" w:cs="Times New Roman" w:eastAsia="Times New Roman" w:hAnsi="Times New Roman"/>
          <w:sz w:val="16"/>
          <w:szCs w:val="16"/>
          <w:color w:val="000000"/>
        </w:rPr>
        <w:t>U.S. Notes</w:t>
      </w:r>
      <w:r>
        <w:rPr>
          <w:rFonts w:ascii="Wingdings" w:cs="Wingdings" w:eastAsia="Wingdings" w:hAnsi="Wingdings"/>
          <w:sz w:val="16"/>
          <w:szCs w:val="16"/>
          <w:color w:val="0092BC"/>
        </w:rPr>
        <w:t xml:space="preserve"> </w:t>
      </w:r>
      <w:r>
        <w:rPr>
          <w:rFonts w:ascii="Wingdings" w:cs="Wingdings" w:eastAsia="Wingdings" w:hAnsi="Wingdings"/>
          <w:sz w:val="16"/>
          <w:szCs w:val="16"/>
          <w:color w:val="6D6D6D"/>
        </w:rPr>
        <w:t>n</w:t>
      </w:r>
      <w:r>
        <w:rPr>
          <w:rFonts w:ascii="Wingdings" w:cs="Wingdings" w:eastAsia="Wingdings" w:hAnsi="Wingdings"/>
          <w:sz w:val="16"/>
          <w:szCs w:val="16"/>
          <w:color w:val="0092BC"/>
        </w:rPr>
        <w:t xml:space="preserve"> </w:t>
      </w:r>
      <w:r>
        <w:rPr>
          <w:rFonts w:ascii="Times New Roman" w:cs="Times New Roman" w:eastAsia="Times New Roman" w:hAnsi="Times New Roman"/>
          <w:sz w:val="16"/>
          <w:szCs w:val="16"/>
          <w:color w:val="000000"/>
        </w:rPr>
        <w:t>Euro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190490" cy="2896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90490" cy="289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2025, we paid $426 million, excluding accrued</w:t>
      </w:r>
    </w:p>
    <w:p>
      <w:pPr>
        <w:spacing w:after="0" w:line="203" w:lineRule="auto"/>
        <w:rPr>
          <w:sz w:val="20"/>
          <w:szCs w:val="20"/>
          <w:color w:val="auto"/>
        </w:rPr>
      </w:pPr>
      <w:r>
        <w:rPr>
          <w:rFonts w:ascii="Times New Roman" w:cs="Times New Roman" w:eastAsia="Times New Roman" w:hAnsi="Times New Roman"/>
          <w:sz w:val="16"/>
          <w:szCs w:val="16"/>
          <w:color w:val="auto"/>
        </w:rPr>
        <w:t>interest, to repurchase an aggregate book value of $444</w:t>
      </w:r>
    </w:p>
    <w:p>
      <w:pPr>
        <w:spacing w:after="0" w:line="204" w:lineRule="auto"/>
        <w:rPr>
          <w:sz w:val="20"/>
          <w:szCs w:val="20"/>
          <w:color w:val="auto"/>
        </w:rPr>
      </w:pPr>
      <w:r>
        <w:rPr>
          <w:rFonts w:ascii="Times New Roman" w:cs="Times New Roman" w:eastAsia="Times New Roman" w:hAnsi="Times New Roman"/>
          <w:sz w:val="16"/>
          <w:szCs w:val="16"/>
          <w:color w:val="auto"/>
        </w:rPr>
        <w:t>million of our 2026 Notes, 2028 Notes, 2034 Notes and 2052</w:t>
      </w:r>
    </w:p>
    <w:p>
      <w:pPr>
        <w:spacing w:after="0" w:line="203" w:lineRule="auto"/>
        <w:rPr>
          <w:sz w:val="20"/>
          <w:szCs w:val="20"/>
          <w:color w:val="auto"/>
        </w:rPr>
      </w:pPr>
      <w:r>
        <w:rPr>
          <w:rFonts w:ascii="Times New Roman" w:cs="Times New Roman" w:eastAsia="Times New Roman" w:hAnsi="Times New Roman"/>
          <w:sz w:val="16"/>
          <w:szCs w:val="16"/>
          <w:color w:val="auto"/>
        </w:rPr>
        <w:t>Notes. We also repaid in full, at maturity, the 2025 Notes for</w:t>
      </w:r>
    </w:p>
    <w:p>
      <w:pPr>
        <w:spacing w:after="0" w:line="204" w:lineRule="auto"/>
        <w:rPr>
          <w:sz w:val="20"/>
          <w:szCs w:val="20"/>
          <w:color w:val="auto"/>
        </w:rPr>
      </w:pPr>
      <w:r>
        <w:rPr>
          <w:rFonts w:ascii="Times New Roman" w:cs="Times New Roman" w:eastAsia="Times New Roman" w:hAnsi="Times New Roman"/>
          <w:sz w:val="16"/>
          <w:szCs w:val="16"/>
          <w:color w:val="auto"/>
        </w:rPr>
        <w:t>an aggregate of $400 million.</w:t>
      </w:r>
    </w:p>
    <w:p>
      <w:pPr>
        <w:spacing w:after="0" w:line="203" w:lineRule="auto"/>
        <w:rPr>
          <w:sz w:val="20"/>
          <w:szCs w:val="20"/>
          <w:color w:val="auto"/>
        </w:rPr>
      </w:pPr>
      <w:r>
        <w:rPr>
          <w:rFonts w:ascii="Times New Roman" w:cs="Times New Roman" w:eastAsia="Times New Roman" w:hAnsi="Times New Roman"/>
          <w:sz w:val="16"/>
          <w:szCs w:val="16"/>
          <w:color w:val="auto"/>
        </w:rPr>
        <w:t>As of December 31, 2025, the weighted average interest rate</w:t>
      </w:r>
    </w:p>
    <w:p>
      <w:pPr>
        <w:spacing w:after="0" w:line="204" w:lineRule="auto"/>
        <w:rPr>
          <w:sz w:val="20"/>
          <w:szCs w:val="20"/>
          <w:color w:val="auto"/>
        </w:rPr>
      </w:pPr>
      <w:r>
        <w:rPr>
          <w:rFonts w:ascii="Times New Roman" w:cs="Times New Roman" w:eastAsia="Times New Roman" w:hAnsi="Times New Roman"/>
          <w:sz w:val="16"/>
          <w:szCs w:val="16"/>
          <w:color w:val="auto"/>
        </w:rPr>
        <w:t>on our debt obligations was approximately 3.7%, and for the</w:t>
      </w:r>
    </w:p>
    <w:p>
      <w:pPr>
        <w:spacing w:after="0" w:line="203" w:lineRule="auto"/>
        <w:rPr>
          <w:sz w:val="20"/>
          <w:szCs w:val="20"/>
          <w:color w:val="auto"/>
        </w:rPr>
      </w:pPr>
      <w:r>
        <w:rPr>
          <w:rFonts w:ascii="Times New Roman" w:cs="Times New Roman" w:eastAsia="Times New Roman" w:hAnsi="Times New Roman"/>
          <w:sz w:val="16"/>
          <w:szCs w:val="16"/>
          <w:color w:val="auto"/>
        </w:rPr>
        <w:t>year ended December 31, 2025, the weighted average interest</w:t>
      </w:r>
    </w:p>
    <w:p>
      <w:pPr>
        <w:spacing w:after="0" w:line="204" w:lineRule="auto"/>
        <w:rPr>
          <w:sz w:val="20"/>
          <w:szCs w:val="20"/>
          <w:color w:val="auto"/>
        </w:rPr>
      </w:pPr>
      <w:r>
        <w:rPr>
          <w:rFonts w:ascii="Times New Roman" w:cs="Times New Roman" w:eastAsia="Times New Roman" w:hAnsi="Times New Roman"/>
          <w:sz w:val="16"/>
          <w:szCs w:val="16"/>
          <w:color w:val="auto"/>
        </w:rPr>
        <w:t>rate on our debt obligations was approximately 3.81%. This</w:t>
      </w:r>
    </w:p>
    <w:p>
      <w:pPr>
        <w:spacing w:after="0" w:line="203" w:lineRule="auto"/>
        <w:rPr>
          <w:sz w:val="20"/>
          <w:szCs w:val="20"/>
          <w:color w:val="auto"/>
        </w:rPr>
      </w:pPr>
      <w:r>
        <w:rPr>
          <w:rFonts w:ascii="Times New Roman" w:cs="Times New Roman" w:eastAsia="Times New Roman" w:hAnsi="Times New Roman"/>
          <w:sz w:val="16"/>
          <w:szCs w:val="16"/>
          <w:color w:val="auto"/>
        </w:rPr>
        <w:t>rate can fluctuate based on changes in foreign currency</w:t>
      </w:r>
    </w:p>
    <w:p>
      <w:pPr>
        <w:spacing w:after="0" w:line="204" w:lineRule="auto"/>
        <w:rPr>
          <w:sz w:val="20"/>
          <w:szCs w:val="20"/>
          <w:color w:val="auto"/>
        </w:rPr>
      </w:pPr>
      <w:r>
        <w:rPr>
          <w:rFonts w:ascii="Times New Roman" w:cs="Times New Roman" w:eastAsia="Times New Roman" w:hAnsi="Times New Roman"/>
          <w:sz w:val="16"/>
          <w:szCs w:val="16"/>
          <w:color w:val="auto"/>
        </w:rPr>
        <w:t>exchange rates and changes in the amount and duration of</w:t>
      </w:r>
    </w:p>
    <w:p>
      <w:pPr>
        <w:spacing w:after="0" w:line="204" w:lineRule="auto"/>
        <w:rPr>
          <w:sz w:val="20"/>
          <w:szCs w:val="20"/>
          <w:color w:val="auto"/>
        </w:rPr>
      </w:pPr>
      <w:r>
        <w:rPr>
          <w:rFonts w:ascii="Times New Roman" w:cs="Times New Roman" w:eastAsia="Times New Roman" w:hAnsi="Times New Roman"/>
          <w:sz w:val="16"/>
          <w:szCs w:val="16"/>
          <w:color w:val="auto"/>
        </w:rPr>
        <w:t>outstanding debt. See “foreign currency exchange rate risk”</w:t>
      </w:r>
    </w:p>
    <w:p>
      <w:pPr>
        <w:spacing w:after="0" w:line="203" w:lineRule="auto"/>
        <w:rPr>
          <w:sz w:val="20"/>
          <w:szCs w:val="20"/>
          <w:color w:val="auto"/>
        </w:rPr>
      </w:pPr>
      <w:r>
        <w:rPr>
          <w:rFonts w:ascii="Times New Roman" w:cs="Times New Roman" w:eastAsia="Times New Roman" w:hAnsi="Times New Roman"/>
          <w:sz w:val="16"/>
          <w:szCs w:val="16"/>
          <w:color w:val="auto"/>
        </w:rPr>
        <w:t>below for further discussion on hedging associated with our</w:t>
      </w:r>
    </w:p>
    <w:p>
      <w:pPr>
        <w:spacing w:after="0" w:line="204" w:lineRule="auto"/>
        <w:rPr>
          <w:sz w:val="20"/>
          <w:szCs w:val="20"/>
          <w:color w:val="auto"/>
        </w:rPr>
      </w:pPr>
      <w:r>
        <w:rPr>
          <w:rFonts w:ascii="Times New Roman" w:cs="Times New Roman" w:eastAsia="Times New Roman" w:hAnsi="Times New Roman"/>
          <w:sz w:val="16"/>
          <w:szCs w:val="16"/>
          <w:color w:val="auto"/>
        </w:rPr>
        <w:t>Euro Notes. In addition to the 2022 Revolving Credit</w:t>
      </w:r>
    </w:p>
    <w:p>
      <w:pPr>
        <w:spacing w:after="0" w:line="203" w:lineRule="auto"/>
        <w:rPr>
          <w:sz w:val="20"/>
          <w:szCs w:val="20"/>
          <w:color w:val="auto"/>
        </w:rPr>
      </w:pPr>
      <w:r>
        <w:rPr>
          <w:rFonts w:ascii="Times New Roman" w:cs="Times New Roman" w:eastAsia="Times New Roman" w:hAnsi="Times New Roman"/>
          <w:sz w:val="16"/>
          <w:szCs w:val="16"/>
          <w:color w:val="auto"/>
        </w:rPr>
        <w:t>Facility, we also have other credit facilities primarily to</w:t>
      </w:r>
    </w:p>
    <w:p>
      <w:pPr>
        <w:spacing w:after="0" w:line="204" w:lineRule="auto"/>
        <w:rPr>
          <w:sz w:val="20"/>
          <w:szCs w:val="20"/>
          <w:color w:val="auto"/>
        </w:rPr>
      </w:pPr>
      <w:r>
        <w:rPr>
          <w:rFonts w:ascii="Times New Roman" w:cs="Times New Roman" w:eastAsia="Times New Roman" w:hAnsi="Times New Roman"/>
          <w:sz w:val="16"/>
          <w:szCs w:val="16"/>
          <w:color w:val="auto"/>
        </w:rPr>
        <w:t>support our Nasdaq Clearing operations in Europe, as well as</w:t>
      </w:r>
    </w:p>
    <w:p>
      <w:pPr>
        <w:spacing w:after="0" w:line="203" w:lineRule="auto"/>
        <w:rPr>
          <w:sz w:val="20"/>
          <w:szCs w:val="20"/>
          <w:color w:val="auto"/>
        </w:rPr>
      </w:pPr>
      <w:r>
        <w:rPr>
          <w:rFonts w:ascii="Times New Roman" w:cs="Times New Roman" w:eastAsia="Times New Roman" w:hAnsi="Times New Roman"/>
          <w:sz w:val="16"/>
          <w:szCs w:val="16"/>
          <w:color w:val="auto"/>
        </w:rPr>
        <w:t>to provide a cash pool credit line. These European credit</w:t>
      </w:r>
    </w:p>
    <w:p>
      <w:pPr>
        <w:spacing w:after="0" w:line="204" w:lineRule="auto"/>
        <w:rPr>
          <w:sz w:val="20"/>
          <w:szCs w:val="20"/>
          <w:color w:val="auto"/>
        </w:rPr>
      </w:pPr>
      <w:r>
        <w:rPr>
          <w:rFonts w:ascii="Times New Roman" w:cs="Times New Roman" w:eastAsia="Times New Roman" w:hAnsi="Times New Roman"/>
          <w:sz w:val="16"/>
          <w:szCs w:val="16"/>
          <w:color w:val="auto"/>
        </w:rPr>
        <w:t>facilities, which are available in multiple currencies, totaled</w:t>
      </w:r>
    </w:p>
    <w:p>
      <w:pPr>
        <w:spacing w:after="0" w:line="203" w:lineRule="auto"/>
        <w:rPr>
          <w:sz w:val="20"/>
          <w:szCs w:val="20"/>
          <w:color w:val="auto"/>
        </w:rPr>
      </w:pPr>
      <w:r>
        <w:rPr>
          <w:rFonts w:ascii="Times New Roman" w:cs="Times New Roman" w:eastAsia="Times New Roman" w:hAnsi="Times New Roman"/>
          <w:sz w:val="16"/>
          <w:szCs w:val="16"/>
          <w:color w:val="auto"/>
        </w:rPr>
        <w:t>$208 million as of December 31, 2025 and $174 million as of</w:t>
      </w:r>
    </w:p>
    <w:p>
      <w:pPr>
        <w:spacing w:after="0" w:line="204" w:lineRule="auto"/>
        <w:rPr>
          <w:sz w:val="20"/>
          <w:szCs w:val="20"/>
          <w:color w:val="auto"/>
        </w:rPr>
      </w:pPr>
      <w:r>
        <w:rPr>
          <w:rFonts w:ascii="Times New Roman" w:cs="Times New Roman" w:eastAsia="Times New Roman" w:hAnsi="Times New Roman"/>
          <w:sz w:val="16"/>
          <w:szCs w:val="16"/>
          <w:color w:val="auto"/>
        </w:rPr>
        <w:t>December 31, 2024 in available liquidity, none of which was</w:t>
      </w:r>
    </w:p>
    <w:p>
      <w:pPr>
        <w:spacing w:after="0" w:line="204" w:lineRule="auto"/>
        <w:rPr>
          <w:sz w:val="20"/>
          <w:szCs w:val="20"/>
          <w:color w:val="auto"/>
        </w:rPr>
      </w:pPr>
      <w:r>
        <w:rPr>
          <w:rFonts w:ascii="Times New Roman" w:cs="Times New Roman" w:eastAsia="Times New Roman" w:hAnsi="Times New Roman"/>
          <w:sz w:val="16"/>
          <w:szCs w:val="16"/>
          <w:color w:val="auto"/>
        </w:rPr>
        <w:t>utilized.</w:t>
      </w:r>
    </w:p>
    <w:p>
      <w:pPr>
        <w:spacing w:after="0" w:line="203" w:lineRule="auto"/>
        <w:rPr>
          <w:sz w:val="20"/>
          <w:szCs w:val="20"/>
          <w:color w:val="auto"/>
        </w:rPr>
      </w:pPr>
      <w:r>
        <w:rPr>
          <w:rFonts w:ascii="Times New Roman" w:cs="Times New Roman" w:eastAsia="Times New Roman" w:hAnsi="Times New Roman"/>
          <w:sz w:val="16"/>
          <w:szCs w:val="16"/>
          <w:color w:val="auto"/>
        </w:rPr>
        <w:t>As of December 31, 2025, we were in compliance with the</w:t>
      </w:r>
    </w:p>
    <w:p>
      <w:pPr>
        <w:spacing w:after="0" w:line="204" w:lineRule="auto"/>
        <w:rPr>
          <w:sz w:val="20"/>
          <w:szCs w:val="20"/>
          <w:color w:val="auto"/>
        </w:rPr>
      </w:pPr>
      <w:r>
        <w:rPr>
          <w:rFonts w:ascii="Times New Roman" w:cs="Times New Roman" w:eastAsia="Times New Roman" w:hAnsi="Times New Roman"/>
          <w:sz w:val="16"/>
          <w:szCs w:val="16"/>
          <w:color w:val="auto"/>
        </w:rPr>
        <w:t>covenants of all of our debt obligations.</w:t>
      </w:r>
    </w:p>
    <w:p>
      <w:pPr>
        <w:spacing w:after="0" w:line="203" w:lineRule="auto"/>
        <w:rPr>
          <w:sz w:val="20"/>
          <w:szCs w:val="20"/>
          <w:color w:val="auto"/>
        </w:rPr>
      </w:pPr>
      <w:r>
        <w:rPr>
          <w:rFonts w:ascii="Times New Roman" w:cs="Times New Roman" w:eastAsia="Times New Roman" w:hAnsi="Times New Roman"/>
          <w:sz w:val="16"/>
          <w:szCs w:val="16"/>
          <w:color w:val="auto"/>
        </w:rPr>
        <w:t>See Note 9, “Debt Obligations,” to the consolidated financial</w:t>
      </w:r>
    </w:p>
    <w:p>
      <w:pPr>
        <w:spacing w:after="0" w:line="204" w:lineRule="auto"/>
        <w:rPr>
          <w:sz w:val="20"/>
          <w:szCs w:val="20"/>
          <w:color w:val="auto"/>
        </w:rPr>
      </w:pPr>
      <w:r>
        <w:rPr>
          <w:rFonts w:ascii="Times New Roman" w:cs="Times New Roman" w:eastAsia="Times New Roman" w:hAnsi="Times New Roman"/>
          <w:sz w:val="16"/>
          <w:szCs w:val="16"/>
          <w:color w:val="auto"/>
        </w:rPr>
        <w:t>statements for further discussion of our debt obligations.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CONTRACTUAL OBLIGATIONS AND CONTINGENT</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COMMITMENTS</w:t>
      </w:r>
    </w:p>
    <w:p>
      <w:pPr>
        <w:spacing w:after="0" w:line="203" w:lineRule="auto"/>
        <w:rPr>
          <w:sz w:val="20"/>
          <w:szCs w:val="20"/>
          <w:color w:val="auto"/>
        </w:rPr>
      </w:pPr>
      <w:r>
        <w:rPr>
          <w:rFonts w:ascii="Times New Roman" w:cs="Times New Roman" w:eastAsia="Times New Roman" w:hAnsi="Times New Roman"/>
          <w:sz w:val="16"/>
          <w:szCs w:val="16"/>
          <w:color w:val="auto"/>
        </w:rPr>
        <w:t>Nasdaq has contractual obligations to make future payments</w:t>
      </w:r>
    </w:p>
    <w:p>
      <w:pPr>
        <w:spacing w:after="0" w:line="204" w:lineRule="auto"/>
        <w:rPr>
          <w:sz w:val="20"/>
          <w:szCs w:val="20"/>
          <w:color w:val="auto"/>
        </w:rPr>
      </w:pPr>
      <w:r>
        <w:rPr>
          <w:rFonts w:ascii="Times New Roman" w:cs="Times New Roman" w:eastAsia="Times New Roman" w:hAnsi="Times New Roman"/>
          <w:sz w:val="16"/>
          <w:szCs w:val="16"/>
          <w:color w:val="auto"/>
        </w:rPr>
        <w:t>under debt obligations by contract maturity, operating lease</w:t>
      </w:r>
    </w:p>
    <w:p>
      <w:pPr>
        <w:spacing w:after="0" w:line="203" w:lineRule="auto"/>
        <w:rPr>
          <w:sz w:val="20"/>
          <w:szCs w:val="20"/>
          <w:color w:val="auto"/>
        </w:rPr>
      </w:pPr>
      <w:r>
        <w:rPr>
          <w:rFonts w:ascii="Times New Roman" w:cs="Times New Roman" w:eastAsia="Times New Roman" w:hAnsi="Times New Roman"/>
          <w:sz w:val="16"/>
          <w:szCs w:val="16"/>
          <w:color w:val="auto"/>
        </w:rPr>
        <w:t>payments, and other obligations. The following table</w:t>
      </w:r>
    </w:p>
    <w:p>
      <w:pPr>
        <w:spacing w:after="0" w:line="204" w:lineRule="auto"/>
        <w:rPr>
          <w:sz w:val="20"/>
          <w:szCs w:val="20"/>
          <w:color w:val="auto"/>
        </w:rPr>
      </w:pPr>
      <w:r>
        <w:rPr>
          <w:rFonts w:ascii="Times New Roman" w:cs="Times New Roman" w:eastAsia="Times New Roman" w:hAnsi="Times New Roman"/>
          <w:sz w:val="16"/>
          <w:szCs w:val="16"/>
          <w:color w:val="auto"/>
        </w:rPr>
        <w:t>summarizes material cash requirements for known</w:t>
      </w:r>
    </w:p>
    <w:p>
      <w:pPr>
        <w:spacing w:after="0" w:line="204" w:lineRule="auto"/>
        <w:rPr>
          <w:sz w:val="20"/>
          <w:szCs w:val="20"/>
          <w:color w:val="auto"/>
        </w:rPr>
      </w:pPr>
      <w:r>
        <w:rPr>
          <w:rFonts w:ascii="Times New Roman" w:cs="Times New Roman" w:eastAsia="Times New Roman" w:hAnsi="Times New Roman"/>
          <w:sz w:val="16"/>
          <w:szCs w:val="16"/>
          <w:color w:val="auto"/>
        </w:rPr>
        <w:t>contractual and other obligations as of December 31, 2025,</w:t>
      </w:r>
    </w:p>
    <w:p>
      <w:pPr>
        <w:spacing w:after="0" w:line="228" w:lineRule="auto"/>
        <w:rPr>
          <w:sz w:val="20"/>
          <w:szCs w:val="20"/>
          <w:color w:val="auto"/>
        </w:rPr>
      </w:pPr>
      <w:r>
        <w:rPr>
          <w:rFonts w:ascii="Times New Roman" w:cs="Times New Roman" w:eastAsia="Times New Roman" w:hAnsi="Times New Roman"/>
          <w:sz w:val="16"/>
          <w:szCs w:val="16"/>
          <w:color w:val="auto"/>
        </w:rPr>
        <w:t>and the estimated timing thereof.</w:t>
      </w:r>
    </w:p>
    <w:tbl>
      <w:tblPr>
        <w:tblLayout w:type="fixed"/>
        <w:tblInd w:w="0" w:type="dxa"/>
        <w:tblCellMar>
          <w:top w:w="0" w:type="dxa"/>
          <w:left w:w="0" w:type="dxa"/>
          <w:bottom w:w="0" w:type="dxa"/>
          <w:right w:w="0" w:type="dxa"/>
        </w:tblCellMar>
      </w:tblPr>
      <w:tr>
        <w:trPr>
          <w:trHeight w:val="142"/>
        </w:trPr>
        <w:tc>
          <w:tcPr>
            <w:tcW w:w="1400" w:type="dxa"/>
            <w:vAlign w:val="bottom"/>
          </w:tcPr>
          <w:p>
            <w:pPr>
              <w:spacing w:after="0"/>
              <w:rPr>
                <w:sz w:val="12"/>
                <w:szCs w:val="12"/>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1400" w:type="dxa"/>
            <w:vAlign w:val="bottom"/>
            <w:vMerge w:val="continue"/>
          </w:tcPr>
          <w:p>
            <w:pPr>
              <w:spacing w:after="0"/>
              <w:rPr>
                <w:sz w:val="8"/>
                <w:szCs w:val="8"/>
                <w:color w:val="auto"/>
              </w:rPr>
            </w:pPr>
          </w:p>
        </w:tc>
        <w:tc>
          <w:tcPr>
            <w:tcW w:w="54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c>
          <w:tcPr>
            <w:tcW w:w="4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&lt;1 year</w:t>
            </w:r>
          </w:p>
        </w:tc>
        <w:tc>
          <w:tcPr>
            <w:tcW w:w="54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1-3</w:t>
            </w:r>
          </w:p>
        </w:tc>
        <w:tc>
          <w:tcPr>
            <w:tcW w:w="54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3-5</w:t>
            </w:r>
          </w:p>
        </w:tc>
        <w:tc>
          <w:tcPr>
            <w:tcW w:w="60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4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Debt obligation by</w:t>
            </w:r>
          </w:p>
        </w:tc>
        <w:tc>
          <w:tcPr>
            <w:tcW w:w="5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$14,240</w:t>
            </w:r>
          </w:p>
        </w:tc>
        <w:tc>
          <w:tcPr>
            <w:tcW w:w="1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760</w:t>
            </w: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$1,415</w:t>
            </w: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$1,952</w:t>
            </w:r>
          </w:p>
        </w:tc>
        <w:tc>
          <w:tcPr>
            <w:tcW w:w="600" w:type="dxa"/>
            <w:vAlign w:val="bottom"/>
            <w:shd w:val="clear" w:color="auto" w:fill="CCEEFF"/>
          </w:tcPr>
          <w:p>
            <w:pPr>
              <w:ind w:left="60"/>
              <w:spacing w:after="0" w:line="124" w:lineRule="exact"/>
              <w:rPr>
                <w:sz w:val="20"/>
                <w:szCs w:val="20"/>
                <w:color w:val="auto"/>
              </w:rPr>
            </w:pPr>
            <w:r>
              <w:rPr>
                <w:rFonts w:ascii="Times New Roman" w:cs="Times New Roman" w:eastAsia="Times New Roman" w:hAnsi="Times New Roman"/>
                <w:sz w:val="14"/>
                <w:szCs w:val="14"/>
                <w:color w:val="auto"/>
              </w:rPr>
              <w:t>$10,113</w:t>
            </w:r>
          </w:p>
        </w:tc>
        <w:tc>
          <w:tcPr>
            <w:tcW w:w="0" w:type="dxa"/>
            <w:vAlign w:val="bottom"/>
          </w:tcPr>
          <w:p>
            <w:pPr>
              <w:spacing w:after="0"/>
              <w:rPr>
                <w:sz w:val="1"/>
                <w:szCs w:val="1"/>
                <w:color w:val="auto"/>
              </w:rPr>
            </w:pPr>
          </w:p>
        </w:tc>
      </w:tr>
      <w:tr>
        <w:trPr>
          <w:trHeight w:val="188"/>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contractual maturity</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4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Operating lease</w:t>
            </w:r>
          </w:p>
        </w:tc>
        <w:tc>
          <w:tcPr>
            <w:tcW w:w="540" w:type="dxa"/>
            <w:vAlign w:val="bottom"/>
          </w:tcPr>
          <w:p>
            <w:pPr>
              <w:jc w:val="right"/>
              <w:ind w:right="54"/>
              <w:spacing w:after="0" w:line="132" w:lineRule="exact"/>
              <w:rPr>
                <w:sz w:val="20"/>
                <w:szCs w:val="20"/>
                <w:color w:val="auto"/>
              </w:rPr>
            </w:pPr>
            <w:r>
              <w:rPr>
                <w:rFonts w:ascii="Times New Roman" w:cs="Times New Roman" w:eastAsia="Times New Roman" w:hAnsi="Times New Roman"/>
                <w:sz w:val="14"/>
                <w:szCs w:val="14"/>
                <w:color w:val="auto"/>
              </w:rPr>
              <w:t>638</w:t>
            </w:r>
          </w:p>
        </w:tc>
        <w:tc>
          <w:tcPr>
            <w:tcW w:w="14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84</w:t>
            </w:r>
          </w:p>
        </w:tc>
        <w:tc>
          <w:tcPr>
            <w:tcW w:w="5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165</w:t>
            </w:r>
          </w:p>
        </w:tc>
        <w:tc>
          <w:tcPr>
            <w:tcW w:w="5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146</w:t>
            </w:r>
          </w:p>
        </w:tc>
        <w:tc>
          <w:tcPr>
            <w:tcW w:w="600" w:type="dxa"/>
            <w:vAlign w:val="bottom"/>
          </w:tcPr>
          <w:p>
            <w:pPr>
              <w:jc w:val="right"/>
              <w:ind w:right="52"/>
              <w:spacing w:after="0" w:line="132"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88"/>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obligations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obligations</w:t>
            </w:r>
          </w:p>
        </w:tc>
        <w:tc>
          <w:tcPr>
            <w:tcW w:w="5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1,506</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80"/>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$16,384</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6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$11,172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40640</wp:posOffset>
            </wp:positionV>
            <wp:extent cx="17151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ectPr>
          <w:pgSz w:w="11900" w:h="16840" w:orient="portrait"/>
          <w:cols w:equalWidth="0" w:num="1">
            <w:col w:w="9400"/>
          </w:cols>
          <w:pgMar w:left="1060" w:top="547" w:right="1440" w:bottom="103" w:gutter="0" w:footer="0" w:header="0"/>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-101600</wp:posOffset>
            </wp:positionV>
            <wp:extent cx="17151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pacing w:after="0" w:line="232" w:lineRule="auto"/>
        <w:rPr>
          <w:sz w:val="20"/>
          <w:szCs w:val="20"/>
          <w:color w:val="auto"/>
        </w:rPr>
      </w:pPr>
      <w:r>
        <w:rPr>
          <w:rFonts w:ascii="Times New Roman" w:cs="Times New Roman" w:eastAsia="Times New Roman" w:hAnsi="Times New Roman"/>
          <w:sz w:val="14"/>
          <w:szCs w:val="14"/>
          <w:color w:val="auto"/>
        </w:rPr>
        <w:t>•Debt obligations by contractual maturity include both</w:t>
      </w:r>
    </w:p>
    <w:p>
      <w:pPr>
        <w:spacing w:after="0"/>
        <w:rPr>
          <w:sz w:val="20"/>
          <w:szCs w:val="20"/>
          <w:color w:val="auto"/>
        </w:rPr>
      </w:pPr>
      <w:r>
        <w:rPr>
          <w:rFonts w:ascii="Times New Roman" w:cs="Times New Roman" w:eastAsia="Times New Roman" w:hAnsi="Times New Roman"/>
          <w:sz w:val="14"/>
          <w:szCs w:val="14"/>
          <w:color w:val="auto"/>
        </w:rPr>
        <w:t>principal and interest obligations. For our Euro Notes,</w:t>
      </w:r>
    </w:p>
    <w:p>
      <w:pPr>
        <w:sectPr>
          <w:pgSz w:w="11900" w:h="16840" w:orient="portrait"/>
          <w:cols w:equalWidth="0" w:num="1">
            <w:col w:w="9400"/>
          </w:cols>
          <w:pgMar w:left="1060" w:top="547" w:right="1440" w:bottom="103" w:gutter="0" w:footer="0" w:header="0"/>
          <w:type w:val="continuous"/>
        </w:sectPr>
      </w:pPr>
    </w:p>
    <w:bookmarkStart w:id="44" w:name="page45"/>
    <w:bookmarkEnd w:id="44"/>
    <w:p>
      <w:pPr>
        <w:ind w:left="10"/>
        <w:spacing w:after="0"/>
        <w:rPr>
          <w:sz w:val="20"/>
          <w:szCs w:val="20"/>
          <w:color w:val="auto"/>
        </w:rPr>
      </w:pPr>
      <w:r>
        <w:rPr>
          <w:rFonts w:ascii="Times New Roman" w:cs="Times New Roman" w:eastAsia="Times New Roman" w:hAnsi="Times New Roman"/>
          <w:sz w:val="16"/>
          <w:szCs w:val="16"/>
          <w:color w:val="auto"/>
        </w:rPr>
        <w:t>50</w:t>
      </w:r>
    </w:p>
    <w:p>
      <w:pPr>
        <w:ind w:left="10"/>
        <w:spacing w:after="0" w:line="203" w:lineRule="auto"/>
        <w:rPr>
          <w:sz w:val="20"/>
          <w:szCs w:val="20"/>
          <w:color w:val="auto"/>
        </w:rPr>
      </w:pPr>
      <w:r>
        <w:rPr>
          <w:rFonts w:ascii="Times New Roman" w:cs="Times New Roman" w:eastAsia="Times New Roman" w:hAnsi="Times New Roman"/>
          <w:sz w:val="16"/>
          <w:szCs w:val="16"/>
          <w:color w:val="auto"/>
        </w:rPr>
        <w:t>•Operating lease obligations represent our undiscounted</w:t>
      </w:r>
    </w:p>
    <w:p>
      <w:pPr>
        <w:ind w:left="10"/>
        <w:spacing w:after="0" w:line="204" w:lineRule="auto"/>
        <w:rPr>
          <w:sz w:val="20"/>
          <w:szCs w:val="20"/>
          <w:color w:val="auto"/>
        </w:rPr>
      </w:pPr>
      <w:r>
        <w:rPr>
          <w:rFonts w:ascii="Times New Roman" w:cs="Times New Roman" w:eastAsia="Times New Roman" w:hAnsi="Times New Roman"/>
          <w:sz w:val="16"/>
          <w:szCs w:val="16"/>
          <w:color w:val="auto"/>
        </w:rPr>
        <w:t>operating lease liabilities as of December 31, 2025, as well</w:t>
      </w:r>
    </w:p>
    <w:p>
      <w:pPr>
        <w:ind w:left="10"/>
        <w:spacing w:after="0" w:line="203" w:lineRule="auto"/>
        <w:rPr>
          <w:sz w:val="20"/>
          <w:szCs w:val="20"/>
          <w:color w:val="auto"/>
        </w:rPr>
      </w:pPr>
      <w:r>
        <w:rPr>
          <w:rFonts w:ascii="Times New Roman" w:cs="Times New Roman" w:eastAsia="Times New Roman" w:hAnsi="Times New Roman"/>
          <w:sz w:val="16"/>
          <w:szCs w:val="16"/>
          <w:color w:val="auto"/>
        </w:rPr>
        <w:t>as legally binding minimum lease payments for leases</w:t>
      </w:r>
    </w:p>
    <w:p>
      <w:pPr>
        <w:ind w:left="10"/>
        <w:spacing w:after="0" w:line="204" w:lineRule="auto"/>
        <w:rPr>
          <w:sz w:val="20"/>
          <w:szCs w:val="20"/>
          <w:color w:val="auto"/>
        </w:rPr>
      </w:pPr>
      <w:r>
        <w:rPr>
          <w:rFonts w:ascii="Times New Roman" w:cs="Times New Roman" w:eastAsia="Times New Roman" w:hAnsi="Times New Roman"/>
          <w:sz w:val="16"/>
          <w:szCs w:val="16"/>
          <w:color w:val="auto"/>
        </w:rPr>
        <w:t>signed but not yet commenced. See Note 16, “Leases,” to</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consolidated financial statements for further discussion</w:t>
      </w:r>
    </w:p>
    <w:p>
      <w:pPr>
        <w:ind w:left="10"/>
        <w:spacing w:after="0" w:line="204" w:lineRule="auto"/>
        <w:rPr>
          <w:sz w:val="20"/>
          <w:szCs w:val="20"/>
          <w:color w:val="auto"/>
        </w:rPr>
      </w:pPr>
      <w:r>
        <w:rPr>
          <w:rFonts w:ascii="Times New Roman" w:cs="Times New Roman" w:eastAsia="Times New Roman" w:hAnsi="Times New Roman"/>
          <w:sz w:val="16"/>
          <w:szCs w:val="16"/>
          <w:color w:val="auto"/>
        </w:rPr>
        <w:t>of our leases.</w:t>
      </w:r>
    </w:p>
    <w:p>
      <w:pPr>
        <w:ind w:left="10"/>
        <w:spacing w:after="0" w:line="203" w:lineRule="auto"/>
        <w:rPr>
          <w:sz w:val="20"/>
          <w:szCs w:val="20"/>
          <w:color w:val="auto"/>
        </w:rPr>
      </w:pPr>
      <w:r>
        <w:rPr>
          <w:rFonts w:ascii="Times New Roman" w:cs="Times New Roman" w:eastAsia="Times New Roman" w:hAnsi="Times New Roman"/>
          <w:sz w:val="16"/>
          <w:szCs w:val="16"/>
          <w:color w:val="auto"/>
        </w:rPr>
        <w:t>•Purchase obligations primarily represent minimum</w:t>
      </w:r>
    </w:p>
    <w:p>
      <w:pPr>
        <w:ind w:left="10"/>
        <w:spacing w:after="0" w:line="204" w:lineRule="auto"/>
        <w:rPr>
          <w:sz w:val="20"/>
          <w:szCs w:val="20"/>
          <w:color w:val="auto"/>
        </w:rPr>
      </w:pPr>
      <w:r>
        <w:rPr>
          <w:rFonts w:ascii="Times New Roman" w:cs="Times New Roman" w:eastAsia="Times New Roman" w:hAnsi="Times New Roman"/>
          <w:sz w:val="16"/>
          <w:szCs w:val="16"/>
          <w:color w:val="auto"/>
        </w:rPr>
        <w:t>outstanding obligations due under software license</w:t>
      </w:r>
    </w:p>
    <w:p>
      <w:pPr>
        <w:ind w:left="10"/>
        <w:spacing w:after="0" w:line="203" w:lineRule="auto"/>
        <w:rPr>
          <w:sz w:val="20"/>
          <w:szCs w:val="20"/>
          <w:color w:val="auto"/>
        </w:rPr>
      </w:pPr>
      <w:r>
        <w:rPr>
          <w:rFonts w:ascii="Times New Roman" w:cs="Times New Roman" w:eastAsia="Times New Roman" w:hAnsi="Times New Roman"/>
          <w:sz w:val="16"/>
          <w:szCs w:val="16"/>
          <w:color w:val="auto"/>
        </w:rPr>
        <w:t>agreements. The balance as of December 31, 2025 is</w:t>
      </w:r>
    </w:p>
    <w:p>
      <w:pPr>
        <w:ind w:left="10"/>
        <w:spacing w:after="0" w:line="204" w:lineRule="auto"/>
        <w:rPr>
          <w:sz w:val="20"/>
          <w:szCs w:val="20"/>
          <w:color w:val="auto"/>
        </w:rPr>
      </w:pPr>
      <w:r>
        <w:rPr>
          <w:rFonts w:ascii="Times New Roman" w:cs="Times New Roman" w:eastAsia="Times New Roman" w:hAnsi="Times New Roman"/>
          <w:sz w:val="16"/>
          <w:szCs w:val="16"/>
          <w:color w:val="auto"/>
        </w:rPr>
        <w:t>primarily comprised of our multi-year Amazon Web</w:t>
      </w:r>
    </w:p>
    <w:p>
      <w:pPr>
        <w:ind w:left="10"/>
        <w:spacing w:after="0" w:line="204" w:lineRule="auto"/>
        <w:rPr>
          <w:sz w:val="20"/>
          <w:szCs w:val="20"/>
          <w:color w:val="auto"/>
        </w:rPr>
      </w:pPr>
      <w:r>
        <w:rPr>
          <w:rFonts w:ascii="Times New Roman" w:cs="Times New Roman" w:eastAsia="Times New Roman" w:hAnsi="Times New Roman"/>
          <w:sz w:val="16"/>
          <w:szCs w:val="16"/>
          <w:color w:val="auto"/>
        </w:rPr>
        <w:t>Services partnership contract, which we expanded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extended in the first quarter of 2025. This contract will</w:t>
      </w:r>
    </w:p>
    <w:p>
      <w:pPr>
        <w:ind w:left="10"/>
        <w:spacing w:after="0" w:line="204" w:lineRule="auto"/>
        <w:rPr>
          <w:sz w:val="20"/>
          <w:szCs w:val="20"/>
          <w:color w:val="auto"/>
        </w:rPr>
      </w:pPr>
      <w:r>
        <w:rPr>
          <w:rFonts w:ascii="Times New Roman" w:cs="Times New Roman" w:eastAsia="Times New Roman" w:hAnsi="Times New Roman"/>
          <w:sz w:val="16"/>
          <w:szCs w:val="16"/>
          <w:color w:val="auto"/>
        </w:rPr>
        <w:t>benefit both our Financial Technology and Market Services</w:t>
      </w:r>
    </w:p>
    <w:p>
      <w:pPr>
        <w:ind w:left="10"/>
        <w:spacing w:after="0" w:line="203" w:lineRule="auto"/>
        <w:rPr>
          <w:sz w:val="20"/>
          <w:szCs w:val="20"/>
          <w:color w:val="auto"/>
        </w:rPr>
      </w:pPr>
      <w:r>
        <w:rPr>
          <w:rFonts w:ascii="Times New Roman" w:cs="Times New Roman" w:eastAsia="Times New Roman" w:hAnsi="Times New Roman"/>
          <w:sz w:val="16"/>
          <w:szCs w:val="16"/>
          <w:color w:val="auto"/>
        </w:rPr>
        <w:t>segments, including their modernization. The expansion of</w:t>
      </w:r>
    </w:p>
    <w:p>
      <w:pPr>
        <w:ind w:left="10"/>
        <w:spacing w:after="0" w:line="204" w:lineRule="auto"/>
        <w:rPr>
          <w:sz w:val="20"/>
          <w:szCs w:val="20"/>
          <w:color w:val="auto"/>
        </w:rPr>
      </w:pPr>
      <w:r>
        <w:rPr>
          <w:rFonts w:ascii="Times New Roman" w:cs="Times New Roman" w:eastAsia="Times New Roman" w:hAnsi="Times New Roman"/>
          <w:sz w:val="16"/>
          <w:szCs w:val="16"/>
          <w:color w:val="auto"/>
        </w:rPr>
        <w:t>this contract is not expected to increase our cloud expense</w:t>
      </w:r>
    </w:p>
    <w:p>
      <w:pPr>
        <w:ind w:left="10"/>
        <w:spacing w:after="0" w:line="203" w:lineRule="auto"/>
        <w:rPr>
          <w:sz w:val="20"/>
          <w:szCs w:val="20"/>
          <w:color w:val="auto"/>
        </w:rPr>
      </w:pPr>
      <w:r>
        <w:rPr>
          <w:rFonts w:ascii="Times New Roman" w:cs="Times New Roman" w:eastAsia="Times New Roman" w:hAnsi="Times New Roman"/>
          <w:sz w:val="16"/>
          <w:szCs w:val="16"/>
          <w:color w:val="auto"/>
        </w:rPr>
        <w:t>compared to our expectation over the short term or the life</w:t>
      </w:r>
    </w:p>
    <w:p>
      <w:pPr>
        <w:ind w:left="10"/>
        <w:spacing w:after="0" w:line="204" w:lineRule="auto"/>
        <w:rPr>
          <w:sz w:val="20"/>
          <w:szCs w:val="20"/>
          <w:color w:val="auto"/>
        </w:rPr>
      </w:pPr>
      <w:r>
        <w:rPr>
          <w:rFonts w:ascii="Times New Roman" w:cs="Times New Roman" w:eastAsia="Times New Roman" w:hAnsi="Times New Roman"/>
          <w:sz w:val="16"/>
          <w:szCs w:val="16"/>
          <w:color w:val="auto"/>
        </w:rPr>
        <w:t>of the contract, and preserves flexibility beyond our</w:t>
      </w:r>
    </w:p>
    <w:p>
      <w:pPr>
        <w:ind w:left="10"/>
        <w:spacing w:after="0" w:line="203" w:lineRule="auto"/>
        <w:rPr>
          <w:sz w:val="20"/>
          <w:szCs w:val="20"/>
          <w:color w:val="auto"/>
        </w:rPr>
      </w:pPr>
      <w:r>
        <w:rPr>
          <w:rFonts w:ascii="Times New Roman" w:cs="Times New Roman" w:eastAsia="Times New Roman" w:hAnsi="Times New Roman"/>
          <w:sz w:val="16"/>
          <w:szCs w:val="16"/>
          <w:color w:val="auto"/>
        </w:rPr>
        <w:t>forecast.</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OFF-BALANCE SHEET ARRANGEMENTS</w:t>
      </w:r>
    </w:p>
    <w:p>
      <w:pPr>
        <w:ind w:left="10"/>
        <w:spacing w:after="0" w:line="204" w:lineRule="auto"/>
        <w:rPr>
          <w:sz w:val="20"/>
          <w:szCs w:val="20"/>
          <w:color w:val="auto"/>
        </w:rPr>
      </w:pPr>
      <w:r>
        <w:rPr>
          <w:rFonts w:ascii="Times New Roman" w:cs="Times New Roman" w:eastAsia="Times New Roman" w:hAnsi="Times New Roman"/>
          <w:sz w:val="16"/>
          <w:szCs w:val="16"/>
          <w:color w:val="auto"/>
        </w:rPr>
        <w:t>For discussion of off-balance sheet arrangements see:</w:t>
      </w:r>
    </w:p>
    <w:p>
      <w:pPr>
        <w:ind w:left="10" w:right="5700" w:hanging="10"/>
        <w:spacing w:after="0" w:line="203" w:lineRule="auto"/>
        <w:tabs>
          <w:tab w:leader="none" w:pos="15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15, “Clearing Operations,” to the consolidated financial statements for further discussion of our non-cash default fund contributions and margin deposits received for clearing operations; and</w:t>
      </w:r>
    </w:p>
    <w:p>
      <w:pPr>
        <w:spacing w:after="0" w:line="1" w:lineRule="exact"/>
        <w:rPr>
          <w:rFonts w:ascii="Times New Roman" w:cs="Times New Roman" w:eastAsia="Times New Roman" w:hAnsi="Times New Roman"/>
          <w:sz w:val="16"/>
          <w:szCs w:val="16"/>
          <w:color w:val="auto"/>
        </w:rPr>
      </w:pPr>
    </w:p>
    <w:p>
      <w:pPr>
        <w:ind w:left="10" w:right="5660" w:hanging="10"/>
        <w:spacing w:after="0" w:line="203" w:lineRule="auto"/>
        <w:tabs>
          <w:tab w:leader="none" w:pos="15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18, “Commitments, Contingencies and Guarantees,” to the consolidated financial statements for further discussion of:</w:t>
      </w:r>
    </w:p>
    <w:p>
      <w:pPr>
        <w:spacing w:after="0" w:line="1" w:lineRule="exact"/>
        <w:rPr>
          <w:rFonts w:ascii="Times New Roman" w:cs="Times New Roman" w:eastAsia="Times New Roman" w:hAnsi="Times New Roman"/>
          <w:sz w:val="16"/>
          <w:szCs w:val="16"/>
          <w:color w:val="auto"/>
        </w:rPr>
      </w:pPr>
    </w:p>
    <w:p>
      <w:pPr>
        <w:ind w:left="10" w:right="634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issued and credit facilities available; ◦Other guarantees; and</w:t>
      </w: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◦Routing brokerage activities.</w:t>
      </w:r>
    </w:p>
    <w:p>
      <w:pPr>
        <w:ind w:left="10" w:right="656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b w:val="1"/>
          <w:bCs w:val="1"/>
          <w:color w:val="0092BC"/>
        </w:rPr>
        <w:t>QUANTITATIVE AND QUALITATIVE DISCLOSURES ABOUT MARKET RISK</w:t>
      </w:r>
    </w:p>
    <w:p>
      <w:pPr>
        <w:ind w:left="10" w:right="558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2" w:lineRule="exact"/>
        <w:rPr>
          <w:rFonts w:ascii="Times New Roman" w:cs="Times New Roman" w:eastAsia="Times New Roman" w:hAnsi="Times New Roman"/>
          <w:sz w:val="16"/>
          <w:szCs w:val="16"/>
          <w:color w:val="auto"/>
        </w:rPr>
      </w:pPr>
    </w:p>
    <w:p>
      <w:pPr>
        <w:ind w:left="10" w:right="574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2" w:lineRule="exact"/>
        <w:rPr>
          <w:rFonts w:ascii="Times New Roman" w:cs="Times New Roman" w:eastAsia="Times New Roman" w:hAnsi="Times New Roman"/>
          <w:sz w:val="16"/>
          <w:szCs w:val="16"/>
          <w:color w:val="auto"/>
        </w:rPr>
      </w:pPr>
    </w:p>
    <w:p>
      <w:pPr>
        <w:ind w:left="10" w:right="568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2"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Interest Rate Risk</w:t>
      </w:r>
    </w:p>
    <w:p>
      <w:pPr>
        <w:ind w:left="10" w:right="558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the risk of fluctuating interest rates in the normal course of business. Our exposure to market risk for changes in interest rates relates primarily to our financial investments and debt obligations, which are discussed below. All of our outstanding debt obligations are fixed-rate obligations. We may enter into transactions that expose us to interest rate risk, for which we may utilize interest rate derivatives agreements to manage that risk.</w:t>
      </w:r>
    </w:p>
    <w:p>
      <w:pPr>
        <w:spacing w:after="0" w:line="3"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Financial Investments</w:t>
      </w:r>
    </w:p>
    <w:p>
      <w:pPr>
        <w:ind w:left="10" w:right="558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our investment portfolio was primarily comprised of highly rated European government debt securities, which pay a fixed rate of interest. These securities are subject to interest rate risk and the fair value of these securities will decrease if market interest rates increase. The impact of an immediate increase to market interest rates, uniformly, by a hypothetical 100 basis points from levels as of December 31, 2025, would not have a material impact on our financial statements.</w:t>
      </w:r>
    </w:p>
    <w:p>
      <w:pPr>
        <w:spacing w:after="0" w:line="3"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Debt Obligations</w:t>
      </w:r>
    </w:p>
    <w:p>
      <w:pPr>
        <w:ind w:left="10" w:right="5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As of December 31, 2025, all of our outstanding debt obligations are fixed-rate obligations. Interest rates on certain tranches of notes are subject to adjustment to the extent our debt rating is downgraded below investment grade, as further discussed in Note 9, “Debt Obligations,” to the consolidated financial statements. While changes in interest rates will have no impact on the interest we pay on fixed-rate obligations, we are exposed to changes in interest rates as a result of the borrowings under our 2022 Revolving Credit Facility, as this facility has a variable interest rate. We may also be exposed to changes in interest rates if there are amounts outstanding from the sale of commercial paper under our commercial</w:t>
      </w:r>
    </w:p>
    <w:p>
      <w:pPr>
        <w:sectPr>
          <w:pgSz w:w="11900" w:h="16840" w:orient="portrait"/>
          <w:cols w:equalWidth="0" w:num="1">
            <w:col w:w="9410"/>
          </w:cols>
          <w:pgMar w:left="1050" w:top="547" w:right="1440" w:bottom="1440" w:gutter="0" w:footer="0" w:header="0"/>
        </w:sectPr>
      </w:pP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51</w:t>
      </w:r>
    </w:p>
    <w:p>
      <w:pPr>
        <w:sectPr>
          <w:pgSz w:w="11900" w:h="16840" w:orient="portrait"/>
          <w:cols w:equalWidth="0" w:num="1">
            <w:col w:w="9410"/>
          </w:cols>
          <w:pgMar w:left="1050" w:top="547" w:right="1440"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26"/>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2"/>
              </w:rPr>
              <w:t>Euro</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Swedish</w:t>
            </w:r>
          </w:p>
        </w:tc>
        <w:tc>
          <w:tcPr>
            <w:tcW w:w="180" w:type="dxa"/>
            <w:vAlign w:val="bottom"/>
          </w:tcPr>
          <w:p>
            <w:pPr>
              <w:spacing w:after="0"/>
              <w:rPr>
                <w:sz w:val="11"/>
                <w:szCs w:val="11"/>
                <w:color w:val="auto"/>
              </w:rPr>
            </w:pPr>
          </w:p>
        </w:tc>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Canadian</w:t>
            </w: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360" w:type="dxa"/>
            <w:vAlign w:val="bottom"/>
            <w:gridSpan w:val="3"/>
          </w:tcPr>
          <w:p>
            <w:pPr>
              <w:spacing w:after="0"/>
              <w:rPr>
                <w:sz w:val="11"/>
                <w:szCs w:val="1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U.S.</w:t>
            </w:r>
          </w:p>
        </w:tc>
        <w:tc>
          <w:tcPr>
            <w:tcW w:w="360" w:type="dxa"/>
            <w:vAlign w:val="bottom"/>
            <w:gridSpan w:val="2"/>
          </w:tcPr>
          <w:p>
            <w:pPr>
              <w:spacing w:after="0"/>
              <w:rPr>
                <w:sz w:val="11"/>
                <w:szCs w:val="11"/>
                <w:color w:val="auto"/>
              </w:rPr>
            </w:pPr>
          </w:p>
        </w:tc>
      </w:tr>
      <w:tr>
        <w:trPr>
          <w:trHeight w:val="88"/>
        </w:trPr>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Krona</w:t>
            </w:r>
          </w:p>
        </w:tc>
        <w:tc>
          <w:tcPr>
            <w:tcW w:w="180" w:type="dxa"/>
            <w:vAlign w:val="bottom"/>
          </w:tcPr>
          <w:p>
            <w:pPr>
              <w:spacing w:after="0"/>
              <w:rPr>
                <w:sz w:val="7"/>
                <w:szCs w:val="7"/>
                <w:color w:val="auto"/>
              </w:rPr>
            </w:pPr>
          </w:p>
        </w:tc>
        <w:tc>
          <w:tcPr>
            <w:tcW w:w="4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w:t>
            </w:r>
          </w:p>
        </w:tc>
        <w:tc>
          <w:tcPr>
            <w:tcW w:w="100" w:type="dxa"/>
            <w:vAlign w:val="bottom"/>
          </w:tcPr>
          <w:p>
            <w:pPr>
              <w:spacing w:after="0"/>
              <w:rPr>
                <w:sz w:val="7"/>
                <w:szCs w:val="7"/>
                <w:color w:val="auto"/>
              </w:rPr>
            </w:pPr>
          </w:p>
        </w:tc>
        <w:tc>
          <w:tcPr>
            <w:tcW w:w="30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83"/>
              </w:rPr>
              <w:t>Foreign</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w:t>
            </w:r>
          </w:p>
        </w:tc>
      </w:tr>
      <w:tr>
        <w:trPr>
          <w:trHeight w:val="88"/>
        </w:trPr>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bottom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76"/>
              </w:rPr>
              <w:t>Currencies</w:t>
            </w:r>
          </w:p>
        </w:tc>
        <w:tc>
          <w:tcPr>
            <w:tcW w:w="1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r>
      <w:tr>
        <w:trPr>
          <w:trHeight w:val="156"/>
        </w:trPr>
        <w:tc>
          <w:tcPr>
            <w:tcW w:w="1000" w:type="dxa"/>
            <w:vAlign w:val="bottom"/>
          </w:tcPr>
          <w:p>
            <w:pPr>
              <w:spacing w:after="0"/>
              <w:rPr>
                <w:sz w:val="13"/>
                <w:szCs w:val="13"/>
                <w:color w:val="auto"/>
              </w:rPr>
            </w:pPr>
          </w:p>
        </w:tc>
        <w:tc>
          <w:tcPr>
            <w:tcW w:w="1760" w:type="dxa"/>
            <w:vAlign w:val="bottom"/>
            <w:gridSpan w:val="10"/>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 except currency rate)</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4"/>
        </w:trPr>
        <w:tc>
          <w:tcPr>
            <w:tcW w:w="1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4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52"/>
        </w:trPr>
        <w:tc>
          <w:tcPr>
            <w:tcW w:w="10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rPr>
              <w:t>Average FX</w:t>
            </w:r>
          </w:p>
        </w:tc>
        <w:tc>
          <w:tcPr>
            <w:tcW w:w="620" w:type="dxa"/>
            <w:vAlign w:val="bottom"/>
            <w:gridSpan w:val="3"/>
            <w:shd w:val="clear" w:color="auto" w:fill="CCEEFF"/>
          </w:tcPr>
          <w:p>
            <w:pPr>
              <w:ind w:left="140"/>
              <w:spacing w:after="0" w:line="152" w:lineRule="exact"/>
              <w:rPr>
                <w:sz w:val="20"/>
                <w:szCs w:val="20"/>
                <w:color w:val="auto"/>
              </w:rPr>
            </w:pPr>
            <w:r>
              <w:rPr>
                <w:rFonts w:ascii="Times New Roman" w:cs="Times New Roman" w:eastAsia="Times New Roman" w:hAnsi="Times New Roman"/>
                <w:sz w:val="16"/>
                <w:szCs w:val="16"/>
                <w:color w:val="auto"/>
              </w:rPr>
              <w:t>1.128</w:t>
            </w:r>
          </w:p>
        </w:tc>
        <w:tc>
          <w:tcPr>
            <w:tcW w:w="480" w:type="dxa"/>
            <w:vAlign w:val="bottom"/>
            <w:gridSpan w:val="4"/>
            <w:shd w:val="clear" w:color="auto" w:fill="CCEEFF"/>
          </w:tcPr>
          <w:p>
            <w:pPr>
              <w:ind w:left="60"/>
              <w:spacing w:after="0" w:line="152" w:lineRule="exact"/>
              <w:rPr>
                <w:sz w:val="20"/>
                <w:szCs w:val="20"/>
                <w:color w:val="auto"/>
              </w:rPr>
            </w:pPr>
            <w:r>
              <w:rPr>
                <w:rFonts w:ascii="Times New Roman" w:cs="Times New Roman" w:eastAsia="Times New Roman" w:hAnsi="Times New Roman"/>
                <w:sz w:val="16"/>
                <w:szCs w:val="16"/>
                <w:color w:val="auto"/>
              </w:rPr>
              <w:t>0.102</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rPr>
              <w:t>0.716</w:t>
            </w:r>
          </w:p>
        </w:tc>
        <w:tc>
          <w:tcPr>
            <w:tcW w:w="400" w:type="dxa"/>
            <w:vAlign w:val="bottom"/>
            <w:gridSpan w:val="2"/>
            <w:shd w:val="clear" w:color="auto" w:fill="CCEEFF"/>
          </w:tcPr>
          <w:p>
            <w:pPr>
              <w:ind w:left="100"/>
              <w:spacing w:after="0" w:line="15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rPr>
              <w:t>N/A</w:t>
            </w:r>
          </w:p>
        </w:tc>
      </w:tr>
      <w:tr>
        <w:trPr>
          <w:trHeight w:val="156"/>
        </w:trPr>
        <w:tc>
          <w:tcPr>
            <w:tcW w:w="1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rate to the</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03"/>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dollar</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61"/>
        </w:trPr>
        <w:tc>
          <w:tcPr>
            <w:tcW w:w="10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r>
      <w:tr>
        <w:trPr>
          <w:trHeight w:val="144"/>
        </w:trPr>
        <w:tc>
          <w:tcPr>
            <w:tcW w:w="100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Percentage of</w:t>
            </w:r>
          </w:p>
        </w:tc>
        <w:tc>
          <w:tcPr>
            <w:tcW w:w="620" w:type="dxa"/>
            <w:vAlign w:val="bottom"/>
            <w:gridSpan w:val="3"/>
          </w:tcPr>
          <w:p>
            <w:pPr>
              <w:ind w:left="140"/>
              <w:spacing w:after="0" w:line="144" w:lineRule="exact"/>
              <w:rPr>
                <w:sz w:val="20"/>
                <w:szCs w:val="20"/>
                <w:color w:val="auto"/>
              </w:rPr>
            </w:pPr>
            <w:r>
              <w:rPr>
                <w:rFonts w:ascii="Times New Roman" w:cs="Times New Roman" w:eastAsia="Times New Roman" w:hAnsi="Times New Roman"/>
                <w:sz w:val="16"/>
                <w:szCs w:val="16"/>
                <w:color w:val="auto"/>
              </w:rPr>
              <w:t>7.7%</w:t>
            </w:r>
          </w:p>
        </w:tc>
        <w:tc>
          <w:tcPr>
            <w:tcW w:w="480" w:type="dxa"/>
            <w:vAlign w:val="bottom"/>
            <w:gridSpan w:val="4"/>
          </w:tcPr>
          <w:p>
            <w:pPr>
              <w:ind w:left="60"/>
              <w:spacing w:after="0" w:line="144" w:lineRule="exact"/>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2"/>
                <w:szCs w:val="12"/>
                <w:color w:val="auto"/>
              </w:rPr>
            </w:pPr>
          </w:p>
        </w:tc>
        <w:tc>
          <w:tcPr>
            <w:tcW w:w="480" w:type="dxa"/>
            <w:vAlign w:val="bottom"/>
            <w:gridSpan w:val="2"/>
          </w:tcPr>
          <w:p>
            <w:pPr>
              <w:spacing w:after="0" w:line="144" w:lineRule="exact"/>
              <w:rPr>
                <w:sz w:val="20"/>
                <w:szCs w:val="20"/>
                <w:color w:val="auto"/>
              </w:rPr>
            </w:pPr>
            <w:r>
              <w:rPr>
                <w:rFonts w:ascii="Times New Roman" w:cs="Times New Roman" w:eastAsia="Times New Roman" w:hAnsi="Times New Roman"/>
                <w:sz w:val="16"/>
                <w:szCs w:val="16"/>
                <w:color w:val="auto"/>
              </w:rPr>
              <w:t>0.6%</w:t>
            </w:r>
          </w:p>
        </w:tc>
        <w:tc>
          <w:tcPr>
            <w:tcW w:w="48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spacing w:after="0" w:line="144" w:lineRule="exact"/>
              <w:rPr>
                <w:sz w:val="20"/>
                <w:szCs w:val="20"/>
                <w:color w:val="auto"/>
              </w:rPr>
            </w:pPr>
            <w:r>
              <w:rPr>
                <w:rFonts w:ascii="Times New Roman" w:cs="Times New Roman" w:eastAsia="Times New Roman" w:hAnsi="Times New Roman"/>
                <w:sz w:val="16"/>
                <w:szCs w:val="16"/>
                <w:color w:val="auto"/>
              </w:rPr>
              <w:t>84.9%</w:t>
            </w: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revenues less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transaction-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based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3"/>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9"/>
        </w:trPr>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44"/>
        </w:trPr>
        <w:tc>
          <w:tcPr>
            <w:tcW w:w="1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Percentage of</w:t>
            </w:r>
          </w:p>
        </w:tc>
        <w:tc>
          <w:tcPr>
            <w:tcW w:w="620" w:type="dxa"/>
            <w:vAlign w:val="bottom"/>
            <w:gridSpan w:val="3"/>
            <w:shd w:val="clear" w:color="auto" w:fill="CCEEFF"/>
          </w:tcPr>
          <w:p>
            <w:pPr>
              <w:ind w:left="140"/>
              <w:spacing w:after="0" w:line="144" w:lineRule="exact"/>
              <w:rPr>
                <w:sz w:val="20"/>
                <w:szCs w:val="20"/>
                <w:color w:val="auto"/>
              </w:rPr>
            </w:pPr>
            <w:r>
              <w:rPr>
                <w:rFonts w:ascii="Times New Roman" w:cs="Times New Roman" w:eastAsia="Times New Roman" w:hAnsi="Times New Roman"/>
                <w:sz w:val="16"/>
                <w:szCs w:val="16"/>
                <w:color w:val="auto"/>
              </w:rPr>
              <w:t>8.6%</w:t>
            </w:r>
          </w:p>
        </w:tc>
        <w:tc>
          <w:tcPr>
            <w:tcW w:w="660" w:type="dxa"/>
            <w:vAlign w:val="bottom"/>
            <w:gridSpan w:val="5"/>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(2.8)%</w:t>
            </w:r>
          </w:p>
        </w:tc>
        <w:tc>
          <w:tcPr>
            <w:tcW w:w="4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(6.4)%</w:t>
            </w:r>
          </w:p>
        </w:tc>
        <w:tc>
          <w:tcPr>
            <w:tcW w:w="600" w:type="dxa"/>
            <w:vAlign w:val="bottom"/>
            <w:gridSpan w:val="4"/>
            <w:shd w:val="clear" w:color="auto" w:fill="CCEEFF"/>
          </w:tcPr>
          <w:p>
            <w:pPr>
              <w:ind w:left="100"/>
              <w:spacing w:after="0" w:line="144" w:lineRule="exact"/>
              <w:rPr>
                <w:sz w:val="20"/>
                <w:szCs w:val="20"/>
                <w:color w:val="auto"/>
              </w:rPr>
            </w:pPr>
            <w:r>
              <w:rPr>
                <w:rFonts w:ascii="Times New Roman" w:cs="Times New Roman" w:eastAsia="Times New Roman" w:hAnsi="Times New Roman"/>
                <w:sz w:val="16"/>
                <w:szCs w:val="16"/>
                <w:color w:val="auto"/>
              </w:rPr>
              <w:t>(9.8)%</w:t>
            </w:r>
          </w:p>
        </w:tc>
        <w:tc>
          <w:tcPr>
            <w:tcW w:w="1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110.4%</w:t>
            </w:r>
          </w:p>
        </w:tc>
      </w:tr>
      <w:tr>
        <w:trPr>
          <w:trHeight w:val="156"/>
        </w:trPr>
        <w:tc>
          <w:tcPr>
            <w:tcW w:w="1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operating</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08"/>
        </w:trPr>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r>
      <w:tr>
        <w:trPr>
          <w:trHeight w:val="144"/>
        </w:trPr>
        <w:tc>
          <w:tcPr>
            <w:tcW w:w="100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Impact of a</w:t>
            </w:r>
          </w:p>
        </w:tc>
        <w:tc>
          <w:tcPr>
            <w:tcW w:w="620" w:type="dxa"/>
            <w:vAlign w:val="bottom"/>
            <w:gridSpan w:val="3"/>
          </w:tcPr>
          <w:p>
            <w:pPr>
              <w:ind w:left="140"/>
              <w:spacing w:after="0" w:line="144" w:lineRule="exact"/>
              <w:rPr>
                <w:sz w:val="20"/>
                <w:szCs w:val="20"/>
                <w:color w:val="auto"/>
              </w:rPr>
            </w:pPr>
            <w:r>
              <w:rPr>
                <w:rFonts w:ascii="Times New Roman" w:cs="Times New Roman" w:eastAsia="Times New Roman" w:hAnsi="Times New Roman"/>
                <w:sz w:val="16"/>
                <w:szCs w:val="16"/>
                <w:color w:val="auto"/>
              </w:rPr>
              <w:t>$(40)</w:t>
            </w:r>
          </w:p>
        </w:tc>
        <w:tc>
          <w:tcPr>
            <w:tcW w:w="480" w:type="dxa"/>
            <w:vAlign w:val="bottom"/>
            <w:gridSpan w:val="4"/>
          </w:tcPr>
          <w:p>
            <w:pPr>
              <w:ind w:left="60"/>
              <w:spacing w:after="0" w:line="144" w:lineRule="exact"/>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2"/>
                <w:szCs w:val="12"/>
                <w:color w:val="auto"/>
              </w:rPr>
            </w:pPr>
          </w:p>
        </w:tc>
        <w:tc>
          <w:tcPr>
            <w:tcW w:w="2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w w:val="97"/>
              </w:rPr>
              <w:t>$(3)</w:t>
            </w:r>
          </w:p>
        </w:tc>
        <w:tc>
          <w:tcPr>
            <w:tcW w:w="200" w:type="dxa"/>
            <w:vAlign w:val="bottom"/>
          </w:tcPr>
          <w:p>
            <w:pPr>
              <w:spacing w:after="0"/>
              <w:rPr>
                <w:sz w:val="12"/>
                <w:szCs w:val="12"/>
                <w:color w:val="auto"/>
              </w:rPr>
            </w:pPr>
          </w:p>
        </w:tc>
        <w:tc>
          <w:tcPr>
            <w:tcW w:w="48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spacing w:after="0" w:line="144" w:lineRule="exact"/>
              <w:rPr>
                <w:sz w:val="20"/>
                <w:szCs w:val="20"/>
                <w:color w:val="auto"/>
              </w:rPr>
            </w:pPr>
            <w:r>
              <w:rPr>
                <w:rFonts w:ascii="Times New Roman" w:cs="Times New Roman" w:eastAsia="Times New Roman" w:hAnsi="Times New Roman"/>
                <w:sz w:val="16"/>
                <w:szCs w:val="16"/>
                <w:color w:val="auto"/>
              </w:rPr>
              <w:t>$—</w:t>
            </w: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 adverse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currency</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fluctuation on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revenues less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transaction-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based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3"/>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9"/>
        </w:trPr>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44"/>
        </w:trPr>
        <w:tc>
          <w:tcPr>
            <w:tcW w:w="1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Impact of a</w:t>
            </w:r>
          </w:p>
        </w:tc>
        <w:tc>
          <w:tcPr>
            <w:tcW w:w="620" w:type="dxa"/>
            <w:vAlign w:val="bottom"/>
            <w:gridSpan w:val="3"/>
            <w:shd w:val="clear" w:color="auto" w:fill="CCEEFF"/>
          </w:tcPr>
          <w:p>
            <w:pPr>
              <w:ind w:left="140"/>
              <w:spacing w:after="0" w:line="144" w:lineRule="exact"/>
              <w:rPr>
                <w:sz w:val="20"/>
                <w:szCs w:val="20"/>
                <w:color w:val="auto"/>
              </w:rPr>
            </w:pPr>
            <w:r>
              <w:rPr>
                <w:rFonts w:ascii="Times New Roman" w:cs="Times New Roman" w:eastAsia="Times New Roman" w:hAnsi="Times New Roman"/>
                <w:sz w:val="16"/>
                <w:szCs w:val="16"/>
                <w:color w:val="auto"/>
              </w:rPr>
              <w:t>$(20)</w:t>
            </w:r>
          </w:p>
        </w:tc>
        <w:tc>
          <w:tcPr>
            <w:tcW w:w="360" w:type="dxa"/>
            <w:vAlign w:val="bottom"/>
            <w:gridSpan w:val="3"/>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$(15)</w:t>
            </w:r>
          </w:p>
        </w:tc>
        <w:tc>
          <w:tcPr>
            <w:tcW w:w="480" w:type="dxa"/>
            <w:vAlign w:val="bottom"/>
            <w:gridSpan w:val="3"/>
            <w:shd w:val="clear" w:color="auto" w:fill="CCEEFF"/>
          </w:tcPr>
          <w:p>
            <w:pPr>
              <w:ind w:left="100"/>
              <w:spacing w:after="0" w:line="144" w:lineRule="exact"/>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w:t>
            </w:r>
          </w:p>
        </w:tc>
      </w:tr>
      <w:tr>
        <w:trPr>
          <w:trHeight w:val="156"/>
        </w:trPr>
        <w:tc>
          <w:tcPr>
            <w:tcW w:w="1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10% adverse</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56"/>
        </w:trPr>
        <w:tc>
          <w:tcPr>
            <w:tcW w:w="1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currency</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56"/>
        </w:trPr>
        <w:tc>
          <w:tcPr>
            <w:tcW w:w="1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fluctuation on</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56"/>
        </w:trPr>
        <w:tc>
          <w:tcPr>
            <w:tcW w:w="1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operating</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20"/>
        </w:trPr>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r>
      <w:tr>
        <w:trPr>
          <w:trHeight w:val="120"/>
        </w:trPr>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bottom w:val="single" w:sz="8" w:color="auto"/>
            </w:tcBorders>
          </w:tcPr>
          <w:p>
            <w:pPr>
              <w:spacing w:after="0" w:line="120" w:lineRule="exact"/>
              <w:rPr>
                <w:sz w:val="20"/>
                <w:szCs w:val="20"/>
                <w:color w:val="auto"/>
              </w:rPr>
            </w:pPr>
            <w:r>
              <w:rPr>
                <w:rFonts w:ascii="Times New Roman" w:cs="Times New Roman" w:eastAsia="Times New Roman" w:hAnsi="Times New Roman"/>
                <w:sz w:val="11"/>
                <w:szCs w:val="11"/>
                <w:b w:val="1"/>
                <w:bCs w:val="1"/>
                <w:color w:val="auto"/>
                <w:w w:val="92"/>
              </w:rPr>
              <w:t>Euro</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bottom w:val="single" w:sz="8" w:color="auto"/>
            </w:tcBorders>
            <w:gridSpan w:val="3"/>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Swedish</w:t>
            </w:r>
          </w:p>
        </w:tc>
        <w:tc>
          <w:tcPr>
            <w:tcW w:w="180" w:type="dxa"/>
            <w:vAlign w:val="bottom"/>
          </w:tcPr>
          <w:p>
            <w:pPr>
              <w:spacing w:after="0"/>
              <w:rPr>
                <w:sz w:val="10"/>
                <w:szCs w:val="10"/>
                <w:color w:val="auto"/>
              </w:rPr>
            </w:pPr>
          </w:p>
        </w:tc>
        <w:tc>
          <w:tcPr>
            <w:tcW w:w="480" w:type="dxa"/>
            <w:vAlign w:val="bottom"/>
            <w:tcBorders>
              <w:bottom w:val="single" w:sz="8" w:color="auto"/>
            </w:tcBorders>
            <w:gridSpan w:val="2"/>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Canadian</w:t>
            </w: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line="120"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360" w:type="dxa"/>
            <w:vAlign w:val="bottom"/>
            <w:gridSpan w:val="3"/>
          </w:tcPr>
          <w:p>
            <w:pPr>
              <w:spacing w:after="0"/>
              <w:rPr>
                <w:sz w:val="10"/>
                <w:szCs w:val="10"/>
                <w:color w:val="auto"/>
              </w:rPr>
            </w:pPr>
          </w:p>
        </w:tc>
        <w:tc>
          <w:tcPr>
            <w:tcW w:w="220" w:type="dxa"/>
            <w:vAlign w:val="bottom"/>
            <w:tcBorders>
              <w:bottom w:val="single" w:sz="8" w:color="auto"/>
            </w:tcBorders>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U.S.</w:t>
            </w:r>
          </w:p>
        </w:tc>
        <w:tc>
          <w:tcPr>
            <w:tcW w:w="360" w:type="dxa"/>
            <w:vAlign w:val="bottom"/>
            <w:gridSpan w:val="2"/>
          </w:tcPr>
          <w:p>
            <w:pPr>
              <w:spacing w:after="0"/>
              <w:rPr>
                <w:sz w:val="10"/>
                <w:szCs w:val="10"/>
                <w:color w:val="auto"/>
              </w:rPr>
            </w:pPr>
          </w:p>
        </w:tc>
      </w:tr>
      <w:tr>
        <w:trPr>
          <w:trHeight w:val="88"/>
        </w:trPr>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Krona</w:t>
            </w:r>
          </w:p>
        </w:tc>
        <w:tc>
          <w:tcPr>
            <w:tcW w:w="180" w:type="dxa"/>
            <w:vAlign w:val="bottom"/>
          </w:tcPr>
          <w:p>
            <w:pPr>
              <w:spacing w:after="0"/>
              <w:rPr>
                <w:sz w:val="7"/>
                <w:szCs w:val="7"/>
                <w:color w:val="auto"/>
              </w:rPr>
            </w:pPr>
          </w:p>
        </w:tc>
        <w:tc>
          <w:tcPr>
            <w:tcW w:w="4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w:t>
            </w:r>
          </w:p>
        </w:tc>
        <w:tc>
          <w:tcPr>
            <w:tcW w:w="100" w:type="dxa"/>
            <w:vAlign w:val="bottom"/>
          </w:tcPr>
          <w:p>
            <w:pPr>
              <w:spacing w:after="0"/>
              <w:rPr>
                <w:sz w:val="7"/>
                <w:szCs w:val="7"/>
                <w:color w:val="auto"/>
              </w:rPr>
            </w:pPr>
          </w:p>
        </w:tc>
        <w:tc>
          <w:tcPr>
            <w:tcW w:w="30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83"/>
              </w:rPr>
              <w:t>Foreign</w:t>
            </w:r>
          </w:p>
        </w:tc>
        <w:tc>
          <w:tcPr>
            <w:tcW w:w="360" w:type="dxa"/>
            <w:vAlign w:val="bottom"/>
            <w:gridSpan w:val="3"/>
          </w:tcPr>
          <w:p>
            <w:pPr>
              <w:spacing w:after="0"/>
              <w:rPr>
                <w:sz w:val="7"/>
                <w:szCs w:val="7"/>
                <w:color w:val="auto"/>
              </w:rPr>
            </w:pPr>
          </w:p>
        </w:tc>
        <w:tc>
          <w:tcPr>
            <w:tcW w:w="58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w:t>
            </w:r>
          </w:p>
        </w:tc>
      </w:tr>
      <w:tr>
        <w:trPr>
          <w:trHeight w:val="88"/>
        </w:trPr>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76"/>
              </w:rPr>
              <w:t>Currencies</w:t>
            </w:r>
          </w:p>
        </w:tc>
        <w:tc>
          <w:tcPr>
            <w:tcW w:w="280" w:type="dxa"/>
            <w:vAlign w:val="bottom"/>
            <w:gridSpan w:val="2"/>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r>
      <w:tr>
        <w:trPr>
          <w:trHeight w:val="156"/>
        </w:trPr>
        <w:tc>
          <w:tcPr>
            <w:tcW w:w="1000" w:type="dxa"/>
            <w:vAlign w:val="bottom"/>
          </w:tcPr>
          <w:p>
            <w:pPr>
              <w:spacing w:after="0"/>
              <w:rPr>
                <w:sz w:val="13"/>
                <w:szCs w:val="13"/>
                <w:color w:val="auto"/>
              </w:rPr>
            </w:pPr>
          </w:p>
        </w:tc>
        <w:tc>
          <w:tcPr>
            <w:tcW w:w="1760" w:type="dxa"/>
            <w:vAlign w:val="bottom"/>
            <w:gridSpan w:val="10"/>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 except currency rate)</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4"/>
        </w:trPr>
        <w:tc>
          <w:tcPr>
            <w:tcW w:w="1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4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52"/>
        </w:trPr>
        <w:tc>
          <w:tcPr>
            <w:tcW w:w="10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rPr>
              <w:t>Average FX</w:t>
            </w:r>
          </w:p>
        </w:tc>
        <w:tc>
          <w:tcPr>
            <w:tcW w:w="620" w:type="dxa"/>
            <w:vAlign w:val="bottom"/>
            <w:gridSpan w:val="3"/>
            <w:shd w:val="clear" w:color="auto" w:fill="CCEEFF"/>
          </w:tcPr>
          <w:p>
            <w:pPr>
              <w:ind w:left="140"/>
              <w:spacing w:after="0" w:line="152" w:lineRule="exact"/>
              <w:rPr>
                <w:sz w:val="20"/>
                <w:szCs w:val="20"/>
                <w:color w:val="auto"/>
              </w:rPr>
            </w:pPr>
            <w:r>
              <w:rPr>
                <w:rFonts w:ascii="Times New Roman" w:cs="Times New Roman" w:eastAsia="Times New Roman" w:hAnsi="Times New Roman"/>
                <w:sz w:val="16"/>
                <w:szCs w:val="16"/>
                <w:color w:val="auto"/>
              </w:rPr>
              <w:t>1.082</w:t>
            </w:r>
          </w:p>
        </w:tc>
        <w:tc>
          <w:tcPr>
            <w:tcW w:w="480" w:type="dxa"/>
            <w:vAlign w:val="bottom"/>
            <w:gridSpan w:val="4"/>
            <w:shd w:val="clear" w:color="auto" w:fill="CCEEFF"/>
          </w:tcPr>
          <w:p>
            <w:pPr>
              <w:ind w:left="60"/>
              <w:spacing w:after="0" w:line="152" w:lineRule="exact"/>
              <w:rPr>
                <w:sz w:val="20"/>
                <w:szCs w:val="20"/>
                <w:color w:val="auto"/>
              </w:rPr>
            </w:pPr>
            <w:r>
              <w:rPr>
                <w:rFonts w:ascii="Times New Roman" w:cs="Times New Roman" w:eastAsia="Times New Roman" w:hAnsi="Times New Roman"/>
                <w:sz w:val="16"/>
                <w:szCs w:val="16"/>
                <w:color w:val="auto"/>
              </w:rPr>
              <w:t>0.095</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rPr>
              <w:t>0.730</w:t>
            </w:r>
          </w:p>
        </w:tc>
        <w:tc>
          <w:tcPr>
            <w:tcW w:w="400" w:type="dxa"/>
            <w:vAlign w:val="bottom"/>
            <w:gridSpan w:val="2"/>
            <w:shd w:val="clear" w:color="auto" w:fill="CCEEFF"/>
          </w:tcPr>
          <w:p>
            <w:pPr>
              <w:ind w:left="100"/>
              <w:spacing w:after="0" w:line="15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rPr>
              <w:t>N/A</w:t>
            </w:r>
          </w:p>
        </w:tc>
      </w:tr>
      <w:tr>
        <w:trPr>
          <w:trHeight w:val="156"/>
        </w:trPr>
        <w:tc>
          <w:tcPr>
            <w:tcW w:w="1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rate to the</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08"/>
        </w:trPr>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dollar</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r>
      <w:tr>
        <w:trPr>
          <w:trHeight w:val="144"/>
        </w:trPr>
        <w:tc>
          <w:tcPr>
            <w:tcW w:w="100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Percentage of</w:t>
            </w:r>
          </w:p>
        </w:tc>
        <w:tc>
          <w:tcPr>
            <w:tcW w:w="620" w:type="dxa"/>
            <w:vAlign w:val="bottom"/>
            <w:gridSpan w:val="3"/>
          </w:tcPr>
          <w:p>
            <w:pPr>
              <w:ind w:left="140"/>
              <w:spacing w:after="0" w:line="144" w:lineRule="exact"/>
              <w:rPr>
                <w:sz w:val="20"/>
                <w:szCs w:val="20"/>
                <w:color w:val="auto"/>
              </w:rPr>
            </w:pPr>
            <w:r>
              <w:rPr>
                <w:rFonts w:ascii="Times New Roman" w:cs="Times New Roman" w:eastAsia="Times New Roman" w:hAnsi="Times New Roman"/>
                <w:sz w:val="16"/>
                <w:szCs w:val="16"/>
                <w:color w:val="auto"/>
              </w:rPr>
              <w:t>7.9%</w:t>
            </w:r>
          </w:p>
        </w:tc>
        <w:tc>
          <w:tcPr>
            <w:tcW w:w="480" w:type="dxa"/>
            <w:vAlign w:val="bottom"/>
            <w:gridSpan w:val="4"/>
          </w:tcPr>
          <w:p>
            <w:pPr>
              <w:ind w:left="60"/>
              <w:spacing w:after="0" w:line="144" w:lineRule="exact"/>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spacing w:after="0"/>
              <w:rPr>
                <w:sz w:val="12"/>
                <w:szCs w:val="12"/>
                <w:color w:val="auto"/>
              </w:rPr>
            </w:pPr>
          </w:p>
        </w:tc>
        <w:tc>
          <w:tcPr>
            <w:tcW w:w="480" w:type="dxa"/>
            <w:vAlign w:val="bottom"/>
            <w:gridSpan w:val="2"/>
          </w:tcPr>
          <w:p>
            <w:pPr>
              <w:spacing w:after="0" w:line="144" w:lineRule="exact"/>
              <w:rPr>
                <w:sz w:val="20"/>
                <w:szCs w:val="20"/>
                <w:color w:val="auto"/>
              </w:rPr>
            </w:pPr>
            <w:r>
              <w:rPr>
                <w:rFonts w:ascii="Times New Roman" w:cs="Times New Roman" w:eastAsia="Times New Roman" w:hAnsi="Times New Roman"/>
                <w:sz w:val="16"/>
                <w:szCs w:val="16"/>
                <w:color w:val="auto"/>
              </w:rPr>
              <w:t>0.7%</w:t>
            </w:r>
          </w:p>
        </w:tc>
        <w:tc>
          <w:tcPr>
            <w:tcW w:w="48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spacing w:after="0" w:line="144" w:lineRule="exact"/>
              <w:rPr>
                <w:sz w:val="20"/>
                <w:szCs w:val="20"/>
                <w:color w:val="auto"/>
              </w:rPr>
            </w:pPr>
            <w:r>
              <w:rPr>
                <w:rFonts w:ascii="Times New Roman" w:cs="Times New Roman" w:eastAsia="Times New Roman" w:hAnsi="Times New Roman"/>
                <w:sz w:val="16"/>
                <w:szCs w:val="16"/>
                <w:color w:val="auto"/>
              </w:rPr>
              <w:t>84.3%</w:t>
            </w: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revenues less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transaction-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based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3"/>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9"/>
        </w:trPr>
        <w:tc>
          <w:tcPr>
            <w:tcW w:w="1000" w:type="dxa"/>
            <w:vAlign w:val="bottom"/>
          </w:tcPr>
          <w:p>
            <w:pPr>
              <w:spacing w:after="0"/>
              <w:rPr>
                <w:sz w:val="4"/>
                <w:szCs w:val="4"/>
                <w:color w:val="auto"/>
              </w:rPr>
            </w:pPr>
          </w:p>
        </w:tc>
        <w:tc>
          <w:tcPr>
            <w:tcW w:w="620" w:type="dxa"/>
            <w:vAlign w:val="bottom"/>
            <w:gridSpan w:val="3"/>
          </w:tcPr>
          <w:p>
            <w:pPr>
              <w:spacing w:after="0"/>
              <w:rPr>
                <w:sz w:val="4"/>
                <w:szCs w:val="4"/>
                <w:color w:val="auto"/>
              </w:rPr>
            </w:pPr>
          </w:p>
        </w:tc>
        <w:tc>
          <w:tcPr>
            <w:tcW w:w="660" w:type="dxa"/>
            <w:vAlign w:val="bottom"/>
            <w:gridSpan w:val="5"/>
          </w:tcPr>
          <w:p>
            <w:pPr>
              <w:spacing w:after="0"/>
              <w:rPr>
                <w:sz w:val="4"/>
                <w:szCs w:val="4"/>
                <w:color w:val="auto"/>
              </w:rPr>
            </w:pPr>
          </w:p>
        </w:tc>
        <w:tc>
          <w:tcPr>
            <w:tcW w:w="480" w:type="dxa"/>
            <w:vAlign w:val="bottom"/>
            <w:gridSpan w:val="2"/>
          </w:tcPr>
          <w:p>
            <w:pPr>
              <w:spacing w:after="0"/>
              <w:rPr>
                <w:sz w:val="4"/>
                <w:szCs w:val="4"/>
                <w:color w:val="auto"/>
              </w:rPr>
            </w:pPr>
          </w:p>
        </w:tc>
        <w:tc>
          <w:tcPr>
            <w:tcW w:w="760" w:type="dxa"/>
            <w:vAlign w:val="bottom"/>
            <w:gridSpan w:val="5"/>
          </w:tcPr>
          <w:p>
            <w:pPr>
              <w:spacing w:after="0"/>
              <w:rPr>
                <w:sz w:val="4"/>
                <w:szCs w:val="4"/>
                <w:color w:val="auto"/>
              </w:rPr>
            </w:pPr>
          </w:p>
        </w:tc>
        <w:tc>
          <w:tcPr>
            <w:tcW w:w="580" w:type="dxa"/>
            <w:vAlign w:val="bottom"/>
            <w:gridSpan w:val="3"/>
          </w:tcPr>
          <w:p>
            <w:pPr>
              <w:spacing w:after="0"/>
              <w:rPr>
                <w:sz w:val="4"/>
                <w:szCs w:val="4"/>
                <w:color w:val="auto"/>
              </w:rPr>
            </w:pPr>
          </w:p>
        </w:tc>
      </w:tr>
      <w:tr>
        <w:trPr>
          <w:trHeight w:val="144"/>
        </w:trPr>
        <w:tc>
          <w:tcPr>
            <w:tcW w:w="1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Percentage of</w:t>
            </w:r>
          </w:p>
        </w:tc>
        <w:tc>
          <w:tcPr>
            <w:tcW w:w="620" w:type="dxa"/>
            <w:vAlign w:val="bottom"/>
            <w:gridSpan w:val="3"/>
            <w:shd w:val="clear" w:color="auto" w:fill="CCEEFF"/>
          </w:tcPr>
          <w:p>
            <w:pPr>
              <w:ind w:left="140"/>
              <w:spacing w:after="0" w:line="144" w:lineRule="exact"/>
              <w:rPr>
                <w:sz w:val="20"/>
                <w:szCs w:val="20"/>
                <w:color w:val="auto"/>
              </w:rPr>
            </w:pPr>
            <w:r>
              <w:rPr>
                <w:rFonts w:ascii="Times New Roman" w:cs="Times New Roman" w:eastAsia="Times New Roman" w:hAnsi="Times New Roman"/>
                <w:sz w:val="16"/>
                <w:szCs w:val="16"/>
                <w:color w:val="auto"/>
              </w:rPr>
              <w:t>11.8%</w:t>
            </w:r>
          </w:p>
        </w:tc>
        <w:tc>
          <w:tcPr>
            <w:tcW w:w="660" w:type="dxa"/>
            <w:vAlign w:val="bottom"/>
            <w:gridSpan w:val="5"/>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(5.9)%</w:t>
            </w:r>
          </w:p>
        </w:tc>
        <w:tc>
          <w:tcPr>
            <w:tcW w:w="4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(7.8)%</w:t>
            </w:r>
          </w:p>
        </w:tc>
        <w:tc>
          <w:tcPr>
            <w:tcW w:w="760" w:type="dxa"/>
            <w:vAlign w:val="bottom"/>
            <w:gridSpan w:val="5"/>
            <w:shd w:val="clear" w:color="auto" w:fill="CCEEFF"/>
          </w:tcPr>
          <w:p>
            <w:pPr>
              <w:ind w:left="100"/>
              <w:spacing w:after="0" w:line="144" w:lineRule="exact"/>
              <w:rPr>
                <w:sz w:val="20"/>
                <w:szCs w:val="20"/>
                <w:color w:val="auto"/>
              </w:rPr>
            </w:pPr>
            <w:r>
              <w:rPr>
                <w:rFonts w:ascii="Times New Roman" w:cs="Times New Roman" w:eastAsia="Times New Roman" w:hAnsi="Times New Roman"/>
                <w:sz w:val="16"/>
                <w:szCs w:val="16"/>
                <w:color w:val="auto"/>
              </w:rPr>
              <w:t>(10.5)%</w:t>
            </w:r>
          </w:p>
        </w:tc>
        <w:tc>
          <w:tcPr>
            <w:tcW w:w="5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112.4%</w:t>
            </w:r>
          </w:p>
        </w:tc>
      </w:tr>
      <w:tr>
        <w:trPr>
          <w:trHeight w:val="156"/>
        </w:trPr>
        <w:tc>
          <w:tcPr>
            <w:tcW w:w="1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operating</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08"/>
        </w:trPr>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r>
      <w:tr>
        <w:trPr>
          <w:trHeight w:val="144"/>
        </w:trPr>
        <w:tc>
          <w:tcPr>
            <w:tcW w:w="100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Impact of a</w:t>
            </w:r>
          </w:p>
        </w:tc>
        <w:tc>
          <w:tcPr>
            <w:tcW w:w="620" w:type="dxa"/>
            <w:vAlign w:val="bottom"/>
            <w:gridSpan w:val="3"/>
          </w:tcPr>
          <w:p>
            <w:pPr>
              <w:ind w:left="140"/>
              <w:spacing w:after="0" w:line="144" w:lineRule="exact"/>
              <w:rPr>
                <w:sz w:val="20"/>
                <w:szCs w:val="20"/>
                <w:color w:val="auto"/>
              </w:rPr>
            </w:pPr>
            <w:r>
              <w:rPr>
                <w:rFonts w:ascii="Times New Roman" w:cs="Times New Roman" w:eastAsia="Times New Roman" w:hAnsi="Times New Roman"/>
                <w:sz w:val="16"/>
                <w:szCs w:val="16"/>
                <w:color w:val="auto"/>
              </w:rPr>
              <w:t>$(37)</w:t>
            </w:r>
          </w:p>
        </w:tc>
        <w:tc>
          <w:tcPr>
            <w:tcW w:w="480" w:type="dxa"/>
            <w:vAlign w:val="bottom"/>
            <w:gridSpan w:val="4"/>
          </w:tcPr>
          <w:p>
            <w:pPr>
              <w:ind w:left="60"/>
              <w:spacing w:after="0" w:line="144" w:lineRule="exact"/>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2"/>
                <w:szCs w:val="12"/>
                <w:color w:val="auto"/>
              </w:rPr>
            </w:pPr>
          </w:p>
        </w:tc>
        <w:tc>
          <w:tcPr>
            <w:tcW w:w="2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w w:val="97"/>
              </w:rPr>
              <w:t>$(3)</w:t>
            </w:r>
          </w:p>
        </w:tc>
        <w:tc>
          <w:tcPr>
            <w:tcW w:w="200" w:type="dxa"/>
            <w:vAlign w:val="bottom"/>
          </w:tcPr>
          <w:p>
            <w:pPr>
              <w:spacing w:after="0"/>
              <w:rPr>
                <w:sz w:val="12"/>
                <w:szCs w:val="12"/>
                <w:color w:val="auto"/>
              </w:rPr>
            </w:pPr>
          </w:p>
        </w:tc>
        <w:tc>
          <w:tcPr>
            <w:tcW w:w="48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spacing w:after="0" w:line="144" w:lineRule="exact"/>
              <w:rPr>
                <w:sz w:val="20"/>
                <w:szCs w:val="20"/>
                <w:color w:val="auto"/>
              </w:rPr>
            </w:pPr>
            <w:r>
              <w:rPr>
                <w:rFonts w:ascii="Times New Roman" w:cs="Times New Roman" w:eastAsia="Times New Roman" w:hAnsi="Times New Roman"/>
                <w:sz w:val="16"/>
                <w:szCs w:val="16"/>
                <w:color w:val="auto"/>
              </w:rPr>
              <w:t>$—</w:t>
            </w: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10% adverse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currency</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fluctuation on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revenues less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transaction-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10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based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3"/>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3"/>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Impact of a</w:t>
            </w: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$(21)</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$(14)</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10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10% adverse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-200660</wp:posOffset>
            </wp:positionV>
            <wp:extent cx="2606675" cy="472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6675" cy="47244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currency</w:t>
      </w:r>
    </w:p>
    <w:p>
      <w:pPr>
        <w:spacing w:after="0" w:line="204" w:lineRule="auto"/>
        <w:rPr>
          <w:sz w:val="20"/>
          <w:szCs w:val="20"/>
          <w:color w:val="auto"/>
        </w:rPr>
      </w:pPr>
      <w:r>
        <w:rPr>
          <w:rFonts w:ascii="Times New Roman" w:cs="Times New Roman" w:eastAsia="Times New Roman" w:hAnsi="Times New Roman"/>
          <w:sz w:val="16"/>
          <w:szCs w:val="16"/>
          <w:color w:val="auto"/>
        </w:rPr>
        <w:t>fluctuation on</w:t>
      </w:r>
    </w:p>
    <w:p>
      <w:pPr>
        <w:spacing w:after="0"/>
        <w:rPr>
          <w:sz w:val="20"/>
          <w:szCs w:val="20"/>
          <w:color w:val="auto"/>
        </w:rPr>
      </w:pPr>
      <w:r>
        <w:rPr>
          <w:rFonts w:ascii="Times New Roman" w:cs="Times New Roman" w:eastAsia="Times New Roman" w:hAnsi="Times New Roman"/>
          <w:sz w:val="16"/>
          <w:szCs w:val="16"/>
          <w:color w:val="auto"/>
        </w:rPr>
        <w:t>operating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w:t>
      </w:r>
    </w:p>
    <w:p>
      <w:pPr>
        <w:spacing w:after="0" w:line="203" w:lineRule="auto"/>
        <w:rPr>
          <w:sz w:val="20"/>
          <w:szCs w:val="20"/>
          <w:color w:val="auto"/>
        </w:rPr>
      </w:pPr>
      <w:r>
        <w:rPr>
          <w:rFonts w:ascii="Times New Roman" w:cs="Times New Roman" w:eastAsia="Times New Roman" w:hAnsi="Times New Roman"/>
          <w:sz w:val="16"/>
          <w:szCs w:val="16"/>
          <w:color w:val="auto"/>
        </w:rPr>
        <w:t>Our Euro Notes have been designated as a hedge of our net</w:t>
      </w:r>
    </w:p>
    <w:p>
      <w:pPr>
        <w:spacing w:after="0" w:line="204" w:lineRule="auto"/>
        <w:rPr>
          <w:sz w:val="20"/>
          <w:szCs w:val="20"/>
          <w:color w:val="auto"/>
        </w:rPr>
      </w:pPr>
      <w:r>
        <w:rPr>
          <w:rFonts w:ascii="Times New Roman" w:cs="Times New Roman" w:eastAsia="Times New Roman" w:hAnsi="Times New Roman"/>
          <w:sz w:val="16"/>
          <w:szCs w:val="16"/>
          <w:color w:val="auto"/>
        </w:rPr>
        <w:t>investment in certain foreign subsidiaries to mitigate the</w:t>
      </w:r>
    </w:p>
    <w:p>
      <w:pPr>
        <w:spacing w:after="0" w:line="203" w:lineRule="auto"/>
        <w:rPr>
          <w:sz w:val="20"/>
          <w:szCs w:val="20"/>
          <w:color w:val="auto"/>
        </w:rPr>
      </w:pPr>
      <w:r>
        <w:rPr>
          <w:rFonts w:ascii="Times New Roman" w:cs="Times New Roman" w:eastAsia="Times New Roman" w:hAnsi="Times New Roman"/>
          <w:sz w:val="16"/>
          <w:szCs w:val="16"/>
          <w:color w:val="auto"/>
        </w:rPr>
        <w:t>foreign exchange risk associated with certain investments in</w:t>
      </w:r>
    </w:p>
    <w:p>
      <w:pPr>
        <w:spacing w:after="0" w:line="204" w:lineRule="auto"/>
        <w:rPr>
          <w:sz w:val="20"/>
          <w:szCs w:val="20"/>
          <w:color w:val="auto"/>
        </w:rPr>
      </w:pPr>
      <w:r>
        <w:rPr>
          <w:rFonts w:ascii="Times New Roman" w:cs="Times New Roman" w:eastAsia="Times New Roman" w:hAnsi="Times New Roman"/>
          <w:sz w:val="16"/>
          <w:szCs w:val="16"/>
          <w:color w:val="auto"/>
        </w:rPr>
        <w:t>these subsidiaries. Accordingly, the remeasurement of these</w:t>
      </w:r>
    </w:p>
    <w:p>
      <w:pPr>
        <w:spacing w:after="0" w:line="203" w:lineRule="auto"/>
        <w:rPr>
          <w:sz w:val="20"/>
          <w:szCs w:val="20"/>
          <w:color w:val="auto"/>
        </w:rPr>
      </w:pPr>
      <w:r>
        <w:rPr>
          <w:rFonts w:ascii="Times New Roman" w:cs="Times New Roman" w:eastAsia="Times New Roman" w:hAnsi="Times New Roman"/>
          <w:sz w:val="16"/>
          <w:szCs w:val="16"/>
          <w:color w:val="auto"/>
        </w:rPr>
        <w:t>notes is recorded in accumulated other comprehensive loss in</w:t>
      </w:r>
    </w:p>
    <w:p>
      <w:pPr>
        <w:spacing w:after="0" w:line="204" w:lineRule="auto"/>
        <w:rPr>
          <w:sz w:val="20"/>
          <w:szCs w:val="20"/>
          <w:color w:val="auto"/>
        </w:rPr>
      </w:pPr>
      <w:r>
        <w:rPr>
          <w:rFonts w:ascii="Times New Roman" w:cs="Times New Roman" w:eastAsia="Times New Roman" w:hAnsi="Times New Roman"/>
          <w:sz w:val="16"/>
          <w:szCs w:val="16"/>
          <w:color w:val="auto"/>
        </w:rPr>
        <w:t>the Consolidated Balance Sheets. See Note 9, “Debt</w:t>
      </w:r>
    </w:p>
    <w:p>
      <w:pPr>
        <w:spacing w:after="0" w:line="203" w:lineRule="auto"/>
        <w:rPr>
          <w:sz w:val="20"/>
          <w:szCs w:val="20"/>
          <w:color w:val="auto"/>
        </w:rPr>
      </w:pPr>
      <w:r>
        <w:rPr>
          <w:rFonts w:ascii="Times New Roman" w:cs="Times New Roman" w:eastAsia="Times New Roman" w:hAnsi="Times New Roman"/>
          <w:sz w:val="16"/>
          <w:szCs w:val="16"/>
          <w:color w:val="auto"/>
        </w:rPr>
        <w:t>Obligations,” to the consolidated financial statements. We</w:t>
      </w:r>
    </w:p>
    <w:p>
      <w:pPr>
        <w:spacing w:after="0" w:line="204" w:lineRule="auto"/>
        <w:rPr>
          <w:sz w:val="20"/>
          <w:szCs w:val="20"/>
          <w:color w:val="auto"/>
        </w:rPr>
      </w:pPr>
      <w:r>
        <w:rPr>
          <w:rFonts w:ascii="Times New Roman" w:cs="Times New Roman" w:eastAsia="Times New Roman" w:hAnsi="Times New Roman"/>
          <w:sz w:val="16"/>
          <w:szCs w:val="16"/>
          <w:color w:val="auto"/>
        </w:rPr>
        <w:t>enter into foreign exchange contracts to hedge a portion of</w:t>
      </w:r>
    </w:p>
    <w:p>
      <w:pPr>
        <w:spacing w:after="0" w:line="203" w:lineRule="auto"/>
        <w:rPr>
          <w:sz w:val="20"/>
          <w:szCs w:val="20"/>
          <w:color w:val="auto"/>
        </w:rPr>
      </w:pPr>
      <w:r>
        <w:rPr>
          <w:rFonts w:ascii="Times New Roman" w:cs="Times New Roman" w:eastAsia="Times New Roman" w:hAnsi="Times New Roman"/>
          <w:sz w:val="16"/>
          <w:szCs w:val="16"/>
          <w:color w:val="auto"/>
        </w:rPr>
        <w:t>our net investment in certain foreign subsidiaries. These</w:t>
      </w:r>
    </w:p>
    <w:p>
      <w:pPr>
        <w:spacing w:after="0" w:line="204" w:lineRule="auto"/>
        <w:rPr>
          <w:sz w:val="20"/>
          <w:szCs w:val="20"/>
          <w:color w:val="auto"/>
        </w:rPr>
      </w:pPr>
      <w:r>
        <w:rPr>
          <w:rFonts w:ascii="Times New Roman" w:cs="Times New Roman" w:eastAsia="Times New Roman" w:hAnsi="Times New Roman"/>
          <w:sz w:val="16"/>
          <w:szCs w:val="16"/>
          <w:color w:val="auto"/>
        </w:rPr>
        <w:t>foreign exchange contracts are carried at fair value, with</w:t>
      </w:r>
    </w:p>
    <w:p>
      <w:pPr>
        <w:spacing w:after="0" w:line="204" w:lineRule="auto"/>
        <w:rPr>
          <w:sz w:val="20"/>
          <w:szCs w:val="20"/>
          <w:color w:val="auto"/>
        </w:rPr>
      </w:pPr>
      <w:r>
        <w:rPr>
          <w:rFonts w:ascii="Times New Roman" w:cs="Times New Roman" w:eastAsia="Times New Roman" w:hAnsi="Times New Roman"/>
          <w:sz w:val="16"/>
          <w:szCs w:val="16"/>
          <w:color w:val="auto"/>
        </w:rPr>
        <w:t>maturities ranging up to eight years, and reported as either an</w:t>
      </w:r>
    </w:p>
    <w:p>
      <w:pPr>
        <w:spacing w:after="0" w:line="203" w:lineRule="auto"/>
        <w:rPr>
          <w:sz w:val="20"/>
          <w:szCs w:val="20"/>
          <w:color w:val="auto"/>
        </w:rPr>
      </w:pPr>
      <w:r>
        <w:rPr>
          <w:rFonts w:ascii="Times New Roman" w:cs="Times New Roman" w:eastAsia="Times New Roman" w:hAnsi="Times New Roman"/>
          <w:sz w:val="16"/>
          <w:szCs w:val="16"/>
          <w:color w:val="auto"/>
        </w:rPr>
        <w:t>asset or liability depending on their position as of the balance</w:t>
      </w:r>
    </w:p>
    <w:p>
      <w:pPr>
        <w:spacing w:after="0" w:line="204" w:lineRule="auto"/>
        <w:rPr>
          <w:sz w:val="20"/>
          <w:szCs w:val="20"/>
          <w:color w:val="auto"/>
        </w:rPr>
      </w:pPr>
      <w:r>
        <w:rPr>
          <w:rFonts w:ascii="Times New Roman" w:cs="Times New Roman" w:eastAsia="Times New Roman" w:hAnsi="Times New Roman"/>
          <w:sz w:val="16"/>
          <w:szCs w:val="16"/>
          <w:color w:val="auto"/>
        </w:rPr>
        <w:t>sheet date, and accumulated other comprehensive loss in the</w:t>
      </w:r>
    </w:p>
    <w:p>
      <w:pPr>
        <w:spacing w:after="0" w:line="203" w:lineRule="auto"/>
        <w:rPr>
          <w:sz w:val="20"/>
          <w:szCs w:val="20"/>
          <w:color w:val="auto"/>
        </w:rPr>
      </w:pPr>
      <w:r>
        <w:rPr>
          <w:rFonts w:ascii="Times New Roman" w:cs="Times New Roman" w:eastAsia="Times New Roman" w:hAnsi="Times New Roman"/>
          <w:sz w:val="16"/>
          <w:szCs w:val="16"/>
          <w:color w:val="auto"/>
        </w:rPr>
        <w:t>Consolidated Balance Sheets. The accumulated gains and</w:t>
      </w:r>
    </w:p>
    <w:p>
      <w:pPr>
        <w:spacing w:after="0" w:line="204" w:lineRule="auto"/>
        <w:rPr>
          <w:sz w:val="20"/>
          <w:szCs w:val="20"/>
          <w:color w:val="auto"/>
        </w:rPr>
      </w:pPr>
      <w:r>
        <w:rPr>
          <w:rFonts w:ascii="Times New Roman" w:cs="Times New Roman" w:eastAsia="Times New Roman" w:hAnsi="Times New Roman"/>
          <w:sz w:val="16"/>
          <w:szCs w:val="16"/>
          <w:color w:val="auto"/>
        </w:rPr>
        <w:t>losses associated with these instruments will remain in</w:t>
      </w:r>
    </w:p>
    <w:p>
      <w:pPr>
        <w:spacing w:after="0" w:line="203" w:lineRule="auto"/>
        <w:rPr>
          <w:sz w:val="20"/>
          <w:szCs w:val="20"/>
          <w:color w:val="auto"/>
        </w:rPr>
      </w:pPr>
      <w:r>
        <w:rPr>
          <w:rFonts w:ascii="Times New Roman" w:cs="Times New Roman" w:eastAsia="Times New Roman" w:hAnsi="Times New Roman"/>
          <w:sz w:val="16"/>
          <w:szCs w:val="16"/>
          <w:color w:val="auto"/>
        </w:rPr>
        <w:t>accumulated other comprehensive loss until the foreign</w:t>
      </w:r>
    </w:p>
    <w:p>
      <w:pPr>
        <w:spacing w:after="0" w:line="204" w:lineRule="auto"/>
        <w:rPr>
          <w:sz w:val="20"/>
          <w:szCs w:val="20"/>
          <w:color w:val="auto"/>
        </w:rPr>
      </w:pPr>
      <w:r>
        <w:rPr>
          <w:rFonts w:ascii="Times New Roman" w:cs="Times New Roman" w:eastAsia="Times New Roman" w:hAnsi="Times New Roman"/>
          <w:sz w:val="16"/>
          <w:szCs w:val="16"/>
          <w:color w:val="auto"/>
        </w:rPr>
        <w:t>subsidiaries are sold or substantially liquidated, at which</w:t>
      </w:r>
    </w:p>
    <w:p>
      <w:pPr>
        <w:spacing w:after="0" w:line="203" w:lineRule="auto"/>
        <w:rPr>
          <w:sz w:val="20"/>
          <w:szCs w:val="20"/>
          <w:color w:val="auto"/>
        </w:rPr>
      </w:pPr>
      <w:r>
        <w:rPr>
          <w:rFonts w:ascii="Times New Roman" w:cs="Times New Roman" w:eastAsia="Times New Roman" w:hAnsi="Times New Roman"/>
          <w:sz w:val="16"/>
          <w:szCs w:val="16"/>
          <w:color w:val="auto"/>
        </w:rPr>
        <w:t>point they will be reclassified into earnings.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Credit Risk</w:t>
      </w:r>
    </w:p>
    <w:p>
      <w:pPr>
        <w:spacing w:after="0" w:line="204" w:lineRule="auto"/>
        <w:rPr>
          <w:sz w:val="20"/>
          <w:szCs w:val="20"/>
          <w:color w:val="auto"/>
        </w:rPr>
      </w:pPr>
      <w:r>
        <w:rPr>
          <w:rFonts w:ascii="Times New Roman" w:cs="Times New Roman" w:eastAsia="Times New Roman" w:hAnsi="Times New Roman"/>
          <w:sz w:val="16"/>
          <w:szCs w:val="16"/>
          <w:color w:val="auto"/>
        </w:rPr>
        <w:t>Credit risk is the potential loss due to the default or</w:t>
      </w:r>
    </w:p>
    <w:p>
      <w:pPr>
        <w:spacing w:after="0" w:line="203" w:lineRule="auto"/>
        <w:rPr>
          <w:sz w:val="20"/>
          <w:szCs w:val="20"/>
          <w:color w:val="auto"/>
        </w:rPr>
      </w:pPr>
      <w:r>
        <w:rPr>
          <w:rFonts w:ascii="Times New Roman" w:cs="Times New Roman" w:eastAsia="Times New Roman" w:hAnsi="Times New Roman"/>
          <w:sz w:val="16"/>
          <w:szCs w:val="16"/>
          <w:color w:val="auto"/>
        </w:rPr>
        <w:t>deterioration in credit quality of customers or counterparties.</w:t>
      </w:r>
    </w:p>
    <w:p>
      <w:pPr>
        <w:spacing w:after="0" w:line="204" w:lineRule="auto"/>
        <w:rPr>
          <w:sz w:val="20"/>
          <w:szCs w:val="20"/>
          <w:color w:val="auto"/>
        </w:rPr>
      </w:pPr>
      <w:r>
        <w:rPr>
          <w:rFonts w:ascii="Times New Roman" w:cs="Times New Roman" w:eastAsia="Times New Roman" w:hAnsi="Times New Roman"/>
          <w:sz w:val="16"/>
          <w:szCs w:val="16"/>
          <w:color w:val="auto"/>
        </w:rPr>
        <w:t>We are exposed to credit risk from third parties, including</w:t>
      </w:r>
    </w:p>
    <w:p>
      <w:pPr>
        <w:spacing w:after="0" w:line="203" w:lineRule="auto"/>
        <w:rPr>
          <w:sz w:val="20"/>
          <w:szCs w:val="20"/>
          <w:color w:val="auto"/>
        </w:rPr>
      </w:pPr>
      <w:r>
        <w:rPr>
          <w:rFonts w:ascii="Times New Roman" w:cs="Times New Roman" w:eastAsia="Times New Roman" w:hAnsi="Times New Roman"/>
          <w:sz w:val="16"/>
          <w:szCs w:val="16"/>
          <w:color w:val="auto"/>
        </w:rPr>
        <w:t>customers, counterparties and clearing agents. These parties</w:t>
      </w:r>
    </w:p>
    <w:p>
      <w:pPr>
        <w:spacing w:after="0" w:line="204" w:lineRule="auto"/>
        <w:rPr>
          <w:sz w:val="20"/>
          <w:szCs w:val="20"/>
          <w:color w:val="auto"/>
        </w:rPr>
      </w:pPr>
      <w:r>
        <w:rPr>
          <w:rFonts w:ascii="Times New Roman" w:cs="Times New Roman" w:eastAsia="Times New Roman" w:hAnsi="Times New Roman"/>
          <w:sz w:val="16"/>
          <w:szCs w:val="16"/>
          <w:color w:val="auto"/>
        </w:rPr>
        <w:t>may default on their obligations to us due to bankruptcy, lack</w:t>
      </w:r>
    </w:p>
    <w:p>
      <w:pPr>
        <w:spacing w:after="0" w:line="203" w:lineRule="auto"/>
        <w:rPr>
          <w:sz w:val="20"/>
          <w:szCs w:val="20"/>
          <w:color w:val="auto"/>
        </w:rPr>
      </w:pPr>
      <w:r>
        <w:rPr>
          <w:rFonts w:ascii="Times New Roman" w:cs="Times New Roman" w:eastAsia="Times New Roman" w:hAnsi="Times New Roman"/>
          <w:sz w:val="16"/>
          <w:szCs w:val="16"/>
          <w:color w:val="auto"/>
        </w:rPr>
        <w:t>of liquidity, operational failure or other reasons. We limit our</w:t>
      </w:r>
    </w:p>
    <w:p>
      <w:pPr>
        <w:spacing w:after="0" w:line="204" w:lineRule="auto"/>
        <w:rPr>
          <w:sz w:val="20"/>
          <w:szCs w:val="20"/>
          <w:color w:val="auto"/>
        </w:rPr>
      </w:pPr>
      <w:r>
        <w:rPr>
          <w:rFonts w:ascii="Times New Roman" w:cs="Times New Roman" w:eastAsia="Times New Roman" w:hAnsi="Times New Roman"/>
          <w:sz w:val="16"/>
          <w:szCs w:val="16"/>
          <w:color w:val="auto"/>
        </w:rPr>
        <w:t>exposure to credit risk by evaluating the counterparties with</w:t>
      </w:r>
    </w:p>
    <w:p>
      <w:pPr>
        <w:spacing w:after="0" w:line="203" w:lineRule="auto"/>
        <w:rPr>
          <w:sz w:val="20"/>
          <w:szCs w:val="20"/>
          <w:color w:val="auto"/>
        </w:rPr>
      </w:pPr>
      <w:r>
        <w:rPr>
          <w:rFonts w:ascii="Times New Roman" w:cs="Times New Roman" w:eastAsia="Times New Roman" w:hAnsi="Times New Roman"/>
          <w:sz w:val="16"/>
          <w:szCs w:val="16"/>
          <w:color w:val="auto"/>
        </w:rPr>
        <w:t>which we make investments and execute agreements. For our</w:t>
      </w:r>
    </w:p>
    <w:p>
      <w:pPr>
        <w:spacing w:after="0" w:line="204" w:lineRule="auto"/>
        <w:rPr>
          <w:sz w:val="20"/>
          <w:szCs w:val="20"/>
          <w:color w:val="auto"/>
        </w:rPr>
      </w:pPr>
      <w:r>
        <w:rPr>
          <w:rFonts w:ascii="Times New Roman" w:cs="Times New Roman" w:eastAsia="Times New Roman" w:hAnsi="Times New Roman"/>
          <w:sz w:val="16"/>
          <w:szCs w:val="16"/>
          <w:color w:val="auto"/>
        </w:rPr>
        <w:t>investment portfolio, our objective is to invest in securities to</w:t>
      </w:r>
    </w:p>
    <w:p>
      <w:pPr>
        <w:spacing w:after="0" w:line="203" w:lineRule="auto"/>
        <w:rPr>
          <w:sz w:val="20"/>
          <w:szCs w:val="20"/>
          <w:color w:val="auto"/>
        </w:rPr>
      </w:pPr>
      <w:r>
        <w:rPr>
          <w:rFonts w:ascii="Times New Roman" w:cs="Times New Roman" w:eastAsia="Times New Roman" w:hAnsi="Times New Roman"/>
          <w:sz w:val="16"/>
          <w:szCs w:val="16"/>
          <w:color w:val="auto"/>
        </w:rPr>
        <w:t>preserve principal while maximizing yields, without</w:t>
      </w:r>
    </w:p>
    <w:p>
      <w:pPr>
        <w:spacing w:after="0" w:line="204" w:lineRule="auto"/>
        <w:rPr>
          <w:sz w:val="20"/>
          <w:szCs w:val="20"/>
          <w:color w:val="auto"/>
        </w:rPr>
      </w:pPr>
      <w:r>
        <w:rPr>
          <w:rFonts w:ascii="Times New Roman" w:cs="Times New Roman" w:eastAsia="Times New Roman" w:hAnsi="Times New Roman"/>
          <w:sz w:val="16"/>
          <w:szCs w:val="16"/>
          <w:color w:val="auto"/>
        </w:rPr>
        <w:t>significantly increasing risk. Credit risk associated with</w:t>
      </w:r>
    </w:p>
    <w:p>
      <w:pPr>
        <w:spacing w:after="0" w:line="204" w:lineRule="auto"/>
        <w:rPr>
          <w:sz w:val="20"/>
          <w:szCs w:val="20"/>
          <w:color w:val="auto"/>
        </w:rPr>
      </w:pPr>
      <w:r>
        <w:rPr>
          <w:rFonts w:ascii="Times New Roman" w:cs="Times New Roman" w:eastAsia="Times New Roman" w:hAnsi="Times New Roman"/>
          <w:sz w:val="16"/>
          <w:szCs w:val="16"/>
          <w:color w:val="auto"/>
        </w:rPr>
        <w:t>investments is minimized substantially by ensuring that these</w:t>
      </w:r>
    </w:p>
    <w:p>
      <w:pPr>
        <w:spacing w:after="0" w:line="203" w:lineRule="auto"/>
        <w:rPr>
          <w:sz w:val="20"/>
          <w:szCs w:val="20"/>
          <w:color w:val="auto"/>
        </w:rPr>
      </w:pPr>
      <w:r>
        <w:rPr>
          <w:rFonts w:ascii="Times New Roman" w:cs="Times New Roman" w:eastAsia="Times New Roman" w:hAnsi="Times New Roman"/>
          <w:sz w:val="16"/>
          <w:szCs w:val="16"/>
          <w:color w:val="auto"/>
        </w:rPr>
        <w:t>financial assets are placed with governments which have</w:t>
      </w:r>
    </w:p>
    <w:p>
      <w:pPr>
        <w:spacing w:after="0" w:line="204" w:lineRule="auto"/>
        <w:rPr>
          <w:sz w:val="20"/>
          <w:szCs w:val="20"/>
          <w:color w:val="auto"/>
        </w:rPr>
      </w:pPr>
      <w:r>
        <w:rPr>
          <w:rFonts w:ascii="Times New Roman" w:cs="Times New Roman" w:eastAsia="Times New Roman" w:hAnsi="Times New Roman"/>
          <w:sz w:val="16"/>
          <w:szCs w:val="16"/>
          <w:color w:val="auto"/>
        </w:rPr>
        <w:t>investment grade ratings, well-capitalized financial</w:t>
      </w:r>
    </w:p>
    <w:p>
      <w:pPr>
        <w:spacing w:after="0" w:line="203" w:lineRule="auto"/>
        <w:rPr>
          <w:sz w:val="20"/>
          <w:szCs w:val="20"/>
          <w:color w:val="auto"/>
        </w:rPr>
      </w:pPr>
      <w:r>
        <w:rPr>
          <w:rFonts w:ascii="Times New Roman" w:cs="Times New Roman" w:eastAsia="Times New Roman" w:hAnsi="Times New Roman"/>
          <w:sz w:val="16"/>
          <w:szCs w:val="16"/>
          <w:color w:val="auto"/>
        </w:rPr>
        <w:t>institutions and other creditworthy counterparties.</w:t>
      </w:r>
    </w:p>
    <w:p>
      <w:pPr>
        <w:spacing w:after="0" w:line="204" w:lineRule="auto"/>
        <w:rPr>
          <w:sz w:val="20"/>
          <w:szCs w:val="20"/>
          <w:color w:val="auto"/>
        </w:rPr>
      </w:pPr>
      <w:r>
        <w:rPr>
          <w:rFonts w:ascii="Times New Roman" w:cs="Times New Roman" w:eastAsia="Times New Roman" w:hAnsi="Times New Roman"/>
          <w:sz w:val="16"/>
          <w:szCs w:val="16"/>
          <w:color w:val="auto"/>
        </w:rPr>
        <w:t>Our subsidiary, Nasdaq Execution Services, may be exposed</w:t>
      </w:r>
    </w:p>
    <w:p>
      <w:pPr>
        <w:spacing w:after="0"/>
        <w:rPr>
          <w:sz w:val="20"/>
          <w:szCs w:val="20"/>
          <w:color w:val="auto"/>
        </w:rPr>
      </w:pPr>
      <w:r>
        <w:rPr>
          <w:rFonts w:ascii="Times New Roman" w:cs="Times New Roman" w:eastAsia="Times New Roman" w:hAnsi="Times New Roman"/>
          <w:sz w:val="16"/>
          <w:szCs w:val="16"/>
          <w:color w:val="auto"/>
        </w:rPr>
        <w:t>to credit risk due to the default of trading counterparties in</w:t>
      </w:r>
    </w:p>
    <w:p>
      <w:pPr>
        <w:sectPr>
          <w:pgSz w:w="11900" w:h="16840" w:orient="portrait"/>
          <w:cols w:equalWidth="0" w:num="1">
            <w:col w:w="9400"/>
          </w:cols>
          <w:pgMar w:left="1060" w:top="563" w:right="1440" w:bottom="8"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auto"/>
        </w:rPr>
        <w:t>connection with the routing services it provides for our</w:t>
      </w:r>
    </w:p>
    <w:p>
      <w:pPr>
        <w:spacing w:after="0" w:line="203" w:lineRule="auto"/>
        <w:rPr>
          <w:sz w:val="20"/>
          <w:szCs w:val="20"/>
          <w:color w:val="auto"/>
        </w:rPr>
      </w:pPr>
      <w:r>
        <w:rPr>
          <w:rFonts w:ascii="Times New Roman" w:cs="Times New Roman" w:eastAsia="Times New Roman" w:hAnsi="Times New Roman"/>
          <w:sz w:val="16"/>
          <w:szCs w:val="16"/>
          <w:color w:val="auto"/>
        </w:rPr>
        <w:t>trading customers. System trades in cash equities routed to</w:t>
      </w:r>
    </w:p>
    <w:p>
      <w:pPr>
        <w:spacing w:after="0" w:line="204" w:lineRule="auto"/>
        <w:rPr>
          <w:sz w:val="20"/>
          <w:szCs w:val="20"/>
          <w:color w:val="auto"/>
        </w:rPr>
      </w:pPr>
      <w:r>
        <w:rPr>
          <w:rFonts w:ascii="Times New Roman" w:cs="Times New Roman" w:eastAsia="Times New Roman" w:hAnsi="Times New Roman"/>
          <w:sz w:val="16"/>
          <w:szCs w:val="16"/>
          <w:color w:val="auto"/>
        </w:rPr>
        <w:t>other market centers for members of our cash equity</w:t>
      </w:r>
    </w:p>
    <w:p>
      <w:pPr>
        <w:spacing w:after="0" w:line="203" w:lineRule="auto"/>
        <w:rPr>
          <w:sz w:val="20"/>
          <w:szCs w:val="20"/>
          <w:color w:val="auto"/>
        </w:rPr>
      </w:pPr>
      <w:r>
        <w:rPr>
          <w:rFonts w:ascii="Times New Roman" w:cs="Times New Roman" w:eastAsia="Times New Roman" w:hAnsi="Times New Roman"/>
          <w:sz w:val="16"/>
          <w:szCs w:val="16"/>
          <w:color w:val="auto"/>
        </w:rPr>
        <w:t>exchanges are routed by Nasdaq Execution Services for</w:t>
      </w:r>
    </w:p>
    <w:p>
      <w:pPr>
        <w:spacing w:after="0" w:line="204" w:lineRule="auto"/>
        <w:rPr>
          <w:sz w:val="20"/>
          <w:szCs w:val="20"/>
          <w:color w:val="auto"/>
        </w:rPr>
      </w:pPr>
      <w:r>
        <w:rPr>
          <w:rFonts w:ascii="Times New Roman" w:cs="Times New Roman" w:eastAsia="Times New Roman" w:hAnsi="Times New Roman"/>
          <w:sz w:val="16"/>
          <w:szCs w:val="16"/>
          <w:color w:val="auto"/>
        </w:rPr>
        <w:t>clearing to the NSCC. In this function, Nasdaq Execution</w:t>
      </w:r>
    </w:p>
    <w:p>
      <w:pPr>
        <w:spacing w:after="0" w:line="203" w:lineRule="auto"/>
        <w:rPr>
          <w:sz w:val="20"/>
          <w:szCs w:val="20"/>
          <w:color w:val="auto"/>
        </w:rPr>
      </w:pPr>
      <w:r>
        <w:rPr>
          <w:rFonts w:ascii="Times New Roman" w:cs="Times New Roman" w:eastAsia="Times New Roman" w:hAnsi="Times New Roman"/>
          <w:sz w:val="16"/>
          <w:szCs w:val="16"/>
          <w:color w:val="auto"/>
        </w:rPr>
        <w:t>Services is to be neutral by the end of the trading day, but</w:t>
      </w:r>
    </w:p>
    <w:p>
      <w:pPr>
        <w:spacing w:after="0" w:line="233" w:lineRule="auto"/>
        <w:rPr>
          <w:sz w:val="20"/>
          <w:szCs w:val="20"/>
          <w:color w:val="auto"/>
        </w:rPr>
      </w:pPr>
      <w:r>
        <w:rPr>
          <w:rFonts w:ascii="Times New Roman" w:cs="Times New Roman" w:eastAsia="Times New Roman" w:hAnsi="Times New Roman"/>
          <w:sz w:val="14"/>
          <w:szCs w:val="14"/>
          <w:color w:val="auto"/>
        </w:rPr>
        <w:t>may be exposed to intraday risk if a trade extends beyond the</w:t>
      </w:r>
    </w:p>
    <w:p>
      <w:pPr>
        <w:spacing w:after="0" w:line="203" w:lineRule="auto"/>
        <w:rPr>
          <w:sz w:val="20"/>
          <w:szCs w:val="20"/>
          <w:color w:val="auto"/>
        </w:rPr>
      </w:pPr>
      <w:r>
        <w:rPr>
          <w:rFonts w:ascii="Times New Roman" w:cs="Times New Roman" w:eastAsia="Times New Roman" w:hAnsi="Times New Roman"/>
          <w:sz w:val="16"/>
          <w:szCs w:val="16"/>
          <w:color w:val="auto"/>
        </w:rPr>
        <w:t>trading day and into the next day, thereby leaving Nasdaq</w:t>
      </w:r>
    </w:p>
    <w:p>
      <w:pPr>
        <w:spacing w:after="0" w:line="204" w:lineRule="auto"/>
        <w:rPr>
          <w:sz w:val="20"/>
          <w:szCs w:val="20"/>
          <w:color w:val="auto"/>
        </w:rPr>
      </w:pPr>
      <w:r>
        <w:rPr>
          <w:rFonts w:ascii="Times New Roman" w:cs="Times New Roman" w:eastAsia="Times New Roman" w:hAnsi="Times New Roman"/>
          <w:sz w:val="16"/>
          <w:szCs w:val="16"/>
          <w:color w:val="auto"/>
        </w:rPr>
        <w:t>Execution Services susceptible to counterparty risk in the</w:t>
      </w:r>
    </w:p>
    <w:p>
      <w:pPr>
        <w:spacing w:after="0" w:line="204" w:lineRule="auto"/>
        <w:rPr>
          <w:sz w:val="20"/>
          <w:szCs w:val="20"/>
          <w:color w:val="auto"/>
        </w:rPr>
      </w:pPr>
      <w:r>
        <w:rPr>
          <w:rFonts w:ascii="Times New Roman" w:cs="Times New Roman" w:eastAsia="Times New Roman" w:hAnsi="Times New Roman"/>
          <w:sz w:val="16"/>
          <w:szCs w:val="16"/>
          <w:color w:val="auto"/>
        </w:rPr>
        <w:t>period between accepting the trade and routing it to the</w:t>
      </w:r>
    </w:p>
    <w:p>
      <w:pPr>
        <w:spacing w:after="0" w:line="203" w:lineRule="auto"/>
        <w:rPr>
          <w:sz w:val="20"/>
          <w:szCs w:val="20"/>
          <w:color w:val="auto"/>
        </w:rPr>
      </w:pPr>
      <w:r>
        <w:rPr>
          <w:rFonts w:ascii="Times New Roman" w:cs="Times New Roman" w:eastAsia="Times New Roman" w:hAnsi="Times New Roman"/>
          <w:sz w:val="16"/>
          <w:szCs w:val="16"/>
          <w:color w:val="auto"/>
        </w:rPr>
        <w:t>clearinghouse. In this interim period, Nasdaq Execution</w:t>
      </w:r>
    </w:p>
    <w:p>
      <w:pPr>
        <w:spacing w:after="0" w:line="204" w:lineRule="auto"/>
        <w:rPr>
          <w:sz w:val="20"/>
          <w:szCs w:val="20"/>
          <w:color w:val="auto"/>
        </w:rPr>
      </w:pPr>
      <w:r>
        <w:rPr>
          <w:rFonts w:ascii="Times New Roman" w:cs="Times New Roman" w:eastAsia="Times New Roman" w:hAnsi="Times New Roman"/>
          <w:sz w:val="16"/>
          <w:szCs w:val="16"/>
          <w:color w:val="auto"/>
        </w:rPr>
        <w:t>Services is not novating like a clearing broker but instead is</w:t>
      </w:r>
    </w:p>
    <w:p>
      <w:pPr>
        <w:spacing w:after="0" w:line="203" w:lineRule="auto"/>
        <w:rPr>
          <w:sz w:val="20"/>
          <w:szCs w:val="20"/>
          <w:color w:val="auto"/>
        </w:rPr>
      </w:pPr>
      <w:r>
        <w:rPr>
          <w:rFonts w:ascii="Times New Roman" w:cs="Times New Roman" w:eastAsia="Times New Roman" w:hAnsi="Times New Roman"/>
          <w:sz w:val="16"/>
          <w:szCs w:val="16"/>
          <w:color w:val="auto"/>
        </w:rPr>
        <w:t>subject to the short-term risk of counterparty failure before</w:t>
      </w:r>
    </w:p>
    <w:p>
      <w:pPr>
        <w:spacing w:after="0" w:line="204" w:lineRule="auto"/>
        <w:rPr>
          <w:sz w:val="20"/>
          <w:szCs w:val="20"/>
          <w:color w:val="auto"/>
        </w:rPr>
      </w:pPr>
      <w:r>
        <w:rPr>
          <w:rFonts w:ascii="Times New Roman" w:cs="Times New Roman" w:eastAsia="Times New Roman" w:hAnsi="Times New Roman"/>
          <w:sz w:val="16"/>
          <w:szCs w:val="16"/>
          <w:color w:val="auto"/>
        </w:rPr>
        <w:t>the clearinghouse enters the transaction. Once the</w:t>
      </w:r>
    </w:p>
    <w:p>
      <w:pPr>
        <w:spacing w:after="0" w:line="203" w:lineRule="auto"/>
        <w:rPr>
          <w:sz w:val="20"/>
          <w:szCs w:val="20"/>
          <w:color w:val="auto"/>
        </w:rPr>
      </w:pPr>
      <w:r>
        <w:rPr>
          <w:rFonts w:ascii="Times New Roman" w:cs="Times New Roman" w:eastAsia="Times New Roman" w:hAnsi="Times New Roman"/>
          <w:sz w:val="16"/>
          <w:szCs w:val="16"/>
          <w:color w:val="auto"/>
        </w:rPr>
        <w:t>clearinghouse officially accepts the trade for novation,</w:t>
      </w:r>
    </w:p>
    <w:p>
      <w:pPr>
        <w:spacing w:after="0" w:line="204" w:lineRule="auto"/>
        <w:rPr>
          <w:sz w:val="20"/>
          <w:szCs w:val="20"/>
          <w:color w:val="auto"/>
        </w:rPr>
      </w:pPr>
      <w:r>
        <w:rPr>
          <w:rFonts w:ascii="Times New Roman" w:cs="Times New Roman" w:eastAsia="Times New Roman" w:hAnsi="Times New Roman"/>
          <w:sz w:val="16"/>
          <w:szCs w:val="16"/>
          <w:color w:val="auto"/>
        </w:rPr>
        <w:t>Nasdaq Execution Services is legally removed from trade</w:t>
      </w:r>
    </w:p>
    <w:p>
      <w:pPr>
        <w:spacing w:after="0" w:line="203" w:lineRule="auto"/>
        <w:rPr>
          <w:sz w:val="20"/>
          <w:szCs w:val="20"/>
          <w:color w:val="auto"/>
        </w:rPr>
      </w:pPr>
      <w:r>
        <w:rPr>
          <w:rFonts w:ascii="Times New Roman" w:cs="Times New Roman" w:eastAsia="Times New Roman" w:hAnsi="Times New Roman"/>
          <w:sz w:val="16"/>
          <w:szCs w:val="16"/>
          <w:color w:val="auto"/>
        </w:rPr>
        <w:t>execution risk. However, Nasdaq has membership</w:t>
      </w:r>
    </w:p>
    <w:p>
      <w:pPr>
        <w:spacing w:after="0" w:line="204" w:lineRule="auto"/>
        <w:rPr>
          <w:sz w:val="20"/>
          <w:szCs w:val="20"/>
          <w:color w:val="auto"/>
        </w:rPr>
      </w:pPr>
      <w:r>
        <w:rPr>
          <w:rFonts w:ascii="Times New Roman" w:cs="Times New Roman" w:eastAsia="Times New Roman" w:hAnsi="Times New Roman"/>
          <w:sz w:val="16"/>
          <w:szCs w:val="16"/>
          <w:color w:val="auto"/>
        </w:rPr>
        <w:t>obligations to NSCC independent of Nasdaq Execution</w:t>
      </w:r>
    </w:p>
    <w:p>
      <w:pPr>
        <w:spacing w:after="0" w:line="204" w:lineRule="auto"/>
        <w:rPr>
          <w:sz w:val="20"/>
          <w:szCs w:val="20"/>
          <w:color w:val="auto"/>
        </w:rPr>
      </w:pPr>
      <w:r>
        <w:rPr>
          <w:rFonts w:ascii="Times New Roman" w:cs="Times New Roman" w:eastAsia="Times New Roman" w:hAnsi="Times New Roman"/>
          <w:sz w:val="16"/>
          <w:szCs w:val="16"/>
          <w:color w:val="auto"/>
        </w:rPr>
        <w:t>Services’ arrangements.</w:t>
      </w:r>
    </w:p>
    <w:p>
      <w:pPr>
        <w:spacing w:after="0" w:line="203" w:lineRule="auto"/>
        <w:rPr>
          <w:sz w:val="20"/>
          <w:szCs w:val="20"/>
          <w:color w:val="auto"/>
        </w:rPr>
      </w:pPr>
      <w:r>
        <w:rPr>
          <w:rFonts w:ascii="Times New Roman" w:cs="Times New Roman" w:eastAsia="Times New Roman" w:hAnsi="Times New Roman"/>
          <w:sz w:val="16"/>
          <w:szCs w:val="16"/>
          <w:color w:val="auto"/>
        </w:rPr>
        <w:t>Pursuant to the rules of the NSCC and Nasdaq Execution</w:t>
      </w:r>
    </w:p>
    <w:p>
      <w:pPr>
        <w:spacing w:after="0" w:line="204" w:lineRule="auto"/>
        <w:rPr>
          <w:sz w:val="20"/>
          <w:szCs w:val="20"/>
          <w:color w:val="auto"/>
        </w:rPr>
      </w:pPr>
      <w:r>
        <w:rPr>
          <w:rFonts w:ascii="Times New Roman" w:cs="Times New Roman" w:eastAsia="Times New Roman" w:hAnsi="Times New Roman"/>
          <w:sz w:val="16"/>
          <w:szCs w:val="16"/>
          <w:color w:val="auto"/>
        </w:rPr>
        <w:t>Services’ clearing agreement, Nasdaq Execution Services is</w:t>
      </w:r>
    </w:p>
    <w:p>
      <w:pPr>
        <w:spacing w:after="0" w:line="203" w:lineRule="auto"/>
        <w:rPr>
          <w:sz w:val="20"/>
          <w:szCs w:val="20"/>
          <w:color w:val="auto"/>
        </w:rPr>
      </w:pPr>
      <w:r>
        <w:rPr>
          <w:rFonts w:ascii="Times New Roman" w:cs="Times New Roman" w:eastAsia="Times New Roman" w:hAnsi="Times New Roman"/>
          <w:sz w:val="16"/>
          <w:szCs w:val="16"/>
          <w:color w:val="auto"/>
        </w:rPr>
        <w:t>liable for any losses incurred due to a counterparty or a</w:t>
      </w:r>
    </w:p>
    <w:p>
      <w:pPr>
        <w:spacing w:after="0" w:line="204" w:lineRule="auto"/>
        <w:rPr>
          <w:sz w:val="20"/>
          <w:szCs w:val="20"/>
          <w:color w:val="auto"/>
        </w:rPr>
      </w:pPr>
      <w:r>
        <w:rPr>
          <w:rFonts w:ascii="Times New Roman" w:cs="Times New Roman" w:eastAsia="Times New Roman" w:hAnsi="Times New Roman"/>
          <w:sz w:val="16"/>
          <w:szCs w:val="16"/>
          <w:color w:val="auto"/>
        </w:rPr>
        <w:t>clearing agent’s failure to satisfy its contractual obligations,</w:t>
      </w:r>
    </w:p>
    <w:p>
      <w:pPr>
        <w:spacing w:after="0" w:line="203" w:lineRule="auto"/>
        <w:rPr>
          <w:sz w:val="20"/>
          <w:szCs w:val="20"/>
          <w:color w:val="auto"/>
        </w:rPr>
      </w:pPr>
      <w:r>
        <w:rPr>
          <w:rFonts w:ascii="Times New Roman" w:cs="Times New Roman" w:eastAsia="Times New Roman" w:hAnsi="Times New Roman"/>
          <w:sz w:val="16"/>
          <w:szCs w:val="16"/>
          <w:color w:val="auto"/>
        </w:rPr>
        <w:t>either by making payment or delivering securities. Adverse</w:t>
      </w:r>
    </w:p>
    <w:p>
      <w:pPr>
        <w:spacing w:after="0" w:line="233" w:lineRule="auto"/>
        <w:rPr>
          <w:sz w:val="20"/>
          <w:szCs w:val="20"/>
          <w:color w:val="auto"/>
        </w:rPr>
      </w:pPr>
      <w:r>
        <w:rPr>
          <w:rFonts w:ascii="Times New Roman" w:cs="Times New Roman" w:eastAsia="Times New Roman" w:hAnsi="Times New Roman"/>
          <w:sz w:val="14"/>
          <w:szCs w:val="14"/>
          <w:color w:val="auto"/>
        </w:rPr>
        <w:t>movements in the prices of securities that are subject to these</w:t>
      </w:r>
    </w:p>
    <w:p>
      <w:pPr>
        <w:spacing w:after="0" w:line="233" w:lineRule="auto"/>
        <w:rPr>
          <w:sz w:val="20"/>
          <w:szCs w:val="20"/>
          <w:color w:val="auto"/>
        </w:rPr>
      </w:pPr>
      <w:r>
        <w:rPr>
          <w:rFonts w:ascii="Times New Roman" w:cs="Times New Roman" w:eastAsia="Times New Roman" w:hAnsi="Times New Roman"/>
          <w:sz w:val="14"/>
          <w:szCs w:val="14"/>
          <w:color w:val="auto"/>
        </w:rPr>
        <w:t>transactions can increase our credit risk. However, we believe</w:t>
      </w:r>
    </w:p>
    <w:p>
      <w:pPr>
        <w:spacing w:after="0" w:line="203" w:lineRule="auto"/>
        <w:rPr>
          <w:sz w:val="20"/>
          <w:szCs w:val="20"/>
          <w:color w:val="auto"/>
        </w:rPr>
      </w:pPr>
      <w:r>
        <w:rPr>
          <w:rFonts w:ascii="Times New Roman" w:cs="Times New Roman" w:eastAsia="Times New Roman" w:hAnsi="Times New Roman"/>
          <w:sz w:val="16"/>
          <w:szCs w:val="16"/>
          <w:color w:val="auto"/>
        </w:rPr>
        <w:t>that the risk of material loss is limited, as Nasdaq Execution</w:t>
      </w:r>
    </w:p>
    <w:p>
      <w:pPr>
        <w:spacing w:after="0" w:line="233" w:lineRule="auto"/>
        <w:rPr>
          <w:sz w:val="20"/>
          <w:szCs w:val="20"/>
          <w:color w:val="auto"/>
        </w:rPr>
      </w:pPr>
      <w:r>
        <w:rPr>
          <w:rFonts w:ascii="Times New Roman" w:cs="Times New Roman" w:eastAsia="Times New Roman" w:hAnsi="Times New Roman"/>
          <w:sz w:val="14"/>
          <w:szCs w:val="14"/>
          <w:color w:val="auto"/>
        </w:rPr>
        <w:t>Services’ customers are not permitted to trade on margin and</w:t>
      </w:r>
    </w:p>
    <w:p>
      <w:pPr>
        <w:spacing w:after="0" w:line="203" w:lineRule="auto"/>
        <w:rPr>
          <w:sz w:val="20"/>
          <w:szCs w:val="20"/>
          <w:color w:val="auto"/>
        </w:rPr>
      </w:pPr>
      <w:r>
        <w:rPr>
          <w:rFonts w:ascii="Times New Roman" w:cs="Times New Roman" w:eastAsia="Times New Roman" w:hAnsi="Times New Roman"/>
          <w:sz w:val="16"/>
          <w:szCs w:val="16"/>
          <w:color w:val="auto"/>
        </w:rPr>
        <w:t>NSCC rules limit counterparty risk on self-cleared</w:t>
      </w:r>
    </w:p>
    <w:p>
      <w:pPr>
        <w:spacing w:after="0" w:line="204" w:lineRule="auto"/>
        <w:rPr>
          <w:sz w:val="20"/>
          <w:szCs w:val="20"/>
          <w:color w:val="auto"/>
        </w:rPr>
      </w:pPr>
      <w:r>
        <w:rPr>
          <w:rFonts w:ascii="Times New Roman" w:cs="Times New Roman" w:eastAsia="Times New Roman" w:hAnsi="Times New Roman"/>
          <w:sz w:val="16"/>
          <w:szCs w:val="16"/>
          <w:color w:val="auto"/>
        </w:rPr>
        <w:t>transactions by establishing credit limits and capital deposit</w:t>
      </w:r>
    </w:p>
    <w:p>
      <w:pPr>
        <w:spacing w:after="0" w:line="204" w:lineRule="auto"/>
        <w:rPr>
          <w:sz w:val="20"/>
          <w:szCs w:val="20"/>
          <w:color w:val="auto"/>
        </w:rPr>
      </w:pPr>
      <w:r>
        <w:rPr>
          <w:rFonts w:ascii="Times New Roman" w:cs="Times New Roman" w:eastAsia="Times New Roman" w:hAnsi="Times New Roman"/>
          <w:sz w:val="16"/>
          <w:szCs w:val="16"/>
          <w:color w:val="auto"/>
        </w:rPr>
        <w:t>requirements for all brokers that clear with NSCC.</w:t>
      </w:r>
    </w:p>
    <w:p>
      <w:pPr>
        <w:spacing w:after="0" w:line="232" w:lineRule="auto"/>
        <w:rPr>
          <w:sz w:val="20"/>
          <w:szCs w:val="20"/>
          <w:color w:val="auto"/>
        </w:rPr>
      </w:pPr>
      <w:r>
        <w:rPr>
          <w:rFonts w:ascii="Times New Roman" w:cs="Times New Roman" w:eastAsia="Times New Roman" w:hAnsi="Times New Roman"/>
          <w:sz w:val="14"/>
          <w:szCs w:val="14"/>
          <w:color w:val="auto"/>
        </w:rPr>
        <w:t>Historically, Nasdaq Execution Services has never incurred a</w:t>
      </w:r>
    </w:p>
    <w:p>
      <w:pPr>
        <w:spacing w:after="0" w:line="204" w:lineRule="auto"/>
        <w:rPr>
          <w:sz w:val="20"/>
          <w:szCs w:val="20"/>
          <w:color w:val="auto"/>
        </w:rPr>
      </w:pPr>
      <w:r>
        <w:rPr>
          <w:rFonts w:ascii="Times New Roman" w:cs="Times New Roman" w:eastAsia="Times New Roman" w:hAnsi="Times New Roman"/>
          <w:sz w:val="16"/>
          <w:szCs w:val="16"/>
          <w:color w:val="auto"/>
        </w:rPr>
        <w:t>liability due to a customer’s failure to satisfy its contractual</w:t>
      </w:r>
    </w:p>
    <w:p>
      <w:pPr>
        <w:spacing w:after="0" w:line="203" w:lineRule="auto"/>
        <w:rPr>
          <w:sz w:val="20"/>
          <w:szCs w:val="20"/>
          <w:color w:val="auto"/>
        </w:rPr>
      </w:pPr>
      <w:r>
        <w:rPr>
          <w:rFonts w:ascii="Times New Roman" w:cs="Times New Roman" w:eastAsia="Times New Roman" w:hAnsi="Times New Roman"/>
          <w:sz w:val="16"/>
          <w:szCs w:val="16"/>
          <w:color w:val="auto"/>
        </w:rPr>
        <w:t>obligations as counterparty to a system trade. Credit</w:t>
      </w:r>
    </w:p>
    <w:p>
      <w:pPr>
        <w:spacing w:after="0" w:line="204" w:lineRule="auto"/>
        <w:rPr>
          <w:sz w:val="20"/>
          <w:szCs w:val="20"/>
          <w:color w:val="auto"/>
        </w:rPr>
      </w:pPr>
      <w:r>
        <w:rPr>
          <w:rFonts w:ascii="Times New Roman" w:cs="Times New Roman" w:eastAsia="Times New Roman" w:hAnsi="Times New Roman"/>
          <w:sz w:val="16"/>
          <w:szCs w:val="16"/>
          <w:color w:val="auto"/>
        </w:rPr>
        <w:t>difficulties or insolvency, or the perceived possibility of</w:t>
      </w:r>
    </w:p>
    <w:p>
      <w:pPr>
        <w:spacing w:after="0" w:line="203" w:lineRule="auto"/>
        <w:rPr>
          <w:sz w:val="20"/>
          <w:szCs w:val="20"/>
          <w:color w:val="auto"/>
        </w:rPr>
      </w:pPr>
      <w:r>
        <w:rPr>
          <w:rFonts w:ascii="Times New Roman" w:cs="Times New Roman" w:eastAsia="Times New Roman" w:hAnsi="Times New Roman"/>
          <w:sz w:val="16"/>
          <w:szCs w:val="16"/>
          <w:color w:val="auto"/>
        </w:rPr>
        <w:t>credit difficulties or insolvency, of one or more larger or</w:t>
      </w:r>
    </w:p>
    <w:p>
      <w:pPr>
        <w:spacing w:after="0" w:line="204" w:lineRule="auto"/>
        <w:rPr>
          <w:sz w:val="20"/>
          <w:szCs w:val="20"/>
          <w:color w:val="auto"/>
        </w:rPr>
      </w:pPr>
      <w:r>
        <w:rPr>
          <w:rFonts w:ascii="Times New Roman" w:cs="Times New Roman" w:eastAsia="Times New Roman" w:hAnsi="Times New Roman"/>
          <w:sz w:val="16"/>
          <w:szCs w:val="16"/>
          <w:color w:val="auto"/>
        </w:rPr>
        <w:t>visible market participants could also result in market-wide</w:t>
      </w:r>
    </w:p>
    <w:p>
      <w:pPr>
        <w:spacing w:after="0" w:line="203" w:lineRule="auto"/>
        <w:rPr>
          <w:sz w:val="20"/>
          <w:szCs w:val="20"/>
          <w:color w:val="auto"/>
        </w:rPr>
      </w:pPr>
      <w:r>
        <w:rPr>
          <w:rFonts w:ascii="Times New Roman" w:cs="Times New Roman" w:eastAsia="Times New Roman" w:hAnsi="Times New Roman"/>
          <w:sz w:val="16"/>
          <w:szCs w:val="16"/>
          <w:color w:val="auto"/>
        </w:rPr>
        <w:t>credit difficulties or other market disruptions.</w:t>
      </w:r>
    </w:p>
    <w:p>
      <w:pPr>
        <w:spacing w:after="0" w:line="204" w:lineRule="auto"/>
        <w:rPr>
          <w:sz w:val="20"/>
          <w:szCs w:val="20"/>
          <w:color w:val="auto"/>
        </w:rPr>
      </w:pPr>
      <w:r>
        <w:rPr>
          <w:rFonts w:ascii="Times New Roman" w:cs="Times New Roman" w:eastAsia="Times New Roman" w:hAnsi="Times New Roman"/>
          <w:sz w:val="16"/>
          <w:szCs w:val="16"/>
          <w:color w:val="auto"/>
        </w:rPr>
        <w:t>We have credit risk related to transaction and subscription-</w:t>
      </w:r>
    </w:p>
    <w:p>
      <w:pPr>
        <w:spacing w:after="0" w:line="203" w:lineRule="auto"/>
        <w:rPr>
          <w:sz w:val="20"/>
          <w:szCs w:val="20"/>
          <w:color w:val="auto"/>
        </w:rPr>
      </w:pPr>
      <w:r>
        <w:rPr>
          <w:rFonts w:ascii="Times New Roman" w:cs="Times New Roman" w:eastAsia="Times New Roman" w:hAnsi="Times New Roman"/>
          <w:sz w:val="16"/>
          <w:szCs w:val="16"/>
          <w:color w:val="auto"/>
        </w:rPr>
        <w:t>based revenues that are billed to customers on a monthly or</w:t>
      </w:r>
    </w:p>
    <w:p>
      <w:pPr>
        <w:spacing w:after="0" w:line="204" w:lineRule="auto"/>
        <w:rPr>
          <w:sz w:val="20"/>
          <w:szCs w:val="20"/>
          <w:color w:val="auto"/>
        </w:rPr>
      </w:pPr>
      <w:r>
        <w:rPr>
          <w:rFonts w:ascii="Times New Roman" w:cs="Times New Roman" w:eastAsia="Times New Roman" w:hAnsi="Times New Roman"/>
          <w:sz w:val="16"/>
          <w:szCs w:val="16"/>
          <w:color w:val="auto"/>
        </w:rPr>
        <w:t>quarterly basis, in arrears. Our potential exposure to credit</w:t>
      </w:r>
    </w:p>
    <w:p>
      <w:pPr>
        <w:spacing w:after="0" w:line="204" w:lineRule="auto"/>
        <w:rPr>
          <w:sz w:val="20"/>
          <w:szCs w:val="20"/>
          <w:color w:val="auto"/>
        </w:rPr>
      </w:pPr>
      <w:r>
        <w:rPr>
          <w:rFonts w:ascii="Times New Roman" w:cs="Times New Roman" w:eastAsia="Times New Roman" w:hAnsi="Times New Roman"/>
          <w:sz w:val="16"/>
          <w:szCs w:val="16"/>
          <w:color w:val="auto"/>
        </w:rPr>
        <w:t>losses on these transactions is represented by the receivable</w:t>
      </w:r>
    </w:p>
    <w:p>
      <w:pPr>
        <w:spacing w:after="0" w:line="232" w:lineRule="auto"/>
        <w:rPr>
          <w:sz w:val="20"/>
          <w:szCs w:val="20"/>
          <w:color w:val="auto"/>
        </w:rPr>
      </w:pPr>
      <w:r>
        <w:rPr>
          <w:rFonts w:ascii="Times New Roman" w:cs="Times New Roman" w:eastAsia="Times New Roman" w:hAnsi="Times New Roman"/>
          <w:sz w:val="14"/>
          <w:szCs w:val="14"/>
          <w:color w:val="auto"/>
        </w:rPr>
        <w:t>balances in the Consolidated Balance Sheets. We review and</w:t>
      </w:r>
    </w:p>
    <w:p>
      <w:pPr>
        <w:spacing w:after="0"/>
        <w:rPr>
          <w:sz w:val="20"/>
          <w:szCs w:val="20"/>
          <w:color w:val="auto"/>
        </w:rPr>
      </w:pPr>
      <w:r>
        <w:rPr>
          <w:rFonts w:ascii="Times New Roman" w:cs="Times New Roman" w:eastAsia="Times New Roman" w:hAnsi="Times New Roman"/>
          <w:sz w:val="16"/>
          <w:szCs w:val="16"/>
          <w:color w:val="auto"/>
        </w:rPr>
        <w:t>evaluate changes in the status of our counterparties’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•Liquidity Risk: </w:t>
      </w:r>
      <w:r>
        <w:rPr>
          <w:rFonts w:ascii="Times New Roman" w:cs="Times New Roman" w:eastAsia="Times New Roman" w:hAnsi="Times New Roman"/>
          <w:sz w:val="16"/>
          <w:szCs w:val="16"/>
          <w:color w:val="auto"/>
        </w:rPr>
        <w:t>Liquidity risk is the risk a clearinghouse</w:t>
      </w:r>
    </w:p>
    <w:p>
      <w:pPr>
        <w:spacing w:after="0" w:line="204" w:lineRule="auto"/>
        <w:rPr>
          <w:sz w:val="20"/>
          <w:szCs w:val="20"/>
          <w:color w:val="auto"/>
        </w:rPr>
      </w:pPr>
      <w:r>
        <w:rPr>
          <w:rFonts w:ascii="Times New Roman" w:cs="Times New Roman" w:eastAsia="Times New Roman" w:hAnsi="Times New Roman"/>
          <w:sz w:val="16"/>
          <w:szCs w:val="16"/>
          <w:color w:val="auto"/>
        </w:rPr>
        <w:t>may not be able to meet its payment obligations in the right</w:t>
      </w:r>
    </w:p>
    <w:p>
      <w:pPr>
        <w:spacing w:after="0" w:line="203" w:lineRule="auto"/>
        <w:rPr>
          <w:sz w:val="20"/>
          <w:szCs w:val="20"/>
          <w:color w:val="auto"/>
        </w:rPr>
      </w:pPr>
      <w:r>
        <w:rPr>
          <w:rFonts w:ascii="Times New Roman" w:cs="Times New Roman" w:eastAsia="Times New Roman" w:hAnsi="Times New Roman"/>
          <w:sz w:val="16"/>
          <w:szCs w:val="16"/>
          <w:color w:val="auto"/>
        </w:rPr>
        <w:t>currency, in the right place and the right time. To mitigate</w:t>
      </w:r>
    </w:p>
    <w:p>
      <w:pPr>
        <w:spacing w:after="0" w:line="204" w:lineRule="auto"/>
        <w:rPr>
          <w:sz w:val="20"/>
          <w:szCs w:val="20"/>
          <w:color w:val="auto"/>
        </w:rPr>
      </w:pPr>
      <w:r>
        <w:rPr>
          <w:rFonts w:ascii="Times New Roman" w:cs="Times New Roman" w:eastAsia="Times New Roman" w:hAnsi="Times New Roman"/>
          <w:sz w:val="16"/>
          <w:szCs w:val="16"/>
          <w:color w:val="auto"/>
        </w:rPr>
        <w:t>this risk, the clearinghouse monitors liquidity requirements</w:t>
      </w:r>
    </w:p>
    <w:p>
      <w:pPr>
        <w:spacing w:after="0" w:line="203" w:lineRule="auto"/>
        <w:rPr>
          <w:sz w:val="20"/>
          <w:szCs w:val="20"/>
          <w:color w:val="auto"/>
        </w:rPr>
      </w:pPr>
      <w:r>
        <w:rPr>
          <w:rFonts w:ascii="Times New Roman" w:cs="Times New Roman" w:eastAsia="Times New Roman" w:hAnsi="Times New Roman"/>
          <w:sz w:val="16"/>
          <w:szCs w:val="16"/>
          <w:color w:val="auto"/>
        </w:rPr>
        <w:t>closely and maintains funds and assets in a manner which</w:t>
      </w:r>
    </w:p>
    <w:p>
      <w:pPr>
        <w:spacing w:after="0" w:line="204" w:lineRule="auto"/>
        <w:rPr>
          <w:sz w:val="20"/>
          <w:szCs w:val="20"/>
          <w:color w:val="auto"/>
        </w:rPr>
      </w:pPr>
      <w:r>
        <w:rPr>
          <w:rFonts w:ascii="Times New Roman" w:cs="Times New Roman" w:eastAsia="Times New Roman" w:hAnsi="Times New Roman"/>
          <w:sz w:val="16"/>
          <w:szCs w:val="16"/>
          <w:color w:val="auto"/>
        </w:rPr>
        <w:t>minimizes the risk of loss or delay in the access by the</w:t>
      </w:r>
    </w:p>
    <w:p>
      <w:pPr>
        <w:spacing w:after="0" w:line="203" w:lineRule="auto"/>
        <w:rPr>
          <w:sz w:val="20"/>
          <w:szCs w:val="20"/>
          <w:color w:val="auto"/>
        </w:rPr>
      </w:pPr>
      <w:r>
        <w:rPr>
          <w:rFonts w:ascii="Times New Roman" w:cs="Times New Roman" w:eastAsia="Times New Roman" w:hAnsi="Times New Roman"/>
          <w:sz w:val="16"/>
          <w:szCs w:val="16"/>
          <w:color w:val="auto"/>
        </w:rPr>
        <w:t>clearinghouse to such funds and assets. For example,</w:t>
      </w:r>
    </w:p>
    <w:p>
      <w:pPr>
        <w:spacing w:after="0" w:line="204" w:lineRule="auto"/>
        <w:rPr>
          <w:sz w:val="20"/>
          <w:szCs w:val="20"/>
          <w:color w:val="auto"/>
        </w:rPr>
      </w:pPr>
      <w:r>
        <w:rPr>
          <w:rFonts w:ascii="Times New Roman" w:cs="Times New Roman" w:eastAsia="Times New Roman" w:hAnsi="Times New Roman"/>
          <w:sz w:val="16"/>
          <w:szCs w:val="16"/>
          <w:color w:val="auto"/>
        </w:rPr>
        <w:t>holding funds with a central bank where possible or</w:t>
      </w:r>
    </w:p>
    <w:p>
      <w:pPr>
        <w:spacing w:after="0" w:line="203" w:lineRule="auto"/>
        <w:rPr>
          <w:sz w:val="20"/>
          <w:szCs w:val="20"/>
          <w:color w:val="auto"/>
        </w:rPr>
      </w:pPr>
      <w:r>
        <w:rPr>
          <w:rFonts w:ascii="Times New Roman" w:cs="Times New Roman" w:eastAsia="Times New Roman" w:hAnsi="Times New Roman"/>
          <w:sz w:val="16"/>
          <w:szCs w:val="16"/>
          <w:color w:val="auto"/>
        </w:rPr>
        <w:t>investing in highly liquid government debt instruments</w:t>
      </w:r>
    </w:p>
    <w:p>
      <w:pPr>
        <w:spacing w:after="0" w:line="204" w:lineRule="auto"/>
        <w:rPr>
          <w:sz w:val="20"/>
          <w:szCs w:val="20"/>
          <w:color w:val="auto"/>
        </w:rPr>
      </w:pPr>
      <w:r>
        <w:rPr>
          <w:rFonts w:ascii="Times New Roman" w:cs="Times New Roman" w:eastAsia="Times New Roman" w:hAnsi="Times New Roman"/>
          <w:sz w:val="16"/>
          <w:szCs w:val="16"/>
          <w:color w:val="auto"/>
        </w:rPr>
        <w:t>serves to reduce liquidity risks.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•Interest Rate Risk: </w:t>
      </w:r>
      <w:r>
        <w:rPr>
          <w:rFonts w:ascii="Times New Roman" w:cs="Times New Roman" w:eastAsia="Times New Roman" w:hAnsi="Times New Roman"/>
          <w:sz w:val="16"/>
          <w:szCs w:val="16"/>
          <w:color w:val="auto"/>
        </w:rPr>
        <w:t>Interest rate risk is the risk that interest</w:t>
      </w:r>
    </w:p>
    <w:p>
      <w:pPr>
        <w:spacing w:after="0" w:line="203" w:lineRule="auto"/>
        <w:rPr>
          <w:sz w:val="20"/>
          <w:szCs w:val="20"/>
          <w:color w:val="auto"/>
        </w:rPr>
      </w:pPr>
      <w:r>
        <w:rPr>
          <w:rFonts w:ascii="Times New Roman" w:cs="Times New Roman" w:eastAsia="Times New Roman" w:hAnsi="Times New Roman"/>
          <w:sz w:val="16"/>
          <w:szCs w:val="16"/>
          <w:color w:val="auto"/>
        </w:rPr>
        <w:t>rates rise causing the value of purchased securities to</w:t>
      </w:r>
    </w:p>
    <w:p>
      <w:pPr>
        <w:spacing w:after="0" w:line="204" w:lineRule="auto"/>
        <w:rPr>
          <w:sz w:val="20"/>
          <w:szCs w:val="20"/>
          <w:color w:val="auto"/>
        </w:rPr>
      </w:pPr>
      <w:r>
        <w:rPr>
          <w:rFonts w:ascii="Times New Roman" w:cs="Times New Roman" w:eastAsia="Times New Roman" w:hAnsi="Times New Roman"/>
          <w:sz w:val="16"/>
          <w:szCs w:val="16"/>
          <w:color w:val="auto"/>
        </w:rPr>
        <w:t>decline. If we were required to sell securities prior to</w:t>
      </w:r>
    </w:p>
    <w:p>
      <w:pPr>
        <w:spacing w:after="0" w:line="203" w:lineRule="auto"/>
        <w:rPr>
          <w:sz w:val="20"/>
          <w:szCs w:val="20"/>
          <w:color w:val="auto"/>
        </w:rPr>
      </w:pPr>
      <w:r>
        <w:rPr>
          <w:rFonts w:ascii="Times New Roman" w:cs="Times New Roman" w:eastAsia="Times New Roman" w:hAnsi="Times New Roman"/>
          <w:sz w:val="16"/>
          <w:szCs w:val="16"/>
          <w:color w:val="auto"/>
        </w:rPr>
        <w:t>maturity, and interest rates had risen, the sale of the</w:t>
      </w:r>
    </w:p>
    <w:p>
      <w:pPr>
        <w:spacing w:after="0" w:line="204" w:lineRule="auto"/>
        <w:rPr>
          <w:sz w:val="20"/>
          <w:szCs w:val="20"/>
          <w:color w:val="auto"/>
        </w:rPr>
      </w:pPr>
      <w:r>
        <w:rPr>
          <w:rFonts w:ascii="Times New Roman" w:cs="Times New Roman" w:eastAsia="Times New Roman" w:hAnsi="Times New Roman"/>
          <w:sz w:val="16"/>
          <w:szCs w:val="16"/>
          <w:color w:val="auto"/>
        </w:rPr>
        <w:t>securities might be made at a loss relative to the latest</w:t>
      </w:r>
    </w:p>
    <w:p>
      <w:pPr>
        <w:spacing w:after="0" w:line="203" w:lineRule="auto"/>
        <w:rPr>
          <w:sz w:val="20"/>
          <w:szCs w:val="20"/>
          <w:color w:val="auto"/>
        </w:rPr>
      </w:pPr>
      <w:r>
        <w:rPr>
          <w:rFonts w:ascii="Times New Roman" w:cs="Times New Roman" w:eastAsia="Times New Roman" w:hAnsi="Times New Roman"/>
          <w:sz w:val="16"/>
          <w:szCs w:val="16"/>
          <w:color w:val="auto"/>
        </w:rPr>
        <w:t>market price. Our clearinghouse seeks to manage this risk</w:t>
      </w:r>
    </w:p>
    <w:p>
      <w:pPr>
        <w:spacing w:after="0" w:line="204" w:lineRule="auto"/>
        <w:rPr>
          <w:sz w:val="20"/>
          <w:szCs w:val="20"/>
          <w:color w:val="auto"/>
        </w:rPr>
      </w:pPr>
      <w:r>
        <w:rPr>
          <w:rFonts w:ascii="Times New Roman" w:cs="Times New Roman" w:eastAsia="Times New Roman" w:hAnsi="Times New Roman"/>
          <w:sz w:val="16"/>
          <w:szCs w:val="16"/>
          <w:color w:val="auto"/>
        </w:rPr>
        <w:t>by making short-term investments of members’ cash</w:t>
      </w:r>
    </w:p>
    <w:p>
      <w:pPr>
        <w:spacing w:after="0" w:line="203" w:lineRule="auto"/>
        <w:rPr>
          <w:sz w:val="20"/>
          <w:szCs w:val="20"/>
          <w:color w:val="auto"/>
        </w:rPr>
      </w:pPr>
      <w:r>
        <w:rPr>
          <w:rFonts w:ascii="Times New Roman" w:cs="Times New Roman" w:eastAsia="Times New Roman" w:hAnsi="Times New Roman"/>
          <w:sz w:val="16"/>
          <w:szCs w:val="16"/>
          <w:color w:val="auto"/>
        </w:rPr>
        <w:t>deposits. In addition, the clearinghouse investment</w:t>
      </w:r>
    </w:p>
    <w:p>
      <w:pPr>
        <w:spacing w:after="0" w:line="204" w:lineRule="auto"/>
        <w:rPr>
          <w:sz w:val="20"/>
          <w:szCs w:val="20"/>
          <w:color w:val="auto"/>
        </w:rPr>
      </w:pPr>
      <w:r>
        <w:rPr>
          <w:rFonts w:ascii="Times New Roman" w:cs="Times New Roman" w:eastAsia="Times New Roman" w:hAnsi="Times New Roman"/>
          <w:sz w:val="16"/>
          <w:szCs w:val="16"/>
          <w:color w:val="auto"/>
        </w:rPr>
        <w:t>guidelines allow for direct purchases or repurchase</w:t>
      </w:r>
    </w:p>
    <w:p>
      <w:pPr>
        <w:spacing w:after="0" w:line="204" w:lineRule="auto"/>
        <w:rPr>
          <w:sz w:val="20"/>
          <w:szCs w:val="20"/>
          <w:color w:val="auto"/>
        </w:rPr>
      </w:pPr>
      <w:r>
        <w:rPr>
          <w:rFonts w:ascii="Times New Roman" w:cs="Times New Roman" w:eastAsia="Times New Roman" w:hAnsi="Times New Roman"/>
          <w:sz w:val="16"/>
          <w:szCs w:val="16"/>
          <w:color w:val="auto"/>
        </w:rPr>
        <w:t>agreements with short dated maturities of high quality</w:t>
      </w:r>
    </w:p>
    <w:p>
      <w:pPr>
        <w:spacing w:after="0" w:line="203" w:lineRule="auto"/>
        <w:rPr>
          <w:sz w:val="20"/>
          <w:szCs w:val="20"/>
          <w:color w:val="auto"/>
        </w:rPr>
      </w:pPr>
      <w:r>
        <w:rPr>
          <w:rFonts w:ascii="Times New Roman" w:cs="Times New Roman" w:eastAsia="Times New Roman" w:hAnsi="Times New Roman"/>
          <w:sz w:val="16"/>
          <w:szCs w:val="16"/>
          <w:color w:val="auto"/>
        </w:rPr>
        <w:t>sovereign debt (for example, European government and</w:t>
      </w:r>
    </w:p>
    <w:p>
      <w:pPr>
        <w:spacing w:after="0" w:line="204" w:lineRule="auto"/>
        <w:rPr>
          <w:sz w:val="20"/>
          <w:szCs w:val="20"/>
          <w:color w:val="auto"/>
        </w:rPr>
      </w:pPr>
      <w:r>
        <w:rPr>
          <w:rFonts w:ascii="Times New Roman" w:cs="Times New Roman" w:eastAsia="Times New Roman" w:hAnsi="Times New Roman"/>
          <w:sz w:val="16"/>
          <w:szCs w:val="16"/>
          <w:color w:val="auto"/>
        </w:rPr>
        <w:t>U.S. Treasury securities), central bank certificates and</w:t>
      </w:r>
    </w:p>
    <w:p>
      <w:pPr>
        <w:spacing w:after="0" w:line="203" w:lineRule="auto"/>
        <w:rPr>
          <w:sz w:val="20"/>
          <w:szCs w:val="20"/>
          <w:color w:val="auto"/>
        </w:rPr>
      </w:pPr>
      <w:r>
        <w:rPr>
          <w:rFonts w:ascii="Times New Roman" w:cs="Times New Roman" w:eastAsia="Times New Roman" w:hAnsi="Times New Roman"/>
          <w:sz w:val="16"/>
          <w:szCs w:val="16"/>
          <w:color w:val="auto"/>
        </w:rPr>
        <w:t>multilateral development bank debt instruments.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•Security Issuer Risk: </w:t>
      </w:r>
      <w:r>
        <w:rPr>
          <w:rFonts w:ascii="Times New Roman" w:cs="Times New Roman" w:eastAsia="Times New Roman" w:hAnsi="Times New Roman"/>
          <w:sz w:val="16"/>
          <w:szCs w:val="16"/>
          <w:color w:val="auto"/>
        </w:rPr>
        <w:t>Security issuer risk is the risk that an</w:t>
      </w:r>
    </w:p>
    <w:p>
      <w:pPr>
        <w:spacing w:after="0" w:line="203" w:lineRule="auto"/>
        <w:rPr>
          <w:sz w:val="20"/>
          <w:szCs w:val="20"/>
          <w:color w:val="auto"/>
        </w:rPr>
      </w:pPr>
      <w:r>
        <w:rPr>
          <w:rFonts w:ascii="Times New Roman" w:cs="Times New Roman" w:eastAsia="Times New Roman" w:hAnsi="Times New Roman"/>
          <w:sz w:val="16"/>
          <w:szCs w:val="16"/>
          <w:color w:val="auto"/>
        </w:rPr>
        <w:t>issuer of a security defaults on its payment when the</w:t>
      </w:r>
    </w:p>
    <w:p>
      <w:pPr>
        <w:spacing w:after="0" w:line="204" w:lineRule="auto"/>
        <w:rPr>
          <w:sz w:val="20"/>
          <w:szCs w:val="20"/>
          <w:color w:val="auto"/>
        </w:rPr>
      </w:pPr>
      <w:r>
        <w:rPr>
          <w:rFonts w:ascii="Times New Roman" w:cs="Times New Roman" w:eastAsia="Times New Roman" w:hAnsi="Times New Roman"/>
          <w:sz w:val="16"/>
          <w:szCs w:val="16"/>
          <w:color w:val="auto"/>
        </w:rPr>
        <w:t>security matures. This risk is mitigated by limiting</w:t>
      </w:r>
    </w:p>
    <w:p>
      <w:pPr>
        <w:spacing w:after="0" w:line="203" w:lineRule="auto"/>
        <w:rPr>
          <w:sz w:val="20"/>
          <w:szCs w:val="20"/>
          <w:color w:val="auto"/>
        </w:rPr>
      </w:pPr>
      <w:r>
        <w:rPr>
          <w:rFonts w:ascii="Times New Roman" w:cs="Times New Roman" w:eastAsia="Times New Roman" w:hAnsi="Times New Roman"/>
          <w:sz w:val="16"/>
          <w:szCs w:val="16"/>
          <w:color w:val="auto"/>
        </w:rPr>
        <w:t>allowable investments and collateral under reverse</w:t>
      </w:r>
    </w:p>
    <w:p>
      <w:pPr>
        <w:spacing w:after="0" w:line="204" w:lineRule="auto"/>
        <w:rPr>
          <w:sz w:val="20"/>
          <w:szCs w:val="20"/>
          <w:color w:val="auto"/>
        </w:rPr>
      </w:pPr>
      <w:r>
        <w:rPr>
          <w:rFonts w:ascii="Times New Roman" w:cs="Times New Roman" w:eastAsia="Times New Roman" w:hAnsi="Times New Roman"/>
          <w:sz w:val="16"/>
          <w:szCs w:val="16"/>
          <w:color w:val="auto"/>
        </w:rPr>
        <w:t>repurchase agreements to high quality sovereign,</w:t>
      </w:r>
    </w:p>
    <w:p>
      <w:pPr>
        <w:spacing w:after="0" w:line="203" w:lineRule="auto"/>
        <w:rPr>
          <w:sz w:val="20"/>
          <w:szCs w:val="20"/>
          <w:color w:val="auto"/>
        </w:rPr>
      </w:pPr>
      <w:r>
        <w:rPr>
          <w:rFonts w:ascii="Times New Roman" w:cs="Times New Roman" w:eastAsia="Times New Roman" w:hAnsi="Times New Roman"/>
          <w:sz w:val="16"/>
          <w:szCs w:val="16"/>
          <w:color w:val="auto"/>
        </w:rPr>
        <w:t>government agency or multilateral development bank debt</w:t>
      </w:r>
    </w:p>
    <w:p>
      <w:pPr>
        <w:spacing w:after="0" w:line="204" w:lineRule="auto"/>
        <w:rPr>
          <w:sz w:val="20"/>
          <w:szCs w:val="20"/>
          <w:color w:val="auto"/>
        </w:rPr>
      </w:pPr>
      <w:r>
        <w:rPr>
          <w:rFonts w:ascii="Times New Roman" w:cs="Times New Roman" w:eastAsia="Times New Roman" w:hAnsi="Times New Roman"/>
          <w:sz w:val="16"/>
          <w:szCs w:val="16"/>
          <w:color w:val="auto"/>
        </w:rPr>
        <w:t>instruments.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CRITICAL ACCOUNTING POLICIES AND</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ESTIMATES</w:t>
      </w:r>
    </w:p>
    <w:p>
      <w:pPr>
        <w:spacing w:after="0" w:line="204" w:lineRule="auto"/>
        <w:rPr>
          <w:sz w:val="20"/>
          <w:szCs w:val="20"/>
          <w:color w:val="auto"/>
        </w:rPr>
      </w:pPr>
      <w:r>
        <w:rPr>
          <w:rFonts w:ascii="Times New Roman" w:cs="Times New Roman" w:eastAsia="Times New Roman" w:hAnsi="Times New Roman"/>
          <w:sz w:val="16"/>
          <w:szCs w:val="16"/>
          <w:color w:val="auto"/>
        </w:rPr>
        <w:t>The preparation of financial statements and related</w:t>
      </w:r>
    </w:p>
    <w:p>
      <w:pPr>
        <w:spacing w:after="0" w:line="203" w:lineRule="auto"/>
        <w:rPr>
          <w:sz w:val="20"/>
          <w:szCs w:val="20"/>
          <w:color w:val="auto"/>
        </w:rPr>
      </w:pPr>
      <w:r>
        <w:rPr>
          <w:rFonts w:ascii="Times New Roman" w:cs="Times New Roman" w:eastAsia="Times New Roman" w:hAnsi="Times New Roman"/>
          <w:sz w:val="16"/>
          <w:szCs w:val="16"/>
          <w:color w:val="auto"/>
        </w:rPr>
        <w:t>disclosures in conformity with U.S. GAAP requires</w:t>
      </w:r>
    </w:p>
    <w:p>
      <w:pPr>
        <w:spacing w:after="0" w:line="233" w:lineRule="auto"/>
        <w:rPr>
          <w:sz w:val="20"/>
          <w:szCs w:val="20"/>
          <w:color w:val="auto"/>
        </w:rPr>
      </w:pPr>
      <w:r>
        <w:rPr>
          <w:rFonts w:ascii="Times New Roman" w:cs="Times New Roman" w:eastAsia="Times New Roman" w:hAnsi="Times New Roman"/>
          <w:sz w:val="14"/>
          <w:szCs w:val="14"/>
          <w:color w:val="auto"/>
        </w:rPr>
        <w:t>management to make judgments, assumptions, and estimates</w:t>
      </w:r>
    </w:p>
    <w:p>
      <w:pPr>
        <w:spacing w:after="0" w:line="233" w:lineRule="auto"/>
        <w:rPr>
          <w:sz w:val="20"/>
          <w:szCs w:val="20"/>
          <w:color w:val="auto"/>
        </w:rPr>
      </w:pPr>
      <w:r>
        <w:rPr>
          <w:rFonts w:ascii="Times New Roman" w:cs="Times New Roman" w:eastAsia="Times New Roman" w:hAnsi="Times New Roman"/>
          <w:sz w:val="14"/>
          <w:szCs w:val="14"/>
          <w:color w:val="auto"/>
        </w:rPr>
        <w:t>that affect the amounts reported in the consolidated financial</w:t>
      </w:r>
    </w:p>
    <w:p>
      <w:pPr>
        <w:spacing w:after="0" w:line="203" w:lineRule="auto"/>
        <w:rPr>
          <w:sz w:val="20"/>
          <w:szCs w:val="20"/>
          <w:color w:val="auto"/>
        </w:rPr>
      </w:pPr>
      <w:r>
        <w:rPr>
          <w:rFonts w:ascii="Times New Roman" w:cs="Times New Roman" w:eastAsia="Times New Roman" w:hAnsi="Times New Roman"/>
          <w:sz w:val="16"/>
          <w:szCs w:val="16"/>
          <w:color w:val="auto"/>
        </w:rPr>
        <w:t>statements and accompanying notes. Note 2, “Summary of</w:t>
      </w:r>
    </w:p>
    <w:p>
      <w:pPr>
        <w:spacing w:after="0" w:line="204" w:lineRule="auto"/>
        <w:rPr>
          <w:sz w:val="20"/>
          <w:szCs w:val="20"/>
          <w:color w:val="auto"/>
        </w:rPr>
      </w:pPr>
      <w:r>
        <w:rPr>
          <w:rFonts w:ascii="Times New Roman" w:cs="Times New Roman" w:eastAsia="Times New Roman" w:hAnsi="Times New Roman"/>
          <w:sz w:val="16"/>
          <w:szCs w:val="16"/>
          <w:color w:val="auto"/>
        </w:rPr>
        <w:t>Significant Accounting Policies,” to the consolidated</w:t>
      </w:r>
    </w:p>
    <w:p>
      <w:pPr>
        <w:spacing w:after="0" w:line="203" w:lineRule="auto"/>
        <w:rPr>
          <w:sz w:val="20"/>
          <w:szCs w:val="20"/>
          <w:color w:val="auto"/>
        </w:rPr>
      </w:pPr>
      <w:r>
        <w:rPr>
          <w:rFonts w:ascii="Times New Roman" w:cs="Times New Roman" w:eastAsia="Times New Roman" w:hAnsi="Times New Roman"/>
          <w:sz w:val="16"/>
          <w:szCs w:val="16"/>
          <w:color w:val="auto"/>
        </w:rPr>
        <w:t>financial statements describes the significant accounting</w:t>
      </w:r>
    </w:p>
    <w:p>
      <w:pPr>
        <w:spacing w:after="0" w:line="204" w:lineRule="auto"/>
        <w:rPr>
          <w:sz w:val="20"/>
          <w:szCs w:val="20"/>
          <w:color w:val="auto"/>
        </w:rPr>
      </w:pPr>
      <w:r>
        <w:rPr>
          <w:rFonts w:ascii="Times New Roman" w:cs="Times New Roman" w:eastAsia="Times New Roman" w:hAnsi="Times New Roman"/>
          <w:sz w:val="16"/>
          <w:szCs w:val="16"/>
          <w:color w:val="auto"/>
        </w:rPr>
        <w:t>policies and methods used in the preparation of the</w:t>
      </w:r>
    </w:p>
    <w:p>
      <w:pPr>
        <w:spacing w:after="0" w:line="203" w:lineRule="auto"/>
        <w:rPr>
          <w:sz w:val="20"/>
          <w:szCs w:val="20"/>
          <w:color w:val="auto"/>
        </w:rPr>
      </w:pPr>
      <w:r>
        <w:rPr>
          <w:rFonts w:ascii="Times New Roman" w:cs="Times New Roman" w:eastAsia="Times New Roman" w:hAnsi="Times New Roman"/>
          <w:sz w:val="16"/>
          <w:szCs w:val="16"/>
          <w:color w:val="auto"/>
        </w:rPr>
        <w:t>consolidated financial statements. The accounting policies</w:t>
      </w:r>
    </w:p>
    <w:p>
      <w:pPr>
        <w:spacing w:after="0" w:line="204" w:lineRule="auto"/>
        <w:rPr>
          <w:sz w:val="20"/>
          <w:szCs w:val="20"/>
          <w:color w:val="auto"/>
        </w:rPr>
      </w:pPr>
      <w:r>
        <w:rPr>
          <w:rFonts w:ascii="Times New Roman" w:cs="Times New Roman" w:eastAsia="Times New Roman" w:hAnsi="Times New Roman"/>
          <w:sz w:val="16"/>
          <w:szCs w:val="16"/>
          <w:color w:val="auto"/>
        </w:rPr>
        <w:t>described below are significantly affected by critical</w:t>
      </w:r>
    </w:p>
    <w:p>
      <w:pPr>
        <w:spacing w:after="0" w:line="203" w:lineRule="auto"/>
        <w:rPr>
          <w:sz w:val="20"/>
          <w:szCs w:val="20"/>
          <w:color w:val="auto"/>
        </w:rPr>
      </w:pPr>
      <w:r>
        <w:rPr>
          <w:rFonts w:ascii="Times New Roman" w:cs="Times New Roman" w:eastAsia="Times New Roman" w:hAnsi="Times New Roman"/>
          <w:sz w:val="16"/>
          <w:szCs w:val="16"/>
          <w:color w:val="auto"/>
        </w:rPr>
        <w:t>accounting estimates. Such accounting policies require</w:t>
      </w:r>
    </w:p>
    <w:p>
      <w:pPr>
        <w:spacing w:after="0" w:line="233" w:lineRule="auto"/>
        <w:rPr>
          <w:sz w:val="20"/>
          <w:szCs w:val="20"/>
          <w:color w:val="auto"/>
        </w:rPr>
      </w:pPr>
      <w:r>
        <w:rPr>
          <w:rFonts w:ascii="Times New Roman" w:cs="Times New Roman" w:eastAsia="Times New Roman" w:hAnsi="Times New Roman"/>
          <w:sz w:val="14"/>
          <w:szCs w:val="14"/>
          <w:color w:val="auto"/>
        </w:rPr>
        <w:t>significant judgments, assumptions, and estimates used in the</w:t>
      </w:r>
    </w:p>
    <w:p>
      <w:pPr>
        <w:spacing w:after="0" w:line="204" w:lineRule="auto"/>
        <w:rPr>
          <w:sz w:val="20"/>
          <w:szCs w:val="20"/>
          <w:color w:val="auto"/>
        </w:rPr>
      </w:pPr>
      <w:r>
        <w:rPr>
          <w:rFonts w:ascii="Times New Roman" w:cs="Times New Roman" w:eastAsia="Times New Roman" w:hAnsi="Times New Roman"/>
          <w:sz w:val="16"/>
          <w:szCs w:val="16"/>
          <w:color w:val="auto"/>
        </w:rPr>
        <w:t>preparation of the consolidated financial statements, and</w:t>
      </w:r>
    </w:p>
    <w:p>
      <w:pPr>
        <w:spacing w:after="0" w:line="203" w:lineRule="auto"/>
        <w:rPr>
          <w:sz w:val="20"/>
          <w:szCs w:val="20"/>
          <w:color w:val="auto"/>
        </w:rPr>
      </w:pPr>
      <w:r>
        <w:rPr>
          <w:rFonts w:ascii="Times New Roman" w:cs="Times New Roman" w:eastAsia="Times New Roman" w:hAnsi="Times New Roman"/>
          <w:sz w:val="16"/>
          <w:szCs w:val="16"/>
          <w:color w:val="auto"/>
        </w:rPr>
        <w:t>actual results could differ materially from the amounts</w:t>
      </w:r>
    </w:p>
    <w:p>
      <w:pPr>
        <w:spacing w:after="0" w:line="204" w:lineRule="auto"/>
        <w:rPr>
          <w:sz w:val="20"/>
          <w:szCs w:val="20"/>
          <w:color w:val="auto"/>
        </w:rPr>
      </w:pPr>
      <w:r>
        <w:rPr>
          <w:rFonts w:ascii="Times New Roman" w:cs="Times New Roman" w:eastAsia="Times New Roman" w:hAnsi="Times New Roman"/>
          <w:sz w:val="16"/>
          <w:szCs w:val="16"/>
          <w:color w:val="auto"/>
        </w:rPr>
        <w:t>reported based on these policies</w:t>
      </w:r>
      <w:r>
        <w:rPr>
          <w:rFonts w:ascii="Times New Roman" w:cs="Times New Roman" w:eastAsia="Times New Roman" w:hAnsi="Times New Roman"/>
          <w:sz w:val="16"/>
          <w:szCs w:val="16"/>
          <w:color w:val="252525"/>
        </w:rPr>
        <w:t>.</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04" w:lineRule="auto"/>
        <w:rPr>
          <w:sz w:val="20"/>
          <w:szCs w:val="20"/>
          <w:color w:val="auto"/>
        </w:rPr>
      </w:pPr>
      <w:r>
        <w:rPr>
          <w:rFonts w:ascii="Times New Roman" w:cs="Times New Roman" w:eastAsia="Times New Roman" w:hAnsi="Times New Roman"/>
          <w:sz w:val="16"/>
          <w:szCs w:val="16"/>
          <w:color w:val="auto"/>
        </w:rPr>
        <w:t>As part of our on-premises offerings for our AxiomSL,</w:t>
      </w:r>
    </w:p>
    <w:p>
      <w:pPr>
        <w:spacing w:after="0" w:line="203" w:lineRule="auto"/>
        <w:rPr>
          <w:sz w:val="20"/>
          <w:szCs w:val="20"/>
          <w:color w:val="auto"/>
        </w:rPr>
      </w:pPr>
      <w:r>
        <w:rPr>
          <w:rFonts w:ascii="Times New Roman" w:cs="Times New Roman" w:eastAsia="Times New Roman" w:hAnsi="Times New Roman"/>
          <w:sz w:val="16"/>
          <w:szCs w:val="16"/>
          <w:color w:val="auto"/>
        </w:rPr>
        <w:t>market technology, and Calypso solutions within our</w:t>
      </w:r>
    </w:p>
    <w:p>
      <w:pPr>
        <w:spacing w:after="0" w:line="204" w:lineRule="auto"/>
        <w:rPr>
          <w:sz w:val="20"/>
          <w:szCs w:val="20"/>
          <w:color w:val="auto"/>
        </w:rPr>
      </w:pPr>
      <w:r>
        <w:rPr>
          <w:rFonts w:ascii="Times New Roman" w:cs="Times New Roman" w:eastAsia="Times New Roman" w:hAnsi="Times New Roman"/>
          <w:sz w:val="16"/>
          <w:szCs w:val="16"/>
          <w:color w:val="auto"/>
        </w:rPr>
        <w:t>Financial Technology segment, we enter into long-term</w:t>
      </w:r>
    </w:p>
    <w:p>
      <w:pPr>
        <w:spacing w:after="0" w:line="204" w:lineRule="auto"/>
        <w:rPr>
          <w:sz w:val="20"/>
          <w:szCs w:val="20"/>
          <w:color w:val="auto"/>
        </w:rPr>
      </w:pPr>
      <w:r>
        <w:rPr>
          <w:rFonts w:ascii="Times New Roman" w:cs="Times New Roman" w:eastAsia="Times New Roman" w:hAnsi="Times New Roman"/>
          <w:sz w:val="16"/>
          <w:szCs w:val="16"/>
          <w:color w:val="auto"/>
        </w:rPr>
        <w:t>contracts with our customers that contain multiple</w:t>
      </w:r>
    </w:p>
    <w:p>
      <w:pPr>
        <w:spacing w:after="0" w:line="203" w:lineRule="auto"/>
        <w:rPr>
          <w:sz w:val="20"/>
          <w:szCs w:val="20"/>
          <w:color w:val="auto"/>
        </w:rPr>
      </w:pPr>
      <w:r>
        <w:rPr>
          <w:rFonts w:ascii="Times New Roman" w:cs="Times New Roman" w:eastAsia="Times New Roman" w:hAnsi="Times New Roman"/>
          <w:sz w:val="16"/>
          <w:szCs w:val="16"/>
          <w:color w:val="auto"/>
        </w:rPr>
        <w:t>performance obligations. These contracts often include</w:t>
      </w:r>
    </w:p>
    <w:p>
      <w:pPr>
        <w:spacing w:after="0"/>
        <w:rPr>
          <w:sz w:val="20"/>
          <w:szCs w:val="20"/>
          <w:color w:val="auto"/>
        </w:rPr>
      </w:pPr>
      <w:r>
        <w:rPr>
          <w:rFonts w:ascii="Times New Roman" w:cs="Times New Roman" w:eastAsia="Times New Roman" w:hAnsi="Times New Roman"/>
          <w:sz w:val="16"/>
          <w:szCs w:val="16"/>
          <w:color w:val="auto"/>
        </w:rPr>
        <w:t>combinations of software licenses, professional services,</w:t>
      </w:r>
    </w:p>
    <w:p>
      <w:pPr>
        <w:sectPr>
          <w:pgSz w:w="11900" w:h="16840" w:orient="portrait"/>
          <w:cols w:equalWidth="0" w:num="1">
            <w:col w:w="9400"/>
          </w:cols>
          <w:pgMar w:left="1060" w:top="547" w:right="1440" w:bottom="104"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PCS, and other services. We allocate the total contract value</w:t>
      </w:r>
    </w:p>
    <w:p>
      <w:pPr>
        <w:spacing w:after="0" w:line="220" w:lineRule="auto"/>
        <w:rPr>
          <w:sz w:val="20"/>
          <w:szCs w:val="20"/>
          <w:color w:val="auto"/>
        </w:rPr>
      </w:pPr>
      <w:r>
        <w:rPr>
          <w:rFonts w:ascii="Times New Roman" w:cs="Times New Roman" w:eastAsia="Times New Roman" w:hAnsi="Times New Roman"/>
          <w:sz w:val="16"/>
          <w:szCs w:val="16"/>
          <w:color w:val="auto"/>
        </w:rPr>
        <w:t>to each performance obligation based on relative standalone</w:t>
      </w:r>
    </w:p>
    <w:p>
      <w:pPr>
        <w:spacing w:after="0" w:line="204" w:lineRule="auto"/>
        <w:rPr>
          <w:sz w:val="20"/>
          <w:szCs w:val="20"/>
          <w:color w:val="auto"/>
        </w:rPr>
      </w:pPr>
      <w:r>
        <w:rPr>
          <w:rFonts w:ascii="Times New Roman" w:cs="Times New Roman" w:eastAsia="Times New Roman" w:hAnsi="Times New Roman"/>
          <w:sz w:val="16"/>
          <w:szCs w:val="16"/>
          <w:color w:val="auto"/>
        </w:rPr>
        <w:t>selling prices, or SSP. When observable prices are not</w:t>
      </w:r>
    </w:p>
    <w:p>
      <w:pPr>
        <w:spacing w:after="0" w:line="203" w:lineRule="auto"/>
        <w:rPr>
          <w:sz w:val="20"/>
          <w:szCs w:val="20"/>
          <w:color w:val="auto"/>
        </w:rPr>
      </w:pPr>
      <w:r>
        <w:rPr>
          <w:rFonts w:ascii="Times New Roman" w:cs="Times New Roman" w:eastAsia="Times New Roman" w:hAnsi="Times New Roman"/>
          <w:sz w:val="16"/>
          <w:szCs w:val="16"/>
          <w:color w:val="auto"/>
        </w:rPr>
        <w:t>available such as, when a product or service is not sold</w:t>
      </w:r>
    </w:p>
    <w:p>
      <w:pPr>
        <w:spacing w:after="0" w:line="204" w:lineRule="auto"/>
        <w:rPr>
          <w:sz w:val="20"/>
          <w:szCs w:val="20"/>
          <w:color w:val="auto"/>
        </w:rPr>
      </w:pPr>
      <w:r>
        <w:rPr>
          <w:rFonts w:ascii="Times New Roman" w:cs="Times New Roman" w:eastAsia="Times New Roman" w:hAnsi="Times New Roman"/>
          <w:sz w:val="16"/>
          <w:szCs w:val="16"/>
          <w:color w:val="auto"/>
        </w:rPr>
        <w:t>separately, we estimate SSP using an expected cost-plus-</w:t>
      </w:r>
    </w:p>
    <w:p>
      <w:pPr>
        <w:spacing w:after="0" w:line="203" w:lineRule="auto"/>
        <w:rPr>
          <w:sz w:val="20"/>
          <w:szCs w:val="20"/>
          <w:color w:val="auto"/>
        </w:rPr>
      </w:pPr>
      <w:r>
        <w:rPr>
          <w:rFonts w:ascii="Times New Roman" w:cs="Times New Roman" w:eastAsia="Times New Roman" w:hAnsi="Times New Roman"/>
          <w:sz w:val="16"/>
          <w:szCs w:val="16"/>
          <w:color w:val="auto"/>
        </w:rPr>
        <w:t>margin approach. In certain cases, we apply a residual</w:t>
      </w:r>
    </w:p>
    <w:p>
      <w:pPr>
        <w:spacing w:after="0" w:line="204" w:lineRule="auto"/>
        <w:rPr>
          <w:sz w:val="20"/>
          <w:szCs w:val="20"/>
          <w:color w:val="auto"/>
        </w:rPr>
      </w:pPr>
      <w:r>
        <w:rPr>
          <w:rFonts w:ascii="Times New Roman" w:cs="Times New Roman" w:eastAsia="Times New Roman" w:hAnsi="Times New Roman"/>
          <w:sz w:val="16"/>
          <w:szCs w:val="16"/>
          <w:color w:val="auto"/>
        </w:rPr>
        <w:t>approach, allocating the remaining transaction price to</w:t>
      </w:r>
    </w:p>
    <w:p>
      <w:pPr>
        <w:spacing w:after="0" w:line="203" w:lineRule="auto"/>
        <w:rPr>
          <w:sz w:val="20"/>
          <w:szCs w:val="20"/>
          <w:color w:val="auto"/>
        </w:rPr>
      </w:pPr>
      <w:r>
        <w:rPr>
          <w:rFonts w:ascii="Times New Roman" w:cs="Times New Roman" w:eastAsia="Times New Roman" w:hAnsi="Times New Roman"/>
          <w:sz w:val="16"/>
          <w:szCs w:val="16"/>
          <w:color w:val="auto"/>
        </w:rPr>
        <w:t>undetermined obligations after assigning amounts to those</w:t>
      </w:r>
    </w:p>
    <w:p>
      <w:pPr>
        <w:spacing w:after="0" w:line="204" w:lineRule="auto"/>
        <w:rPr>
          <w:sz w:val="20"/>
          <w:szCs w:val="20"/>
          <w:color w:val="auto"/>
        </w:rPr>
      </w:pPr>
      <w:r>
        <w:rPr>
          <w:rFonts w:ascii="Times New Roman" w:cs="Times New Roman" w:eastAsia="Times New Roman" w:hAnsi="Times New Roman"/>
          <w:sz w:val="16"/>
          <w:szCs w:val="16"/>
          <w:color w:val="auto"/>
        </w:rPr>
        <w:t>with observable SSPs.</w:t>
      </w:r>
    </w:p>
    <w:p>
      <w:pPr>
        <w:spacing w:after="0" w:line="203" w:lineRule="auto"/>
        <w:rPr>
          <w:sz w:val="20"/>
          <w:szCs w:val="20"/>
          <w:color w:val="auto"/>
        </w:rPr>
      </w:pPr>
      <w:r>
        <w:rPr>
          <w:rFonts w:ascii="Times New Roman" w:cs="Times New Roman" w:eastAsia="Times New Roman" w:hAnsi="Times New Roman"/>
          <w:sz w:val="16"/>
          <w:szCs w:val="16"/>
          <w:color w:val="auto"/>
        </w:rPr>
        <w:t>For AxiomSL on-premises contracts, we account for the</w:t>
      </w:r>
    </w:p>
    <w:p>
      <w:pPr>
        <w:spacing w:after="0" w:line="233" w:lineRule="auto"/>
        <w:rPr>
          <w:sz w:val="20"/>
          <w:szCs w:val="20"/>
          <w:color w:val="auto"/>
        </w:rPr>
      </w:pPr>
      <w:r>
        <w:rPr>
          <w:rFonts w:ascii="Times New Roman" w:cs="Times New Roman" w:eastAsia="Times New Roman" w:hAnsi="Times New Roman"/>
          <w:sz w:val="14"/>
          <w:szCs w:val="14"/>
          <w:color w:val="auto"/>
        </w:rPr>
        <w:t>software license and PCS as a single performance obligation.</w:t>
      </w:r>
    </w:p>
    <w:p>
      <w:pPr>
        <w:spacing w:after="0" w:line="233" w:lineRule="auto"/>
        <w:rPr>
          <w:sz w:val="20"/>
          <w:szCs w:val="20"/>
          <w:color w:val="auto"/>
        </w:rPr>
      </w:pPr>
      <w:r>
        <w:rPr>
          <w:rFonts w:ascii="Times New Roman" w:cs="Times New Roman" w:eastAsia="Times New Roman" w:hAnsi="Times New Roman"/>
          <w:sz w:val="14"/>
          <w:szCs w:val="14"/>
          <w:color w:val="auto"/>
        </w:rPr>
        <w:t>This is due to the frequent and mandatory regulatory updates</w:t>
      </w:r>
    </w:p>
    <w:p>
      <w:pPr>
        <w:spacing w:after="0" w:line="203" w:lineRule="auto"/>
        <w:rPr>
          <w:sz w:val="20"/>
          <w:szCs w:val="20"/>
          <w:color w:val="auto"/>
        </w:rPr>
      </w:pPr>
      <w:r>
        <w:rPr>
          <w:rFonts w:ascii="Times New Roman" w:cs="Times New Roman" w:eastAsia="Times New Roman" w:hAnsi="Times New Roman"/>
          <w:sz w:val="16"/>
          <w:szCs w:val="16"/>
          <w:color w:val="auto"/>
        </w:rPr>
        <w:t>that are integral to the utility of the software. As such,</w:t>
      </w:r>
    </w:p>
    <w:p>
      <w:pPr>
        <w:spacing w:after="0" w:line="204" w:lineRule="auto"/>
        <w:rPr>
          <w:sz w:val="20"/>
          <w:szCs w:val="20"/>
          <w:color w:val="auto"/>
        </w:rPr>
      </w:pPr>
      <w:r>
        <w:rPr>
          <w:rFonts w:ascii="Times New Roman" w:cs="Times New Roman" w:eastAsia="Times New Roman" w:hAnsi="Times New Roman"/>
          <w:sz w:val="16"/>
          <w:szCs w:val="16"/>
          <w:color w:val="auto"/>
        </w:rPr>
        <w:t>revenue is recognized ratably over the contract term,</w:t>
      </w:r>
    </w:p>
    <w:p>
      <w:pPr>
        <w:spacing w:after="0" w:line="204" w:lineRule="auto"/>
        <w:rPr>
          <w:sz w:val="20"/>
          <w:szCs w:val="20"/>
          <w:color w:val="auto"/>
        </w:rPr>
      </w:pPr>
      <w:r>
        <w:rPr>
          <w:rFonts w:ascii="Times New Roman" w:cs="Times New Roman" w:eastAsia="Times New Roman" w:hAnsi="Times New Roman"/>
          <w:sz w:val="16"/>
          <w:szCs w:val="16"/>
          <w:color w:val="auto"/>
        </w:rPr>
        <w:t>reflecting the continuous transfer of value to the customer.</w:t>
      </w:r>
    </w:p>
    <w:p>
      <w:pPr>
        <w:spacing w:after="0" w:line="203" w:lineRule="auto"/>
        <w:rPr>
          <w:sz w:val="20"/>
          <w:szCs w:val="20"/>
          <w:color w:val="auto"/>
        </w:rPr>
      </w:pPr>
      <w:r>
        <w:rPr>
          <w:rFonts w:ascii="Times New Roman" w:cs="Times New Roman" w:eastAsia="Times New Roman" w:hAnsi="Times New Roman"/>
          <w:sz w:val="16"/>
          <w:szCs w:val="16"/>
          <w:color w:val="auto"/>
        </w:rPr>
        <w:t>As part of our on-premises market technology offering, the</w:t>
      </w:r>
    </w:p>
    <w:p>
      <w:pPr>
        <w:spacing w:after="0" w:line="204" w:lineRule="auto"/>
        <w:rPr>
          <w:sz w:val="20"/>
          <w:szCs w:val="20"/>
          <w:color w:val="auto"/>
        </w:rPr>
      </w:pPr>
      <w:r>
        <w:rPr>
          <w:rFonts w:ascii="Times New Roman" w:cs="Times New Roman" w:eastAsia="Times New Roman" w:hAnsi="Times New Roman"/>
          <w:sz w:val="16"/>
          <w:szCs w:val="16"/>
          <w:color w:val="auto"/>
        </w:rPr>
        <w:t>performance obligations within our contracts to develop</w:t>
      </w:r>
    </w:p>
    <w:p>
      <w:pPr>
        <w:spacing w:after="0" w:line="203" w:lineRule="auto"/>
        <w:rPr>
          <w:sz w:val="20"/>
          <w:szCs w:val="20"/>
          <w:color w:val="auto"/>
        </w:rPr>
      </w:pPr>
      <w:r>
        <w:rPr>
          <w:rFonts w:ascii="Times New Roman" w:cs="Times New Roman" w:eastAsia="Times New Roman" w:hAnsi="Times New Roman"/>
          <w:sz w:val="16"/>
          <w:szCs w:val="16"/>
          <w:color w:val="auto"/>
        </w:rPr>
        <w:t>customized technology solutions generally consist of a</w:t>
      </w:r>
    </w:p>
    <w:p>
      <w:pPr>
        <w:spacing w:after="0" w:line="204" w:lineRule="auto"/>
        <w:rPr>
          <w:sz w:val="20"/>
          <w:szCs w:val="20"/>
          <w:color w:val="auto"/>
        </w:rPr>
      </w:pPr>
      <w:r>
        <w:rPr>
          <w:rFonts w:ascii="Times New Roman" w:cs="Times New Roman" w:eastAsia="Times New Roman" w:hAnsi="Times New Roman"/>
          <w:sz w:val="16"/>
          <w:szCs w:val="16"/>
          <w:color w:val="auto"/>
        </w:rPr>
        <w:t>software license and installation service (professional</w:t>
      </w:r>
    </w:p>
    <w:p>
      <w:pPr>
        <w:spacing w:after="0" w:line="203" w:lineRule="auto"/>
        <w:rPr>
          <w:sz w:val="20"/>
          <w:szCs w:val="20"/>
          <w:color w:val="auto"/>
        </w:rPr>
      </w:pPr>
      <w:r>
        <w:rPr>
          <w:rFonts w:ascii="Times New Roman" w:cs="Times New Roman" w:eastAsia="Times New Roman" w:hAnsi="Times New Roman"/>
          <w:sz w:val="16"/>
          <w:szCs w:val="16"/>
          <w:color w:val="auto"/>
        </w:rPr>
        <w:t>services), which together form a single distinct performance</w:t>
      </w:r>
    </w:p>
    <w:p>
      <w:pPr>
        <w:spacing w:after="0" w:line="204" w:lineRule="auto"/>
        <w:rPr>
          <w:sz w:val="20"/>
          <w:szCs w:val="20"/>
          <w:color w:val="auto"/>
        </w:rPr>
      </w:pPr>
      <w:r>
        <w:rPr>
          <w:rFonts w:ascii="Times New Roman" w:cs="Times New Roman" w:eastAsia="Times New Roman" w:hAnsi="Times New Roman"/>
          <w:sz w:val="16"/>
          <w:szCs w:val="16"/>
          <w:color w:val="auto"/>
        </w:rPr>
        <w:t>obligation, as well as PCS. We have determined that the</w:t>
      </w:r>
    </w:p>
    <w:p>
      <w:pPr>
        <w:spacing w:after="0" w:line="232" w:lineRule="auto"/>
        <w:rPr>
          <w:sz w:val="20"/>
          <w:szCs w:val="20"/>
          <w:color w:val="auto"/>
        </w:rPr>
      </w:pPr>
      <w:r>
        <w:rPr>
          <w:rFonts w:ascii="Times New Roman" w:cs="Times New Roman" w:eastAsia="Times New Roman" w:hAnsi="Times New Roman"/>
          <w:sz w:val="14"/>
          <w:szCs w:val="14"/>
          <w:color w:val="auto"/>
        </w:rPr>
        <w:t>software license and installation service are not distinct as the</w:t>
      </w:r>
    </w:p>
    <w:p>
      <w:pPr>
        <w:spacing w:after="0" w:line="204" w:lineRule="auto"/>
        <w:rPr>
          <w:sz w:val="20"/>
          <w:szCs w:val="20"/>
          <w:color w:val="auto"/>
        </w:rPr>
      </w:pPr>
      <w:r>
        <w:rPr>
          <w:rFonts w:ascii="Times New Roman" w:cs="Times New Roman" w:eastAsia="Times New Roman" w:hAnsi="Times New Roman"/>
          <w:sz w:val="16"/>
          <w:szCs w:val="16"/>
          <w:color w:val="auto"/>
        </w:rPr>
        <w:t>license and the customized installation service are inputs to</w:t>
      </w:r>
    </w:p>
    <w:p>
      <w:pPr>
        <w:spacing w:after="0" w:line="203" w:lineRule="auto"/>
        <w:rPr>
          <w:sz w:val="20"/>
          <w:szCs w:val="20"/>
          <w:color w:val="auto"/>
        </w:rPr>
      </w:pPr>
      <w:r>
        <w:rPr>
          <w:rFonts w:ascii="Times New Roman" w:cs="Times New Roman" w:eastAsia="Times New Roman" w:hAnsi="Times New Roman"/>
          <w:sz w:val="16"/>
          <w:szCs w:val="16"/>
          <w:color w:val="auto"/>
        </w:rPr>
        <w:t>produce the combined output, a functional and integrated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software system. Revenue for this combined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54</w:t>
      </w:r>
    </w:p>
    <w:p>
      <w:pPr>
        <w:spacing w:after="0" w:line="232" w:lineRule="auto"/>
        <w:rPr>
          <w:sz w:val="20"/>
          <w:szCs w:val="20"/>
          <w:color w:val="auto"/>
        </w:rPr>
      </w:pPr>
      <w:r>
        <w:rPr>
          <w:rFonts w:ascii="Times New Roman" w:cs="Times New Roman" w:eastAsia="Times New Roman" w:hAnsi="Times New Roman"/>
          <w:sz w:val="14"/>
          <w:szCs w:val="14"/>
          <w:color w:val="auto"/>
        </w:rPr>
        <w:t>selecting the appropriate method to measure progress toward</w:t>
      </w:r>
    </w:p>
    <w:p>
      <w:pPr>
        <w:spacing w:after="0" w:line="233" w:lineRule="auto"/>
        <w:rPr>
          <w:sz w:val="20"/>
          <w:szCs w:val="20"/>
          <w:color w:val="auto"/>
        </w:rPr>
      </w:pPr>
      <w:r>
        <w:rPr>
          <w:rFonts w:ascii="Times New Roman" w:cs="Times New Roman" w:eastAsia="Times New Roman" w:hAnsi="Times New Roman"/>
          <w:sz w:val="14"/>
          <w:szCs w:val="14"/>
          <w:color w:val="auto"/>
        </w:rPr>
        <w:t>satisfaction of those obligations, such as the input method for</w:t>
      </w:r>
    </w:p>
    <w:p>
      <w:pPr>
        <w:spacing w:after="0" w:line="232" w:lineRule="auto"/>
        <w:rPr>
          <w:sz w:val="20"/>
          <w:szCs w:val="20"/>
          <w:color w:val="auto"/>
        </w:rPr>
      </w:pPr>
      <w:r>
        <w:rPr>
          <w:rFonts w:ascii="Times New Roman" w:cs="Times New Roman" w:eastAsia="Times New Roman" w:hAnsi="Times New Roman"/>
          <w:sz w:val="14"/>
          <w:szCs w:val="14"/>
          <w:color w:val="auto"/>
        </w:rPr>
        <w:t>long-term implementation services. If estimated total contract</w:t>
      </w:r>
    </w:p>
    <w:p>
      <w:pPr>
        <w:spacing w:after="0" w:line="233" w:lineRule="auto"/>
        <w:rPr>
          <w:sz w:val="20"/>
          <w:szCs w:val="20"/>
          <w:color w:val="auto"/>
        </w:rPr>
      </w:pPr>
      <w:r>
        <w:rPr>
          <w:rFonts w:ascii="Times New Roman" w:cs="Times New Roman" w:eastAsia="Times New Roman" w:hAnsi="Times New Roman"/>
          <w:sz w:val="14"/>
          <w:szCs w:val="14"/>
          <w:color w:val="auto"/>
        </w:rPr>
        <w:t>costs exceed total revenues, we record a provision for the full</w:t>
      </w:r>
    </w:p>
    <w:p>
      <w:pPr>
        <w:spacing w:after="0" w:line="204" w:lineRule="auto"/>
        <w:rPr>
          <w:sz w:val="20"/>
          <w:szCs w:val="20"/>
          <w:color w:val="auto"/>
        </w:rPr>
      </w:pPr>
      <w:r>
        <w:rPr>
          <w:rFonts w:ascii="Times New Roman" w:cs="Times New Roman" w:eastAsia="Times New Roman" w:hAnsi="Times New Roman"/>
          <w:sz w:val="16"/>
          <w:szCs w:val="16"/>
          <w:color w:val="auto"/>
        </w:rPr>
        <w:t>expected loss in the period the loss is identified.</w:t>
      </w:r>
    </w:p>
    <w:p>
      <w:pPr>
        <w:spacing w:after="0" w:line="232" w:lineRule="auto"/>
        <w:rPr>
          <w:sz w:val="20"/>
          <w:szCs w:val="20"/>
          <w:color w:val="auto"/>
        </w:rPr>
      </w:pPr>
      <w:r>
        <w:rPr>
          <w:rFonts w:ascii="Times New Roman" w:cs="Times New Roman" w:eastAsia="Times New Roman" w:hAnsi="Times New Roman"/>
          <w:sz w:val="14"/>
          <w:szCs w:val="14"/>
          <w:color w:val="auto"/>
        </w:rPr>
        <w:t>Due to the significance of judgment in the estimation process,</w:t>
      </w:r>
    </w:p>
    <w:p>
      <w:pPr>
        <w:spacing w:after="0" w:line="204" w:lineRule="auto"/>
        <w:rPr>
          <w:sz w:val="20"/>
          <w:szCs w:val="20"/>
          <w:color w:val="auto"/>
        </w:rPr>
      </w:pPr>
      <w:r>
        <w:rPr>
          <w:rFonts w:ascii="Times New Roman" w:cs="Times New Roman" w:eastAsia="Times New Roman" w:hAnsi="Times New Roman"/>
          <w:sz w:val="16"/>
          <w:szCs w:val="16"/>
          <w:color w:val="auto"/>
        </w:rPr>
        <w:t>as discussed above, changes in assumptions and estimates</w:t>
      </w:r>
    </w:p>
    <w:p>
      <w:pPr>
        <w:spacing w:after="0" w:line="203" w:lineRule="auto"/>
        <w:rPr>
          <w:sz w:val="20"/>
          <w:szCs w:val="20"/>
          <w:color w:val="auto"/>
        </w:rPr>
      </w:pPr>
      <w:r>
        <w:rPr>
          <w:rFonts w:ascii="Times New Roman" w:cs="Times New Roman" w:eastAsia="Times New Roman" w:hAnsi="Times New Roman"/>
          <w:sz w:val="16"/>
          <w:szCs w:val="16"/>
          <w:color w:val="auto"/>
        </w:rPr>
        <w:t>may adversely or positively affect financial performance in</w:t>
      </w:r>
    </w:p>
    <w:p>
      <w:pPr>
        <w:spacing w:after="0" w:line="204" w:lineRule="auto"/>
        <w:rPr>
          <w:sz w:val="20"/>
          <w:szCs w:val="20"/>
          <w:color w:val="auto"/>
        </w:rPr>
      </w:pPr>
      <w:r>
        <w:rPr>
          <w:rFonts w:ascii="Times New Roman" w:cs="Times New Roman" w:eastAsia="Times New Roman" w:hAnsi="Times New Roman"/>
          <w:sz w:val="16"/>
          <w:szCs w:val="16"/>
          <w:color w:val="auto"/>
        </w:rPr>
        <w:t>future periods.</w:t>
      </w:r>
    </w:p>
    <w:p>
      <w:pPr>
        <w:spacing w:after="0" w:line="203" w:lineRule="auto"/>
        <w:rPr>
          <w:sz w:val="20"/>
          <w:szCs w:val="20"/>
          <w:color w:val="auto"/>
        </w:rPr>
      </w:pPr>
      <w:r>
        <w:rPr>
          <w:rFonts w:ascii="Times New Roman" w:cs="Times New Roman" w:eastAsia="Times New Roman" w:hAnsi="Times New Roman"/>
          <w:sz w:val="16"/>
          <w:szCs w:val="16"/>
          <w:color w:val="auto"/>
        </w:rPr>
        <w:t>For further discussion related to recognition of these</w:t>
      </w:r>
    </w:p>
    <w:p>
      <w:pPr>
        <w:spacing w:after="0" w:line="204" w:lineRule="auto"/>
        <w:rPr>
          <w:sz w:val="20"/>
          <w:szCs w:val="20"/>
          <w:color w:val="auto"/>
        </w:rPr>
      </w:pPr>
      <w:r>
        <w:rPr>
          <w:rFonts w:ascii="Times New Roman" w:cs="Times New Roman" w:eastAsia="Times New Roman" w:hAnsi="Times New Roman"/>
          <w:sz w:val="16"/>
          <w:szCs w:val="16"/>
          <w:color w:val="auto"/>
        </w:rPr>
        <w:t>revenues, see “Revenue From Contracts with Customers -</w:t>
      </w:r>
    </w:p>
    <w:p>
      <w:pPr>
        <w:spacing w:after="0" w:line="203" w:lineRule="auto"/>
        <w:rPr>
          <w:sz w:val="20"/>
          <w:szCs w:val="20"/>
          <w:color w:val="auto"/>
        </w:rPr>
      </w:pPr>
      <w:r>
        <w:rPr>
          <w:rFonts w:ascii="Times New Roman" w:cs="Times New Roman" w:eastAsia="Times New Roman" w:hAnsi="Times New Roman"/>
          <w:sz w:val="16"/>
          <w:szCs w:val="16"/>
          <w:color w:val="auto"/>
        </w:rPr>
        <w:t>Revenue Recognition,” of Note 2, “Summary of Significant</w:t>
      </w:r>
    </w:p>
    <w:p>
      <w:pPr>
        <w:spacing w:after="0" w:line="204" w:lineRule="auto"/>
        <w:rPr>
          <w:sz w:val="20"/>
          <w:szCs w:val="20"/>
          <w:color w:val="auto"/>
        </w:rPr>
      </w:pPr>
      <w:r>
        <w:rPr>
          <w:rFonts w:ascii="Times New Roman" w:cs="Times New Roman" w:eastAsia="Times New Roman" w:hAnsi="Times New Roman"/>
          <w:sz w:val="16"/>
          <w:szCs w:val="16"/>
          <w:color w:val="auto"/>
        </w:rPr>
        <w:t>Accounting Policies,” to the consolidated financial</w:t>
      </w:r>
    </w:p>
    <w:p>
      <w:pPr>
        <w:spacing w:after="0" w:line="203" w:lineRule="auto"/>
        <w:rPr>
          <w:sz w:val="20"/>
          <w:szCs w:val="20"/>
          <w:color w:val="auto"/>
        </w:rPr>
      </w:pPr>
      <w:r>
        <w:rPr>
          <w:rFonts w:ascii="Times New Roman" w:cs="Times New Roman" w:eastAsia="Times New Roman" w:hAnsi="Times New Roman"/>
          <w:sz w:val="16"/>
          <w:szCs w:val="16"/>
          <w:color w:val="auto"/>
        </w:rPr>
        <w:t>statements.</w:t>
      </w:r>
    </w:p>
    <w:p>
      <w:pPr>
        <w:spacing w:after="0" w:line="233" w:lineRule="auto"/>
        <w:rPr>
          <w:sz w:val="20"/>
          <w:szCs w:val="20"/>
          <w:color w:val="auto"/>
        </w:rPr>
      </w:pPr>
      <w:r>
        <w:rPr>
          <w:rFonts w:ascii="Times New Roman" w:cs="Times New Roman" w:eastAsia="Times New Roman" w:hAnsi="Times New Roman"/>
          <w:sz w:val="14"/>
          <w:szCs w:val="14"/>
          <w:b w:val="1"/>
          <w:bCs w:val="1"/>
          <w:color w:val="auto"/>
        </w:rPr>
        <w:t>Goodwill, Indefinite-Lived Intangible Assets and Related</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Impairment Testing</w:t>
      </w:r>
    </w:p>
    <w:p>
      <w:pPr>
        <w:spacing w:after="0" w:line="203" w:lineRule="auto"/>
        <w:rPr>
          <w:sz w:val="20"/>
          <w:szCs w:val="20"/>
          <w:color w:val="auto"/>
        </w:rPr>
      </w:pPr>
      <w:r>
        <w:rPr>
          <w:rFonts w:ascii="Times New Roman" w:cs="Times New Roman" w:eastAsia="Times New Roman" w:hAnsi="Times New Roman"/>
          <w:sz w:val="16"/>
          <w:szCs w:val="16"/>
          <w:color w:val="auto"/>
        </w:rPr>
        <w:t>Assets acquired and liabilities assumed in connection with</w:t>
      </w:r>
    </w:p>
    <w:p>
      <w:pPr>
        <w:spacing w:after="0" w:line="204" w:lineRule="auto"/>
        <w:rPr>
          <w:sz w:val="20"/>
          <w:szCs w:val="20"/>
          <w:color w:val="auto"/>
        </w:rPr>
      </w:pPr>
      <w:r>
        <w:rPr>
          <w:rFonts w:ascii="Times New Roman" w:cs="Times New Roman" w:eastAsia="Times New Roman" w:hAnsi="Times New Roman"/>
          <w:sz w:val="16"/>
          <w:szCs w:val="16"/>
          <w:color w:val="auto"/>
        </w:rPr>
        <w:t>our acquisitions are recorded at their estimated fair values.</w:t>
      </w:r>
    </w:p>
    <w:p>
      <w:pPr>
        <w:spacing w:after="0" w:line="203" w:lineRule="auto"/>
        <w:rPr>
          <w:sz w:val="20"/>
          <w:szCs w:val="20"/>
          <w:color w:val="auto"/>
        </w:rPr>
      </w:pPr>
      <w:r>
        <w:rPr>
          <w:rFonts w:ascii="Times New Roman" w:cs="Times New Roman" w:eastAsia="Times New Roman" w:hAnsi="Times New Roman"/>
          <w:sz w:val="16"/>
          <w:szCs w:val="16"/>
          <w:color w:val="auto"/>
        </w:rPr>
        <w:t>Goodwill represents the excess of purchase price over the</w:t>
      </w:r>
    </w:p>
    <w:p>
      <w:pPr>
        <w:spacing w:after="0" w:line="204" w:lineRule="auto"/>
        <w:rPr>
          <w:sz w:val="20"/>
          <w:szCs w:val="20"/>
          <w:color w:val="auto"/>
        </w:rPr>
      </w:pPr>
      <w:r>
        <w:rPr>
          <w:rFonts w:ascii="Times New Roman" w:cs="Times New Roman" w:eastAsia="Times New Roman" w:hAnsi="Times New Roman"/>
          <w:sz w:val="16"/>
          <w:szCs w:val="16"/>
          <w:color w:val="auto"/>
        </w:rPr>
        <w:t>estimated fair value assigned to the net assets, including</w:t>
      </w:r>
    </w:p>
    <w:p>
      <w:pPr>
        <w:spacing w:after="0" w:line="203" w:lineRule="auto"/>
        <w:rPr>
          <w:sz w:val="20"/>
          <w:szCs w:val="20"/>
          <w:color w:val="auto"/>
        </w:rPr>
      </w:pPr>
      <w:r>
        <w:rPr>
          <w:rFonts w:ascii="Times New Roman" w:cs="Times New Roman" w:eastAsia="Times New Roman" w:hAnsi="Times New Roman"/>
          <w:sz w:val="16"/>
          <w:szCs w:val="16"/>
          <w:color w:val="auto"/>
        </w:rPr>
        <w:t>identifiable intangible assets, of a business acquired.</w:t>
      </w:r>
    </w:p>
    <w:p>
      <w:pPr>
        <w:spacing w:after="0" w:line="204" w:lineRule="auto"/>
        <w:rPr>
          <w:sz w:val="20"/>
          <w:szCs w:val="20"/>
          <w:color w:val="auto"/>
        </w:rPr>
      </w:pPr>
      <w:r>
        <w:rPr>
          <w:rFonts w:ascii="Times New Roman" w:cs="Times New Roman" w:eastAsia="Times New Roman" w:hAnsi="Times New Roman"/>
          <w:sz w:val="16"/>
          <w:szCs w:val="16"/>
          <w:color w:val="auto"/>
        </w:rPr>
        <w:t>Goodwill is allocated to our reporting units based on the</w:t>
      </w:r>
    </w:p>
    <w:p>
      <w:pPr>
        <w:spacing w:after="0" w:line="204" w:lineRule="auto"/>
        <w:rPr>
          <w:sz w:val="20"/>
          <w:szCs w:val="20"/>
          <w:color w:val="auto"/>
        </w:rPr>
      </w:pPr>
      <w:r>
        <w:rPr>
          <w:rFonts w:ascii="Times New Roman" w:cs="Times New Roman" w:eastAsia="Times New Roman" w:hAnsi="Times New Roman"/>
          <w:sz w:val="16"/>
          <w:szCs w:val="16"/>
          <w:color w:val="auto"/>
        </w:rPr>
        <w:t>assignment of the fair values of each reporting unit of the</w:t>
      </w:r>
    </w:p>
    <w:p>
      <w:pPr>
        <w:spacing w:after="0" w:line="203" w:lineRule="auto"/>
        <w:rPr>
          <w:sz w:val="20"/>
          <w:szCs w:val="20"/>
          <w:color w:val="auto"/>
        </w:rPr>
      </w:pPr>
      <w:r>
        <w:rPr>
          <w:rFonts w:ascii="Times New Roman" w:cs="Times New Roman" w:eastAsia="Times New Roman" w:hAnsi="Times New Roman"/>
          <w:sz w:val="16"/>
          <w:szCs w:val="16"/>
          <w:color w:val="auto"/>
        </w:rPr>
        <w:t>acquired company. We recognize specifically identifiable</w:t>
      </w:r>
    </w:p>
    <w:p>
      <w:pPr>
        <w:spacing w:after="0" w:line="204" w:lineRule="auto"/>
        <w:rPr>
          <w:sz w:val="20"/>
          <w:szCs w:val="20"/>
          <w:color w:val="auto"/>
        </w:rPr>
      </w:pPr>
      <w:r>
        <w:rPr>
          <w:rFonts w:ascii="Times New Roman" w:cs="Times New Roman" w:eastAsia="Times New Roman" w:hAnsi="Times New Roman"/>
          <w:sz w:val="16"/>
          <w:szCs w:val="16"/>
          <w:color w:val="auto"/>
        </w:rPr>
        <w:t>intangibles, such as customer relationships, technology,</w:t>
      </w:r>
    </w:p>
    <w:p>
      <w:pPr>
        <w:spacing w:after="0" w:line="232" w:lineRule="auto"/>
        <w:rPr>
          <w:sz w:val="20"/>
          <w:szCs w:val="20"/>
          <w:color w:val="auto"/>
        </w:rPr>
      </w:pPr>
      <w:r>
        <w:rPr>
          <w:rFonts w:ascii="Times New Roman" w:cs="Times New Roman" w:eastAsia="Times New Roman" w:hAnsi="Times New Roman"/>
          <w:sz w:val="14"/>
          <w:szCs w:val="14"/>
          <w:color w:val="auto"/>
        </w:rPr>
        <w:t>exchange and clearing registrations, trade names and licenses</w:t>
      </w:r>
    </w:p>
    <w:p>
      <w:pPr>
        <w:spacing w:after="0" w:line="204" w:lineRule="auto"/>
        <w:rPr>
          <w:sz w:val="20"/>
          <w:szCs w:val="20"/>
          <w:color w:val="auto"/>
        </w:rPr>
      </w:pPr>
      <w:r>
        <w:rPr>
          <w:rFonts w:ascii="Times New Roman" w:cs="Times New Roman" w:eastAsia="Times New Roman" w:hAnsi="Times New Roman"/>
          <w:sz w:val="16"/>
          <w:szCs w:val="16"/>
          <w:color w:val="auto"/>
        </w:rPr>
        <w:t>when a specific right or contract is acquired. Goodwill and</w:t>
      </w:r>
    </w:p>
    <w:p>
      <w:pPr>
        <w:spacing w:after="0" w:line="203" w:lineRule="auto"/>
        <w:rPr>
          <w:sz w:val="20"/>
          <w:szCs w:val="20"/>
          <w:color w:val="auto"/>
        </w:rPr>
      </w:pPr>
      <w:r>
        <w:rPr>
          <w:rFonts w:ascii="Times New Roman" w:cs="Times New Roman" w:eastAsia="Times New Roman" w:hAnsi="Times New Roman"/>
          <w:sz w:val="16"/>
          <w:szCs w:val="16"/>
          <w:color w:val="auto"/>
        </w:rPr>
        <w:t>intangible assets deemed to have indefinite useful lives,</w:t>
      </w:r>
    </w:p>
    <w:p>
      <w:pPr>
        <w:spacing w:after="0" w:line="204" w:lineRule="auto"/>
        <w:rPr>
          <w:sz w:val="20"/>
          <w:szCs w:val="20"/>
          <w:color w:val="auto"/>
        </w:rPr>
      </w:pPr>
      <w:r>
        <w:rPr>
          <w:rFonts w:ascii="Times New Roman" w:cs="Times New Roman" w:eastAsia="Times New Roman" w:hAnsi="Times New Roman"/>
          <w:sz w:val="16"/>
          <w:szCs w:val="16"/>
          <w:color w:val="auto"/>
        </w:rPr>
        <w:t>primarily exchange and clearing registrations, are not</w:t>
      </w:r>
    </w:p>
    <w:p>
      <w:pPr>
        <w:spacing w:after="0" w:line="203" w:lineRule="auto"/>
        <w:rPr>
          <w:sz w:val="20"/>
          <w:szCs w:val="20"/>
          <w:color w:val="auto"/>
        </w:rPr>
      </w:pPr>
      <w:r>
        <w:rPr>
          <w:rFonts w:ascii="Times New Roman" w:cs="Times New Roman" w:eastAsia="Times New Roman" w:hAnsi="Times New Roman"/>
          <w:sz w:val="16"/>
          <w:szCs w:val="16"/>
          <w:color w:val="auto"/>
        </w:rPr>
        <w:t>amortized but instead are tested for impairment at least</w:t>
      </w:r>
    </w:p>
    <w:p>
      <w:pPr>
        <w:spacing w:after="0" w:line="204" w:lineRule="auto"/>
        <w:rPr>
          <w:sz w:val="20"/>
          <w:szCs w:val="20"/>
          <w:color w:val="auto"/>
        </w:rPr>
      </w:pPr>
      <w:r>
        <w:rPr>
          <w:rFonts w:ascii="Times New Roman" w:cs="Times New Roman" w:eastAsia="Times New Roman" w:hAnsi="Times New Roman"/>
          <w:sz w:val="16"/>
          <w:szCs w:val="16"/>
          <w:color w:val="auto"/>
        </w:rPr>
        <w:t>annually as of October 1 and more frequently whenever</w:t>
      </w:r>
    </w:p>
    <w:p>
      <w:pPr>
        <w:spacing w:after="0" w:line="233" w:lineRule="auto"/>
        <w:rPr>
          <w:sz w:val="20"/>
          <w:szCs w:val="20"/>
          <w:color w:val="auto"/>
        </w:rPr>
      </w:pPr>
      <w:r>
        <w:rPr>
          <w:rFonts w:ascii="Times New Roman" w:cs="Times New Roman" w:eastAsia="Times New Roman" w:hAnsi="Times New Roman"/>
          <w:sz w:val="14"/>
          <w:szCs w:val="14"/>
          <w:color w:val="auto"/>
        </w:rPr>
        <w:t>events or changes in circumstances indicate that the fair value</w:t>
      </w:r>
    </w:p>
    <w:p>
      <w:pPr>
        <w:spacing w:after="0" w:line="203" w:lineRule="auto"/>
        <w:rPr>
          <w:sz w:val="20"/>
          <w:szCs w:val="20"/>
          <w:color w:val="auto"/>
        </w:rPr>
      </w:pPr>
      <w:r>
        <w:rPr>
          <w:rFonts w:ascii="Times New Roman" w:cs="Times New Roman" w:eastAsia="Times New Roman" w:hAnsi="Times New Roman"/>
          <w:sz w:val="16"/>
          <w:szCs w:val="16"/>
          <w:color w:val="auto"/>
        </w:rPr>
        <w:t>of the asset may be less than its carrying amount, such as</w:t>
      </w:r>
    </w:p>
    <w:p>
      <w:pPr>
        <w:spacing w:after="0" w:line="233" w:lineRule="auto"/>
        <w:rPr>
          <w:sz w:val="20"/>
          <w:szCs w:val="20"/>
          <w:color w:val="auto"/>
        </w:rPr>
      </w:pPr>
      <w:r>
        <w:rPr>
          <w:rFonts w:ascii="Times New Roman" w:cs="Times New Roman" w:eastAsia="Times New Roman" w:hAnsi="Times New Roman"/>
          <w:sz w:val="14"/>
          <w:szCs w:val="14"/>
          <w:color w:val="auto"/>
        </w:rPr>
        <w:t>changes in the business climate, poor indicators of operating</w:t>
      </w:r>
    </w:p>
    <w:p>
      <w:pPr>
        <w:spacing w:after="0" w:line="233" w:lineRule="auto"/>
        <w:rPr>
          <w:sz w:val="20"/>
          <w:szCs w:val="20"/>
          <w:color w:val="auto"/>
        </w:rPr>
      </w:pPr>
      <w:r>
        <w:rPr>
          <w:rFonts w:ascii="Times New Roman" w:cs="Times New Roman" w:eastAsia="Times New Roman" w:hAnsi="Times New Roman"/>
          <w:sz w:val="14"/>
          <w:szCs w:val="14"/>
          <w:color w:val="auto"/>
        </w:rPr>
        <w:t>performance or the sale or disposition of a significant portion</w:t>
      </w:r>
    </w:p>
    <w:p>
      <w:pPr>
        <w:spacing w:after="0" w:line="232" w:lineRule="auto"/>
        <w:rPr>
          <w:sz w:val="20"/>
          <w:szCs w:val="20"/>
          <w:color w:val="auto"/>
        </w:rPr>
      </w:pPr>
      <w:r>
        <w:rPr>
          <w:rFonts w:ascii="Times New Roman" w:cs="Times New Roman" w:eastAsia="Times New Roman" w:hAnsi="Times New Roman"/>
          <w:sz w:val="14"/>
          <w:szCs w:val="14"/>
          <w:color w:val="auto"/>
        </w:rPr>
        <w:t>of a reporting unit. We perform our goodwill impairment test</w:t>
      </w:r>
    </w:p>
    <w:p>
      <w:pPr>
        <w:spacing w:after="0" w:line="204" w:lineRule="auto"/>
        <w:rPr>
          <w:sz w:val="20"/>
          <w:szCs w:val="20"/>
          <w:color w:val="auto"/>
        </w:rPr>
      </w:pPr>
      <w:r>
        <w:rPr>
          <w:rFonts w:ascii="Times New Roman" w:cs="Times New Roman" w:eastAsia="Times New Roman" w:hAnsi="Times New Roman"/>
          <w:sz w:val="16"/>
          <w:szCs w:val="16"/>
          <w:color w:val="auto"/>
        </w:rPr>
        <w:t>at the reporting unit level for our three reporting units:</w:t>
      </w:r>
    </w:p>
    <w:p>
      <w:pPr>
        <w:spacing w:after="0" w:line="232" w:lineRule="auto"/>
        <w:rPr>
          <w:sz w:val="20"/>
          <w:szCs w:val="20"/>
          <w:color w:val="auto"/>
        </w:rPr>
      </w:pPr>
      <w:r>
        <w:rPr>
          <w:rFonts w:ascii="Times New Roman" w:cs="Times New Roman" w:eastAsia="Times New Roman" w:hAnsi="Times New Roman"/>
          <w:sz w:val="14"/>
          <w:szCs w:val="14"/>
          <w:color w:val="auto"/>
        </w:rPr>
        <w:t>Capital Access Platforms, Financial Technology and Market</w:t>
      </w:r>
    </w:p>
    <w:p>
      <w:pPr>
        <w:spacing w:after="0" w:line="204" w:lineRule="auto"/>
        <w:rPr>
          <w:sz w:val="20"/>
          <w:szCs w:val="20"/>
          <w:color w:val="auto"/>
        </w:rPr>
      </w:pPr>
      <w:r>
        <w:rPr>
          <w:rFonts w:ascii="Times New Roman" w:cs="Times New Roman" w:eastAsia="Times New Roman" w:hAnsi="Times New Roman"/>
          <w:sz w:val="16"/>
          <w:szCs w:val="16"/>
          <w:color w:val="auto"/>
        </w:rPr>
        <w:t>Services segments.</w:t>
      </w:r>
    </w:p>
    <w:p>
      <w:pPr>
        <w:spacing w:after="0" w:line="203" w:lineRule="auto"/>
        <w:rPr>
          <w:sz w:val="20"/>
          <w:szCs w:val="20"/>
          <w:color w:val="auto"/>
        </w:rPr>
      </w:pPr>
      <w:r>
        <w:rPr>
          <w:rFonts w:ascii="Times New Roman" w:cs="Times New Roman" w:eastAsia="Times New Roman" w:hAnsi="Times New Roman"/>
          <w:sz w:val="16"/>
          <w:szCs w:val="16"/>
          <w:color w:val="auto"/>
        </w:rPr>
        <w:t>When testing goodwill and indefinite-lived intangible assets</w:t>
      </w:r>
    </w:p>
    <w:p>
      <w:pPr>
        <w:spacing w:after="0" w:line="204" w:lineRule="auto"/>
        <w:rPr>
          <w:sz w:val="20"/>
          <w:szCs w:val="20"/>
          <w:color w:val="auto"/>
        </w:rPr>
      </w:pPr>
      <w:r>
        <w:rPr>
          <w:rFonts w:ascii="Times New Roman" w:cs="Times New Roman" w:eastAsia="Times New Roman" w:hAnsi="Times New Roman"/>
          <w:sz w:val="16"/>
          <w:szCs w:val="16"/>
          <w:color w:val="auto"/>
        </w:rPr>
        <w:t>for impairment, we have the option of first performing a</w:t>
      </w:r>
    </w:p>
    <w:p>
      <w:pPr>
        <w:spacing w:after="0" w:line="233" w:lineRule="auto"/>
        <w:rPr>
          <w:sz w:val="20"/>
          <w:szCs w:val="20"/>
          <w:color w:val="auto"/>
        </w:rPr>
      </w:pPr>
      <w:r>
        <w:rPr>
          <w:rFonts w:ascii="Times New Roman" w:cs="Times New Roman" w:eastAsia="Times New Roman" w:hAnsi="Times New Roman"/>
          <w:sz w:val="14"/>
          <w:szCs w:val="14"/>
          <w:color w:val="auto"/>
        </w:rPr>
        <w:t>qualitative assessment to determine whether it is more likely</w:t>
      </w:r>
    </w:p>
    <w:p>
      <w:pPr>
        <w:spacing w:after="0" w:line="203" w:lineRule="auto"/>
        <w:rPr>
          <w:sz w:val="20"/>
          <w:szCs w:val="20"/>
          <w:color w:val="auto"/>
        </w:rPr>
      </w:pPr>
      <w:r>
        <w:rPr>
          <w:rFonts w:ascii="Times New Roman" w:cs="Times New Roman" w:eastAsia="Times New Roman" w:hAnsi="Times New Roman"/>
          <w:sz w:val="16"/>
          <w:szCs w:val="16"/>
          <w:color w:val="auto"/>
        </w:rPr>
        <w:t>than not that the fair value of a reporting unit or indefinite-</w:t>
      </w:r>
    </w:p>
    <w:p>
      <w:pPr>
        <w:spacing w:after="0" w:line="204" w:lineRule="auto"/>
        <w:rPr>
          <w:sz w:val="20"/>
          <w:szCs w:val="20"/>
          <w:color w:val="auto"/>
        </w:rPr>
      </w:pPr>
      <w:r>
        <w:rPr>
          <w:rFonts w:ascii="Times New Roman" w:cs="Times New Roman" w:eastAsia="Times New Roman" w:hAnsi="Times New Roman"/>
          <w:sz w:val="16"/>
          <w:szCs w:val="16"/>
          <w:color w:val="auto"/>
        </w:rPr>
        <w:t>lived intangible asset is less than their respective carrying</w:t>
      </w:r>
    </w:p>
    <w:p>
      <w:pPr>
        <w:spacing w:after="0" w:line="232" w:lineRule="auto"/>
        <w:rPr>
          <w:sz w:val="20"/>
          <w:szCs w:val="20"/>
          <w:color w:val="auto"/>
        </w:rPr>
      </w:pPr>
      <w:r>
        <w:rPr>
          <w:rFonts w:ascii="Times New Roman" w:cs="Times New Roman" w:eastAsia="Times New Roman" w:hAnsi="Times New Roman"/>
          <w:sz w:val="14"/>
          <w:szCs w:val="14"/>
          <w:color w:val="auto"/>
        </w:rPr>
        <w:t>amounts as the basis to determine if it is necessary to perform</w:t>
      </w:r>
    </w:p>
    <w:p>
      <w:pPr>
        <w:spacing w:after="0" w:line="233" w:lineRule="auto"/>
        <w:rPr>
          <w:sz w:val="20"/>
          <w:szCs w:val="20"/>
          <w:color w:val="auto"/>
        </w:rPr>
      </w:pPr>
      <w:r>
        <w:rPr>
          <w:rFonts w:ascii="Times New Roman" w:cs="Times New Roman" w:eastAsia="Times New Roman" w:hAnsi="Times New Roman"/>
          <w:sz w:val="14"/>
          <w:szCs w:val="14"/>
          <w:color w:val="auto"/>
        </w:rPr>
        <w:t>a quantitative impairment test. If we choose not to complete a</w:t>
      </w:r>
    </w:p>
    <w:p>
      <w:pPr>
        <w:spacing w:after="0" w:line="203" w:lineRule="auto"/>
        <w:rPr>
          <w:sz w:val="20"/>
          <w:szCs w:val="20"/>
          <w:color w:val="auto"/>
        </w:rPr>
      </w:pPr>
      <w:r>
        <w:rPr>
          <w:rFonts w:ascii="Times New Roman" w:cs="Times New Roman" w:eastAsia="Times New Roman" w:hAnsi="Times New Roman"/>
          <w:sz w:val="16"/>
          <w:szCs w:val="16"/>
          <w:color w:val="auto"/>
        </w:rPr>
        <w:t>qualitative assessment, or if the initial assessment indicates</w:t>
      </w:r>
    </w:p>
    <w:p>
      <w:pPr>
        <w:spacing w:after="0" w:line="204" w:lineRule="auto"/>
        <w:rPr>
          <w:sz w:val="20"/>
          <w:szCs w:val="20"/>
          <w:color w:val="auto"/>
        </w:rPr>
      </w:pPr>
      <w:r>
        <w:rPr>
          <w:rFonts w:ascii="Times New Roman" w:cs="Times New Roman" w:eastAsia="Times New Roman" w:hAnsi="Times New Roman"/>
          <w:sz w:val="16"/>
          <w:szCs w:val="16"/>
          <w:color w:val="auto"/>
        </w:rPr>
        <w:t>that it is more likely than not that the carrying amount of a</w:t>
      </w:r>
    </w:p>
    <w:p>
      <w:pPr>
        <w:spacing w:after="0" w:line="204" w:lineRule="auto"/>
        <w:rPr>
          <w:sz w:val="20"/>
          <w:szCs w:val="20"/>
          <w:color w:val="auto"/>
        </w:rPr>
      </w:pPr>
      <w:r>
        <w:rPr>
          <w:rFonts w:ascii="Times New Roman" w:cs="Times New Roman" w:eastAsia="Times New Roman" w:hAnsi="Times New Roman"/>
          <w:sz w:val="16"/>
          <w:szCs w:val="16"/>
          <w:color w:val="auto"/>
        </w:rPr>
        <w:t>reporting unit or the carrying amount of an indefinite-lived</w:t>
      </w:r>
    </w:p>
    <w:p>
      <w:pPr>
        <w:spacing w:after="0" w:line="232" w:lineRule="auto"/>
        <w:rPr>
          <w:sz w:val="20"/>
          <w:szCs w:val="20"/>
          <w:color w:val="auto"/>
        </w:rPr>
      </w:pPr>
      <w:r>
        <w:rPr>
          <w:rFonts w:ascii="Times New Roman" w:cs="Times New Roman" w:eastAsia="Times New Roman" w:hAnsi="Times New Roman"/>
          <w:sz w:val="14"/>
          <w:szCs w:val="14"/>
          <w:color w:val="auto"/>
        </w:rPr>
        <w:t>intangible asset exceeds their respective estimated fair values,</w:t>
      </w:r>
    </w:p>
    <w:p>
      <w:pPr>
        <w:spacing w:after="0" w:line="204" w:lineRule="auto"/>
        <w:rPr>
          <w:sz w:val="20"/>
          <w:szCs w:val="20"/>
          <w:color w:val="auto"/>
        </w:rPr>
      </w:pPr>
      <w:r>
        <w:rPr>
          <w:rFonts w:ascii="Times New Roman" w:cs="Times New Roman" w:eastAsia="Times New Roman" w:hAnsi="Times New Roman"/>
          <w:sz w:val="16"/>
          <w:szCs w:val="16"/>
          <w:color w:val="auto"/>
        </w:rPr>
        <w:t>a quantitative test is required. Our decision to perform a</w:t>
      </w:r>
    </w:p>
    <w:p>
      <w:pPr>
        <w:spacing w:after="0" w:line="203" w:lineRule="auto"/>
        <w:rPr>
          <w:sz w:val="20"/>
          <w:szCs w:val="20"/>
          <w:color w:val="auto"/>
        </w:rPr>
      </w:pPr>
      <w:r>
        <w:rPr>
          <w:rFonts w:ascii="Times New Roman" w:cs="Times New Roman" w:eastAsia="Times New Roman" w:hAnsi="Times New Roman"/>
          <w:sz w:val="16"/>
          <w:szCs w:val="16"/>
          <w:color w:val="auto"/>
        </w:rPr>
        <w:t>qualitative impairment assessment in a given year is</w:t>
      </w:r>
    </w:p>
    <w:p>
      <w:pPr>
        <w:spacing w:after="0" w:line="204" w:lineRule="auto"/>
        <w:rPr>
          <w:sz w:val="20"/>
          <w:szCs w:val="20"/>
          <w:color w:val="auto"/>
        </w:rPr>
      </w:pPr>
      <w:r>
        <w:rPr>
          <w:rFonts w:ascii="Times New Roman" w:cs="Times New Roman" w:eastAsia="Times New Roman" w:hAnsi="Times New Roman"/>
          <w:sz w:val="16"/>
          <w:szCs w:val="16"/>
          <w:color w:val="auto"/>
        </w:rPr>
        <w:t>influenced by a number of factors, including but not limited</w:t>
      </w:r>
    </w:p>
    <w:p>
      <w:pPr>
        <w:spacing w:after="0" w:line="203" w:lineRule="auto"/>
        <w:rPr>
          <w:sz w:val="20"/>
          <w:szCs w:val="20"/>
          <w:color w:val="auto"/>
        </w:rPr>
      </w:pPr>
      <w:r>
        <w:rPr>
          <w:rFonts w:ascii="Times New Roman" w:cs="Times New Roman" w:eastAsia="Times New Roman" w:hAnsi="Times New Roman"/>
          <w:sz w:val="16"/>
          <w:szCs w:val="16"/>
          <w:color w:val="auto"/>
        </w:rPr>
        <w:t>to, the size of the reporting unit’s goodwill, the significance</w:t>
      </w:r>
    </w:p>
    <w:p>
      <w:pPr>
        <w:spacing w:after="0" w:line="204" w:lineRule="auto"/>
        <w:rPr>
          <w:sz w:val="20"/>
          <w:szCs w:val="20"/>
          <w:color w:val="auto"/>
        </w:rPr>
      </w:pPr>
      <w:r>
        <w:rPr>
          <w:rFonts w:ascii="Times New Roman" w:cs="Times New Roman" w:eastAsia="Times New Roman" w:hAnsi="Times New Roman"/>
          <w:sz w:val="16"/>
          <w:szCs w:val="16"/>
          <w:color w:val="auto"/>
        </w:rPr>
        <w:t>of the excess of the reporting unit’s estimated fair value or</w:t>
      </w:r>
    </w:p>
    <w:p>
      <w:pPr>
        <w:spacing w:after="0" w:line="203" w:lineRule="auto"/>
        <w:rPr>
          <w:sz w:val="20"/>
          <w:szCs w:val="20"/>
          <w:color w:val="auto"/>
        </w:rPr>
      </w:pPr>
      <w:r>
        <w:rPr>
          <w:rFonts w:ascii="Times New Roman" w:cs="Times New Roman" w:eastAsia="Times New Roman" w:hAnsi="Times New Roman"/>
          <w:sz w:val="16"/>
          <w:szCs w:val="16"/>
          <w:color w:val="auto"/>
        </w:rPr>
        <w:t>the indefinite-lived intangible asset’s fair value over their</w:t>
      </w:r>
    </w:p>
    <w:p>
      <w:pPr>
        <w:spacing w:after="0" w:line="204" w:lineRule="auto"/>
        <w:rPr>
          <w:sz w:val="20"/>
          <w:szCs w:val="20"/>
          <w:color w:val="auto"/>
        </w:rPr>
      </w:pPr>
      <w:r>
        <w:rPr>
          <w:rFonts w:ascii="Times New Roman" w:cs="Times New Roman" w:eastAsia="Times New Roman" w:hAnsi="Times New Roman"/>
          <w:sz w:val="16"/>
          <w:szCs w:val="16"/>
          <w:color w:val="auto"/>
        </w:rPr>
        <w:t>respective carrying amounts at the last quantitative</w:t>
      </w:r>
    </w:p>
    <w:p>
      <w:pPr>
        <w:spacing w:after="0" w:line="203" w:lineRule="auto"/>
        <w:rPr>
          <w:sz w:val="20"/>
          <w:szCs w:val="20"/>
          <w:color w:val="auto"/>
        </w:rPr>
      </w:pPr>
      <w:r>
        <w:rPr>
          <w:rFonts w:ascii="Times New Roman" w:cs="Times New Roman" w:eastAsia="Times New Roman" w:hAnsi="Times New Roman"/>
          <w:sz w:val="16"/>
          <w:szCs w:val="16"/>
          <w:color w:val="auto"/>
        </w:rPr>
        <w:t>assessment date, and the amount of time in between</w:t>
      </w:r>
    </w:p>
    <w:p>
      <w:pPr>
        <w:spacing w:after="0" w:line="204" w:lineRule="auto"/>
        <w:rPr>
          <w:sz w:val="20"/>
          <w:szCs w:val="20"/>
          <w:color w:val="auto"/>
        </w:rPr>
      </w:pPr>
      <w:r>
        <w:rPr>
          <w:rFonts w:ascii="Times New Roman" w:cs="Times New Roman" w:eastAsia="Times New Roman" w:hAnsi="Times New Roman"/>
          <w:sz w:val="16"/>
          <w:szCs w:val="16"/>
          <w:color w:val="auto"/>
        </w:rPr>
        <w:t>quantitative fair value assessments.</w:t>
      </w:r>
    </w:p>
    <w:p>
      <w:pPr>
        <w:spacing w:after="0" w:line="233" w:lineRule="auto"/>
        <w:rPr>
          <w:sz w:val="20"/>
          <w:szCs w:val="20"/>
          <w:color w:val="auto"/>
        </w:rPr>
      </w:pPr>
      <w:r>
        <w:rPr>
          <w:rFonts w:ascii="Times New Roman" w:cs="Times New Roman" w:eastAsia="Times New Roman" w:hAnsi="Times New Roman"/>
          <w:sz w:val="14"/>
          <w:szCs w:val="14"/>
          <w:color w:val="auto"/>
        </w:rPr>
        <w:t>In performing a quantitative impairment test, we compare the</w:t>
      </w:r>
    </w:p>
    <w:p>
      <w:pPr>
        <w:spacing w:after="0" w:line="203" w:lineRule="auto"/>
        <w:rPr>
          <w:sz w:val="20"/>
          <w:szCs w:val="20"/>
          <w:color w:val="auto"/>
        </w:rPr>
      </w:pPr>
      <w:r>
        <w:rPr>
          <w:rFonts w:ascii="Times New Roman" w:cs="Times New Roman" w:eastAsia="Times New Roman" w:hAnsi="Times New Roman"/>
          <w:sz w:val="16"/>
          <w:szCs w:val="16"/>
          <w:color w:val="auto"/>
        </w:rPr>
        <w:t>fair value of each reporting unit and indefinite-lived</w:t>
      </w:r>
    </w:p>
    <w:p>
      <w:pPr>
        <w:spacing w:after="0" w:line="204" w:lineRule="auto"/>
        <w:rPr>
          <w:sz w:val="20"/>
          <w:szCs w:val="20"/>
          <w:color w:val="auto"/>
        </w:rPr>
      </w:pPr>
      <w:r>
        <w:rPr>
          <w:rFonts w:ascii="Times New Roman" w:cs="Times New Roman" w:eastAsia="Times New Roman" w:hAnsi="Times New Roman"/>
          <w:sz w:val="16"/>
          <w:szCs w:val="16"/>
          <w:color w:val="auto"/>
        </w:rPr>
        <w:t>intangible asset with their respective carrying amounts. The</w:t>
      </w:r>
    </w:p>
    <w:p>
      <w:pPr>
        <w:spacing w:after="0" w:line="203" w:lineRule="auto"/>
        <w:rPr>
          <w:sz w:val="20"/>
          <w:szCs w:val="20"/>
          <w:color w:val="auto"/>
        </w:rPr>
      </w:pPr>
      <w:r>
        <w:rPr>
          <w:rFonts w:ascii="Times New Roman" w:cs="Times New Roman" w:eastAsia="Times New Roman" w:hAnsi="Times New Roman"/>
          <w:sz w:val="16"/>
          <w:szCs w:val="16"/>
          <w:color w:val="auto"/>
        </w:rPr>
        <w:t>fair value of each reporting unit is estimated using a</w:t>
      </w:r>
    </w:p>
    <w:p>
      <w:pPr>
        <w:spacing w:after="0" w:line="204" w:lineRule="auto"/>
        <w:rPr>
          <w:sz w:val="20"/>
          <w:szCs w:val="20"/>
          <w:color w:val="auto"/>
        </w:rPr>
      </w:pPr>
      <w:r>
        <w:rPr>
          <w:rFonts w:ascii="Times New Roman" w:cs="Times New Roman" w:eastAsia="Times New Roman" w:hAnsi="Times New Roman"/>
          <w:sz w:val="16"/>
          <w:szCs w:val="16"/>
          <w:color w:val="auto"/>
        </w:rPr>
        <w:t>combination of a discounted cash flow valuation, which</w:t>
      </w:r>
    </w:p>
    <w:p>
      <w:pPr>
        <w:spacing w:after="0" w:line="203" w:lineRule="auto"/>
        <w:rPr>
          <w:sz w:val="20"/>
          <w:szCs w:val="20"/>
          <w:color w:val="auto"/>
        </w:rPr>
      </w:pPr>
      <w:r>
        <w:rPr>
          <w:rFonts w:ascii="Times New Roman" w:cs="Times New Roman" w:eastAsia="Times New Roman" w:hAnsi="Times New Roman"/>
          <w:sz w:val="16"/>
          <w:szCs w:val="16"/>
          <w:color w:val="auto"/>
        </w:rPr>
        <w:t>incorporates assumptions regarding future growth rates,</w:t>
      </w:r>
    </w:p>
    <w:p>
      <w:pPr>
        <w:spacing w:after="0" w:line="204" w:lineRule="auto"/>
        <w:rPr>
          <w:sz w:val="20"/>
          <w:szCs w:val="20"/>
          <w:color w:val="auto"/>
        </w:rPr>
      </w:pPr>
      <w:r>
        <w:rPr>
          <w:rFonts w:ascii="Times New Roman" w:cs="Times New Roman" w:eastAsia="Times New Roman" w:hAnsi="Times New Roman"/>
          <w:sz w:val="16"/>
          <w:szCs w:val="16"/>
          <w:color w:val="auto"/>
        </w:rPr>
        <w:t>terminal values, and discount rates, as well as guideline</w:t>
      </w:r>
    </w:p>
    <w:p>
      <w:pPr>
        <w:spacing w:after="0" w:line="204" w:lineRule="auto"/>
        <w:rPr>
          <w:sz w:val="20"/>
          <w:szCs w:val="20"/>
          <w:color w:val="auto"/>
        </w:rPr>
      </w:pPr>
      <w:r>
        <w:rPr>
          <w:rFonts w:ascii="Times New Roman" w:cs="Times New Roman" w:eastAsia="Times New Roman" w:hAnsi="Times New Roman"/>
          <w:sz w:val="16"/>
          <w:szCs w:val="16"/>
          <w:color w:val="auto"/>
        </w:rPr>
        <w:t>public company valuations, which incorporates relevant</w:t>
      </w:r>
    </w:p>
    <w:p>
      <w:pPr>
        <w:spacing w:after="0" w:line="232" w:lineRule="auto"/>
        <w:rPr>
          <w:sz w:val="20"/>
          <w:szCs w:val="20"/>
          <w:color w:val="auto"/>
        </w:rPr>
      </w:pPr>
      <w:r>
        <w:rPr>
          <w:rFonts w:ascii="Times New Roman" w:cs="Times New Roman" w:eastAsia="Times New Roman" w:hAnsi="Times New Roman"/>
          <w:sz w:val="14"/>
          <w:szCs w:val="14"/>
          <w:color w:val="auto"/>
        </w:rPr>
        <w:t>trading multiples of comparable companies and other factors.</w:t>
      </w:r>
    </w:p>
    <w:p>
      <w:pPr>
        <w:spacing w:after="0" w:line="204" w:lineRule="auto"/>
        <w:rPr>
          <w:sz w:val="20"/>
          <w:szCs w:val="20"/>
          <w:color w:val="auto"/>
        </w:rPr>
      </w:pPr>
      <w:r>
        <w:rPr>
          <w:rFonts w:ascii="Times New Roman" w:cs="Times New Roman" w:eastAsia="Times New Roman" w:hAnsi="Times New Roman"/>
          <w:sz w:val="16"/>
          <w:szCs w:val="16"/>
          <w:color w:val="auto"/>
        </w:rPr>
        <w:t>The estimates and assumptions used consider historical</w:t>
      </w:r>
    </w:p>
    <w:p>
      <w:pPr>
        <w:spacing w:after="0" w:line="232" w:lineRule="auto"/>
        <w:rPr>
          <w:sz w:val="20"/>
          <w:szCs w:val="20"/>
          <w:color w:val="auto"/>
        </w:rPr>
      </w:pPr>
      <w:r>
        <w:rPr>
          <w:rFonts w:ascii="Times New Roman" w:cs="Times New Roman" w:eastAsia="Times New Roman" w:hAnsi="Times New Roman"/>
          <w:sz w:val="14"/>
          <w:szCs w:val="14"/>
          <w:color w:val="auto"/>
        </w:rPr>
        <w:t>performance and are consistent with the assumptions used in</w:t>
      </w:r>
    </w:p>
    <w:p>
      <w:pPr>
        <w:spacing w:after="0" w:line="233" w:lineRule="auto"/>
        <w:rPr>
          <w:sz w:val="20"/>
          <w:szCs w:val="20"/>
          <w:color w:val="auto"/>
        </w:rPr>
      </w:pPr>
      <w:r>
        <w:rPr>
          <w:rFonts w:ascii="Times New Roman" w:cs="Times New Roman" w:eastAsia="Times New Roman" w:hAnsi="Times New Roman"/>
          <w:sz w:val="14"/>
          <w:szCs w:val="14"/>
          <w:color w:val="auto"/>
        </w:rPr>
        <w:t>determining future profit plans for each reporting unit, which</w:t>
      </w:r>
    </w:p>
    <w:p>
      <w:pPr>
        <w:spacing w:after="0" w:line="203" w:lineRule="auto"/>
        <w:rPr>
          <w:sz w:val="20"/>
          <w:szCs w:val="20"/>
          <w:color w:val="auto"/>
        </w:rPr>
      </w:pPr>
      <w:r>
        <w:rPr>
          <w:rFonts w:ascii="Times New Roman" w:cs="Times New Roman" w:eastAsia="Times New Roman" w:hAnsi="Times New Roman"/>
          <w:sz w:val="16"/>
          <w:szCs w:val="16"/>
          <w:color w:val="auto"/>
        </w:rPr>
        <w:t>are approved by our board of directors. The fair value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indefinite-lived intangible assets is primarily determined on</w:t>
      </w:r>
    </w:p>
    <w:p>
      <w:pPr>
        <w:sectPr>
          <w:pgSz w:w="11900" w:h="16840" w:orient="portrait"/>
          <w:cols w:equalWidth="0" w:num="1">
            <w:col w:w="9400"/>
          </w:cols>
          <w:pgMar w:left="1060" w:top="557" w:right="1440" w:bottom="44"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the basis of estimated discounted value, using the Greenfield</w:t>
      </w:r>
    </w:p>
    <w:p>
      <w:pPr>
        <w:spacing w:after="0" w:line="220" w:lineRule="auto"/>
        <w:rPr>
          <w:sz w:val="20"/>
          <w:szCs w:val="20"/>
          <w:color w:val="auto"/>
        </w:rPr>
      </w:pPr>
      <w:r>
        <w:rPr>
          <w:rFonts w:ascii="Times New Roman" w:cs="Times New Roman" w:eastAsia="Times New Roman" w:hAnsi="Times New Roman"/>
          <w:sz w:val="16"/>
          <w:szCs w:val="16"/>
          <w:color w:val="auto"/>
        </w:rPr>
        <w:t>Approach for exchange and clearing registrations and</w:t>
      </w:r>
    </w:p>
    <w:p>
      <w:pPr>
        <w:spacing w:after="0" w:line="204" w:lineRule="auto"/>
        <w:rPr>
          <w:sz w:val="20"/>
          <w:szCs w:val="20"/>
          <w:color w:val="auto"/>
        </w:rPr>
      </w:pPr>
      <w:r>
        <w:rPr>
          <w:rFonts w:ascii="Times New Roman" w:cs="Times New Roman" w:eastAsia="Times New Roman" w:hAnsi="Times New Roman"/>
          <w:sz w:val="16"/>
          <w:szCs w:val="16"/>
          <w:color w:val="auto"/>
        </w:rPr>
        <w:t>licenses, and the relief from royalty approach or excess</w:t>
      </w:r>
    </w:p>
    <w:p>
      <w:pPr>
        <w:spacing w:after="0" w:line="232" w:lineRule="auto"/>
        <w:rPr>
          <w:sz w:val="20"/>
          <w:szCs w:val="20"/>
          <w:color w:val="auto"/>
        </w:rPr>
      </w:pPr>
      <w:r>
        <w:rPr>
          <w:rFonts w:ascii="Times New Roman" w:cs="Times New Roman" w:eastAsia="Times New Roman" w:hAnsi="Times New Roman"/>
          <w:sz w:val="14"/>
          <w:szCs w:val="14"/>
          <w:color w:val="auto"/>
        </w:rPr>
        <w:t>earnings approach for trade names, both of which incorporate</w:t>
      </w:r>
    </w:p>
    <w:p>
      <w:pPr>
        <w:spacing w:after="0" w:line="204" w:lineRule="auto"/>
        <w:rPr>
          <w:sz w:val="20"/>
          <w:szCs w:val="20"/>
          <w:color w:val="auto"/>
        </w:rPr>
      </w:pPr>
      <w:r>
        <w:rPr>
          <w:rFonts w:ascii="Times New Roman" w:cs="Times New Roman" w:eastAsia="Times New Roman" w:hAnsi="Times New Roman"/>
          <w:sz w:val="16"/>
          <w:szCs w:val="16"/>
          <w:color w:val="auto"/>
        </w:rPr>
        <w:t>assumptions regarding future revenue projections and</w:t>
      </w:r>
    </w:p>
    <w:p>
      <w:pPr>
        <w:spacing w:after="0" w:line="232" w:lineRule="auto"/>
        <w:rPr>
          <w:sz w:val="20"/>
          <w:szCs w:val="20"/>
          <w:color w:val="auto"/>
        </w:rPr>
      </w:pPr>
      <w:r>
        <w:rPr>
          <w:rFonts w:ascii="Times New Roman" w:cs="Times New Roman" w:eastAsia="Times New Roman" w:hAnsi="Times New Roman"/>
          <w:sz w:val="14"/>
          <w:szCs w:val="14"/>
          <w:color w:val="auto"/>
        </w:rPr>
        <w:t>discount rates. If the carrying amounts of the reporting unit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indefinite-lived intangible asset exceed their respective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55</w:t>
      </w:r>
    </w:p>
    <w:p>
      <w:pPr>
        <w:spacing w:after="0" w:line="203" w:lineRule="auto"/>
        <w:rPr>
          <w:sz w:val="20"/>
          <w:szCs w:val="20"/>
          <w:color w:val="auto"/>
        </w:rPr>
      </w:pPr>
      <w:r>
        <w:rPr>
          <w:rFonts w:ascii="Times New Roman" w:cs="Times New Roman" w:eastAsia="Times New Roman" w:hAnsi="Times New Roman"/>
          <w:sz w:val="16"/>
          <w:szCs w:val="16"/>
          <w:color w:val="auto"/>
        </w:rPr>
        <w:t>Although we believe our estimates of fair value are</w:t>
      </w:r>
    </w:p>
    <w:p>
      <w:pPr>
        <w:spacing w:after="0" w:line="204" w:lineRule="auto"/>
        <w:rPr>
          <w:sz w:val="20"/>
          <w:szCs w:val="20"/>
          <w:color w:val="auto"/>
        </w:rPr>
      </w:pPr>
      <w:r>
        <w:rPr>
          <w:rFonts w:ascii="Times New Roman" w:cs="Times New Roman" w:eastAsia="Times New Roman" w:hAnsi="Times New Roman"/>
          <w:sz w:val="16"/>
          <w:szCs w:val="16"/>
          <w:color w:val="auto"/>
        </w:rPr>
        <w:t>reasonable, the determination of certain valuation inputs is</w:t>
      </w:r>
    </w:p>
    <w:p>
      <w:pPr>
        <w:spacing w:after="0" w:line="203" w:lineRule="auto"/>
        <w:rPr>
          <w:sz w:val="20"/>
          <w:szCs w:val="20"/>
          <w:color w:val="auto"/>
        </w:rPr>
      </w:pPr>
      <w:r>
        <w:rPr>
          <w:rFonts w:ascii="Times New Roman" w:cs="Times New Roman" w:eastAsia="Times New Roman" w:hAnsi="Times New Roman"/>
          <w:sz w:val="16"/>
          <w:szCs w:val="16"/>
          <w:color w:val="auto"/>
        </w:rPr>
        <w:t>subject to management’s judgment. Changes in these inputs</w:t>
      </w:r>
    </w:p>
    <w:p>
      <w:pPr>
        <w:spacing w:after="0" w:line="233" w:lineRule="auto"/>
        <w:rPr>
          <w:sz w:val="20"/>
          <w:szCs w:val="20"/>
          <w:color w:val="auto"/>
        </w:rPr>
      </w:pPr>
      <w:r>
        <w:rPr>
          <w:rFonts w:ascii="Times New Roman" w:cs="Times New Roman" w:eastAsia="Times New Roman" w:hAnsi="Times New Roman"/>
          <w:sz w:val="14"/>
          <w:szCs w:val="14"/>
          <w:color w:val="auto"/>
        </w:rPr>
        <w:t>could materially affect the results of our impairment review.</w:t>
      </w:r>
    </w:p>
    <w:p>
      <w:pPr>
        <w:spacing w:after="0" w:line="203" w:lineRule="auto"/>
        <w:rPr>
          <w:sz w:val="20"/>
          <w:szCs w:val="20"/>
          <w:color w:val="auto"/>
        </w:rPr>
      </w:pPr>
      <w:r>
        <w:rPr>
          <w:rFonts w:ascii="Times New Roman" w:cs="Times New Roman" w:eastAsia="Times New Roman" w:hAnsi="Times New Roman"/>
          <w:sz w:val="16"/>
          <w:szCs w:val="16"/>
          <w:color w:val="auto"/>
        </w:rPr>
        <w:t>If our forecasts of cash flows or other key inputs are</w:t>
      </w:r>
    </w:p>
    <w:p>
      <w:pPr>
        <w:spacing w:after="0" w:line="204" w:lineRule="auto"/>
        <w:rPr>
          <w:sz w:val="20"/>
          <w:szCs w:val="20"/>
          <w:color w:val="auto"/>
        </w:rPr>
      </w:pPr>
      <w:r>
        <w:rPr>
          <w:rFonts w:ascii="Times New Roman" w:cs="Times New Roman" w:eastAsia="Times New Roman" w:hAnsi="Times New Roman"/>
          <w:sz w:val="16"/>
          <w:szCs w:val="16"/>
          <w:color w:val="auto"/>
        </w:rPr>
        <w:t>negatively revised in the future, the estimated fair value of</w:t>
      </w:r>
    </w:p>
    <w:p>
      <w:pPr>
        <w:spacing w:after="0" w:line="203" w:lineRule="auto"/>
        <w:rPr>
          <w:sz w:val="20"/>
          <w:szCs w:val="20"/>
          <w:color w:val="auto"/>
        </w:rPr>
      </w:pPr>
      <w:r>
        <w:rPr>
          <w:rFonts w:ascii="Times New Roman" w:cs="Times New Roman" w:eastAsia="Times New Roman" w:hAnsi="Times New Roman"/>
          <w:sz w:val="16"/>
          <w:szCs w:val="16"/>
          <w:color w:val="auto"/>
        </w:rPr>
        <w:t>each reporting unit and of our indefinite-lived intangible</w:t>
      </w:r>
    </w:p>
    <w:p>
      <w:pPr>
        <w:spacing w:after="0" w:line="233" w:lineRule="auto"/>
        <w:rPr>
          <w:sz w:val="20"/>
          <w:szCs w:val="20"/>
          <w:color w:val="auto"/>
        </w:rPr>
      </w:pPr>
      <w:r>
        <w:rPr>
          <w:rFonts w:ascii="Times New Roman" w:cs="Times New Roman" w:eastAsia="Times New Roman" w:hAnsi="Times New Roman"/>
          <w:sz w:val="14"/>
          <w:szCs w:val="14"/>
          <w:color w:val="auto"/>
        </w:rPr>
        <w:t>assets would be adversely impacted, potentially leading to an</w:t>
      </w:r>
    </w:p>
    <w:p>
      <w:pPr>
        <w:spacing w:after="0" w:line="204" w:lineRule="auto"/>
        <w:rPr>
          <w:sz w:val="20"/>
          <w:szCs w:val="20"/>
          <w:color w:val="auto"/>
        </w:rPr>
      </w:pPr>
      <w:r>
        <w:rPr>
          <w:rFonts w:ascii="Times New Roman" w:cs="Times New Roman" w:eastAsia="Times New Roman" w:hAnsi="Times New Roman"/>
          <w:sz w:val="16"/>
          <w:szCs w:val="16"/>
          <w:color w:val="auto"/>
        </w:rPr>
        <w:t>impairment in the future that could materially affect our</w:t>
      </w:r>
    </w:p>
    <w:p>
      <w:pPr>
        <w:spacing w:after="0" w:line="203" w:lineRule="auto"/>
        <w:rPr>
          <w:sz w:val="20"/>
          <w:szCs w:val="20"/>
          <w:color w:val="auto"/>
        </w:rPr>
      </w:pPr>
      <w:r>
        <w:rPr>
          <w:rFonts w:ascii="Times New Roman" w:cs="Times New Roman" w:eastAsia="Times New Roman" w:hAnsi="Times New Roman"/>
          <w:sz w:val="16"/>
          <w:szCs w:val="16"/>
          <w:color w:val="auto"/>
        </w:rPr>
        <w:t>operating results.</w:t>
      </w:r>
    </w:p>
    <w:p>
      <w:pPr>
        <w:spacing w:after="0" w:line="204" w:lineRule="auto"/>
        <w:rPr>
          <w:sz w:val="20"/>
          <w:szCs w:val="20"/>
          <w:color w:val="auto"/>
        </w:rPr>
      </w:pPr>
      <w:r>
        <w:rPr>
          <w:rFonts w:ascii="Times New Roman" w:cs="Times New Roman" w:eastAsia="Times New Roman" w:hAnsi="Times New Roman"/>
          <w:sz w:val="16"/>
          <w:szCs w:val="16"/>
          <w:color w:val="auto"/>
        </w:rPr>
        <w:t>Subsequent to our annual impairment test, no indications of</w:t>
      </w:r>
    </w:p>
    <w:p>
      <w:pPr>
        <w:spacing w:after="0" w:line="203" w:lineRule="auto"/>
        <w:rPr>
          <w:sz w:val="20"/>
          <w:szCs w:val="20"/>
          <w:color w:val="auto"/>
        </w:rPr>
      </w:pPr>
      <w:r>
        <w:rPr>
          <w:rFonts w:ascii="Times New Roman" w:cs="Times New Roman" w:eastAsia="Times New Roman" w:hAnsi="Times New Roman"/>
          <w:sz w:val="16"/>
          <w:szCs w:val="16"/>
          <w:color w:val="auto"/>
        </w:rPr>
        <w:t>impairment were identified.</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Other Long-Lived Assets and Related Impairment</w:t>
      </w:r>
    </w:p>
    <w:p>
      <w:pPr>
        <w:spacing w:after="0" w:line="203" w:lineRule="auto"/>
        <w:rPr>
          <w:sz w:val="20"/>
          <w:szCs w:val="20"/>
          <w:color w:val="auto"/>
        </w:rPr>
      </w:pPr>
      <w:r>
        <w:rPr>
          <w:rFonts w:ascii="Times New Roman" w:cs="Times New Roman" w:eastAsia="Times New Roman" w:hAnsi="Times New Roman"/>
          <w:sz w:val="16"/>
          <w:szCs w:val="16"/>
          <w:color w:val="auto"/>
        </w:rPr>
        <w:t>We review our other long-lived assets, such as finite-lived</w:t>
      </w:r>
    </w:p>
    <w:p>
      <w:pPr>
        <w:spacing w:after="0" w:line="204" w:lineRule="auto"/>
        <w:rPr>
          <w:sz w:val="20"/>
          <w:szCs w:val="20"/>
          <w:color w:val="auto"/>
        </w:rPr>
      </w:pPr>
      <w:r>
        <w:rPr>
          <w:rFonts w:ascii="Times New Roman" w:cs="Times New Roman" w:eastAsia="Times New Roman" w:hAnsi="Times New Roman"/>
          <w:sz w:val="16"/>
          <w:szCs w:val="16"/>
          <w:color w:val="auto"/>
        </w:rPr>
        <w:t>intangible assets, property and equipment, and operating</w:t>
      </w:r>
    </w:p>
    <w:p>
      <w:pPr>
        <w:spacing w:after="0" w:line="204" w:lineRule="auto"/>
        <w:rPr>
          <w:sz w:val="20"/>
          <w:szCs w:val="20"/>
          <w:color w:val="auto"/>
        </w:rPr>
      </w:pPr>
      <w:r>
        <w:rPr>
          <w:rFonts w:ascii="Times New Roman" w:cs="Times New Roman" w:eastAsia="Times New Roman" w:hAnsi="Times New Roman"/>
          <w:sz w:val="16"/>
          <w:szCs w:val="16"/>
          <w:color w:val="auto"/>
        </w:rPr>
        <w:t>lease assets for potential impairment when there is evidence</w:t>
      </w:r>
    </w:p>
    <w:p>
      <w:pPr>
        <w:spacing w:after="0" w:line="203" w:lineRule="auto"/>
        <w:rPr>
          <w:sz w:val="20"/>
          <w:szCs w:val="20"/>
          <w:color w:val="auto"/>
        </w:rPr>
      </w:pPr>
      <w:r>
        <w:rPr>
          <w:rFonts w:ascii="Times New Roman" w:cs="Times New Roman" w:eastAsia="Times New Roman" w:hAnsi="Times New Roman"/>
          <w:sz w:val="16"/>
          <w:szCs w:val="16"/>
          <w:color w:val="auto"/>
        </w:rPr>
        <w:t>that events or changes in circumstances indicate that the</w:t>
      </w:r>
    </w:p>
    <w:p>
      <w:pPr>
        <w:spacing w:after="0" w:line="204" w:lineRule="auto"/>
        <w:rPr>
          <w:sz w:val="20"/>
          <w:szCs w:val="20"/>
          <w:color w:val="auto"/>
        </w:rPr>
      </w:pPr>
      <w:r>
        <w:rPr>
          <w:rFonts w:ascii="Times New Roman" w:cs="Times New Roman" w:eastAsia="Times New Roman" w:hAnsi="Times New Roman"/>
          <w:sz w:val="16"/>
          <w:szCs w:val="16"/>
          <w:color w:val="auto"/>
        </w:rPr>
        <w:t>carrying amount of an asset may not be recoverable. The</w:t>
      </w:r>
    </w:p>
    <w:p>
      <w:pPr>
        <w:spacing w:after="0" w:line="203" w:lineRule="auto"/>
        <w:rPr>
          <w:sz w:val="20"/>
          <w:szCs w:val="20"/>
          <w:color w:val="auto"/>
        </w:rPr>
      </w:pPr>
      <w:r>
        <w:rPr>
          <w:rFonts w:ascii="Times New Roman" w:cs="Times New Roman" w:eastAsia="Times New Roman" w:hAnsi="Times New Roman"/>
          <w:sz w:val="16"/>
          <w:szCs w:val="16"/>
          <w:color w:val="auto"/>
        </w:rPr>
        <w:t>carrying amount of an asset is not recoverable if it exceeds</w:t>
      </w:r>
    </w:p>
    <w:p>
      <w:pPr>
        <w:spacing w:after="0" w:line="204" w:lineRule="auto"/>
        <w:rPr>
          <w:sz w:val="20"/>
          <w:szCs w:val="20"/>
          <w:color w:val="auto"/>
        </w:rPr>
      </w:pPr>
      <w:r>
        <w:rPr>
          <w:rFonts w:ascii="Times New Roman" w:cs="Times New Roman" w:eastAsia="Times New Roman" w:hAnsi="Times New Roman"/>
          <w:sz w:val="16"/>
          <w:szCs w:val="16"/>
          <w:color w:val="auto"/>
        </w:rPr>
        <w:t>the sum of the undiscounted cash flows expected to result</w:t>
      </w:r>
    </w:p>
    <w:p>
      <w:pPr>
        <w:spacing w:after="0" w:line="203" w:lineRule="auto"/>
        <w:rPr>
          <w:sz w:val="20"/>
          <w:szCs w:val="20"/>
          <w:color w:val="auto"/>
        </w:rPr>
      </w:pPr>
      <w:r>
        <w:rPr>
          <w:rFonts w:ascii="Times New Roman" w:cs="Times New Roman" w:eastAsia="Times New Roman" w:hAnsi="Times New Roman"/>
          <w:sz w:val="16"/>
          <w:szCs w:val="16"/>
          <w:color w:val="auto"/>
        </w:rPr>
        <w:t>from the use and eventual disposition of the asset. If the</w:t>
      </w:r>
    </w:p>
    <w:p>
      <w:pPr>
        <w:spacing w:after="0" w:line="233" w:lineRule="auto"/>
        <w:rPr>
          <w:sz w:val="20"/>
          <w:szCs w:val="20"/>
          <w:color w:val="auto"/>
        </w:rPr>
      </w:pPr>
      <w:r>
        <w:rPr>
          <w:rFonts w:ascii="Times New Roman" w:cs="Times New Roman" w:eastAsia="Times New Roman" w:hAnsi="Times New Roman"/>
          <w:sz w:val="14"/>
          <w:szCs w:val="14"/>
          <w:color w:val="auto"/>
        </w:rPr>
        <w:t>carrying amount of the long-lived asset is not recoverable, we</w:t>
      </w:r>
    </w:p>
    <w:p>
      <w:pPr>
        <w:spacing w:after="0" w:line="204" w:lineRule="auto"/>
        <w:rPr>
          <w:sz w:val="20"/>
          <w:szCs w:val="20"/>
          <w:color w:val="auto"/>
        </w:rPr>
      </w:pPr>
      <w:r>
        <w:rPr>
          <w:rFonts w:ascii="Times New Roman" w:cs="Times New Roman" w:eastAsia="Times New Roman" w:hAnsi="Times New Roman"/>
          <w:sz w:val="16"/>
          <w:szCs w:val="16"/>
          <w:color w:val="auto"/>
        </w:rPr>
        <w:t>would measure the impairment loss as the amount by which</w:t>
      </w:r>
    </w:p>
    <w:p>
      <w:pPr>
        <w:spacing w:after="0" w:line="232" w:lineRule="auto"/>
        <w:rPr>
          <w:sz w:val="20"/>
          <w:szCs w:val="20"/>
          <w:color w:val="auto"/>
        </w:rPr>
      </w:pPr>
      <w:r>
        <w:rPr>
          <w:rFonts w:ascii="Times New Roman" w:cs="Times New Roman" w:eastAsia="Times New Roman" w:hAnsi="Times New Roman"/>
          <w:sz w:val="14"/>
          <w:szCs w:val="14"/>
          <w:color w:val="auto"/>
        </w:rPr>
        <w:t>the carrying amount of the asset exceeds its fair value and is</w:t>
      </w:r>
    </w:p>
    <w:p>
      <w:pPr>
        <w:spacing w:after="0" w:line="233" w:lineRule="auto"/>
        <w:rPr>
          <w:sz w:val="20"/>
          <w:szCs w:val="20"/>
          <w:color w:val="auto"/>
        </w:rPr>
      </w:pPr>
      <w:r>
        <w:rPr>
          <w:rFonts w:ascii="Times New Roman" w:cs="Times New Roman" w:eastAsia="Times New Roman" w:hAnsi="Times New Roman"/>
          <w:sz w:val="14"/>
          <w:szCs w:val="14"/>
          <w:color w:val="auto"/>
        </w:rPr>
        <w:t>recorded as a reduction in the carrying amount of the related</w:t>
      </w:r>
    </w:p>
    <w:p>
      <w:pPr>
        <w:spacing w:after="0" w:line="203" w:lineRule="auto"/>
        <w:rPr>
          <w:sz w:val="20"/>
          <w:szCs w:val="20"/>
          <w:color w:val="auto"/>
        </w:rPr>
      </w:pPr>
      <w:r>
        <w:rPr>
          <w:rFonts w:ascii="Times New Roman" w:cs="Times New Roman" w:eastAsia="Times New Roman" w:hAnsi="Times New Roman"/>
          <w:sz w:val="16"/>
          <w:szCs w:val="16"/>
          <w:color w:val="auto"/>
        </w:rPr>
        <w:t>asset and a charge to operating results. The fair value of</w:t>
      </w:r>
    </w:p>
    <w:p>
      <w:pPr>
        <w:spacing w:after="0" w:line="204" w:lineRule="auto"/>
        <w:rPr>
          <w:sz w:val="20"/>
          <w:szCs w:val="20"/>
          <w:color w:val="auto"/>
        </w:rPr>
      </w:pPr>
      <w:r>
        <w:rPr>
          <w:rFonts w:ascii="Times New Roman" w:cs="Times New Roman" w:eastAsia="Times New Roman" w:hAnsi="Times New Roman"/>
          <w:sz w:val="16"/>
          <w:szCs w:val="16"/>
          <w:color w:val="auto"/>
        </w:rPr>
        <w:t>finite-lived intangible assets, property and equipment and</w:t>
      </w:r>
    </w:p>
    <w:p>
      <w:pPr>
        <w:spacing w:after="0" w:line="203" w:lineRule="auto"/>
        <w:rPr>
          <w:sz w:val="20"/>
          <w:szCs w:val="20"/>
          <w:color w:val="auto"/>
        </w:rPr>
      </w:pPr>
      <w:r>
        <w:rPr>
          <w:rFonts w:ascii="Times New Roman" w:cs="Times New Roman" w:eastAsia="Times New Roman" w:hAnsi="Times New Roman"/>
          <w:sz w:val="16"/>
          <w:szCs w:val="16"/>
          <w:color w:val="auto"/>
        </w:rPr>
        <w:t>operating lease assets is based on various valuation</w:t>
      </w:r>
    </w:p>
    <w:p>
      <w:pPr>
        <w:spacing w:after="0" w:line="204" w:lineRule="auto"/>
        <w:rPr>
          <w:sz w:val="20"/>
          <w:szCs w:val="20"/>
          <w:color w:val="auto"/>
        </w:rPr>
      </w:pPr>
      <w:r>
        <w:rPr>
          <w:rFonts w:ascii="Times New Roman" w:cs="Times New Roman" w:eastAsia="Times New Roman" w:hAnsi="Times New Roman"/>
          <w:sz w:val="16"/>
          <w:szCs w:val="16"/>
          <w:color w:val="auto"/>
        </w:rPr>
        <w:t>techniques, such as discounted cash flow analysis.</w:t>
      </w:r>
    </w:p>
    <w:p>
      <w:pPr>
        <w:spacing w:after="0" w:line="204" w:lineRule="auto"/>
        <w:rPr>
          <w:sz w:val="20"/>
          <w:szCs w:val="20"/>
          <w:color w:val="auto"/>
        </w:rPr>
      </w:pPr>
      <w:r>
        <w:rPr>
          <w:rFonts w:ascii="Times New Roman" w:cs="Times New Roman" w:eastAsia="Times New Roman" w:hAnsi="Times New Roman"/>
          <w:sz w:val="16"/>
          <w:szCs w:val="16"/>
          <w:color w:val="auto"/>
        </w:rPr>
        <w:t>There were no material finite-lived intangible assets</w:t>
      </w:r>
    </w:p>
    <w:p>
      <w:pPr>
        <w:spacing w:after="0" w:line="203" w:lineRule="auto"/>
        <w:rPr>
          <w:sz w:val="20"/>
          <w:szCs w:val="20"/>
          <w:color w:val="auto"/>
        </w:rPr>
      </w:pPr>
      <w:r>
        <w:rPr>
          <w:rFonts w:ascii="Times New Roman" w:cs="Times New Roman" w:eastAsia="Times New Roman" w:hAnsi="Times New Roman"/>
          <w:sz w:val="16"/>
          <w:szCs w:val="16"/>
          <w:color w:val="auto"/>
        </w:rPr>
        <w:t>impairment charges in 2025, 2024 and 2023.</w:t>
      </w:r>
    </w:p>
    <w:p>
      <w:pPr>
        <w:spacing w:after="0" w:line="204" w:lineRule="auto"/>
        <w:rPr>
          <w:sz w:val="20"/>
          <w:szCs w:val="20"/>
          <w:color w:val="auto"/>
        </w:rPr>
      </w:pPr>
      <w:r>
        <w:rPr>
          <w:rFonts w:ascii="Times New Roman" w:cs="Times New Roman" w:eastAsia="Times New Roman" w:hAnsi="Times New Roman"/>
          <w:sz w:val="16"/>
          <w:szCs w:val="16"/>
          <w:color w:val="auto"/>
        </w:rPr>
        <w:t>There were no material non-cash property and equipment</w:t>
      </w:r>
    </w:p>
    <w:p>
      <w:pPr>
        <w:spacing w:after="0" w:line="232" w:lineRule="auto"/>
        <w:rPr>
          <w:sz w:val="20"/>
          <w:szCs w:val="20"/>
          <w:color w:val="auto"/>
        </w:rPr>
      </w:pPr>
      <w:r>
        <w:rPr>
          <w:rFonts w:ascii="Times New Roman" w:cs="Times New Roman" w:eastAsia="Times New Roman" w:hAnsi="Times New Roman"/>
          <w:sz w:val="14"/>
          <w:szCs w:val="14"/>
          <w:color w:val="auto"/>
        </w:rPr>
        <w:t>asset impairment charges in 2025. We recorded pre-tax, non-</w:t>
      </w:r>
    </w:p>
    <w:p>
      <w:pPr>
        <w:spacing w:after="0" w:line="204" w:lineRule="auto"/>
        <w:rPr>
          <w:sz w:val="20"/>
          <w:szCs w:val="20"/>
          <w:color w:val="auto"/>
        </w:rPr>
      </w:pPr>
      <w:r>
        <w:rPr>
          <w:rFonts w:ascii="Times New Roman" w:cs="Times New Roman" w:eastAsia="Times New Roman" w:hAnsi="Times New Roman"/>
          <w:sz w:val="16"/>
          <w:szCs w:val="16"/>
          <w:color w:val="auto"/>
        </w:rPr>
        <w:t>cash property and equipment asset impairment charges,</w:t>
      </w:r>
    </w:p>
    <w:p>
      <w:pPr>
        <w:spacing w:after="0" w:line="203" w:lineRule="auto"/>
        <w:rPr>
          <w:sz w:val="20"/>
          <w:szCs w:val="20"/>
          <w:color w:val="auto"/>
        </w:rPr>
      </w:pPr>
      <w:r>
        <w:rPr>
          <w:rFonts w:ascii="Times New Roman" w:cs="Times New Roman" w:eastAsia="Times New Roman" w:hAnsi="Times New Roman"/>
          <w:sz w:val="16"/>
          <w:szCs w:val="16"/>
          <w:color w:val="auto"/>
        </w:rPr>
        <w:t>primarily in relation to our restructuring programs of</w:t>
      </w:r>
    </w:p>
    <w:p>
      <w:pPr>
        <w:spacing w:after="0" w:line="204" w:lineRule="auto"/>
        <w:rPr>
          <w:sz w:val="20"/>
          <w:szCs w:val="20"/>
          <w:color w:val="auto"/>
        </w:rPr>
      </w:pPr>
      <w:r>
        <w:rPr>
          <w:rFonts w:ascii="Times New Roman" w:cs="Times New Roman" w:eastAsia="Times New Roman" w:hAnsi="Times New Roman"/>
          <w:sz w:val="16"/>
          <w:szCs w:val="16"/>
          <w:color w:val="auto"/>
        </w:rPr>
        <w:t>$37 million in 2024 and $12 million in 2023. See Note 20,</w:t>
      </w:r>
    </w:p>
    <w:p>
      <w:pPr>
        <w:spacing w:after="0" w:line="203" w:lineRule="auto"/>
        <w:rPr>
          <w:sz w:val="20"/>
          <w:szCs w:val="20"/>
          <w:color w:val="auto"/>
        </w:rPr>
      </w:pPr>
      <w:r>
        <w:rPr>
          <w:rFonts w:ascii="Times New Roman" w:cs="Times New Roman" w:eastAsia="Times New Roman" w:hAnsi="Times New Roman"/>
          <w:sz w:val="16"/>
          <w:szCs w:val="16"/>
          <w:color w:val="auto"/>
        </w:rPr>
        <w:t>“Restructuring Charges,” to the consolidated financial</w:t>
      </w:r>
    </w:p>
    <w:p>
      <w:pPr>
        <w:spacing w:after="0" w:line="204" w:lineRule="auto"/>
        <w:rPr>
          <w:sz w:val="20"/>
          <w:szCs w:val="20"/>
          <w:color w:val="auto"/>
        </w:rPr>
      </w:pPr>
      <w:r>
        <w:rPr>
          <w:rFonts w:ascii="Times New Roman" w:cs="Times New Roman" w:eastAsia="Times New Roman" w:hAnsi="Times New Roman"/>
          <w:sz w:val="16"/>
          <w:szCs w:val="16"/>
          <w:color w:val="auto"/>
        </w:rPr>
        <w:t>statements for a discussion of these plans.</w:t>
      </w:r>
    </w:p>
    <w:p>
      <w:pPr>
        <w:spacing w:after="0" w:line="233" w:lineRule="auto"/>
        <w:rPr>
          <w:sz w:val="20"/>
          <w:szCs w:val="20"/>
          <w:color w:val="auto"/>
        </w:rPr>
      </w:pPr>
      <w:r>
        <w:rPr>
          <w:rFonts w:ascii="Times New Roman" w:cs="Times New Roman" w:eastAsia="Times New Roman" w:hAnsi="Times New Roman"/>
          <w:sz w:val="14"/>
          <w:szCs w:val="14"/>
          <w:color w:val="auto"/>
        </w:rPr>
        <w:t>There were no material operating lease assets impairments in</w:t>
      </w:r>
    </w:p>
    <w:p>
      <w:pPr>
        <w:spacing w:after="0" w:line="203" w:lineRule="auto"/>
        <w:rPr>
          <w:sz w:val="20"/>
          <w:szCs w:val="20"/>
          <w:color w:val="auto"/>
        </w:rPr>
      </w:pPr>
      <w:r>
        <w:rPr>
          <w:rFonts w:ascii="Times New Roman" w:cs="Times New Roman" w:eastAsia="Times New Roman" w:hAnsi="Times New Roman"/>
          <w:sz w:val="16"/>
          <w:szCs w:val="16"/>
          <w:color w:val="auto"/>
        </w:rPr>
        <w:t>2025 and 2024. As a result of the review of our real estate</w:t>
      </w:r>
    </w:p>
    <w:p>
      <w:pPr>
        <w:spacing w:after="0" w:line="204" w:lineRule="auto"/>
        <w:rPr>
          <w:sz w:val="20"/>
          <w:szCs w:val="20"/>
          <w:color w:val="auto"/>
        </w:rPr>
      </w:pPr>
      <w:r>
        <w:rPr>
          <w:rFonts w:ascii="Times New Roman" w:cs="Times New Roman" w:eastAsia="Times New Roman" w:hAnsi="Times New Roman"/>
          <w:sz w:val="16"/>
          <w:szCs w:val="16"/>
          <w:color w:val="auto"/>
        </w:rPr>
        <w:t>and facility capacity requirements, for the year ended</w:t>
      </w:r>
    </w:p>
    <w:p>
      <w:pPr>
        <w:spacing w:after="0" w:line="203" w:lineRule="auto"/>
        <w:rPr>
          <w:sz w:val="20"/>
          <w:szCs w:val="20"/>
          <w:color w:val="auto"/>
        </w:rPr>
      </w:pPr>
      <w:r>
        <w:rPr>
          <w:rFonts w:ascii="Times New Roman" w:cs="Times New Roman" w:eastAsia="Times New Roman" w:hAnsi="Times New Roman"/>
          <w:sz w:val="16"/>
          <w:szCs w:val="16"/>
          <w:color w:val="auto"/>
        </w:rPr>
        <w:t>December 31, 2023, we recorded impairment charges of</w:t>
      </w:r>
    </w:p>
    <w:p>
      <w:pPr>
        <w:spacing w:after="0" w:line="204" w:lineRule="auto"/>
        <w:rPr>
          <w:sz w:val="20"/>
          <w:szCs w:val="20"/>
          <w:color w:val="auto"/>
        </w:rPr>
      </w:pPr>
      <w:r>
        <w:rPr>
          <w:rFonts w:ascii="Times New Roman" w:cs="Times New Roman" w:eastAsia="Times New Roman" w:hAnsi="Times New Roman"/>
          <w:sz w:val="16"/>
          <w:szCs w:val="16"/>
          <w:color w:val="auto"/>
        </w:rPr>
        <w:t>$23 million, of which $18 million related to operating lease</w:t>
      </w:r>
    </w:p>
    <w:p>
      <w:pPr>
        <w:spacing w:after="0" w:line="203" w:lineRule="auto"/>
        <w:rPr>
          <w:sz w:val="20"/>
          <w:szCs w:val="20"/>
          <w:color w:val="auto"/>
        </w:rPr>
      </w:pPr>
      <w:r>
        <w:rPr>
          <w:rFonts w:ascii="Times New Roman" w:cs="Times New Roman" w:eastAsia="Times New Roman" w:hAnsi="Times New Roman"/>
          <w:sz w:val="16"/>
          <w:szCs w:val="16"/>
          <w:color w:val="auto"/>
        </w:rPr>
        <w:t>asset impairment. See Note 16, “Leases,” for further</w:t>
      </w:r>
    </w:p>
    <w:p>
      <w:pPr>
        <w:spacing w:after="0" w:line="204" w:lineRule="auto"/>
        <w:rPr>
          <w:sz w:val="20"/>
          <w:szCs w:val="20"/>
          <w:color w:val="auto"/>
        </w:rPr>
      </w:pPr>
      <w:r>
        <w:rPr>
          <w:rFonts w:ascii="Times New Roman" w:cs="Times New Roman" w:eastAsia="Times New Roman" w:hAnsi="Times New Roman"/>
          <w:sz w:val="16"/>
          <w:szCs w:val="16"/>
          <w:color w:val="auto"/>
        </w:rPr>
        <w:t>discussion.</w:t>
      </w:r>
    </w:p>
    <w:p>
      <w:pPr>
        <w:spacing w:after="0" w:line="203" w:lineRule="auto"/>
        <w:rPr>
          <w:sz w:val="20"/>
          <w:szCs w:val="20"/>
          <w:color w:val="auto"/>
        </w:rPr>
      </w:pPr>
      <w:r>
        <w:rPr>
          <w:rFonts w:ascii="Times New Roman" w:cs="Times New Roman" w:eastAsia="Times New Roman" w:hAnsi="Times New Roman"/>
          <w:sz w:val="16"/>
          <w:szCs w:val="16"/>
          <w:color w:val="auto"/>
        </w:rPr>
        <w:t>No material impairments were recorded to reduce the</w:t>
      </w:r>
    </w:p>
    <w:p>
      <w:pPr>
        <w:spacing w:after="0" w:line="204" w:lineRule="auto"/>
        <w:rPr>
          <w:sz w:val="20"/>
          <w:szCs w:val="20"/>
          <w:color w:val="auto"/>
        </w:rPr>
      </w:pPr>
      <w:r>
        <w:rPr>
          <w:rFonts w:ascii="Times New Roman" w:cs="Times New Roman" w:eastAsia="Times New Roman" w:hAnsi="Times New Roman"/>
          <w:sz w:val="16"/>
          <w:szCs w:val="16"/>
          <w:color w:val="auto"/>
        </w:rPr>
        <w:t>carrying value of our other long-lived assets during 2025,</w:t>
      </w:r>
    </w:p>
    <w:p>
      <w:pPr>
        <w:spacing w:after="0" w:line="204" w:lineRule="auto"/>
        <w:rPr>
          <w:sz w:val="20"/>
          <w:szCs w:val="20"/>
          <w:color w:val="auto"/>
        </w:rPr>
      </w:pPr>
      <w:r>
        <w:rPr>
          <w:rFonts w:ascii="Times New Roman" w:cs="Times New Roman" w:eastAsia="Times New Roman" w:hAnsi="Times New Roman"/>
          <w:sz w:val="16"/>
          <w:szCs w:val="16"/>
          <w:color w:val="auto"/>
        </w:rPr>
        <w:t>2024 or 2023.</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Income Taxes</w:t>
      </w:r>
    </w:p>
    <w:p>
      <w:pPr>
        <w:spacing w:after="0" w:line="204" w:lineRule="auto"/>
        <w:rPr>
          <w:sz w:val="20"/>
          <w:szCs w:val="20"/>
          <w:color w:val="auto"/>
        </w:rPr>
      </w:pPr>
      <w:r>
        <w:rPr>
          <w:rFonts w:ascii="Times New Roman" w:cs="Times New Roman" w:eastAsia="Times New Roman" w:hAnsi="Times New Roman"/>
          <w:sz w:val="16"/>
          <w:szCs w:val="16"/>
          <w:color w:val="auto"/>
        </w:rPr>
        <w:t>Estimates and judgments are required in the calculation of</w:t>
      </w:r>
    </w:p>
    <w:p>
      <w:pPr>
        <w:spacing w:after="0" w:line="203" w:lineRule="auto"/>
        <w:rPr>
          <w:sz w:val="20"/>
          <w:szCs w:val="20"/>
          <w:color w:val="auto"/>
        </w:rPr>
      </w:pPr>
      <w:r>
        <w:rPr>
          <w:rFonts w:ascii="Times New Roman" w:cs="Times New Roman" w:eastAsia="Times New Roman" w:hAnsi="Times New Roman"/>
          <w:sz w:val="16"/>
          <w:szCs w:val="16"/>
          <w:color w:val="auto"/>
        </w:rPr>
        <w:t>certain tax liabilities and in the determination of the</w:t>
      </w:r>
    </w:p>
    <w:p>
      <w:pPr>
        <w:spacing w:after="0" w:line="233" w:lineRule="auto"/>
        <w:rPr>
          <w:sz w:val="20"/>
          <w:szCs w:val="20"/>
          <w:color w:val="auto"/>
        </w:rPr>
      </w:pPr>
      <w:r>
        <w:rPr>
          <w:rFonts w:ascii="Times New Roman" w:cs="Times New Roman" w:eastAsia="Times New Roman" w:hAnsi="Times New Roman"/>
          <w:sz w:val="14"/>
          <w:szCs w:val="14"/>
          <w:color w:val="auto"/>
        </w:rPr>
        <w:t>recoverability of certain deferred tax assets, which arise from</w:t>
      </w:r>
    </w:p>
    <w:p>
      <w:pPr>
        <w:spacing w:after="0" w:line="233" w:lineRule="auto"/>
        <w:rPr>
          <w:sz w:val="20"/>
          <w:szCs w:val="20"/>
          <w:color w:val="auto"/>
        </w:rPr>
      </w:pPr>
      <w:r>
        <w:rPr>
          <w:rFonts w:ascii="Times New Roman" w:cs="Times New Roman" w:eastAsia="Times New Roman" w:hAnsi="Times New Roman"/>
          <w:sz w:val="14"/>
          <w:szCs w:val="14"/>
          <w:color w:val="auto"/>
        </w:rPr>
        <w:t>net operating loss carryforwards, tax credit carryforwards and</w:t>
      </w:r>
    </w:p>
    <w:p>
      <w:pPr>
        <w:spacing w:after="0" w:line="203" w:lineRule="auto"/>
        <w:rPr>
          <w:sz w:val="20"/>
          <w:szCs w:val="20"/>
          <w:color w:val="auto"/>
        </w:rPr>
      </w:pPr>
      <w:r>
        <w:rPr>
          <w:rFonts w:ascii="Times New Roman" w:cs="Times New Roman" w:eastAsia="Times New Roman" w:hAnsi="Times New Roman"/>
          <w:sz w:val="16"/>
          <w:szCs w:val="16"/>
          <w:color w:val="auto"/>
        </w:rPr>
        <w:t>temporary differences between the tax and financial</w:t>
      </w:r>
    </w:p>
    <w:p>
      <w:pPr>
        <w:spacing w:after="0" w:line="233" w:lineRule="auto"/>
        <w:rPr>
          <w:sz w:val="20"/>
          <w:szCs w:val="20"/>
          <w:color w:val="auto"/>
        </w:rPr>
      </w:pPr>
      <w:r>
        <w:rPr>
          <w:rFonts w:ascii="Times New Roman" w:cs="Times New Roman" w:eastAsia="Times New Roman" w:hAnsi="Times New Roman"/>
          <w:sz w:val="14"/>
          <w:szCs w:val="14"/>
          <w:color w:val="auto"/>
        </w:rPr>
        <w:t>statement recognition of revenues and expenses. Our deferred</w:t>
      </w:r>
    </w:p>
    <w:p>
      <w:pPr>
        <w:spacing w:after="0" w:line="203" w:lineRule="auto"/>
        <w:rPr>
          <w:sz w:val="20"/>
          <w:szCs w:val="20"/>
          <w:color w:val="auto"/>
        </w:rPr>
      </w:pPr>
      <w:r>
        <w:rPr>
          <w:rFonts w:ascii="Times New Roman" w:cs="Times New Roman" w:eastAsia="Times New Roman" w:hAnsi="Times New Roman"/>
          <w:sz w:val="16"/>
          <w:szCs w:val="16"/>
          <w:color w:val="auto"/>
        </w:rPr>
        <w:t>tax assets are reduced by a valuation allowance if it is more</w:t>
      </w:r>
    </w:p>
    <w:p>
      <w:pPr>
        <w:spacing w:after="0" w:line="204" w:lineRule="auto"/>
        <w:rPr>
          <w:sz w:val="20"/>
          <w:szCs w:val="20"/>
          <w:color w:val="auto"/>
        </w:rPr>
      </w:pPr>
      <w:r>
        <w:rPr>
          <w:rFonts w:ascii="Times New Roman" w:cs="Times New Roman" w:eastAsia="Times New Roman" w:hAnsi="Times New Roman"/>
          <w:sz w:val="16"/>
          <w:szCs w:val="16"/>
          <w:color w:val="auto"/>
        </w:rPr>
        <w:t>likely than not that some portion or all of the recorded</w:t>
      </w:r>
    </w:p>
    <w:p>
      <w:pPr>
        <w:spacing w:after="0" w:line="203" w:lineRule="auto"/>
        <w:rPr>
          <w:sz w:val="20"/>
          <w:szCs w:val="20"/>
          <w:color w:val="auto"/>
        </w:rPr>
      </w:pPr>
      <w:r>
        <w:rPr>
          <w:rFonts w:ascii="Times New Roman" w:cs="Times New Roman" w:eastAsia="Times New Roman" w:hAnsi="Times New Roman"/>
          <w:sz w:val="16"/>
          <w:szCs w:val="16"/>
          <w:color w:val="auto"/>
        </w:rPr>
        <w:t>deferred tax assets will not be realized in future periods.</w:t>
      </w:r>
    </w:p>
    <w:p>
      <w:pPr>
        <w:spacing w:after="0" w:line="233" w:lineRule="auto"/>
        <w:rPr>
          <w:sz w:val="20"/>
          <w:szCs w:val="20"/>
          <w:color w:val="auto"/>
        </w:rPr>
      </w:pPr>
      <w:r>
        <w:rPr>
          <w:rFonts w:ascii="Times New Roman" w:cs="Times New Roman" w:eastAsia="Times New Roman" w:hAnsi="Times New Roman"/>
          <w:sz w:val="14"/>
          <w:szCs w:val="14"/>
          <w:color w:val="auto"/>
        </w:rPr>
        <w:t>Management is required to determine whether a tax position</w:t>
      </w:r>
    </w:p>
    <w:p>
      <w:pPr>
        <w:spacing w:after="0" w:line="204" w:lineRule="auto"/>
        <w:rPr>
          <w:sz w:val="20"/>
          <w:szCs w:val="20"/>
          <w:color w:val="auto"/>
        </w:rPr>
      </w:pPr>
      <w:r>
        <w:rPr>
          <w:rFonts w:ascii="Times New Roman" w:cs="Times New Roman" w:eastAsia="Times New Roman" w:hAnsi="Times New Roman"/>
          <w:sz w:val="16"/>
          <w:szCs w:val="16"/>
          <w:color w:val="auto"/>
        </w:rPr>
        <w:t>is more likely than not to be sustained upon examination,</w:t>
      </w:r>
    </w:p>
    <w:p>
      <w:pPr>
        <w:spacing w:after="0" w:line="203" w:lineRule="auto"/>
        <w:rPr>
          <w:sz w:val="20"/>
          <w:szCs w:val="20"/>
          <w:color w:val="auto"/>
        </w:rPr>
      </w:pPr>
      <w:r>
        <w:rPr>
          <w:rFonts w:ascii="Times New Roman" w:cs="Times New Roman" w:eastAsia="Times New Roman" w:hAnsi="Times New Roman"/>
          <w:sz w:val="16"/>
          <w:szCs w:val="16"/>
          <w:color w:val="auto"/>
        </w:rPr>
        <w:t>including resolution of any related appeals or litigation</w:t>
      </w:r>
    </w:p>
    <w:p>
      <w:pPr>
        <w:spacing w:after="0" w:line="233" w:lineRule="auto"/>
        <w:rPr>
          <w:sz w:val="20"/>
          <w:szCs w:val="20"/>
          <w:color w:val="auto"/>
        </w:rPr>
      </w:pPr>
      <w:r>
        <w:rPr>
          <w:rFonts w:ascii="Times New Roman" w:cs="Times New Roman" w:eastAsia="Times New Roman" w:hAnsi="Times New Roman"/>
          <w:sz w:val="14"/>
          <w:szCs w:val="14"/>
          <w:color w:val="auto"/>
        </w:rPr>
        <w:t>processes, based on the technical merits of the position. Once</w:t>
      </w:r>
    </w:p>
    <w:p>
      <w:pPr>
        <w:spacing w:after="0" w:line="203" w:lineRule="auto"/>
        <w:rPr>
          <w:sz w:val="20"/>
          <w:szCs w:val="20"/>
          <w:color w:val="auto"/>
        </w:rPr>
      </w:pPr>
      <w:r>
        <w:rPr>
          <w:rFonts w:ascii="Times New Roman" w:cs="Times New Roman" w:eastAsia="Times New Roman" w:hAnsi="Times New Roman"/>
          <w:sz w:val="16"/>
          <w:szCs w:val="16"/>
          <w:color w:val="auto"/>
        </w:rPr>
        <w:t>it is determined that a position meets the recognition</w:t>
      </w:r>
    </w:p>
    <w:p>
      <w:pPr>
        <w:spacing w:after="0" w:line="233" w:lineRule="auto"/>
        <w:rPr>
          <w:sz w:val="20"/>
          <w:szCs w:val="20"/>
          <w:color w:val="auto"/>
        </w:rPr>
      </w:pPr>
      <w:r>
        <w:rPr>
          <w:rFonts w:ascii="Times New Roman" w:cs="Times New Roman" w:eastAsia="Times New Roman" w:hAnsi="Times New Roman"/>
          <w:sz w:val="14"/>
          <w:szCs w:val="14"/>
          <w:color w:val="auto"/>
        </w:rPr>
        <w:t>thresholds, the position is measured to determine the amount</w:t>
      </w:r>
    </w:p>
    <w:p>
      <w:pPr>
        <w:spacing w:after="0" w:line="204" w:lineRule="auto"/>
        <w:rPr>
          <w:sz w:val="20"/>
          <w:szCs w:val="20"/>
          <w:color w:val="auto"/>
        </w:rPr>
      </w:pPr>
      <w:r>
        <w:rPr>
          <w:rFonts w:ascii="Times New Roman" w:cs="Times New Roman" w:eastAsia="Times New Roman" w:hAnsi="Times New Roman"/>
          <w:sz w:val="16"/>
          <w:szCs w:val="16"/>
          <w:color w:val="auto"/>
        </w:rPr>
        <w:t>of benefit to be recognized in the consolidated financial</w:t>
      </w:r>
    </w:p>
    <w:p>
      <w:pPr>
        <w:spacing w:after="0" w:line="203" w:lineRule="auto"/>
        <w:rPr>
          <w:sz w:val="20"/>
          <w:szCs w:val="20"/>
          <w:color w:val="auto"/>
        </w:rPr>
      </w:pPr>
      <w:r>
        <w:rPr>
          <w:rFonts w:ascii="Times New Roman" w:cs="Times New Roman" w:eastAsia="Times New Roman" w:hAnsi="Times New Roman"/>
          <w:sz w:val="16"/>
          <w:szCs w:val="16"/>
          <w:color w:val="auto"/>
        </w:rPr>
        <w:t>statements.</w:t>
      </w:r>
    </w:p>
    <w:p>
      <w:pPr>
        <w:spacing w:after="0" w:line="233" w:lineRule="auto"/>
        <w:rPr>
          <w:sz w:val="20"/>
          <w:szCs w:val="20"/>
          <w:color w:val="auto"/>
        </w:rPr>
      </w:pPr>
      <w:r>
        <w:rPr>
          <w:rFonts w:ascii="Times New Roman" w:cs="Times New Roman" w:eastAsia="Times New Roman" w:hAnsi="Times New Roman"/>
          <w:sz w:val="14"/>
          <w:szCs w:val="14"/>
          <w:color w:val="auto"/>
        </w:rPr>
        <w:t>In assessing the need for a valuation allowance, we consider</w:t>
      </w:r>
    </w:p>
    <w:p>
      <w:pPr>
        <w:spacing w:after="0" w:line="203" w:lineRule="auto"/>
        <w:rPr>
          <w:sz w:val="20"/>
          <w:szCs w:val="20"/>
          <w:color w:val="auto"/>
        </w:rPr>
      </w:pPr>
      <w:r>
        <w:rPr>
          <w:rFonts w:ascii="Times New Roman" w:cs="Times New Roman" w:eastAsia="Times New Roman" w:hAnsi="Times New Roman"/>
          <w:sz w:val="16"/>
          <w:szCs w:val="16"/>
          <w:color w:val="auto"/>
        </w:rPr>
        <w:t>all available evidence including past operating results, the</w:t>
      </w:r>
    </w:p>
    <w:p>
      <w:pPr>
        <w:spacing w:after="0" w:line="233" w:lineRule="auto"/>
        <w:rPr>
          <w:sz w:val="20"/>
          <w:szCs w:val="20"/>
          <w:color w:val="auto"/>
        </w:rPr>
      </w:pPr>
      <w:r>
        <w:rPr>
          <w:rFonts w:ascii="Times New Roman" w:cs="Times New Roman" w:eastAsia="Times New Roman" w:hAnsi="Times New Roman"/>
          <w:sz w:val="14"/>
          <w:szCs w:val="14"/>
          <w:color w:val="auto"/>
        </w:rPr>
        <w:t>existence of cumulative losses in the most recent fiscal years,</w:t>
      </w:r>
    </w:p>
    <w:p>
      <w:pPr>
        <w:spacing w:after="0" w:line="204" w:lineRule="auto"/>
        <w:rPr>
          <w:sz w:val="20"/>
          <w:szCs w:val="20"/>
          <w:color w:val="auto"/>
        </w:rPr>
      </w:pPr>
      <w:r>
        <w:rPr>
          <w:rFonts w:ascii="Times New Roman" w:cs="Times New Roman" w:eastAsia="Times New Roman" w:hAnsi="Times New Roman"/>
          <w:sz w:val="16"/>
          <w:szCs w:val="16"/>
          <w:color w:val="auto"/>
        </w:rPr>
        <w:t>estimates of future taxable income and the feasibility of tax</w:t>
      </w:r>
    </w:p>
    <w:p>
      <w:pPr>
        <w:spacing w:after="0" w:line="203" w:lineRule="auto"/>
        <w:rPr>
          <w:sz w:val="20"/>
          <w:szCs w:val="20"/>
          <w:color w:val="auto"/>
        </w:rPr>
      </w:pPr>
      <w:r>
        <w:rPr>
          <w:rFonts w:ascii="Times New Roman" w:cs="Times New Roman" w:eastAsia="Times New Roman" w:hAnsi="Times New Roman"/>
          <w:sz w:val="16"/>
          <w:szCs w:val="16"/>
          <w:color w:val="auto"/>
        </w:rPr>
        <w:t>planning strategies. In the event that we change our</w:t>
      </w:r>
    </w:p>
    <w:p>
      <w:pPr>
        <w:spacing w:after="0" w:line="233" w:lineRule="auto"/>
        <w:rPr>
          <w:sz w:val="20"/>
          <w:szCs w:val="20"/>
          <w:color w:val="auto"/>
        </w:rPr>
      </w:pPr>
      <w:r>
        <w:rPr>
          <w:rFonts w:ascii="Times New Roman" w:cs="Times New Roman" w:eastAsia="Times New Roman" w:hAnsi="Times New Roman"/>
          <w:sz w:val="14"/>
          <w:szCs w:val="14"/>
          <w:color w:val="auto"/>
        </w:rPr>
        <w:t>determination as to the amount of deferred tax assets that can</w:t>
      </w:r>
    </w:p>
    <w:p>
      <w:pPr>
        <w:spacing w:after="0" w:line="203" w:lineRule="auto"/>
        <w:rPr>
          <w:sz w:val="20"/>
          <w:szCs w:val="20"/>
          <w:color w:val="auto"/>
        </w:rPr>
      </w:pPr>
      <w:r>
        <w:rPr>
          <w:rFonts w:ascii="Times New Roman" w:cs="Times New Roman" w:eastAsia="Times New Roman" w:hAnsi="Times New Roman"/>
          <w:sz w:val="16"/>
          <w:szCs w:val="16"/>
          <w:color w:val="auto"/>
        </w:rPr>
        <w:t>be realized, we will adjust our valuation allowance with a</w:t>
      </w:r>
    </w:p>
    <w:p>
      <w:pPr>
        <w:spacing w:after="0" w:line="233" w:lineRule="auto"/>
        <w:rPr>
          <w:sz w:val="20"/>
          <w:szCs w:val="20"/>
          <w:color w:val="auto"/>
        </w:rPr>
      </w:pPr>
      <w:r>
        <w:rPr>
          <w:rFonts w:ascii="Times New Roman" w:cs="Times New Roman" w:eastAsia="Times New Roman" w:hAnsi="Times New Roman"/>
          <w:sz w:val="14"/>
          <w:szCs w:val="14"/>
          <w:color w:val="auto"/>
        </w:rPr>
        <w:t>corresponding impact to the provision for income taxes in the</w:t>
      </w:r>
    </w:p>
    <w:p>
      <w:pPr>
        <w:spacing w:after="0" w:line="204" w:lineRule="auto"/>
        <w:rPr>
          <w:sz w:val="20"/>
          <w:szCs w:val="20"/>
          <w:color w:val="auto"/>
        </w:rPr>
      </w:pPr>
      <w:r>
        <w:rPr>
          <w:rFonts w:ascii="Times New Roman" w:cs="Times New Roman" w:eastAsia="Times New Roman" w:hAnsi="Times New Roman"/>
          <w:sz w:val="16"/>
          <w:szCs w:val="16"/>
          <w:color w:val="auto"/>
        </w:rPr>
        <w:t>period in which such determination is made.</w:t>
      </w:r>
    </w:p>
    <w:p>
      <w:pPr>
        <w:spacing w:after="0" w:line="203" w:lineRule="auto"/>
        <w:rPr>
          <w:sz w:val="20"/>
          <w:szCs w:val="20"/>
          <w:color w:val="auto"/>
        </w:rPr>
      </w:pPr>
      <w:r>
        <w:rPr>
          <w:rFonts w:ascii="Times New Roman" w:cs="Times New Roman" w:eastAsia="Times New Roman" w:hAnsi="Times New Roman"/>
          <w:sz w:val="16"/>
          <w:szCs w:val="16"/>
          <w:color w:val="auto"/>
        </w:rPr>
        <w:t>In addition, the calculation of our tax liabilities involves</w:t>
      </w:r>
    </w:p>
    <w:p>
      <w:pPr>
        <w:spacing w:after="0" w:line="233" w:lineRule="auto"/>
        <w:rPr>
          <w:sz w:val="20"/>
          <w:szCs w:val="20"/>
          <w:color w:val="auto"/>
        </w:rPr>
      </w:pPr>
      <w:r>
        <w:rPr>
          <w:rFonts w:ascii="Times New Roman" w:cs="Times New Roman" w:eastAsia="Times New Roman" w:hAnsi="Times New Roman"/>
          <w:sz w:val="14"/>
          <w:szCs w:val="14"/>
          <w:color w:val="auto"/>
        </w:rPr>
        <w:t>uncertainties in the application of tax regulations in the U.S.</w:t>
      </w:r>
    </w:p>
    <w:p>
      <w:pPr>
        <w:spacing w:after="0" w:line="233" w:lineRule="auto"/>
        <w:rPr>
          <w:sz w:val="20"/>
          <w:szCs w:val="20"/>
          <w:color w:val="auto"/>
        </w:rPr>
      </w:pPr>
      <w:r>
        <w:rPr>
          <w:rFonts w:ascii="Times New Roman" w:cs="Times New Roman" w:eastAsia="Times New Roman" w:hAnsi="Times New Roman"/>
          <w:sz w:val="14"/>
          <w:szCs w:val="14"/>
          <w:color w:val="auto"/>
        </w:rPr>
        <w:t>and other tax jurisdictions. We recognize potential liabilities</w:t>
      </w:r>
    </w:p>
    <w:p>
      <w:pPr>
        <w:spacing w:after="0" w:line="232" w:lineRule="auto"/>
        <w:rPr>
          <w:sz w:val="20"/>
          <w:szCs w:val="20"/>
          <w:color w:val="auto"/>
        </w:rPr>
      </w:pPr>
      <w:r>
        <w:rPr>
          <w:rFonts w:ascii="Times New Roman" w:cs="Times New Roman" w:eastAsia="Times New Roman" w:hAnsi="Times New Roman"/>
          <w:sz w:val="14"/>
          <w:szCs w:val="14"/>
          <w:color w:val="auto"/>
        </w:rPr>
        <w:t>for anticipated tax audit issues in such jurisdictions based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estimate of whether, and the extent to which, additional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56</w:t>
      </w:r>
    </w:p>
    <w:p>
      <w:pPr>
        <w:spacing w:after="0" w:line="203" w:lineRule="auto"/>
        <w:rPr>
          <w:sz w:val="20"/>
          <w:szCs w:val="20"/>
          <w:color w:val="auto"/>
        </w:rPr>
      </w:pPr>
      <w:r>
        <w:rPr>
          <w:rFonts w:ascii="Times New Roman" w:cs="Times New Roman" w:eastAsia="Times New Roman" w:hAnsi="Times New Roman"/>
          <w:sz w:val="16"/>
          <w:szCs w:val="16"/>
          <w:color w:val="auto"/>
        </w:rPr>
        <w:t>report thereon of Ernst &amp; Young LLP, dated February 12,</w:t>
      </w:r>
    </w:p>
    <w:p>
      <w:pPr>
        <w:spacing w:after="0" w:line="204" w:lineRule="auto"/>
        <w:rPr>
          <w:sz w:val="20"/>
          <w:szCs w:val="20"/>
          <w:color w:val="auto"/>
        </w:rPr>
      </w:pPr>
      <w:r>
        <w:rPr>
          <w:rFonts w:ascii="Times New Roman" w:cs="Times New Roman" w:eastAsia="Times New Roman" w:hAnsi="Times New Roman"/>
          <w:sz w:val="16"/>
          <w:szCs w:val="16"/>
          <w:color w:val="auto"/>
        </w:rPr>
        <w:t>2026, are attached hereto as pages F-1 through F-44 and</w:t>
      </w:r>
    </w:p>
    <w:p>
      <w:pPr>
        <w:spacing w:after="0" w:line="203" w:lineRule="auto"/>
        <w:rPr>
          <w:sz w:val="20"/>
          <w:szCs w:val="20"/>
          <w:color w:val="auto"/>
        </w:rPr>
      </w:pPr>
      <w:r>
        <w:rPr>
          <w:rFonts w:ascii="Times New Roman" w:cs="Times New Roman" w:eastAsia="Times New Roman" w:hAnsi="Times New Roman"/>
          <w:sz w:val="16"/>
          <w:szCs w:val="16"/>
          <w:color w:val="auto"/>
        </w:rPr>
        <w:t>incorporated by reference herein.</w:t>
      </w:r>
    </w:p>
    <w:p>
      <w:pPr>
        <w:spacing w:after="0" w:line="233" w:lineRule="auto"/>
        <w:rPr>
          <w:sz w:val="20"/>
          <w:szCs w:val="20"/>
          <w:color w:val="auto"/>
        </w:rPr>
      </w:pPr>
      <w:r>
        <w:rPr>
          <w:rFonts w:ascii="Times New Roman" w:cs="Times New Roman" w:eastAsia="Times New Roman" w:hAnsi="Times New Roman"/>
          <w:sz w:val="14"/>
          <w:szCs w:val="14"/>
          <w:b w:val="1"/>
          <w:bCs w:val="1"/>
          <w:color w:val="0092BC"/>
        </w:rPr>
        <w:t>Item 9. Changes in and Disagreements with Accountants</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on Accounting and Financial Disclosure</w:t>
      </w:r>
    </w:p>
    <w:p>
      <w:pPr>
        <w:spacing w:after="0" w:line="204" w:lineRule="auto"/>
        <w:rPr>
          <w:sz w:val="20"/>
          <w:szCs w:val="20"/>
          <w:color w:val="auto"/>
        </w:rPr>
      </w:pPr>
      <w:r>
        <w:rPr>
          <w:rFonts w:ascii="Times New Roman" w:cs="Times New Roman" w:eastAsia="Times New Roman" w:hAnsi="Times New Roman"/>
          <w:sz w:val="16"/>
          <w:szCs w:val="16"/>
          <w:color w:val="auto"/>
        </w:rPr>
        <w:t>None.</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Item 9A. Controls and Procedures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rPr>
          <w:sz w:val="20"/>
          <w:szCs w:val="20"/>
          <w:color w:val="auto"/>
        </w:rPr>
      </w:pPr>
      <w:r>
        <w:rPr>
          <w:rFonts w:ascii="Times New Roman" w:cs="Times New Roman" w:eastAsia="Times New Roman" w:hAnsi="Times New Roman"/>
          <w:sz w:val="16"/>
          <w:szCs w:val="16"/>
          <w:color w:val="auto"/>
        </w:rPr>
        <w:t>Nasdaq’s management, with the participation of Nasdaq’s</w:t>
      </w:r>
    </w:p>
    <w:p>
      <w:pPr>
        <w:sectPr>
          <w:pgSz w:w="11900" w:h="16840" w:orient="portrait"/>
          <w:cols w:equalWidth="0" w:num="1">
            <w:col w:w="9400"/>
          </w:cols>
          <w:pgMar w:left="1060" w:top="557" w:right="1440" w:bottom="1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t>Chief Executive Officer, and Executive Vice President and</w:t>
      </w:r>
    </w:p>
    <w:p>
      <w:pPr>
        <w:spacing w:after="0" w:line="203" w:lineRule="auto"/>
        <w:rPr>
          <w:sz w:val="20"/>
          <w:szCs w:val="20"/>
          <w:color w:val="auto"/>
        </w:rPr>
      </w:pPr>
      <w:r>
        <w:rPr>
          <w:rFonts w:ascii="Times New Roman" w:cs="Times New Roman" w:eastAsia="Times New Roman" w:hAnsi="Times New Roman"/>
          <w:sz w:val="16"/>
          <w:szCs w:val="16"/>
          <w:color w:val="auto"/>
        </w:rPr>
        <w:t>Chief Financial Officer, has evaluated the effectiveness of</w:t>
      </w:r>
    </w:p>
    <w:p>
      <w:pPr>
        <w:spacing w:after="0" w:line="204" w:lineRule="auto"/>
        <w:rPr>
          <w:sz w:val="20"/>
          <w:szCs w:val="20"/>
          <w:color w:val="auto"/>
        </w:rPr>
      </w:pPr>
      <w:r>
        <w:rPr>
          <w:rFonts w:ascii="Times New Roman" w:cs="Times New Roman" w:eastAsia="Times New Roman" w:hAnsi="Times New Roman"/>
          <w:sz w:val="16"/>
          <w:szCs w:val="16"/>
          <w:color w:val="auto"/>
        </w:rPr>
        <w:t>Nasdaq’s disclosure controls and procedures (as defined in</w:t>
      </w:r>
    </w:p>
    <w:p>
      <w:pPr>
        <w:spacing w:after="0" w:line="232" w:lineRule="auto"/>
        <w:rPr>
          <w:sz w:val="20"/>
          <w:szCs w:val="20"/>
          <w:color w:val="auto"/>
        </w:rPr>
      </w:pPr>
      <w:r>
        <w:rPr>
          <w:rFonts w:ascii="Times New Roman" w:cs="Times New Roman" w:eastAsia="Times New Roman" w:hAnsi="Times New Roman"/>
          <w:sz w:val="14"/>
          <w:szCs w:val="14"/>
          <w:color w:val="auto"/>
        </w:rPr>
        <w:t>Rule 13a-15(e) and Rule 15d-15(e) under the Exchange Act)</w:t>
      </w:r>
    </w:p>
    <w:p>
      <w:pPr>
        <w:spacing w:after="0" w:line="233" w:lineRule="auto"/>
        <w:rPr>
          <w:sz w:val="20"/>
          <w:szCs w:val="20"/>
          <w:color w:val="auto"/>
        </w:rPr>
      </w:pPr>
      <w:r>
        <w:rPr>
          <w:rFonts w:ascii="Times New Roman" w:cs="Times New Roman" w:eastAsia="Times New Roman" w:hAnsi="Times New Roman"/>
          <w:sz w:val="14"/>
          <w:szCs w:val="14"/>
          <w:color w:val="auto"/>
        </w:rPr>
        <w:t>as of the end of the period covered by this report. Based upon</w:t>
      </w:r>
    </w:p>
    <w:p>
      <w:pPr>
        <w:spacing w:after="0" w:line="203" w:lineRule="auto"/>
        <w:rPr>
          <w:sz w:val="20"/>
          <w:szCs w:val="20"/>
          <w:color w:val="auto"/>
        </w:rPr>
      </w:pPr>
      <w:r>
        <w:rPr>
          <w:rFonts w:ascii="Times New Roman" w:cs="Times New Roman" w:eastAsia="Times New Roman" w:hAnsi="Times New Roman"/>
          <w:sz w:val="16"/>
          <w:szCs w:val="16"/>
          <w:color w:val="auto"/>
        </w:rPr>
        <w:t>that evaluation, Nasdaq’s Chief Executive Officer and</w:t>
      </w:r>
    </w:p>
    <w:p>
      <w:pPr>
        <w:spacing w:after="0" w:line="204" w:lineRule="auto"/>
        <w:rPr>
          <w:sz w:val="20"/>
          <w:szCs w:val="20"/>
          <w:color w:val="auto"/>
        </w:rPr>
      </w:pPr>
      <w:r>
        <w:rPr>
          <w:rFonts w:ascii="Times New Roman" w:cs="Times New Roman" w:eastAsia="Times New Roman" w:hAnsi="Times New Roman"/>
          <w:sz w:val="16"/>
          <w:szCs w:val="16"/>
          <w:color w:val="auto"/>
        </w:rPr>
        <w:t>Executive Vice President and Chief Financial Officer, have</w:t>
      </w:r>
    </w:p>
    <w:p>
      <w:pPr>
        <w:spacing w:after="0" w:line="203" w:lineRule="auto"/>
        <w:rPr>
          <w:sz w:val="20"/>
          <w:szCs w:val="20"/>
          <w:color w:val="auto"/>
        </w:rPr>
      </w:pPr>
      <w:r>
        <w:rPr>
          <w:rFonts w:ascii="Times New Roman" w:cs="Times New Roman" w:eastAsia="Times New Roman" w:hAnsi="Times New Roman"/>
          <w:sz w:val="16"/>
          <w:szCs w:val="16"/>
          <w:color w:val="auto"/>
        </w:rPr>
        <w:t>concluded that, as of the end of such period, Nasdaq’s</w:t>
      </w:r>
    </w:p>
    <w:p>
      <w:pPr>
        <w:spacing w:after="0" w:line="204" w:lineRule="auto"/>
        <w:rPr>
          <w:sz w:val="20"/>
          <w:szCs w:val="20"/>
          <w:color w:val="auto"/>
        </w:rPr>
      </w:pPr>
      <w:r>
        <w:rPr>
          <w:rFonts w:ascii="Times New Roman" w:cs="Times New Roman" w:eastAsia="Times New Roman" w:hAnsi="Times New Roman"/>
          <w:sz w:val="16"/>
          <w:szCs w:val="16"/>
          <w:color w:val="auto"/>
        </w:rPr>
        <w:t>disclosure controls and procedures are effective.</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32" w:lineRule="auto"/>
        <w:rPr>
          <w:sz w:val="20"/>
          <w:szCs w:val="20"/>
          <w:color w:val="auto"/>
        </w:rPr>
      </w:pPr>
      <w:r>
        <w:rPr>
          <w:rFonts w:ascii="Times New Roman" w:cs="Times New Roman" w:eastAsia="Times New Roman" w:hAnsi="Times New Roman"/>
          <w:sz w:val="14"/>
          <w:szCs w:val="14"/>
          <w:color w:val="auto"/>
        </w:rPr>
        <w:t>There have been no changes in Nasdaq’s internal control over</w:t>
      </w:r>
    </w:p>
    <w:p>
      <w:pPr>
        <w:spacing w:after="0" w:line="204" w:lineRule="auto"/>
        <w:rPr>
          <w:sz w:val="20"/>
          <w:szCs w:val="20"/>
          <w:color w:val="auto"/>
        </w:rPr>
      </w:pPr>
      <w:r>
        <w:rPr>
          <w:rFonts w:ascii="Times New Roman" w:cs="Times New Roman" w:eastAsia="Times New Roman" w:hAnsi="Times New Roman"/>
          <w:sz w:val="16"/>
          <w:szCs w:val="16"/>
          <w:color w:val="auto"/>
        </w:rPr>
        <w:t>financial reporting (as defined in Rule 13a-15(f) and Rule</w:t>
      </w:r>
    </w:p>
    <w:p>
      <w:pPr>
        <w:spacing w:after="0" w:line="203" w:lineRule="auto"/>
        <w:rPr>
          <w:sz w:val="20"/>
          <w:szCs w:val="20"/>
          <w:color w:val="auto"/>
        </w:rPr>
      </w:pPr>
      <w:r>
        <w:rPr>
          <w:rFonts w:ascii="Times New Roman" w:cs="Times New Roman" w:eastAsia="Times New Roman" w:hAnsi="Times New Roman"/>
          <w:sz w:val="16"/>
          <w:szCs w:val="16"/>
          <w:color w:val="auto"/>
        </w:rPr>
        <w:t>15d-15(f) under the Exchange Act) that occurred during the</w:t>
      </w:r>
    </w:p>
    <w:p>
      <w:pPr>
        <w:spacing w:after="0" w:line="204" w:lineRule="auto"/>
        <w:rPr>
          <w:sz w:val="20"/>
          <w:szCs w:val="20"/>
          <w:color w:val="auto"/>
        </w:rPr>
      </w:pPr>
      <w:r>
        <w:rPr>
          <w:rFonts w:ascii="Times New Roman" w:cs="Times New Roman" w:eastAsia="Times New Roman" w:hAnsi="Times New Roman"/>
          <w:sz w:val="16"/>
          <w:szCs w:val="16"/>
          <w:color w:val="auto"/>
        </w:rPr>
        <w:t>quarter ended December 31, 2025 that have materially</w:t>
      </w:r>
    </w:p>
    <w:p>
      <w:pPr>
        <w:spacing w:after="0" w:line="203" w:lineRule="auto"/>
        <w:rPr>
          <w:sz w:val="20"/>
          <w:szCs w:val="20"/>
          <w:color w:val="auto"/>
        </w:rPr>
      </w:pPr>
      <w:r>
        <w:rPr>
          <w:rFonts w:ascii="Times New Roman" w:cs="Times New Roman" w:eastAsia="Times New Roman" w:hAnsi="Times New Roman"/>
          <w:sz w:val="16"/>
          <w:szCs w:val="16"/>
          <w:color w:val="auto"/>
        </w:rPr>
        <w:t>affected, or are reasonably likely to materially affect,</w:t>
      </w:r>
    </w:p>
    <w:p>
      <w:pPr>
        <w:spacing w:after="0" w:line="204" w:lineRule="auto"/>
        <w:rPr>
          <w:sz w:val="20"/>
          <w:szCs w:val="20"/>
          <w:color w:val="auto"/>
        </w:rPr>
      </w:pPr>
      <w:r>
        <w:rPr>
          <w:rFonts w:ascii="Times New Roman" w:cs="Times New Roman" w:eastAsia="Times New Roman" w:hAnsi="Times New Roman"/>
          <w:sz w:val="16"/>
          <w:szCs w:val="16"/>
          <w:color w:val="auto"/>
        </w:rPr>
        <w:t>Nasdaq’s internal control over financial reporting.</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Management’s Report on Internal Control Over</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Financial Reporting</w:t>
      </w:r>
    </w:p>
    <w:p>
      <w:pPr>
        <w:spacing w:after="0" w:line="204" w:lineRule="auto"/>
        <w:rPr>
          <w:sz w:val="20"/>
          <w:szCs w:val="20"/>
          <w:color w:val="auto"/>
        </w:rPr>
      </w:pPr>
      <w:r>
        <w:rPr>
          <w:rFonts w:ascii="Times New Roman" w:cs="Times New Roman" w:eastAsia="Times New Roman" w:hAnsi="Times New Roman"/>
          <w:sz w:val="16"/>
          <w:szCs w:val="16"/>
          <w:color w:val="auto"/>
        </w:rPr>
        <w:t>Management is responsible for the preparation and integrity</w:t>
      </w:r>
    </w:p>
    <w:p>
      <w:pPr>
        <w:spacing w:after="0" w:line="203" w:lineRule="auto"/>
        <w:rPr>
          <w:sz w:val="20"/>
          <w:szCs w:val="20"/>
          <w:color w:val="auto"/>
        </w:rPr>
      </w:pPr>
      <w:r>
        <w:rPr>
          <w:rFonts w:ascii="Times New Roman" w:cs="Times New Roman" w:eastAsia="Times New Roman" w:hAnsi="Times New Roman"/>
          <w:sz w:val="16"/>
          <w:szCs w:val="16"/>
          <w:color w:val="auto"/>
        </w:rPr>
        <w:t>of the consolidated financial statements appearing in the</w:t>
      </w:r>
    </w:p>
    <w:p>
      <w:pPr>
        <w:spacing w:after="0" w:line="233" w:lineRule="auto"/>
        <w:rPr>
          <w:sz w:val="20"/>
          <w:szCs w:val="20"/>
          <w:color w:val="auto"/>
        </w:rPr>
      </w:pPr>
      <w:r>
        <w:rPr>
          <w:rFonts w:ascii="Times New Roman" w:cs="Times New Roman" w:eastAsia="Times New Roman" w:hAnsi="Times New Roman"/>
          <w:sz w:val="14"/>
          <w:szCs w:val="14"/>
          <w:color w:val="auto"/>
        </w:rPr>
        <w:t>reports that we file with the SEC. The consolidated financial</w:t>
      </w:r>
    </w:p>
    <w:p>
      <w:pPr>
        <w:spacing w:after="0" w:line="203" w:lineRule="auto"/>
        <w:rPr>
          <w:sz w:val="20"/>
          <w:szCs w:val="20"/>
          <w:color w:val="auto"/>
        </w:rPr>
      </w:pPr>
      <w:r>
        <w:rPr>
          <w:rFonts w:ascii="Times New Roman" w:cs="Times New Roman" w:eastAsia="Times New Roman" w:hAnsi="Times New Roman"/>
          <w:sz w:val="16"/>
          <w:szCs w:val="16"/>
          <w:color w:val="auto"/>
        </w:rPr>
        <w:t>statements were prepared in conformity with U.S. generally</w:t>
      </w:r>
    </w:p>
    <w:p>
      <w:pPr>
        <w:spacing w:after="0" w:line="233" w:lineRule="auto"/>
        <w:rPr>
          <w:sz w:val="20"/>
          <w:szCs w:val="20"/>
          <w:color w:val="auto"/>
        </w:rPr>
      </w:pPr>
      <w:r>
        <w:rPr>
          <w:rFonts w:ascii="Times New Roman" w:cs="Times New Roman" w:eastAsia="Times New Roman" w:hAnsi="Times New Roman"/>
          <w:sz w:val="14"/>
          <w:szCs w:val="14"/>
          <w:color w:val="auto"/>
        </w:rPr>
        <w:t>accepted accounting principles and include amounts based on</w:t>
      </w:r>
    </w:p>
    <w:p>
      <w:pPr>
        <w:spacing w:after="0" w:line="204" w:lineRule="auto"/>
        <w:rPr>
          <w:sz w:val="20"/>
          <w:szCs w:val="20"/>
          <w:color w:val="auto"/>
        </w:rPr>
      </w:pPr>
      <w:r>
        <w:rPr>
          <w:rFonts w:ascii="Times New Roman" w:cs="Times New Roman" w:eastAsia="Times New Roman" w:hAnsi="Times New Roman"/>
          <w:sz w:val="16"/>
          <w:szCs w:val="16"/>
          <w:color w:val="auto"/>
        </w:rPr>
        <w:t>management’s estimates and judgments.</w:t>
      </w:r>
    </w:p>
    <w:p>
      <w:pPr>
        <w:spacing w:after="0" w:line="203" w:lineRule="auto"/>
        <w:rPr>
          <w:sz w:val="20"/>
          <w:szCs w:val="20"/>
          <w:color w:val="auto"/>
        </w:rPr>
      </w:pPr>
      <w:r>
        <w:rPr>
          <w:rFonts w:ascii="Times New Roman" w:cs="Times New Roman" w:eastAsia="Times New Roman" w:hAnsi="Times New Roman"/>
          <w:sz w:val="16"/>
          <w:szCs w:val="16"/>
          <w:color w:val="auto"/>
        </w:rPr>
        <w:t>Management is also responsible for establishing and</w:t>
      </w:r>
    </w:p>
    <w:p>
      <w:pPr>
        <w:spacing w:after="0" w:line="233" w:lineRule="auto"/>
        <w:rPr>
          <w:sz w:val="20"/>
          <w:szCs w:val="20"/>
          <w:color w:val="auto"/>
        </w:rPr>
      </w:pPr>
      <w:r>
        <w:rPr>
          <w:rFonts w:ascii="Times New Roman" w:cs="Times New Roman" w:eastAsia="Times New Roman" w:hAnsi="Times New Roman"/>
          <w:sz w:val="14"/>
          <w:szCs w:val="14"/>
          <w:color w:val="auto"/>
        </w:rPr>
        <w:t>maintaining adequate internal control over Nasdaq’s financial</w:t>
      </w:r>
    </w:p>
    <w:p>
      <w:pPr>
        <w:spacing w:after="0" w:line="203" w:lineRule="auto"/>
        <w:rPr>
          <w:sz w:val="20"/>
          <w:szCs w:val="20"/>
          <w:color w:val="auto"/>
        </w:rPr>
      </w:pPr>
      <w:r>
        <w:rPr>
          <w:rFonts w:ascii="Times New Roman" w:cs="Times New Roman" w:eastAsia="Times New Roman" w:hAnsi="Times New Roman"/>
          <w:sz w:val="16"/>
          <w:szCs w:val="16"/>
          <w:color w:val="auto"/>
        </w:rPr>
        <w:t>reporting. Although there are inherent limitations in the</w:t>
      </w:r>
    </w:p>
    <w:p>
      <w:pPr>
        <w:spacing w:after="0" w:line="233" w:lineRule="auto"/>
        <w:rPr>
          <w:sz w:val="20"/>
          <w:szCs w:val="20"/>
          <w:color w:val="auto"/>
        </w:rPr>
      </w:pPr>
      <w:r>
        <w:rPr>
          <w:rFonts w:ascii="Times New Roman" w:cs="Times New Roman" w:eastAsia="Times New Roman" w:hAnsi="Times New Roman"/>
          <w:sz w:val="14"/>
          <w:szCs w:val="14"/>
          <w:color w:val="auto"/>
        </w:rPr>
        <w:t>effectiveness of any system of internal control over financial</w:t>
      </w:r>
    </w:p>
    <w:p>
      <w:pPr>
        <w:spacing w:after="0" w:line="233" w:lineRule="auto"/>
        <w:rPr>
          <w:sz w:val="20"/>
          <w:szCs w:val="20"/>
          <w:color w:val="auto"/>
        </w:rPr>
      </w:pPr>
      <w:r>
        <w:rPr>
          <w:rFonts w:ascii="Times New Roman" w:cs="Times New Roman" w:eastAsia="Times New Roman" w:hAnsi="Times New Roman"/>
          <w:sz w:val="14"/>
          <w:szCs w:val="14"/>
          <w:color w:val="auto"/>
        </w:rPr>
        <w:t>reporting, or ICFR, we maintain a system of internal control</w:t>
      </w:r>
    </w:p>
    <w:p>
      <w:pPr>
        <w:spacing w:after="0" w:line="232" w:lineRule="auto"/>
        <w:rPr>
          <w:sz w:val="20"/>
          <w:szCs w:val="20"/>
          <w:color w:val="auto"/>
        </w:rPr>
      </w:pPr>
      <w:r>
        <w:rPr>
          <w:rFonts w:ascii="Times New Roman" w:cs="Times New Roman" w:eastAsia="Times New Roman" w:hAnsi="Times New Roman"/>
          <w:sz w:val="14"/>
          <w:szCs w:val="14"/>
          <w:color w:val="auto"/>
        </w:rPr>
        <w:t>that is designed to provide reasonable assurance as to the fair</w:t>
      </w:r>
    </w:p>
    <w:p>
      <w:pPr>
        <w:spacing w:after="0" w:line="233" w:lineRule="auto"/>
        <w:rPr>
          <w:sz w:val="20"/>
          <w:szCs w:val="20"/>
          <w:color w:val="auto"/>
        </w:rPr>
      </w:pPr>
      <w:r>
        <w:rPr>
          <w:rFonts w:ascii="Times New Roman" w:cs="Times New Roman" w:eastAsia="Times New Roman" w:hAnsi="Times New Roman"/>
          <w:sz w:val="14"/>
          <w:szCs w:val="14"/>
          <w:color w:val="auto"/>
        </w:rPr>
        <w:t>and reliable preparation and presentation of the consolidated</w:t>
      </w:r>
    </w:p>
    <w:p>
      <w:pPr>
        <w:spacing w:after="0" w:line="203" w:lineRule="auto"/>
        <w:rPr>
          <w:sz w:val="20"/>
          <w:szCs w:val="20"/>
          <w:color w:val="auto"/>
        </w:rPr>
      </w:pPr>
      <w:r>
        <w:rPr>
          <w:rFonts w:ascii="Times New Roman" w:cs="Times New Roman" w:eastAsia="Times New Roman" w:hAnsi="Times New Roman"/>
          <w:sz w:val="16"/>
          <w:szCs w:val="16"/>
          <w:color w:val="auto"/>
        </w:rPr>
        <w:t>financial statements, as well as to safeguard assets from</w:t>
      </w:r>
    </w:p>
    <w:p>
      <w:pPr>
        <w:spacing w:after="0" w:line="204" w:lineRule="auto"/>
        <w:rPr>
          <w:sz w:val="20"/>
          <w:szCs w:val="20"/>
          <w:color w:val="auto"/>
        </w:rPr>
      </w:pPr>
      <w:r>
        <w:rPr>
          <w:rFonts w:ascii="Times New Roman" w:cs="Times New Roman" w:eastAsia="Times New Roman" w:hAnsi="Times New Roman"/>
          <w:sz w:val="16"/>
          <w:szCs w:val="16"/>
          <w:color w:val="auto"/>
        </w:rPr>
        <w:t>unauthorized use or disposition that could have a material</w:t>
      </w:r>
    </w:p>
    <w:p>
      <w:pPr>
        <w:spacing w:after="0" w:line="204" w:lineRule="auto"/>
        <w:rPr>
          <w:sz w:val="20"/>
          <w:szCs w:val="20"/>
          <w:color w:val="auto"/>
        </w:rPr>
      </w:pPr>
      <w:r>
        <w:rPr>
          <w:rFonts w:ascii="Times New Roman" w:cs="Times New Roman" w:eastAsia="Times New Roman" w:hAnsi="Times New Roman"/>
          <w:sz w:val="16"/>
          <w:szCs w:val="16"/>
          <w:color w:val="auto"/>
        </w:rPr>
        <w:t>effect on the financial statements.</w:t>
      </w:r>
    </w:p>
    <w:p>
      <w:pPr>
        <w:spacing w:after="0" w:line="203" w:lineRule="auto"/>
        <w:rPr>
          <w:sz w:val="20"/>
          <w:szCs w:val="20"/>
          <w:color w:val="auto"/>
        </w:rPr>
      </w:pPr>
      <w:r>
        <w:rPr>
          <w:rFonts w:ascii="Times New Roman" w:cs="Times New Roman" w:eastAsia="Times New Roman" w:hAnsi="Times New Roman"/>
          <w:sz w:val="16"/>
          <w:szCs w:val="16"/>
          <w:color w:val="auto"/>
        </w:rPr>
        <w:t>Our management assessed the effectiveness of our internal</w:t>
      </w:r>
    </w:p>
    <w:p>
      <w:pPr>
        <w:spacing w:after="0" w:line="204" w:lineRule="auto"/>
        <w:rPr>
          <w:sz w:val="20"/>
          <w:szCs w:val="20"/>
          <w:color w:val="auto"/>
        </w:rPr>
      </w:pPr>
      <w:r>
        <w:rPr>
          <w:rFonts w:ascii="Times New Roman" w:cs="Times New Roman" w:eastAsia="Times New Roman" w:hAnsi="Times New Roman"/>
          <w:sz w:val="16"/>
          <w:szCs w:val="16"/>
          <w:color w:val="auto"/>
        </w:rPr>
        <w:t>control over financial reporting as of December 31, 2025,</w:t>
      </w:r>
    </w:p>
    <w:p>
      <w:pPr>
        <w:spacing w:after="0" w:line="232" w:lineRule="auto"/>
        <w:rPr>
          <w:sz w:val="20"/>
          <w:szCs w:val="20"/>
          <w:color w:val="auto"/>
        </w:rPr>
      </w:pPr>
      <w:r>
        <w:rPr>
          <w:rFonts w:ascii="Times New Roman" w:cs="Times New Roman" w:eastAsia="Times New Roman" w:hAnsi="Times New Roman"/>
          <w:sz w:val="14"/>
          <w:szCs w:val="14"/>
          <w:color w:val="auto"/>
        </w:rPr>
        <w:t>based on criteria established in Internal Control—Integrated</w:t>
      </w:r>
    </w:p>
    <w:p>
      <w:pPr>
        <w:spacing w:after="0" w:line="204" w:lineRule="auto"/>
        <w:rPr>
          <w:sz w:val="20"/>
          <w:szCs w:val="20"/>
          <w:color w:val="auto"/>
        </w:rPr>
      </w:pPr>
      <w:r>
        <w:rPr>
          <w:rFonts w:ascii="Times New Roman" w:cs="Times New Roman" w:eastAsia="Times New Roman" w:hAnsi="Times New Roman"/>
          <w:sz w:val="16"/>
          <w:szCs w:val="16"/>
          <w:color w:val="auto"/>
        </w:rPr>
        <w:t>Framework issued by the Committee of Sponsoring</w:t>
      </w:r>
    </w:p>
    <w:p>
      <w:pPr>
        <w:spacing w:after="0" w:line="203" w:lineRule="auto"/>
        <w:rPr>
          <w:sz w:val="20"/>
          <w:szCs w:val="20"/>
          <w:color w:val="auto"/>
        </w:rPr>
      </w:pPr>
      <w:r>
        <w:rPr>
          <w:rFonts w:ascii="Times New Roman" w:cs="Times New Roman" w:eastAsia="Times New Roman" w:hAnsi="Times New Roman"/>
          <w:sz w:val="16"/>
          <w:szCs w:val="16"/>
          <w:color w:val="auto"/>
        </w:rPr>
        <w:t>Organizations of the Treadway Commission (COSO) (2013</w:t>
      </w:r>
    </w:p>
    <w:p>
      <w:pPr>
        <w:spacing w:after="0" w:line="204" w:lineRule="auto"/>
        <w:rPr>
          <w:sz w:val="20"/>
          <w:szCs w:val="20"/>
          <w:color w:val="auto"/>
        </w:rPr>
      </w:pPr>
      <w:r>
        <w:rPr>
          <w:rFonts w:ascii="Times New Roman" w:cs="Times New Roman" w:eastAsia="Times New Roman" w:hAnsi="Times New Roman"/>
          <w:sz w:val="16"/>
          <w:szCs w:val="16"/>
          <w:color w:val="auto"/>
        </w:rPr>
        <w:t>framework). This evaluation included review of the</w:t>
      </w:r>
    </w:p>
    <w:p>
      <w:pPr>
        <w:spacing w:after="0" w:line="203" w:lineRule="auto"/>
        <w:rPr>
          <w:sz w:val="20"/>
          <w:szCs w:val="20"/>
          <w:color w:val="auto"/>
        </w:rPr>
      </w:pPr>
      <w:r>
        <w:rPr>
          <w:rFonts w:ascii="Times New Roman" w:cs="Times New Roman" w:eastAsia="Times New Roman" w:hAnsi="Times New Roman"/>
          <w:sz w:val="16"/>
          <w:szCs w:val="16"/>
          <w:color w:val="auto"/>
        </w:rPr>
        <w:t>documentation of controls, evaluation of the design</w:t>
      </w:r>
    </w:p>
    <w:p>
      <w:pPr>
        <w:spacing w:after="0" w:line="204" w:lineRule="auto"/>
        <w:rPr>
          <w:sz w:val="20"/>
          <w:szCs w:val="20"/>
          <w:color w:val="auto"/>
        </w:rPr>
      </w:pPr>
      <w:r>
        <w:rPr>
          <w:rFonts w:ascii="Times New Roman" w:cs="Times New Roman" w:eastAsia="Times New Roman" w:hAnsi="Times New Roman"/>
          <w:sz w:val="16"/>
          <w:szCs w:val="16"/>
          <w:color w:val="auto"/>
        </w:rPr>
        <w:t>effectiveness of controls, testing of the operating</w:t>
      </w:r>
    </w:p>
    <w:p>
      <w:pPr>
        <w:spacing w:after="0" w:line="233" w:lineRule="auto"/>
        <w:rPr>
          <w:sz w:val="20"/>
          <w:szCs w:val="20"/>
          <w:color w:val="auto"/>
        </w:rPr>
      </w:pPr>
      <w:r>
        <w:rPr>
          <w:rFonts w:ascii="Times New Roman" w:cs="Times New Roman" w:eastAsia="Times New Roman" w:hAnsi="Times New Roman"/>
          <w:sz w:val="14"/>
          <w:szCs w:val="14"/>
          <w:color w:val="auto"/>
        </w:rPr>
        <w:t>effectiveness of controls and a conclusion on this evaluation.</w:t>
      </w:r>
    </w:p>
    <w:p>
      <w:pPr>
        <w:spacing w:after="0" w:line="232" w:lineRule="auto"/>
        <w:rPr>
          <w:sz w:val="20"/>
          <w:szCs w:val="20"/>
          <w:color w:val="auto"/>
        </w:rPr>
      </w:pPr>
      <w:r>
        <w:rPr>
          <w:rFonts w:ascii="Times New Roman" w:cs="Times New Roman" w:eastAsia="Times New Roman" w:hAnsi="Times New Roman"/>
          <w:sz w:val="14"/>
          <w:szCs w:val="14"/>
          <w:color w:val="auto"/>
        </w:rPr>
        <w:t>Based on its assessment, our management believes that, as of</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our internal control over financial</w:t>
      </w:r>
    </w:p>
    <w:p>
      <w:pPr>
        <w:spacing w:after="0" w:line="203" w:lineRule="auto"/>
        <w:rPr>
          <w:sz w:val="20"/>
          <w:szCs w:val="20"/>
          <w:color w:val="auto"/>
        </w:rPr>
      </w:pPr>
      <w:r>
        <w:rPr>
          <w:rFonts w:ascii="Times New Roman" w:cs="Times New Roman" w:eastAsia="Times New Roman" w:hAnsi="Times New Roman"/>
          <w:sz w:val="16"/>
          <w:szCs w:val="16"/>
          <w:color w:val="auto"/>
        </w:rPr>
        <w:t>reporting is effective.</w:t>
      </w:r>
    </w:p>
    <w:p>
      <w:pPr>
        <w:spacing w:after="0" w:line="204" w:lineRule="auto"/>
        <w:rPr>
          <w:sz w:val="20"/>
          <w:szCs w:val="20"/>
          <w:color w:val="auto"/>
        </w:rPr>
      </w:pPr>
      <w:r>
        <w:rPr>
          <w:rFonts w:ascii="Times New Roman" w:cs="Times New Roman" w:eastAsia="Times New Roman" w:hAnsi="Times New Roman"/>
          <w:sz w:val="16"/>
          <w:szCs w:val="16"/>
          <w:color w:val="auto"/>
        </w:rPr>
        <w:t>Ernst &amp; Young LLP, an independent registered public</w:t>
      </w:r>
    </w:p>
    <w:p>
      <w:pPr>
        <w:spacing w:after="0" w:line="233" w:lineRule="auto"/>
        <w:rPr>
          <w:sz w:val="20"/>
          <w:szCs w:val="20"/>
          <w:color w:val="auto"/>
        </w:rPr>
      </w:pPr>
      <w:r>
        <w:rPr>
          <w:rFonts w:ascii="Times New Roman" w:cs="Times New Roman" w:eastAsia="Times New Roman" w:hAnsi="Times New Roman"/>
          <w:sz w:val="14"/>
          <w:szCs w:val="14"/>
          <w:color w:val="auto"/>
        </w:rPr>
        <w:t>accounting firm, has issued an attestation report on Nasdaq’s</w:t>
      </w:r>
    </w:p>
    <w:p>
      <w:pPr>
        <w:spacing w:after="0" w:line="203" w:lineRule="auto"/>
        <w:rPr>
          <w:sz w:val="20"/>
          <w:szCs w:val="20"/>
          <w:color w:val="auto"/>
        </w:rPr>
      </w:pPr>
      <w:r>
        <w:rPr>
          <w:rFonts w:ascii="Times New Roman" w:cs="Times New Roman" w:eastAsia="Times New Roman" w:hAnsi="Times New Roman"/>
          <w:sz w:val="16"/>
          <w:szCs w:val="16"/>
          <w:color w:val="auto"/>
        </w:rPr>
        <w:t>internal control over financial reporting, which is included</w:t>
      </w:r>
    </w:p>
    <w:p>
      <w:pPr>
        <w:spacing w:after="0"/>
        <w:rPr>
          <w:sz w:val="20"/>
          <w:szCs w:val="20"/>
          <w:color w:val="auto"/>
        </w:rPr>
      </w:pPr>
      <w:r>
        <w:rPr>
          <w:rFonts w:ascii="Times New Roman" w:cs="Times New Roman" w:eastAsia="Times New Roman" w:hAnsi="Times New Roman"/>
          <w:sz w:val="16"/>
          <w:szCs w:val="16"/>
          <w:color w:val="auto"/>
        </w:rPr>
        <w: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57</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Report of Independent Registered Public Accounting</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Firm</w:t>
      </w:r>
    </w:p>
    <w:p>
      <w:pPr>
        <w:spacing w:after="0" w:line="203" w:lineRule="auto"/>
        <w:rPr>
          <w:sz w:val="20"/>
          <w:szCs w:val="20"/>
          <w:color w:val="auto"/>
        </w:rPr>
      </w:pPr>
      <w:r>
        <w:rPr>
          <w:rFonts w:ascii="Times New Roman" w:cs="Times New Roman" w:eastAsia="Times New Roman" w:hAnsi="Times New Roman"/>
          <w:sz w:val="16"/>
          <w:szCs w:val="16"/>
          <w:color w:val="auto"/>
        </w:rPr>
        <w:t>To the Stockholders and the Board of Directors of Nasdaq,</w:t>
      </w:r>
    </w:p>
    <w:p>
      <w:pPr>
        <w:spacing w:after="0" w:line="204" w:lineRule="auto"/>
        <w:rPr>
          <w:sz w:val="20"/>
          <w:szCs w:val="20"/>
          <w:color w:val="auto"/>
        </w:rPr>
      </w:pPr>
      <w:r>
        <w:rPr>
          <w:rFonts w:ascii="Times New Roman" w:cs="Times New Roman" w:eastAsia="Times New Roman" w:hAnsi="Times New Roman"/>
          <w:sz w:val="16"/>
          <w:szCs w:val="16"/>
          <w:color w:val="auto"/>
        </w:rPr>
        <w:t>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04" w:lineRule="auto"/>
        <w:rPr>
          <w:sz w:val="20"/>
          <w:szCs w:val="20"/>
          <w:color w:val="auto"/>
        </w:rPr>
      </w:pPr>
      <w:r>
        <w:rPr>
          <w:rFonts w:ascii="Times New Roman" w:cs="Times New Roman" w:eastAsia="Times New Roman" w:hAnsi="Times New Roman"/>
          <w:sz w:val="16"/>
          <w:szCs w:val="16"/>
          <w:color w:val="auto"/>
        </w:rPr>
        <w:t>We have audited Nasdaq, Inc.’s internal control over</w:t>
      </w:r>
    </w:p>
    <w:p>
      <w:pPr>
        <w:spacing w:after="0" w:line="203" w:lineRule="auto"/>
        <w:rPr>
          <w:sz w:val="20"/>
          <w:szCs w:val="20"/>
          <w:color w:val="auto"/>
        </w:rPr>
      </w:pPr>
      <w:r>
        <w:rPr>
          <w:rFonts w:ascii="Times New Roman" w:cs="Times New Roman" w:eastAsia="Times New Roman" w:hAnsi="Times New Roman"/>
          <w:sz w:val="16"/>
          <w:szCs w:val="16"/>
          <w:color w:val="auto"/>
        </w:rPr>
        <w:t>financial reporting as of December 31, 2025, based on</w:t>
      </w:r>
    </w:p>
    <w:p>
      <w:pPr>
        <w:spacing w:after="0" w:line="204" w:lineRule="auto"/>
        <w:rPr>
          <w:sz w:val="20"/>
          <w:szCs w:val="20"/>
          <w:color w:val="auto"/>
        </w:rPr>
      </w:pPr>
      <w:r>
        <w:rPr>
          <w:rFonts w:ascii="Times New Roman" w:cs="Times New Roman" w:eastAsia="Times New Roman" w:hAnsi="Times New Roman"/>
          <w:sz w:val="16"/>
          <w:szCs w:val="16"/>
          <w:color w:val="auto"/>
        </w:rPr>
        <w:t>criteria established in Internal Control—Integrated</w:t>
      </w:r>
    </w:p>
    <w:p>
      <w:pPr>
        <w:spacing w:after="0" w:line="203" w:lineRule="auto"/>
        <w:rPr>
          <w:sz w:val="20"/>
          <w:szCs w:val="20"/>
          <w:color w:val="auto"/>
        </w:rPr>
      </w:pPr>
      <w:r>
        <w:rPr>
          <w:rFonts w:ascii="Times New Roman" w:cs="Times New Roman" w:eastAsia="Times New Roman" w:hAnsi="Times New Roman"/>
          <w:sz w:val="16"/>
          <w:szCs w:val="16"/>
          <w:color w:val="auto"/>
        </w:rPr>
        <w:t>Framework issued by the Committee of Sponsoring</w:t>
      </w:r>
    </w:p>
    <w:p>
      <w:pPr>
        <w:spacing w:after="0" w:line="204" w:lineRule="auto"/>
        <w:rPr>
          <w:sz w:val="20"/>
          <w:szCs w:val="20"/>
          <w:color w:val="auto"/>
        </w:rPr>
      </w:pPr>
      <w:r>
        <w:rPr>
          <w:rFonts w:ascii="Times New Roman" w:cs="Times New Roman" w:eastAsia="Times New Roman" w:hAnsi="Times New Roman"/>
          <w:sz w:val="16"/>
          <w:szCs w:val="16"/>
          <w:color w:val="auto"/>
        </w:rPr>
        <w:t>Organizations of the Treadway Commission (2013</w:t>
      </w:r>
    </w:p>
    <w:p>
      <w:pPr>
        <w:spacing w:after="0" w:line="233" w:lineRule="auto"/>
        <w:rPr>
          <w:sz w:val="20"/>
          <w:szCs w:val="20"/>
          <w:color w:val="auto"/>
        </w:rPr>
      </w:pPr>
      <w:r>
        <w:rPr>
          <w:rFonts w:ascii="Times New Roman" w:cs="Times New Roman" w:eastAsia="Times New Roman" w:hAnsi="Times New Roman"/>
          <w:sz w:val="14"/>
          <w:szCs w:val="14"/>
          <w:color w:val="auto"/>
        </w:rPr>
        <w:t>framework) (the COSO criteria). In our opinion, Nasdaq, Inc.</w:t>
      </w:r>
    </w:p>
    <w:p>
      <w:pPr>
        <w:spacing w:after="0" w:line="232" w:lineRule="auto"/>
        <w:rPr>
          <w:sz w:val="20"/>
          <w:szCs w:val="20"/>
          <w:color w:val="auto"/>
        </w:rPr>
      </w:pPr>
      <w:r>
        <w:rPr>
          <w:rFonts w:ascii="Times New Roman" w:cs="Times New Roman" w:eastAsia="Times New Roman" w:hAnsi="Times New Roman"/>
          <w:sz w:val="14"/>
          <w:szCs w:val="14"/>
          <w:color w:val="auto"/>
        </w:rPr>
        <w:t>(the Company) maintained, in all material respects, effective</w:t>
      </w:r>
    </w:p>
    <w:p>
      <w:pPr>
        <w:spacing w:after="0" w:line="204" w:lineRule="auto"/>
        <w:rPr>
          <w:sz w:val="20"/>
          <w:szCs w:val="20"/>
          <w:color w:val="auto"/>
        </w:rPr>
      </w:pPr>
      <w:r>
        <w:rPr>
          <w:rFonts w:ascii="Times New Roman" w:cs="Times New Roman" w:eastAsia="Times New Roman" w:hAnsi="Times New Roman"/>
          <w:sz w:val="16"/>
          <w:szCs w:val="16"/>
          <w:color w:val="auto"/>
        </w:rPr>
        <w:t>internal control over financial reporting as of December 31,</w:t>
      </w:r>
    </w:p>
    <w:p>
      <w:pPr>
        <w:spacing w:after="0" w:line="203" w:lineRule="auto"/>
        <w:rPr>
          <w:sz w:val="20"/>
          <w:szCs w:val="20"/>
          <w:color w:val="auto"/>
        </w:rPr>
      </w:pPr>
      <w:r>
        <w:rPr>
          <w:rFonts w:ascii="Times New Roman" w:cs="Times New Roman" w:eastAsia="Times New Roman" w:hAnsi="Times New Roman"/>
          <w:sz w:val="16"/>
          <w:szCs w:val="16"/>
          <w:color w:val="auto"/>
        </w:rPr>
        <w:t>2025, based on the COSO criteria.</w:t>
      </w:r>
    </w:p>
    <w:p>
      <w:pPr>
        <w:spacing w:after="0" w:line="233"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w:t>
      </w:r>
    </w:p>
    <w:p>
      <w:pPr>
        <w:spacing w:after="0" w:line="204" w:lineRule="auto"/>
        <w:rPr>
          <w:sz w:val="20"/>
          <w:szCs w:val="20"/>
          <w:color w:val="auto"/>
        </w:rPr>
      </w:pPr>
      <w:r>
        <w:rPr>
          <w:rFonts w:ascii="Times New Roman" w:cs="Times New Roman" w:eastAsia="Times New Roman" w:hAnsi="Times New Roman"/>
          <w:sz w:val="16"/>
          <w:szCs w:val="16"/>
          <w:color w:val="auto"/>
        </w:rPr>
        <w:t>Public Company Accounting Oversight Board (United</w:t>
      </w:r>
    </w:p>
    <w:p>
      <w:pPr>
        <w:spacing w:after="0" w:line="203" w:lineRule="auto"/>
        <w:rPr>
          <w:sz w:val="20"/>
          <w:szCs w:val="20"/>
          <w:color w:val="auto"/>
        </w:rPr>
      </w:pPr>
      <w:r>
        <w:rPr>
          <w:rFonts w:ascii="Times New Roman" w:cs="Times New Roman" w:eastAsia="Times New Roman" w:hAnsi="Times New Roman"/>
          <w:sz w:val="16"/>
          <w:szCs w:val="16"/>
          <w:color w:val="auto"/>
        </w:rPr>
        <w:t>States) (PCAOB), the consolidated balance sheets of the</w:t>
      </w:r>
    </w:p>
    <w:p>
      <w:pPr>
        <w:spacing w:after="0" w:line="204" w:lineRule="auto"/>
        <w:rPr>
          <w:sz w:val="20"/>
          <w:szCs w:val="20"/>
          <w:color w:val="auto"/>
        </w:rPr>
      </w:pPr>
      <w:r>
        <w:rPr>
          <w:rFonts w:ascii="Times New Roman" w:cs="Times New Roman" w:eastAsia="Times New Roman" w:hAnsi="Times New Roman"/>
          <w:sz w:val="16"/>
          <w:szCs w:val="16"/>
          <w:color w:val="auto"/>
        </w:rPr>
        <w:t>Company as of December 31, 2025 and 2024, the related</w:t>
      </w:r>
    </w:p>
    <w:p>
      <w:pPr>
        <w:spacing w:after="0" w:line="203" w:lineRule="auto"/>
        <w:rPr>
          <w:sz w:val="20"/>
          <w:szCs w:val="20"/>
          <w:color w:val="auto"/>
        </w:rPr>
      </w:pPr>
      <w:r>
        <w:rPr>
          <w:rFonts w:ascii="Times New Roman" w:cs="Times New Roman" w:eastAsia="Times New Roman" w:hAnsi="Times New Roman"/>
          <w:sz w:val="16"/>
          <w:szCs w:val="16"/>
          <w:color w:val="auto"/>
        </w:rPr>
        <w:t>consolidated statements of income, comprehensive income,</w:t>
      </w:r>
    </w:p>
    <w:p>
      <w:pPr>
        <w:spacing w:after="0" w:line="204" w:lineRule="auto"/>
        <w:rPr>
          <w:sz w:val="20"/>
          <w:szCs w:val="20"/>
          <w:color w:val="auto"/>
        </w:rPr>
      </w:pPr>
      <w:r>
        <w:rPr>
          <w:rFonts w:ascii="Times New Roman" w:cs="Times New Roman" w:eastAsia="Times New Roman" w:hAnsi="Times New Roman"/>
          <w:sz w:val="16"/>
          <w:szCs w:val="16"/>
          <w:color w:val="auto"/>
        </w:rPr>
        <w:t>changes in stockholders’ equity and cash flows for each of</w:t>
      </w:r>
    </w:p>
    <w:p>
      <w:pPr>
        <w:spacing w:after="0" w:line="203" w:lineRule="auto"/>
        <w:rPr>
          <w:sz w:val="20"/>
          <w:szCs w:val="20"/>
          <w:color w:val="auto"/>
        </w:rPr>
      </w:pPr>
      <w:r>
        <w:rPr>
          <w:rFonts w:ascii="Times New Roman" w:cs="Times New Roman" w:eastAsia="Times New Roman" w:hAnsi="Times New Roman"/>
          <w:sz w:val="16"/>
          <w:szCs w:val="16"/>
          <w:color w:val="auto"/>
        </w:rPr>
        <w:t>the three years in the period ended December 31, 2025, and</w:t>
      </w:r>
    </w:p>
    <w:p>
      <w:pPr>
        <w:spacing w:after="0" w:line="204" w:lineRule="auto"/>
        <w:rPr>
          <w:sz w:val="20"/>
          <w:szCs w:val="20"/>
          <w:color w:val="auto"/>
        </w:rPr>
      </w:pPr>
      <w:r>
        <w:rPr>
          <w:rFonts w:ascii="Times New Roman" w:cs="Times New Roman" w:eastAsia="Times New Roman" w:hAnsi="Times New Roman"/>
          <w:sz w:val="16"/>
          <w:szCs w:val="16"/>
          <w:color w:val="auto"/>
        </w:rPr>
        <w:t>the related notes and our report dated February 12, 2026</w:t>
      </w:r>
    </w:p>
    <w:p>
      <w:pPr>
        <w:spacing w:after="0" w:line="203" w:lineRule="auto"/>
        <w:rPr>
          <w:sz w:val="20"/>
          <w:szCs w:val="20"/>
          <w:color w:val="auto"/>
        </w:rPr>
      </w:pPr>
      <w:r>
        <w:rPr>
          <w:rFonts w:ascii="Times New Roman" w:cs="Times New Roman" w:eastAsia="Times New Roman" w:hAnsi="Times New Roman"/>
          <w:sz w:val="16"/>
          <w:szCs w:val="16"/>
          <w:color w:val="auto"/>
        </w:rPr>
        <w:t>expressed an unqualified opinion thereon.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4" w:lineRule="auto"/>
        <w:rPr>
          <w:sz w:val="20"/>
          <w:szCs w:val="20"/>
          <w:color w:val="auto"/>
        </w:rPr>
      </w:pPr>
      <w:r>
        <w:rPr>
          <w:rFonts w:ascii="Times New Roman" w:cs="Times New Roman" w:eastAsia="Times New Roman" w:hAnsi="Times New Roman"/>
          <w:sz w:val="16"/>
          <w:szCs w:val="16"/>
          <w:color w:val="auto"/>
        </w:rPr>
        <w:t>The Company’s management is responsible for maintaining</w:t>
      </w:r>
    </w:p>
    <w:p>
      <w:pPr>
        <w:spacing w:after="0" w:line="203" w:lineRule="auto"/>
        <w:rPr>
          <w:sz w:val="20"/>
          <w:szCs w:val="20"/>
          <w:color w:val="auto"/>
        </w:rPr>
      </w:pPr>
      <w:r>
        <w:rPr>
          <w:rFonts w:ascii="Times New Roman" w:cs="Times New Roman" w:eastAsia="Times New Roman" w:hAnsi="Times New Roman"/>
          <w:sz w:val="16"/>
          <w:szCs w:val="16"/>
          <w:color w:val="auto"/>
        </w:rPr>
        <w:t>effective internal control over financial reporting and for its</w:t>
      </w:r>
    </w:p>
    <w:p>
      <w:pPr>
        <w:spacing w:after="0" w:line="204" w:lineRule="auto"/>
        <w:rPr>
          <w:sz w:val="20"/>
          <w:szCs w:val="20"/>
          <w:color w:val="auto"/>
        </w:rPr>
      </w:pPr>
      <w:r>
        <w:rPr>
          <w:rFonts w:ascii="Times New Roman" w:cs="Times New Roman" w:eastAsia="Times New Roman" w:hAnsi="Times New Roman"/>
          <w:sz w:val="16"/>
          <w:szCs w:val="16"/>
          <w:color w:val="auto"/>
        </w:rPr>
        <w:t>assessment of the effectiveness of internal control over</w:t>
      </w:r>
    </w:p>
    <w:p>
      <w:pPr>
        <w:spacing w:after="0"/>
        <w:rPr>
          <w:sz w:val="20"/>
          <w:szCs w:val="20"/>
          <w:color w:val="auto"/>
        </w:rPr>
      </w:pPr>
      <w:r>
        <w:rPr>
          <w:rFonts w:ascii="Times New Roman" w:cs="Times New Roman" w:eastAsia="Times New Roman" w:hAnsi="Times New Roman"/>
          <w:sz w:val="16"/>
          <w:szCs w:val="16"/>
          <w:color w:val="auto"/>
        </w:rPr>
        <w:t>financial reporting included in the accompanying</w:t>
      </w:r>
    </w:p>
    <w:p>
      <w:pPr>
        <w:sectPr>
          <w:pgSz w:w="11900" w:h="16840" w:orient="portrait"/>
          <w:cols w:equalWidth="0" w:num="1">
            <w:col w:w="9400"/>
          </w:cols>
          <w:pgMar w:left="1060" w:top="547" w:right="1440" w:bottom="80" w:gutter="0" w:footer="0" w:header="0"/>
        </w:sectPr>
      </w:pPr>
    </w:p>
    <w:bookmarkStart w:id="50" w:name="page51"/>
    <w:bookmarkEnd w:id="50"/>
    <w:p>
      <w:pPr>
        <w:ind w:left="10"/>
        <w:spacing w:after="0"/>
        <w:rPr>
          <w:sz w:val="20"/>
          <w:szCs w:val="20"/>
          <w:color w:val="auto"/>
        </w:rPr>
      </w:pPr>
      <w:r>
        <w:rPr>
          <w:rFonts w:ascii="Times New Roman" w:cs="Times New Roman" w:eastAsia="Times New Roman" w:hAnsi="Times New Roman"/>
          <w:sz w:val="16"/>
          <w:szCs w:val="16"/>
          <w:color w:val="auto"/>
        </w:rPr>
        <w:t>Management’s Report on Internal Control Over Financial</w:t>
      </w:r>
    </w:p>
    <w:p>
      <w:pPr>
        <w:ind w:left="10"/>
        <w:spacing w:after="0" w:line="232" w:lineRule="auto"/>
        <w:rPr>
          <w:sz w:val="20"/>
          <w:szCs w:val="20"/>
          <w:color w:val="auto"/>
        </w:rPr>
      </w:pPr>
      <w:r>
        <w:rPr>
          <w:rFonts w:ascii="Times New Roman" w:cs="Times New Roman" w:eastAsia="Times New Roman" w:hAnsi="Times New Roman"/>
          <w:sz w:val="14"/>
          <w:szCs w:val="14"/>
          <w:color w:val="auto"/>
        </w:rPr>
        <w:t>Reporting . Our responsibility is to express an opinion on the</w:t>
      </w:r>
    </w:p>
    <w:p>
      <w:pPr>
        <w:ind w:left="10"/>
        <w:spacing w:after="0" w:line="233" w:lineRule="auto"/>
        <w:rPr>
          <w:sz w:val="20"/>
          <w:szCs w:val="20"/>
          <w:color w:val="auto"/>
        </w:rPr>
      </w:pPr>
      <w:r>
        <w:rPr>
          <w:rFonts w:ascii="Times New Roman" w:cs="Times New Roman" w:eastAsia="Times New Roman" w:hAnsi="Times New Roman"/>
          <w:sz w:val="14"/>
          <w:szCs w:val="14"/>
          <w:color w:val="auto"/>
        </w:rPr>
        <w:t>Company’s internal control over financial reporting based on</w:t>
      </w:r>
    </w:p>
    <w:p>
      <w:pPr>
        <w:ind w:left="10"/>
        <w:spacing w:after="0" w:line="232" w:lineRule="auto"/>
        <w:rPr>
          <w:sz w:val="20"/>
          <w:szCs w:val="20"/>
          <w:color w:val="auto"/>
        </w:rPr>
      </w:pPr>
      <w:r>
        <w:rPr>
          <w:rFonts w:ascii="Times New Roman" w:cs="Times New Roman" w:eastAsia="Times New Roman" w:hAnsi="Times New Roman"/>
          <w:sz w:val="14"/>
          <w:szCs w:val="14"/>
          <w:color w:val="auto"/>
        </w:rPr>
        <w:t>our audit. We are a public accounting firm registered with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PCAOB and are required to be independent with respect to</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Company in accordance with the U.S. federal securities</w:t>
      </w:r>
    </w:p>
    <w:p>
      <w:pPr>
        <w:ind w:left="10"/>
        <w:spacing w:after="0" w:line="233" w:lineRule="auto"/>
        <w:rPr>
          <w:sz w:val="20"/>
          <w:szCs w:val="20"/>
          <w:color w:val="auto"/>
        </w:rPr>
      </w:pPr>
      <w:r>
        <w:rPr>
          <w:rFonts w:ascii="Times New Roman" w:cs="Times New Roman" w:eastAsia="Times New Roman" w:hAnsi="Times New Roman"/>
          <w:sz w:val="14"/>
          <w:szCs w:val="14"/>
          <w:color w:val="auto"/>
        </w:rPr>
        <w:t>laws and the applicable rules and regulations of the Securities</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Exchange Commission and the PCAOB.</w:t>
      </w:r>
    </w:p>
    <w:p>
      <w:pPr>
        <w:ind w:left="10"/>
        <w:spacing w:after="0" w:line="20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PCAOB. Those standards require that we plan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perform the audit to obtain reasonable assurance about</w:t>
      </w:r>
    </w:p>
    <w:p>
      <w:pPr>
        <w:ind w:left="10"/>
        <w:spacing w:after="0" w:line="204" w:lineRule="auto"/>
        <w:rPr>
          <w:sz w:val="20"/>
          <w:szCs w:val="20"/>
          <w:color w:val="auto"/>
        </w:rPr>
      </w:pPr>
      <w:r>
        <w:rPr>
          <w:rFonts w:ascii="Times New Roman" w:cs="Times New Roman" w:eastAsia="Times New Roman" w:hAnsi="Times New Roman"/>
          <w:sz w:val="16"/>
          <w:szCs w:val="16"/>
          <w:color w:val="auto"/>
        </w:rPr>
        <w:t>whether effective internal control over financial reporting</w:t>
      </w:r>
    </w:p>
    <w:p>
      <w:pPr>
        <w:ind w:left="10"/>
        <w:spacing w:after="0" w:line="203" w:lineRule="auto"/>
        <w:rPr>
          <w:sz w:val="20"/>
          <w:szCs w:val="20"/>
          <w:color w:val="auto"/>
        </w:rPr>
      </w:pPr>
      <w:r>
        <w:rPr>
          <w:rFonts w:ascii="Times New Roman" w:cs="Times New Roman" w:eastAsia="Times New Roman" w:hAnsi="Times New Roman"/>
          <w:sz w:val="16"/>
          <w:szCs w:val="16"/>
          <w:color w:val="auto"/>
        </w:rPr>
        <w:t>was maintained in all material respects.</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audit included obtaining an understanding of internal</w:t>
      </w:r>
    </w:p>
    <w:p>
      <w:pPr>
        <w:ind w:left="10"/>
        <w:spacing w:after="0" w:line="203" w:lineRule="auto"/>
        <w:rPr>
          <w:sz w:val="20"/>
          <w:szCs w:val="20"/>
          <w:color w:val="auto"/>
        </w:rPr>
      </w:pPr>
      <w:r>
        <w:rPr>
          <w:rFonts w:ascii="Times New Roman" w:cs="Times New Roman" w:eastAsia="Times New Roman" w:hAnsi="Times New Roman"/>
          <w:sz w:val="16"/>
          <w:szCs w:val="16"/>
          <w:color w:val="auto"/>
        </w:rPr>
        <w:t>control over financial reporting, assessing the risk that a</w:t>
      </w:r>
    </w:p>
    <w:p>
      <w:pPr>
        <w:ind w:left="10"/>
        <w:spacing w:after="0" w:line="204" w:lineRule="auto"/>
        <w:rPr>
          <w:sz w:val="20"/>
          <w:szCs w:val="20"/>
          <w:color w:val="auto"/>
        </w:rPr>
      </w:pPr>
      <w:r>
        <w:rPr>
          <w:rFonts w:ascii="Times New Roman" w:cs="Times New Roman" w:eastAsia="Times New Roman" w:hAnsi="Times New Roman"/>
          <w:sz w:val="16"/>
          <w:szCs w:val="16"/>
          <w:color w:val="auto"/>
        </w:rPr>
        <w:t>material weakness exists, testing and evaluating the design</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operating effectiveness of internal control based on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assessed risk, and performing such other procedures as we</w:t>
      </w:r>
    </w:p>
    <w:p>
      <w:pPr>
        <w:ind w:left="10"/>
        <w:spacing w:after="0" w:line="204" w:lineRule="auto"/>
        <w:rPr>
          <w:sz w:val="20"/>
          <w:szCs w:val="20"/>
          <w:color w:val="auto"/>
        </w:rPr>
      </w:pPr>
      <w:r>
        <w:rPr>
          <w:rFonts w:ascii="Times New Roman" w:cs="Times New Roman" w:eastAsia="Times New Roman" w:hAnsi="Times New Roman"/>
          <w:sz w:val="16"/>
          <w:szCs w:val="16"/>
          <w:color w:val="auto"/>
        </w:rPr>
        <w:t>considered necessary in the circumstances. We believe that</w:t>
      </w:r>
    </w:p>
    <w:p>
      <w:pPr>
        <w:ind w:left="10"/>
        <w:spacing w:after="0" w:line="203" w:lineRule="auto"/>
        <w:rPr>
          <w:sz w:val="20"/>
          <w:szCs w:val="20"/>
          <w:color w:val="auto"/>
        </w:rPr>
      </w:pPr>
      <w:r>
        <w:rPr>
          <w:rFonts w:ascii="Times New Roman" w:cs="Times New Roman" w:eastAsia="Times New Roman" w:hAnsi="Times New Roman"/>
          <w:sz w:val="16"/>
          <w:szCs w:val="16"/>
          <w:color w:val="auto"/>
        </w:rPr>
        <w:t>our audit provides a reasonable basis for our opinion.</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Definition and Limitations of Internal Control Over</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Financial Reporting</w:t>
      </w:r>
    </w:p>
    <w:p>
      <w:pPr>
        <w:ind w:left="10"/>
        <w:spacing w:after="0" w:line="204" w:lineRule="auto"/>
        <w:rPr>
          <w:sz w:val="20"/>
          <w:szCs w:val="20"/>
          <w:color w:val="auto"/>
        </w:rPr>
      </w:pPr>
      <w:r>
        <w:rPr>
          <w:rFonts w:ascii="Times New Roman" w:cs="Times New Roman" w:eastAsia="Times New Roman" w:hAnsi="Times New Roman"/>
          <w:sz w:val="16"/>
          <w:szCs w:val="16"/>
          <w:color w:val="auto"/>
        </w:rPr>
        <w:t>A company’s internal control over financial reporting is a</w:t>
      </w:r>
    </w:p>
    <w:p>
      <w:pPr>
        <w:ind w:left="10"/>
        <w:spacing w:after="0" w:line="203" w:lineRule="auto"/>
        <w:rPr>
          <w:sz w:val="20"/>
          <w:szCs w:val="20"/>
          <w:color w:val="auto"/>
        </w:rPr>
      </w:pPr>
      <w:r>
        <w:rPr>
          <w:rFonts w:ascii="Times New Roman" w:cs="Times New Roman" w:eastAsia="Times New Roman" w:hAnsi="Times New Roman"/>
          <w:sz w:val="16"/>
          <w:szCs w:val="16"/>
          <w:color w:val="auto"/>
        </w:rPr>
        <w:t>process designed to provide reasonable assurance regarding</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reliability of financial reporting and the preparation of</w:t>
      </w:r>
    </w:p>
    <w:p>
      <w:pPr>
        <w:ind w:left="10"/>
        <w:spacing w:after="0" w:line="233" w:lineRule="auto"/>
        <w:rPr>
          <w:sz w:val="20"/>
          <w:szCs w:val="20"/>
          <w:color w:val="auto"/>
        </w:rPr>
      </w:pPr>
      <w:r>
        <w:rPr>
          <w:rFonts w:ascii="Times New Roman" w:cs="Times New Roman" w:eastAsia="Times New Roman" w:hAnsi="Times New Roman"/>
          <w:sz w:val="14"/>
          <w:szCs w:val="14"/>
          <w:color w:val="auto"/>
        </w:rPr>
        <w:t>financial statements for external purposes in accordance with</w:t>
      </w:r>
    </w:p>
    <w:p>
      <w:pPr>
        <w:ind w:left="10"/>
        <w:spacing w:after="0" w:line="203" w:lineRule="auto"/>
        <w:rPr>
          <w:sz w:val="20"/>
          <w:szCs w:val="20"/>
          <w:color w:val="auto"/>
        </w:rPr>
      </w:pPr>
      <w:r>
        <w:rPr>
          <w:rFonts w:ascii="Times New Roman" w:cs="Times New Roman" w:eastAsia="Times New Roman" w:hAnsi="Times New Roman"/>
          <w:sz w:val="16"/>
          <w:szCs w:val="16"/>
          <w:color w:val="auto"/>
        </w:rPr>
        <w:t>generally accepted accounting principles. A company’s</w:t>
      </w:r>
    </w:p>
    <w:p>
      <w:pPr>
        <w:ind w:left="10"/>
        <w:spacing w:after="0" w:line="204" w:lineRule="auto"/>
        <w:rPr>
          <w:sz w:val="20"/>
          <w:szCs w:val="20"/>
          <w:color w:val="auto"/>
        </w:rPr>
      </w:pPr>
      <w:r>
        <w:rPr>
          <w:rFonts w:ascii="Times New Roman" w:cs="Times New Roman" w:eastAsia="Times New Roman" w:hAnsi="Times New Roman"/>
          <w:sz w:val="16"/>
          <w:szCs w:val="16"/>
          <w:color w:val="auto"/>
        </w:rPr>
        <w:t>internal control over financial reporting includes those</w:t>
      </w:r>
    </w:p>
    <w:p>
      <w:pPr>
        <w:ind w:left="10"/>
        <w:spacing w:after="0" w:line="232" w:lineRule="auto"/>
        <w:rPr>
          <w:sz w:val="20"/>
          <w:szCs w:val="20"/>
          <w:color w:val="auto"/>
        </w:rPr>
      </w:pPr>
      <w:r>
        <w:rPr>
          <w:rFonts w:ascii="Times New Roman" w:cs="Times New Roman" w:eastAsia="Times New Roman" w:hAnsi="Times New Roman"/>
          <w:sz w:val="14"/>
          <w:szCs w:val="14"/>
          <w:color w:val="auto"/>
        </w:rPr>
        <w:t>policies and procedures that (1) pertain to the maintenance of</w:t>
      </w:r>
    </w:p>
    <w:p>
      <w:pPr>
        <w:ind w:left="10"/>
        <w:spacing w:after="0" w:line="233" w:lineRule="auto"/>
        <w:rPr>
          <w:sz w:val="20"/>
          <w:szCs w:val="20"/>
          <w:color w:val="auto"/>
        </w:rPr>
      </w:pPr>
      <w:r>
        <w:rPr>
          <w:rFonts w:ascii="Times New Roman" w:cs="Times New Roman" w:eastAsia="Times New Roman" w:hAnsi="Times New Roman"/>
          <w:sz w:val="14"/>
          <w:szCs w:val="14"/>
          <w:color w:val="auto"/>
        </w:rPr>
        <w:t>records that, in reasonable detail, accurately and fairly reflect</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transactions and dispositions of the assets of the</w:t>
      </w:r>
    </w:p>
    <w:p>
      <w:pPr>
        <w:ind w:left="10"/>
        <w:spacing w:after="0" w:line="232" w:lineRule="auto"/>
        <w:rPr>
          <w:sz w:val="20"/>
          <w:szCs w:val="20"/>
          <w:color w:val="auto"/>
        </w:rPr>
      </w:pPr>
      <w:r>
        <w:rPr>
          <w:rFonts w:ascii="Times New Roman" w:cs="Times New Roman" w:eastAsia="Times New Roman" w:hAnsi="Times New Roman"/>
          <w:sz w:val="14"/>
          <w:szCs w:val="14"/>
          <w:color w:val="auto"/>
        </w:rPr>
        <w:t>company; (2) provide reasonable assurance that transactions</w:t>
      </w:r>
    </w:p>
    <w:p>
      <w:pPr>
        <w:ind w:left="10"/>
        <w:spacing w:after="0" w:line="204" w:lineRule="auto"/>
        <w:rPr>
          <w:sz w:val="20"/>
          <w:szCs w:val="20"/>
          <w:color w:val="auto"/>
        </w:rPr>
      </w:pPr>
      <w:r>
        <w:rPr>
          <w:rFonts w:ascii="Times New Roman" w:cs="Times New Roman" w:eastAsia="Times New Roman" w:hAnsi="Times New Roman"/>
          <w:sz w:val="16"/>
          <w:szCs w:val="16"/>
          <w:color w:val="auto"/>
        </w:rPr>
        <w:t>are recorded as necessary to permit preparation of financial</w:t>
      </w:r>
    </w:p>
    <w:p>
      <w:pPr>
        <w:ind w:left="10"/>
        <w:spacing w:after="0" w:line="232" w:lineRule="auto"/>
        <w:rPr>
          <w:sz w:val="20"/>
          <w:szCs w:val="20"/>
          <w:color w:val="auto"/>
        </w:rPr>
      </w:pPr>
      <w:r>
        <w:rPr>
          <w:rFonts w:ascii="Times New Roman" w:cs="Times New Roman" w:eastAsia="Times New Roman" w:hAnsi="Times New Roman"/>
          <w:sz w:val="14"/>
          <w:szCs w:val="14"/>
          <w:color w:val="auto"/>
        </w:rPr>
        <w:t>statements in accordance with generally accepted accounting</w:t>
      </w:r>
    </w:p>
    <w:p>
      <w:pPr>
        <w:ind w:left="10"/>
        <w:spacing w:after="0" w:line="233" w:lineRule="auto"/>
        <w:rPr>
          <w:sz w:val="20"/>
          <w:szCs w:val="20"/>
          <w:color w:val="auto"/>
        </w:rPr>
      </w:pPr>
      <w:r>
        <w:rPr>
          <w:rFonts w:ascii="Times New Roman" w:cs="Times New Roman" w:eastAsia="Times New Roman" w:hAnsi="Times New Roman"/>
          <w:sz w:val="14"/>
          <w:szCs w:val="14"/>
          <w:color w:val="auto"/>
        </w:rPr>
        <w:t>principles, and that receipts and expenditures of the company</w:t>
      </w:r>
    </w:p>
    <w:p>
      <w:pPr>
        <w:ind w:left="10"/>
        <w:spacing w:after="0" w:line="203" w:lineRule="auto"/>
        <w:rPr>
          <w:sz w:val="20"/>
          <w:szCs w:val="20"/>
          <w:color w:val="auto"/>
        </w:rPr>
      </w:pPr>
      <w:r>
        <w:rPr>
          <w:rFonts w:ascii="Times New Roman" w:cs="Times New Roman" w:eastAsia="Times New Roman" w:hAnsi="Times New Roman"/>
          <w:sz w:val="16"/>
          <w:szCs w:val="16"/>
          <w:color w:val="auto"/>
        </w:rPr>
        <w:t>are being made only in accordance with authorizations of</w:t>
      </w:r>
    </w:p>
    <w:p>
      <w:pPr>
        <w:ind w:left="10"/>
        <w:spacing w:after="0" w:line="204" w:lineRule="auto"/>
        <w:rPr>
          <w:sz w:val="20"/>
          <w:szCs w:val="20"/>
          <w:color w:val="auto"/>
        </w:rPr>
      </w:pPr>
      <w:r>
        <w:rPr>
          <w:rFonts w:ascii="Times New Roman" w:cs="Times New Roman" w:eastAsia="Times New Roman" w:hAnsi="Times New Roman"/>
          <w:sz w:val="16"/>
          <w:szCs w:val="16"/>
          <w:color w:val="auto"/>
        </w:rPr>
        <w:t>management and directors of the company; and (3) provide</w:t>
      </w:r>
    </w:p>
    <w:p>
      <w:pPr>
        <w:ind w:left="10"/>
        <w:spacing w:after="0" w:line="204" w:lineRule="auto"/>
        <w:rPr>
          <w:sz w:val="20"/>
          <w:szCs w:val="20"/>
          <w:color w:val="auto"/>
        </w:rPr>
      </w:pPr>
      <w:r>
        <w:rPr>
          <w:rFonts w:ascii="Times New Roman" w:cs="Times New Roman" w:eastAsia="Times New Roman" w:hAnsi="Times New Roman"/>
          <w:sz w:val="16"/>
          <w:szCs w:val="16"/>
          <w:color w:val="auto"/>
        </w:rPr>
        <w:t>reasonable assurance regarding prevention or timely</w:t>
      </w:r>
    </w:p>
    <w:p>
      <w:pPr>
        <w:ind w:left="10"/>
        <w:spacing w:after="0" w:line="203" w:lineRule="auto"/>
        <w:rPr>
          <w:sz w:val="20"/>
          <w:szCs w:val="20"/>
          <w:color w:val="auto"/>
        </w:rPr>
      </w:pPr>
      <w:r>
        <w:rPr>
          <w:rFonts w:ascii="Times New Roman" w:cs="Times New Roman" w:eastAsia="Times New Roman" w:hAnsi="Times New Roman"/>
          <w:sz w:val="16"/>
          <w:szCs w:val="16"/>
          <w:color w:val="auto"/>
        </w:rPr>
        <w:t>detection of unauthorized acquisition, use, or disposition of</w:t>
      </w:r>
    </w:p>
    <w:p>
      <w:pPr>
        <w:ind w:left="10"/>
        <w:spacing w:after="0" w:line="233" w:lineRule="auto"/>
        <w:rPr>
          <w:sz w:val="20"/>
          <w:szCs w:val="20"/>
          <w:color w:val="auto"/>
        </w:rPr>
      </w:pPr>
      <w:r>
        <w:rPr>
          <w:rFonts w:ascii="Times New Roman" w:cs="Times New Roman" w:eastAsia="Times New Roman" w:hAnsi="Times New Roman"/>
          <w:sz w:val="14"/>
          <w:szCs w:val="14"/>
          <w:color w:val="auto"/>
        </w:rPr>
        <w:t>the company’s assets that could have a material effect on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financial statements.</w:t>
      </w:r>
    </w:p>
    <w:p>
      <w:pPr>
        <w:ind w:left="10"/>
        <w:spacing w:after="0" w:line="204" w:lineRule="auto"/>
        <w:rPr>
          <w:sz w:val="20"/>
          <w:szCs w:val="20"/>
          <w:color w:val="auto"/>
        </w:rPr>
      </w:pPr>
      <w:r>
        <w:rPr>
          <w:rFonts w:ascii="Times New Roman" w:cs="Times New Roman" w:eastAsia="Times New Roman" w:hAnsi="Times New Roman"/>
          <w:sz w:val="16"/>
          <w:szCs w:val="16"/>
          <w:color w:val="auto"/>
        </w:rPr>
        <w:t>Because of its inherent limitations, internal control over</w:t>
      </w:r>
    </w:p>
    <w:p>
      <w:pPr>
        <w:ind w:left="10"/>
        <w:spacing w:after="0" w:line="233" w:lineRule="auto"/>
        <w:rPr>
          <w:sz w:val="20"/>
          <w:szCs w:val="20"/>
          <w:color w:val="auto"/>
        </w:rPr>
      </w:pPr>
      <w:r>
        <w:rPr>
          <w:rFonts w:ascii="Times New Roman" w:cs="Times New Roman" w:eastAsia="Times New Roman" w:hAnsi="Times New Roman"/>
          <w:sz w:val="14"/>
          <w:szCs w:val="14"/>
          <w:color w:val="auto"/>
        </w:rPr>
        <w:t>financial reporting may not prevent or detect misstatements.</w:t>
      </w:r>
    </w:p>
    <w:p>
      <w:pPr>
        <w:ind w:left="10"/>
        <w:spacing w:after="0" w:line="232" w:lineRule="auto"/>
        <w:rPr>
          <w:sz w:val="20"/>
          <w:szCs w:val="20"/>
          <w:color w:val="auto"/>
        </w:rPr>
      </w:pPr>
      <w:r>
        <w:rPr>
          <w:rFonts w:ascii="Times New Roman" w:cs="Times New Roman" w:eastAsia="Times New Roman" w:hAnsi="Times New Roman"/>
          <w:sz w:val="14"/>
          <w:szCs w:val="14"/>
          <w:color w:val="auto"/>
        </w:rPr>
        <w:t>Also, projections of any evaluation of effectiveness to future</w:t>
      </w:r>
    </w:p>
    <w:p>
      <w:pPr>
        <w:ind w:left="10"/>
        <w:spacing w:after="0" w:line="204" w:lineRule="auto"/>
        <w:rPr>
          <w:sz w:val="20"/>
          <w:szCs w:val="20"/>
          <w:color w:val="auto"/>
        </w:rPr>
      </w:pPr>
      <w:r>
        <w:rPr>
          <w:rFonts w:ascii="Times New Roman" w:cs="Times New Roman" w:eastAsia="Times New Roman" w:hAnsi="Times New Roman"/>
          <w:sz w:val="16"/>
          <w:szCs w:val="16"/>
          <w:color w:val="auto"/>
        </w:rPr>
        <w:t>periods are subject to the risk that controls may become</w:t>
      </w:r>
    </w:p>
    <w:p>
      <w:pPr>
        <w:ind w:left="10"/>
        <w:spacing w:after="0" w:line="203" w:lineRule="auto"/>
        <w:rPr>
          <w:sz w:val="20"/>
          <w:szCs w:val="20"/>
          <w:color w:val="auto"/>
        </w:rPr>
      </w:pPr>
      <w:r>
        <w:rPr>
          <w:rFonts w:ascii="Times New Roman" w:cs="Times New Roman" w:eastAsia="Times New Roman" w:hAnsi="Times New Roman"/>
          <w:sz w:val="16"/>
          <w:szCs w:val="16"/>
          <w:color w:val="auto"/>
        </w:rPr>
        <w:t>inadequate because of changes in conditions, or that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degree of compliance with the policies or procedures may</w:t>
      </w:r>
    </w:p>
    <w:p>
      <w:pPr>
        <w:ind w:left="10"/>
        <w:spacing w:after="0" w:line="203" w:lineRule="auto"/>
        <w:rPr>
          <w:sz w:val="20"/>
          <w:szCs w:val="20"/>
          <w:color w:val="auto"/>
        </w:rPr>
      </w:pPr>
      <w:r>
        <w:rPr>
          <w:rFonts w:ascii="Times New Roman" w:cs="Times New Roman" w:eastAsia="Times New Roman" w:hAnsi="Times New Roman"/>
          <w:sz w:val="16"/>
          <w:szCs w:val="16"/>
          <w:color w:val="auto"/>
        </w:rPr>
        <w:t>deteriorate.</w:t>
      </w:r>
    </w:p>
    <w:p>
      <w:pPr>
        <w:ind w:left="10"/>
        <w:spacing w:after="0" w:line="204" w:lineRule="auto"/>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Ernst &amp; Young LLP</w:t>
      </w:r>
    </w:p>
    <w:p>
      <w:pPr>
        <w:ind w:left="10"/>
        <w:spacing w:after="0" w:line="203" w:lineRule="auto"/>
        <w:rPr>
          <w:sz w:val="20"/>
          <w:szCs w:val="20"/>
          <w:color w:val="auto"/>
        </w:rPr>
      </w:pPr>
      <w:r>
        <w:rPr>
          <w:rFonts w:ascii="Times New Roman" w:cs="Times New Roman" w:eastAsia="Times New Roman" w:hAnsi="Times New Roman"/>
          <w:sz w:val="16"/>
          <w:szCs w:val="16"/>
          <w:color w:val="auto"/>
        </w:rPr>
        <w:t>New York, New York</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February 12, 2026</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58</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0092BC"/>
        </w:rPr>
        <w:t>Item 9B. Other Information</w:t>
      </w:r>
    </w:p>
    <w:p>
      <w:pPr>
        <w:ind w:left="10"/>
        <w:spacing w:after="0" w:line="233" w:lineRule="auto"/>
        <w:rPr>
          <w:sz w:val="20"/>
          <w:szCs w:val="20"/>
          <w:color w:val="auto"/>
        </w:rPr>
      </w:pPr>
      <w:r>
        <w:rPr>
          <w:rFonts w:ascii="Times New Roman" w:cs="Times New Roman" w:eastAsia="Times New Roman" w:hAnsi="Times New Roman"/>
          <w:sz w:val="14"/>
          <w:szCs w:val="14"/>
          <w:color w:val="auto"/>
        </w:rPr>
        <w:t>During the three months ended December 31, 2025, none of</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Company’s directors or officers adopted, terminated or</w:t>
      </w:r>
    </w:p>
    <w:p>
      <w:pPr>
        <w:ind w:left="10"/>
        <w:spacing w:after="0" w:line="233" w:lineRule="auto"/>
        <w:rPr>
          <w:sz w:val="20"/>
          <w:szCs w:val="20"/>
          <w:color w:val="auto"/>
        </w:rPr>
      </w:pPr>
      <w:r>
        <w:rPr>
          <w:rFonts w:ascii="Times New Roman" w:cs="Times New Roman" w:eastAsia="Times New Roman" w:hAnsi="Times New Roman"/>
          <w:sz w:val="14"/>
          <w:szCs w:val="14"/>
          <w:color w:val="auto"/>
        </w:rPr>
        <w:t>modified a “Rule 10b5-1 trading arrangement” or “non-Rule</w:t>
      </w:r>
    </w:p>
    <w:p>
      <w:pPr>
        <w:ind w:left="10"/>
        <w:spacing w:after="0" w:line="204" w:lineRule="auto"/>
        <w:rPr>
          <w:sz w:val="20"/>
          <w:szCs w:val="20"/>
          <w:color w:val="auto"/>
        </w:rPr>
      </w:pPr>
      <w:r>
        <w:rPr>
          <w:rFonts w:ascii="Times New Roman" w:cs="Times New Roman" w:eastAsia="Times New Roman" w:hAnsi="Times New Roman"/>
          <w:sz w:val="16"/>
          <w:szCs w:val="16"/>
          <w:color w:val="auto"/>
        </w:rPr>
        <w:t>10b5-1 trading arrangement” (as such terms are defined in</w:t>
      </w:r>
    </w:p>
    <w:p>
      <w:pPr>
        <w:ind w:left="10"/>
        <w:spacing w:after="0" w:line="203" w:lineRule="auto"/>
        <w:rPr>
          <w:sz w:val="20"/>
          <w:szCs w:val="20"/>
          <w:color w:val="auto"/>
        </w:rPr>
      </w:pPr>
      <w:r>
        <w:rPr>
          <w:rFonts w:ascii="Times New Roman" w:cs="Times New Roman" w:eastAsia="Times New Roman" w:hAnsi="Times New Roman"/>
          <w:sz w:val="16"/>
          <w:szCs w:val="16"/>
          <w:color w:val="auto"/>
        </w:rPr>
        <w:t>Item 408 of Regulation S-K).</w:t>
      </w:r>
    </w:p>
    <w:p>
      <w:pPr>
        <w:ind w:left="10"/>
        <w:spacing w:after="0" w:line="233" w:lineRule="auto"/>
        <w:rPr>
          <w:sz w:val="20"/>
          <w:szCs w:val="20"/>
          <w:color w:val="auto"/>
        </w:rPr>
      </w:pPr>
      <w:r>
        <w:rPr>
          <w:rFonts w:ascii="Times New Roman" w:cs="Times New Roman" w:eastAsia="Times New Roman" w:hAnsi="Times New Roman"/>
          <w:sz w:val="14"/>
          <w:szCs w:val="14"/>
          <w:b w:val="1"/>
          <w:bCs w:val="1"/>
          <w:color w:val="0092BC"/>
        </w:rPr>
        <w:t>Item 9C. Disclosure Regarding Foreign Jurisdictions that</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0092BC"/>
        </w:rPr>
        <w:t>Prevent Inspections</w:t>
      </w:r>
    </w:p>
    <w:p>
      <w:pPr>
        <w:ind w:left="10"/>
        <w:spacing w:after="0" w:line="204" w:lineRule="auto"/>
        <w:rPr>
          <w:sz w:val="20"/>
          <w:szCs w:val="20"/>
          <w:color w:val="auto"/>
        </w:rPr>
      </w:pPr>
      <w:r>
        <w:rPr>
          <w:rFonts w:ascii="Times New Roman" w:cs="Times New Roman" w:eastAsia="Times New Roman" w:hAnsi="Times New Roman"/>
          <w:sz w:val="16"/>
          <w:szCs w:val="16"/>
          <w:color w:val="auto"/>
        </w:rPr>
        <w:t>Not applicable.</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PART III</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0092BC"/>
        </w:rPr>
        <w:t>Item 10. Directors, Executive Officers and Corporate</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0092BC"/>
        </w:rPr>
        <w:t>Governance</w:t>
      </w:r>
    </w:p>
    <w:p>
      <w:pPr>
        <w:ind w:left="10"/>
        <w:spacing w:after="0" w:line="204" w:lineRule="auto"/>
        <w:rPr>
          <w:sz w:val="20"/>
          <w:szCs w:val="20"/>
          <w:color w:val="auto"/>
        </w:rPr>
      </w:pPr>
      <w:r>
        <w:rPr>
          <w:rFonts w:ascii="Times New Roman" w:cs="Times New Roman" w:eastAsia="Times New Roman" w:hAnsi="Times New Roman"/>
          <w:sz w:val="16"/>
          <w:szCs w:val="16"/>
          <w:color w:val="auto"/>
        </w:rPr>
        <w:t>Information about Nasdaq’s directors, as required by</w:t>
      </w:r>
    </w:p>
    <w:p>
      <w:pPr>
        <w:ind w:left="10"/>
        <w:spacing w:after="0" w:line="204" w:lineRule="auto"/>
        <w:rPr>
          <w:sz w:val="20"/>
          <w:szCs w:val="20"/>
          <w:color w:val="auto"/>
        </w:rPr>
      </w:pPr>
      <w:r>
        <w:rPr>
          <w:rFonts w:ascii="Times New Roman" w:cs="Times New Roman" w:eastAsia="Times New Roman" w:hAnsi="Times New Roman"/>
          <w:sz w:val="16"/>
          <w:szCs w:val="16"/>
          <w:color w:val="auto"/>
        </w:rPr>
        <w:t>Item 401 of Regulation S-K, is incorporated by reference, if</w:t>
      </w:r>
    </w:p>
    <w:p>
      <w:pPr>
        <w:ind w:left="10"/>
        <w:spacing w:after="0" w:line="232" w:lineRule="auto"/>
        <w:rPr>
          <w:sz w:val="20"/>
          <w:szCs w:val="20"/>
          <w:color w:val="auto"/>
        </w:rPr>
      </w:pPr>
      <w:r>
        <w:rPr>
          <w:rFonts w:ascii="Times New Roman" w:cs="Times New Roman" w:eastAsia="Times New Roman" w:hAnsi="Times New Roman"/>
          <w:sz w:val="14"/>
          <w:szCs w:val="14"/>
          <w:color w:val="auto"/>
        </w:rPr>
        <w:t>applicable, from the discussion under the caption “Our Board</w:t>
      </w:r>
    </w:p>
    <w:p>
      <w:pPr>
        <w:ind w:left="10" w:right="5560" w:hanging="10"/>
        <w:spacing w:after="0" w:line="232" w:lineRule="auto"/>
        <w:tabs>
          <w:tab w:leader="none" w:pos="97"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Director Nominees” in Nasdaq’s Proxy Statement. Information about Nasdaq’s executive officers, as required by Item 401 of Regulation 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K, is incorporated by reference from the discussion under the caption “Executive Officers” in the Proxy Statement. Information about Section 16 reports, as required by Item 405 of Regulation S-K, is incorporated by reference from the discussion under the caption “Other Items</w:t>
      </w:r>
    </w:p>
    <w:p>
      <w:pPr>
        <w:spacing w:after="0" w:line="2" w:lineRule="exact"/>
        <w:rPr>
          <w:rFonts w:ascii="Times New Roman" w:cs="Times New Roman" w:eastAsia="Times New Roman" w:hAnsi="Times New Roman"/>
          <w:sz w:val="14"/>
          <w:szCs w:val="14"/>
          <w:b w:val="1"/>
          <w:bCs w:val="1"/>
          <w:color w:val="auto"/>
        </w:rPr>
      </w:pPr>
    </w:p>
    <w:p>
      <w:pPr>
        <w:ind w:left="10" w:right="5600" w:hanging="10"/>
        <w:spacing w:after="0"/>
        <w:tabs>
          <w:tab w:leader="none" w:pos="97"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Delinquent Section 16(a) Reports” in the Proxy Statement. Information about Nasdaq’s code of ethics, as required by Item 406 of Regulation 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K, is incorporated by reference from the discussion under the caption "Governance - Ethics and Compliance" in the Proxy Statement. Information about Nasdaq’s nomination procedures, Audit &amp; Risk Committee and Audit &amp; Risk Committee financial experts, as required by Items 407(c)(3), 407(d)(4) and 407(d)(5) of Regulation S-K, is incorporated by reference from the discussions under the headings “Our Board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Director Nominees” and “Our Board - Board Committees” in the Proxy Statement.</w:t>
      </w:r>
    </w:p>
    <w:p>
      <w:pPr>
        <w:spacing w:after="0" w:line="106" w:lineRule="exact"/>
        <w:rPr>
          <w:rFonts w:ascii="Times New Roman" w:cs="Times New Roman" w:eastAsia="Times New Roman" w:hAnsi="Times New Roman"/>
          <w:sz w:val="14"/>
          <w:szCs w:val="14"/>
          <w:b w:val="1"/>
          <w:bCs w:val="1"/>
          <w:color w:val="auto"/>
        </w:rPr>
      </w:pPr>
    </w:p>
    <w:p>
      <w:pPr>
        <w:ind w:left="10" w:right="5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Nasdaq has an insider trading policy governing the purchase, sale and other dispositions of Nasdaq’s securities that applies to all Nasdaq personnel, including directors, officers, employees, and other covered persons, as well as Nasdaq itself. Nasdaq also follows procedures for the repurchase of its securities. Nasdaq believes that its insider trading policy is reasonably designed to promote compliance with insider trading laws, rules and regulations, as well as applicable listing standards. A copy of Nasdaq’s insider trading policy is filed as Exhibit 19.1 to this Annual Report on Form 10-K.</w:t>
      </w:r>
    </w:p>
    <w:p>
      <w:pPr>
        <w:spacing w:after="0" w:line="111" w:lineRule="exact"/>
        <w:rPr>
          <w:rFonts w:ascii="Times New Roman" w:cs="Times New Roman" w:eastAsia="Times New Roman" w:hAnsi="Times New Roman"/>
          <w:sz w:val="14"/>
          <w:szCs w:val="14"/>
          <w:b w:val="1"/>
          <w:bCs w:val="1"/>
          <w:color w:val="auto"/>
        </w:rPr>
      </w:pPr>
    </w:p>
    <w:p>
      <w:pPr>
        <w:ind w:left="10"/>
        <w:spacing w:after="0" w:line="20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0092BC"/>
        </w:rPr>
        <w:t>Item 11. Executive Compensation</w:t>
      </w:r>
    </w:p>
    <w:p>
      <w:pPr>
        <w:ind w:left="10" w:right="5820"/>
        <w:spacing w:after="0" w:line="25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Information about Nasdaq’s director and executive compensation, as required by Items 402, 407(e)(4) and 407(e)(5) of Regulation S-K, is incorporated by reference</w:t>
      </w:r>
    </w:p>
    <w:p>
      <w:pPr>
        <w:sectPr>
          <w:pgSz w:w="11900" w:h="16840" w:orient="portrait"/>
          <w:cols w:equalWidth="0" w:num="1">
            <w:col w:w="9410"/>
          </w:cols>
          <w:pgMar w:left="1050" w:top="547" w:right="1440" w:bottom="13"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color w:val="auto"/>
        </w:rPr>
        <w:t>from the discussions under the headings “Our Board -</w:t>
      </w:r>
    </w:p>
    <w:p>
      <w:pPr>
        <w:spacing w:after="0" w:line="203" w:lineRule="auto"/>
        <w:rPr>
          <w:sz w:val="20"/>
          <w:szCs w:val="20"/>
          <w:color w:val="auto"/>
        </w:rPr>
      </w:pPr>
      <w:r>
        <w:rPr>
          <w:rFonts w:ascii="Times New Roman" w:cs="Times New Roman" w:eastAsia="Times New Roman" w:hAnsi="Times New Roman"/>
          <w:sz w:val="16"/>
          <w:szCs w:val="16"/>
          <w:color w:val="auto"/>
        </w:rPr>
        <w:t>Director Compensation” and “Executive</w:t>
      </w:r>
    </w:p>
    <w:p>
      <w:pPr>
        <w:spacing w:after="0" w:line="233" w:lineRule="auto"/>
        <w:rPr>
          <w:sz w:val="20"/>
          <w:szCs w:val="20"/>
          <w:color w:val="auto"/>
        </w:rPr>
      </w:pPr>
      <w:r>
        <w:rPr>
          <w:rFonts w:ascii="Times New Roman" w:cs="Times New Roman" w:eastAsia="Times New Roman" w:hAnsi="Times New Roman"/>
          <w:sz w:val="14"/>
          <w:szCs w:val="14"/>
          <w:color w:val="auto"/>
        </w:rPr>
        <w:t>Compensation” (except under “Pay versus Performance”) in</w:t>
      </w:r>
    </w:p>
    <w:p>
      <w:pPr>
        <w:spacing w:after="0" w:line="203" w:lineRule="auto"/>
        <w:rPr>
          <w:sz w:val="20"/>
          <w:szCs w:val="20"/>
          <w:color w:val="auto"/>
        </w:rPr>
      </w:pPr>
      <w:r>
        <w:rPr>
          <w:rFonts w:ascii="Times New Roman" w:cs="Times New Roman" w:eastAsia="Times New Roman" w:hAnsi="Times New Roman"/>
          <w:sz w:val="16"/>
          <w:szCs w:val="16"/>
          <w:color w:val="auto"/>
        </w:rPr>
        <w:t>the Proxy Statement.</w:t>
      </w:r>
    </w:p>
    <w:p>
      <w:pPr>
        <w:spacing w:after="0" w:line="204" w:lineRule="auto"/>
        <w:rPr>
          <w:sz w:val="20"/>
          <w:szCs w:val="20"/>
          <w:color w:val="auto"/>
        </w:rPr>
      </w:pPr>
      <w:r>
        <w:rPr>
          <w:rFonts w:ascii="Times New Roman" w:cs="Times New Roman" w:eastAsia="Times New Roman" w:hAnsi="Times New Roman"/>
          <w:sz w:val="16"/>
          <w:szCs w:val="16"/>
          <w:b w:val="1"/>
          <w:bCs w:val="1"/>
          <w:color w:val="0092BC"/>
        </w:rPr>
        <w:t>Item 12. Security Ownership of Certain Beneficial</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Owners and Management and Related Stockholder</w:t>
      </w:r>
    </w:p>
    <w:p>
      <w:pPr>
        <w:spacing w:after="0" w:line="204" w:lineRule="auto"/>
        <w:rPr>
          <w:sz w:val="20"/>
          <w:szCs w:val="20"/>
          <w:color w:val="auto"/>
        </w:rPr>
      </w:pPr>
      <w:r>
        <w:rPr>
          <w:rFonts w:ascii="Times New Roman" w:cs="Times New Roman" w:eastAsia="Times New Roman" w:hAnsi="Times New Roman"/>
          <w:sz w:val="16"/>
          <w:szCs w:val="16"/>
          <w:b w:val="1"/>
          <w:bCs w:val="1"/>
          <w:color w:val="0092BC"/>
        </w:rPr>
        <w:t>Matters</w:t>
      </w:r>
    </w:p>
    <w:p>
      <w:pPr>
        <w:spacing w:after="0" w:line="203" w:lineRule="auto"/>
        <w:rPr>
          <w:sz w:val="20"/>
          <w:szCs w:val="20"/>
          <w:color w:val="auto"/>
        </w:rPr>
      </w:pPr>
      <w:r>
        <w:rPr>
          <w:rFonts w:ascii="Times New Roman" w:cs="Times New Roman" w:eastAsia="Times New Roman" w:hAnsi="Times New Roman"/>
          <w:sz w:val="16"/>
          <w:szCs w:val="16"/>
          <w:color w:val="auto"/>
        </w:rPr>
        <w:t>Information about security ownership of certain beneficial</w:t>
      </w:r>
    </w:p>
    <w:p>
      <w:pPr>
        <w:spacing w:after="0" w:line="204" w:lineRule="auto"/>
        <w:rPr>
          <w:sz w:val="20"/>
          <w:szCs w:val="20"/>
          <w:color w:val="auto"/>
        </w:rPr>
      </w:pPr>
      <w:r>
        <w:rPr>
          <w:rFonts w:ascii="Times New Roman" w:cs="Times New Roman" w:eastAsia="Times New Roman" w:hAnsi="Times New Roman"/>
          <w:sz w:val="16"/>
          <w:szCs w:val="16"/>
          <w:color w:val="auto"/>
        </w:rPr>
        <w:t>owners and management, as required by Item 403 of</w:t>
      </w:r>
    </w:p>
    <w:p>
      <w:pPr>
        <w:spacing w:after="0" w:line="204" w:lineRule="auto"/>
        <w:rPr>
          <w:sz w:val="20"/>
          <w:szCs w:val="20"/>
          <w:color w:val="auto"/>
        </w:rPr>
      </w:pPr>
      <w:r>
        <w:rPr>
          <w:rFonts w:ascii="Times New Roman" w:cs="Times New Roman" w:eastAsia="Times New Roman" w:hAnsi="Times New Roman"/>
          <w:sz w:val="16"/>
          <w:szCs w:val="16"/>
          <w:color w:val="auto"/>
        </w:rPr>
        <w:t>Regulation S-K, is incorporated by reference from the</w:t>
      </w:r>
    </w:p>
    <w:p>
      <w:pPr>
        <w:spacing w:after="0" w:line="203" w:lineRule="auto"/>
        <w:rPr>
          <w:sz w:val="20"/>
          <w:szCs w:val="20"/>
          <w:color w:val="auto"/>
        </w:rPr>
      </w:pPr>
      <w:r>
        <w:rPr>
          <w:rFonts w:ascii="Times New Roman" w:cs="Times New Roman" w:eastAsia="Times New Roman" w:hAnsi="Times New Roman"/>
          <w:sz w:val="16"/>
          <w:szCs w:val="16"/>
          <w:color w:val="auto"/>
        </w:rPr>
        <w:t>discussion under the heading “Other Items - Security</w:t>
      </w:r>
    </w:p>
    <w:p>
      <w:pPr>
        <w:spacing w:after="0" w:line="204" w:lineRule="auto"/>
        <w:rPr>
          <w:sz w:val="20"/>
          <w:szCs w:val="20"/>
          <w:color w:val="auto"/>
        </w:rPr>
      </w:pPr>
      <w:r>
        <w:rPr>
          <w:rFonts w:ascii="Times New Roman" w:cs="Times New Roman" w:eastAsia="Times New Roman" w:hAnsi="Times New Roman"/>
          <w:sz w:val="16"/>
          <w:szCs w:val="16"/>
          <w:color w:val="auto"/>
        </w:rPr>
        <w:t>Ownership of Certain Beneficial Owners and Management”</w:t>
      </w:r>
    </w:p>
    <w:p>
      <w:pPr>
        <w:spacing w:after="0" w:line="203" w:lineRule="auto"/>
        <w:rPr>
          <w:sz w:val="20"/>
          <w:szCs w:val="20"/>
          <w:color w:val="auto"/>
        </w:rPr>
      </w:pPr>
      <w:r>
        <w:rPr>
          <w:rFonts w:ascii="Times New Roman" w:cs="Times New Roman" w:eastAsia="Times New Roman" w:hAnsi="Times New Roman"/>
          <w:sz w:val="16"/>
          <w:szCs w:val="16"/>
          <w:color w:val="auto"/>
        </w:rPr>
        <w:t>in the Proxy Statement.</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Equity Compensation Plan and ESPP Information</w:t>
      </w:r>
    </w:p>
    <w:p>
      <w:pPr>
        <w:spacing w:after="0" w:line="232" w:lineRule="auto"/>
        <w:rPr>
          <w:sz w:val="20"/>
          <w:szCs w:val="20"/>
          <w:color w:val="auto"/>
        </w:rPr>
      </w:pPr>
      <w:r>
        <w:rPr>
          <w:rFonts w:ascii="Times New Roman" w:cs="Times New Roman" w:eastAsia="Times New Roman" w:hAnsi="Times New Roman"/>
          <w:sz w:val="14"/>
          <w:szCs w:val="14"/>
          <w:color w:val="auto"/>
        </w:rPr>
        <w:t>Nasdaq’s Equity Plan provides for the issuance of our equity</w:t>
      </w:r>
    </w:p>
    <w:p>
      <w:pPr>
        <w:spacing w:after="0" w:line="204" w:lineRule="auto"/>
        <w:rPr>
          <w:sz w:val="20"/>
          <w:szCs w:val="20"/>
          <w:color w:val="auto"/>
        </w:rPr>
      </w:pPr>
      <w:r>
        <w:rPr>
          <w:rFonts w:ascii="Times New Roman" w:cs="Times New Roman" w:eastAsia="Times New Roman" w:hAnsi="Times New Roman"/>
          <w:sz w:val="16"/>
          <w:szCs w:val="16"/>
          <w:color w:val="auto"/>
        </w:rPr>
        <w:t>securities to all employees and directors as part of their</w:t>
      </w:r>
    </w:p>
    <w:p>
      <w:pPr>
        <w:spacing w:after="0" w:line="203" w:lineRule="auto"/>
        <w:rPr>
          <w:sz w:val="20"/>
          <w:szCs w:val="20"/>
          <w:color w:val="auto"/>
        </w:rPr>
      </w:pPr>
      <w:r>
        <w:rPr>
          <w:rFonts w:ascii="Times New Roman" w:cs="Times New Roman" w:eastAsia="Times New Roman" w:hAnsi="Times New Roman"/>
          <w:sz w:val="16"/>
          <w:szCs w:val="16"/>
          <w:color w:val="auto"/>
        </w:rPr>
        <w:t>compensation plan.</w:t>
      </w:r>
    </w:p>
    <w:p>
      <w:pPr>
        <w:spacing w:after="0" w:line="204" w:lineRule="auto"/>
        <w:rPr>
          <w:sz w:val="20"/>
          <w:szCs w:val="20"/>
          <w:color w:val="auto"/>
        </w:rPr>
      </w:pPr>
      <w:r>
        <w:rPr>
          <w:rFonts w:ascii="Times New Roman" w:cs="Times New Roman" w:eastAsia="Times New Roman" w:hAnsi="Times New Roman"/>
          <w:sz w:val="16"/>
          <w:szCs w:val="16"/>
          <w:color w:val="auto"/>
        </w:rPr>
        <w:t>In addition, in jurisdictions where participation in the ESPP</w:t>
      </w:r>
    </w:p>
    <w:p>
      <w:pPr>
        <w:spacing w:after="0" w:line="233" w:lineRule="auto"/>
        <w:rPr>
          <w:sz w:val="20"/>
          <w:szCs w:val="20"/>
          <w:color w:val="auto"/>
        </w:rPr>
      </w:pPr>
      <w:r>
        <w:rPr>
          <w:rFonts w:ascii="Times New Roman" w:cs="Times New Roman" w:eastAsia="Times New Roman" w:hAnsi="Times New Roman"/>
          <w:sz w:val="14"/>
          <w:szCs w:val="14"/>
          <w:color w:val="auto"/>
        </w:rPr>
        <w:t>is permitted, all our employees are eligible. Employees may</w:t>
      </w:r>
    </w:p>
    <w:p>
      <w:pPr>
        <w:spacing w:after="0" w:line="203" w:lineRule="auto"/>
        <w:rPr>
          <w:sz w:val="20"/>
          <w:szCs w:val="20"/>
          <w:color w:val="auto"/>
        </w:rPr>
      </w:pPr>
      <w:r>
        <w:rPr>
          <w:rFonts w:ascii="Times New Roman" w:cs="Times New Roman" w:eastAsia="Times New Roman" w:hAnsi="Times New Roman"/>
          <w:sz w:val="16"/>
          <w:szCs w:val="16"/>
          <w:color w:val="auto"/>
        </w:rPr>
        <w:t>purchase shares of our common stock at a 15% discount to</w:t>
      </w:r>
    </w:p>
    <w:p>
      <w:pPr>
        <w:spacing w:after="0" w:line="233" w:lineRule="auto"/>
        <w:rPr>
          <w:sz w:val="20"/>
          <w:szCs w:val="20"/>
          <w:color w:val="auto"/>
        </w:rPr>
      </w:pPr>
      <w:r>
        <w:rPr>
          <w:rFonts w:ascii="Times New Roman" w:cs="Times New Roman" w:eastAsia="Times New Roman" w:hAnsi="Times New Roman"/>
          <w:sz w:val="14"/>
          <w:szCs w:val="14"/>
          <w:color w:val="auto"/>
        </w:rPr>
        <w:t>the lesser of the closing price of our common stock on (i) the</w:t>
      </w:r>
    </w:p>
    <w:p>
      <w:pPr>
        <w:spacing w:after="0" w:line="203" w:lineRule="auto"/>
        <w:rPr>
          <w:sz w:val="20"/>
          <w:szCs w:val="20"/>
          <w:color w:val="auto"/>
        </w:rPr>
      </w:pPr>
      <w:r>
        <w:rPr>
          <w:rFonts w:ascii="Times New Roman" w:cs="Times New Roman" w:eastAsia="Times New Roman" w:hAnsi="Times New Roman"/>
          <w:sz w:val="16"/>
          <w:szCs w:val="16"/>
          <w:color w:val="auto"/>
        </w:rPr>
        <w:t>first trading day of the offering period or (ii) the last trading</w:t>
      </w:r>
    </w:p>
    <w:p>
      <w:pPr>
        <w:spacing w:after="0" w:line="204" w:lineRule="auto"/>
        <w:rPr>
          <w:sz w:val="20"/>
          <w:szCs w:val="20"/>
          <w:color w:val="auto"/>
        </w:rPr>
      </w:pPr>
      <w:r>
        <w:rPr>
          <w:rFonts w:ascii="Times New Roman" w:cs="Times New Roman" w:eastAsia="Times New Roman" w:hAnsi="Times New Roman"/>
          <w:sz w:val="16"/>
          <w:szCs w:val="16"/>
          <w:color w:val="auto"/>
        </w:rPr>
        <w:t>day of the offering period. Offering periods under the ESPP</w:t>
      </w:r>
    </w:p>
    <w:p>
      <w:pPr>
        <w:spacing w:after="0" w:line="204" w:lineRule="auto"/>
        <w:rPr>
          <w:sz w:val="20"/>
          <w:szCs w:val="20"/>
          <w:color w:val="auto"/>
        </w:rPr>
      </w:pPr>
      <w:r>
        <w:rPr>
          <w:rFonts w:ascii="Times New Roman" w:cs="Times New Roman" w:eastAsia="Times New Roman" w:hAnsi="Times New Roman"/>
          <w:sz w:val="16"/>
          <w:szCs w:val="16"/>
          <w:color w:val="auto"/>
        </w:rPr>
        <w:t>are nine months in duration. As of December 31, 2025, all</w:t>
      </w:r>
    </w:p>
    <w:p>
      <w:pPr>
        <w:spacing w:after="0" w:line="203" w:lineRule="auto"/>
        <w:rPr>
          <w:sz w:val="20"/>
          <w:szCs w:val="20"/>
          <w:color w:val="auto"/>
        </w:rPr>
      </w:pPr>
      <w:r>
        <w:rPr>
          <w:rFonts w:ascii="Times New Roman" w:cs="Times New Roman" w:eastAsia="Times New Roman" w:hAnsi="Times New Roman"/>
          <w:sz w:val="16"/>
          <w:szCs w:val="16"/>
          <w:color w:val="auto"/>
        </w:rPr>
        <w:t>our employees are eligible to participate.</w:t>
      </w:r>
    </w:p>
    <w:p>
      <w:pPr>
        <w:spacing w:after="0" w:line="204" w:lineRule="auto"/>
        <w:rPr>
          <w:sz w:val="20"/>
          <w:szCs w:val="20"/>
          <w:color w:val="auto"/>
        </w:rPr>
      </w:pPr>
      <w:r>
        <w:rPr>
          <w:rFonts w:ascii="Times New Roman" w:cs="Times New Roman" w:eastAsia="Times New Roman" w:hAnsi="Times New Roman"/>
          <w:sz w:val="16"/>
          <w:szCs w:val="16"/>
          <w:color w:val="auto"/>
        </w:rPr>
        <w:t>The Equity Plan and the ESPP have been previously</w:t>
      </w:r>
    </w:p>
    <w:p>
      <w:pPr>
        <w:spacing w:after="0" w:line="232" w:lineRule="auto"/>
        <w:rPr>
          <w:sz w:val="20"/>
          <w:szCs w:val="20"/>
          <w:color w:val="auto"/>
        </w:rPr>
      </w:pPr>
      <w:r>
        <w:rPr>
          <w:rFonts w:ascii="Times New Roman" w:cs="Times New Roman" w:eastAsia="Times New Roman" w:hAnsi="Times New Roman"/>
          <w:sz w:val="14"/>
          <w:szCs w:val="14"/>
          <w:color w:val="auto"/>
        </w:rPr>
        <w:t>approved by our stockholders. The following table sets forth</w:t>
      </w:r>
    </w:p>
    <w:p>
      <w:pPr>
        <w:spacing w:after="0" w:line="204" w:lineRule="auto"/>
        <w:rPr>
          <w:sz w:val="20"/>
          <w:szCs w:val="20"/>
          <w:color w:val="auto"/>
        </w:rPr>
      </w:pPr>
      <w:r>
        <w:rPr>
          <w:rFonts w:ascii="Times New Roman" w:cs="Times New Roman" w:eastAsia="Times New Roman" w:hAnsi="Times New Roman"/>
          <w:sz w:val="16"/>
          <w:szCs w:val="16"/>
          <w:color w:val="auto"/>
        </w:rPr>
        <w:t>information regarding outstanding options and shares</w:t>
      </w:r>
    </w:p>
    <w:p>
      <w:pPr>
        <w:spacing w:after="0" w:line="203" w:lineRule="auto"/>
        <w:rPr>
          <w:sz w:val="20"/>
          <w:szCs w:val="20"/>
          <w:color w:val="auto"/>
        </w:rPr>
      </w:pPr>
      <w:r>
        <w:rPr>
          <w:rFonts w:ascii="Times New Roman" w:cs="Times New Roman" w:eastAsia="Times New Roman" w:hAnsi="Times New Roman"/>
          <w:sz w:val="16"/>
          <w:szCs w:val="16"/>
          <w:color w:val="auto"/>
        </w:rPr>
        <w:t>reserved for future issuance under all of Nasdaq’s</w:t>
      </w:r>
    </w:p>
    <w:p>
      <w:pPr>
        <w:spacing w:after="0" w:line="228" w:lineRule="auto"/>
        <w:rPr>
          <w:sz w:val="20"/>
          <w:szCs w:val="20"/>
          <w:color w:val="auto"/>
        </w:rPr>
      </w:pPr>
      <w:r>
        <w:rPr>
          <w:rFonts w:ascii="Times New Roman" w:cs="Times New Roman" w:eastAsia="Times New Roman" w:hAnsi="Times New Roman"/>
          <w:sz w:val="16"/>
          <w:szCs w:val="16"/>
          <w:color w:val="auto"/>
        </w:rPr>
        <w:t>compensation plans as of December 31, 2025.</w:t>
      </w:r>
    </w:p>
    <w:tbl>
      <w:tblPr>
        <w:tblLayout w:type="fixed"/>
        <w:tblInd w:w="0" w:type="dxa"/>
        <w:tblCellMar>
          <w:top w:w="0" w:type="dxa"/>
          <w:left w:w="0" w:type="dxa"/>
          <w:bottom w:w="0" w:type="dxa"/>
          <w:right w:w="0" w:type="dxa"/>
        </w:tblCellMar>
      </w:tblPr>
      <w:tr>
        <w:trPr>
          <w:trHeight w:val="97"/>
        </w:trPr>
        <w:tc>
          <w:tcPr>
            <w:tcW w:w="96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Plan Category</w:t>
            </w:r>
          </w:p>
        </w:tc>
        <w:tc>
          <w:tcPr>
            <w:tcW w:w="1060" w:type="dxa"/>
            <w:vAlign w:val="bottom"/>
          </w:tcPr>
          <w:p>
            <w:pPr>
              <w:ind w:left="320"/>
              <w:spacing w:after="0" w:line="9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900" w:type="dxa"/>
            <w:vAlign w:val="bottom"/>
          </w:tcPr>
          <w:p>
            <w:pPr>
              <w:ind w:left="140"/>
              <w:spacing w:after="0" w:line="97"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60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b w:val="1"/>
                <w:bCs w:val="1"/>
                <w:color w:val="auto"/>
                <w:w w:val="93"/>
              </w:rPr>
              <w:t>Number of</w:t>
            </w:r>
          </w:p>
        </w:tc>
      </w:tr>
      <w:tr>
        <w:trPr>
          <w:trHeight w:val="108"/>
        </w:trPr>
        <w:tc>
          <w:tcPr>
            <w:tcW w:w="960" w:type="dxa"/>
            <w:vAlign w:val="bottom"/>
          </w:tcPr>
          <w:p>
            <w:pPr>
              <w:spacing w:after="0"/>
              <w:rPr>
                <w:sz w:val="9"/>
                <w:szCs w:val="9"/>
                <w:color w:val="auto"/>
              </w:rPr>
            </w:pPr>
          </w:p>
        </w:tc>
        <w:tc>
          <w:tcPr>
            <w:tcW w:w="1060" w:type="dxa"/>
            <w:vAlign w:val="bottom"/>
          </w:tcPr>
          <w:p>
            <w:pPr>
              <w:ind w:left="320"/>
              <w:spacing w:after="0" w:line="108" w:lineRule="exact"/>
              <w:rPr>
                <w:sz w:val="20"/>
                <w:szCs w:val="20"/>
                <w:color w:val="auto"/>
              </w:rPr>
            </w:pPr>
            <w:r>
              <w:rPr>
                <w:rFonts w:ascii="Times New Roman" w:cs="Times New Roman" w:eastAsia="Times New Roman" w:hAnsi="Times New Roman"/>
                <w:sz w:val="11"/>
                <w:szCs w:val="11"/>
                <w:b w:val="1"/>
                <w:bCs w:val="1"/>
                <w:color w:val="auto"/>
              </w:rPr>
              <w:t>shares</w:t>
            </w:r>
          </w:p>
        </w:tc>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b w:val="1"/>
                <w:bCs w:val="1"/>
                <w:color w:val="auto"/>
              </w:rPr>
              <w:t>average</w:t>
            </w:r>
          </w:p>
        </w:tc>
        <w:tc>
          <w:tcPr>
            <w:tcW w:w="60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shares</w:t>
            </w:r>
          </w:p>
        </w:tc>
      </w:tr>
      <w:tr>
        <w:trPr>
          <w:trHeight w:val="108"/>
        </w:trPr>
        <w:tc>
          <w:tcPr>
            <w:tcW w:w="960" w:type="dxa"/>
            <w:vAlign w:val="bottom"/>
          </w:tcPr>
          <w:p>
            <w:pPr>
              <w:spacing w:after="0"/>
              <w:rPr>
                <w:sz w:val="9"/>
                <w:szCs w:val="9"/>
                <w:color w:val="auto"/>
              </w:rPr>
            </w:pPr>
          </w:p>
        </w:tc>
        <w:tc>
          <w:tcPr>
            <w:tcW w:w="1060" w:type="dxa"/>
            <w:vAlign w:val="bottom"/>
          </w:tcPr>
          <w:p>
            <w:pPr>
              <w:ind w:left="320"/>
              <w:spacing w:after="0" w:line="108" w:lineRule="exact"/>
              <w:rPr>
                <w:sz w:val="20"/>
                <w:szCs w:val="20"/>
                <w:color w:val="auto"/>
              </w:rPr>
            </w:pPr>
            <w:r>
              <w:rPr>
                <w:rFonts w:ascii="Times New Roman" w:cs="Times New Roman" w:eastAsia="Times New Roman" w:hAnsi="Times New Roman"/>
                <w:sz w:val="11"/>
                <w:szCs w:val="11"/>
                <w:b w:val="1"/>
                <w:bCs w:val="1"/>
                <w:color w:val="auto"/>
              </w:rPr>
              <w:t>to be issued</w:t>
            </w:r>
          </w:p>
        </w:tc>
        <w:tc>
          <w:tcPr>
            <w:tcW w:w="90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60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remaining</w:t>
            </w:r>
          </w:p>
        </w:tc>
      </w:tr>
      <w:tr>
        <w:trPr>
          <w:trHeight w:val="142"/>
        </w:trPr>
        <w:tc>
          <w:tcPr>
            <w:tcW w:w="960" w:type="dxa"/>
            <w:vAlign w:val="bottom"/>
          </w:tcPr>
          <w:p>
            <w:pPr>
              <w:spacing w:after="0"/>
              <w:rPr>
                <w:sz w:val="12"/>
                <w:szCs w:val="12"/>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upon exercise</w:t>
            </w:r>
          </w:p>
        </w:tc>
        <w:tc>
          <w:tcPr>
            <w:tcW w:w="9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of</w:t>
            </w: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available</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59</w:t>
      </w:r>
    </w:p>
    <w:p>
      <w:pPr>
        <w:spacing w:after="0" w:line="232" w:lineRule="auto"/>
        <w:rPr>
          <w:sz w:val="20"/>
          <w:szCs w:val="20"/>
          <w:color w:val="auto"/>
        </w:rPr>
      </w:pPr>
      <w:r>
        <w:rPr>
          <w:rFonts w:ascii="Times New Roman" w:cs="Times New Roman" w:eastAsia="Times New Roman" w:hAnsi="Times New Roman"/>
          <w:sz w:val="14"/>
          <w:szCs w:val="14"/>
          <w:b w:val="1"/>
          <w:bCs w:val="1"/>
          <w:color w:val="0092BC"/>
        </w:rPr>
        <w:t>Item 13. Certain Relationships and Related Transactions,</w:t>
      </w:r>
    </w:p>
    <w:p>
      <w:pPr>
        <w:spacing w:after="0" w:line="204" w:lineRule="auto"/>
        <w:rPr>
          <w:sz w:val="20"/>
          <w:szCs w:val="20"/>
          <w:color w:val="auto"/>
        </w:rPr>
      </w:pPr>
      <w:r>
        <w:rPr>
          <w:rFonts w:ascii="Times New Roman" w:cs="Times New Roman" w:eastAsia="Times New Roman" w:hAnsi="Times New Roman"/>
          <w:sz w:val="16"/>
          <w:szCs w:val="16"/>
          <w:b w:val="1"/>
          <w:bCs w:val="1"/>
          <w:color w:val="0092BC"/>
        </w:rPr>
        <w:t>and Director Independence</w:t>
      </w:r>
    </w:p>
    <w:p>
      <w:pPr>
        <w:spacing w:after="0" w:line="203" w:lineRule="auto"/>
        <w:rPr>
          <w:sz w:val="20"/>
          <w:szCs w:val="20"/>
          <w:color w:val="auto"/>
        </w:rPr>
      </w:pPr>
      <w:r>
        <w:rPr>
          <w:rFonts w:ascii="Times New Roman" w:cs="Times New Roman" w:eastAsia="Times New Roman" w:hAnsi="Times New Roman"/>
          <w:sz w:val="16"/>
          <w:szCs w:val="16"/>
          <w:color w:val="auto"/>
        </w:rPr>
        <w:t>Information about certain relationships and related</w:t>
      </w:r>
    </w:p>
    <w:p>
      <w:pPr>
        <w:spacing w:after="0" w:line="204" w:lineRule="auto"/>
        <w:rPr>
          <w:sz w:val="20"/>
          <w:szCs w:val="20"/>
          <w:color w:val="auto"/>
        </w:rPr>
      </w:pPr>
      <w:r>
        <w:rPr>
          <w:rFonts w:ascii="Times New Roman" w:cs="Times New Roman" w:eastAsia="Times New Roman" w:hAnsi="Times New Roman"/>
          <w:sz w:val="16"/>
          <w:szCs w:val="16"/>
          <w:color w:val="auto"/>
        </w:rPr>
        <w:t>transactions, as required by Item 404 of Regulation S-K, is</w:t>
      </w:r>
    </w:p>
    <w:p>
      <w:pPr>
        <w:spacing w:after="0" w:line="203" w:lineRule="auto"/>
        <w:rPr>
          <w:sz w:val="20"/>
          <w:szCs w:val="20"/>
          <w:color w:val="auto"/>
        </w:rPr>
      </w:pPr>
      <w:r>
        <w:rPr>
          <w:rFonts w:ascii="Times New Roman" w:cs="Times New Roman" w:eastAsia="Times New Roman" w:hAnsi="Times New Roman"/>
          <w:sz w:val="16"/>
          <w:szCs w:val="16"/>
          <w:color w:val="auto"/>
        </w:rPr>
        <w:t>incorporated herein by reference from the discussion under</w:t>
      </w:r>
    </w:p>
    <w:p>
      <w:pPr>
        <w:spacing w:after="0" w:line="233" w:lineRule="auto"/>
        <w:rPr>
          <w:sz w:val="20"/>
          <w:szCs w:val="20"/>
          <w:color w:val="auto"/>
        </w:rPr>
      </w:pPr>
      <w:r>
        <w:rPr>
          <w:rFonts w:ascii="Times New Roman" w:cs="Times New Roman" w:eastAsia="Times New Roman" w:hAnsi="Times New Roman"/>
          <w:sz w:val="14"/>
          <w:szCs w:val="14"/>
          <w:color w:val="auto"/>
        </w:rPr>
        <w:t>the heading “Other Items - Certain Relationships and Related</w:t>
      </w:r>
    </w:p>
    <w:p>
      <w:pPr>
        <w:spacing w:after="0" w:line="203" w:lineRule="auto"/>
        <w:rPr>
          <w:sz w:val="20"/>
          <w:szCs w:val="20"/>
          <w:color w:val="auto"/>
        </w:rPr>
      </w:pPr>
      <w:r>
        <w:rPr>
          <w:rFonts w:ascii="Times New Roman" w:cs="Times New Roman" w:eastAsia="Times New Roman" w:hAnsi="Times New Roman"/>
          <w:sz w:val="16"/>
          <w:szCs w:val="16"/>
          <w:color w:val="auto"/>
        </w:rPr>
        <w:t>Transactions” in the Proxy Statement. Information about</w:t>
      </w:r>
    </w:p>
    <w:p>
      <w:pPr>
        <w:spacing w:after="0" w:line="204" w:lineRule="auto"/>
        <w:rPr>
          <w:sz w:val="20"/>
          <w:szCs w:val="20"/>
          <w:color w:val="auto"/>
        </w:rPr>
      </w:pPr>
      <w:r>
        <w:rPr>
          <w:rFonts w:ascii="Times New Roman" w:cs="Times New Roman" w:eastAsia="Times New Roman" w:hAnsi="Times New Roman"/>
          <w:sz w:val="16"/>
          <w:szCs w:val="16"/>
          <w:color w:val="auto"/>
        </w:rPr>
        <w:t>director independence, as required by Item 407(a) of</w:t>
      </w:r>
    </w:p>
    <w:p>
      <w:pPr>
        <w:spacing w:after="0" w:line="233" w:lineRule="auto"/>
        <w:rPr>
          <w:sz w:val="20"/>
          <w:szCs w:val="20"/>
          <w:color w:val="auto"/>
        </w:rPr>
      </w:pPr>
      <w:r>
        <w:rPr>
          <w:rFonts w:ascii="Times New Roman" w:cs="Times New Roman" w:eastAsia="Times New Roman" w:hAnsi="Times New Roman"/>
          <w:sz w:val="14"/>
          <w:szCs w:val="14"/>
          <w:color w:val="auto"/>
        </w:rPr>
        <w:t>Regulation S-K, is incorporated herein by reference from the</w:t>
      </w:r>
    </w:p>
    <w:p>
      <w:pPr>
        <w:spacing w:after="0" w:line="203" w:lineRule="auto"/>
        <w:rPr>
          <w:sz w:val="20"/>
          <w:szCs w:val="20"/>
          <w:color w:val="auto"/>
        </w:rPr>
      </w:pPr>
      <w:r>
        <w:rPr>
          <w:rFonts w:ascii="Times New Roman" w:cs="Times New Roman" w:eastAsia="Times New Roman" w:hAnsi="Times New Roman"/>
          <w:sz w:val="16"/>
          <w:szCs w:val="16"/>
          <w:color w:val="auto"/>
        </w:rPr>
        <w:t>discussion under the heading “Our Board - Director</w:t>
      </w:r>
    </w:p>
    <w:p>
      <w:pPr>
        <w:spacing w:after="0" w:line="204" w:lineRule="auto"/>
        <w:rPr>
          <w:sz w:val="20"/>
          <w:szCs w:val="20"/>
          <w:color w:val="auto"/>
        </w:rPr>
      </w:pPr>
      <w:r>
        <w:rPr>
          <w:rFonts w:ascii="Times New Roman" w:cs="Times New Roman" w:eastAsia="Times New Roman" w:hAnsi="Times New Roman"/>
          <w:sz w:val="16"/>
          <w:szCs w:val="16"/>
          <w:color w:val="auto"/>
        </w:rPr>
        <w:t>Nominees” in the Proxy Statement.</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Item 14. Principal Accountant Fees and Services</w:t>
      </w:r>
    </w:p>
    <w:p>
      <w:pPr>
        <w:spacing w:after="0" w:line="204" w:lineRule="auto"/>
        <w:rPr>
          <w:sz w:val="20"/>
          <w:szCs w:val="20"/>
          <w:color w:val="auto"/>
        </w:rPr>
      </w:pPr>
      <w:r>
        <w:rPr>
          <w:rFonts w:ascii="Times New Roman" w:cs="Times New Roman" w:eastAsia="Times New Roman" w:hAnsi="Times New Roman"/>
          <w:sz w:val="16"/>
          <w:szCs w:val="16"/>
          <w:color w:val="auto"/>
        </w:rPr>
        <w:t>Information about principal accountant fees and services, as</w:t>
      </w:r>
    </w:p>
    <w:p>
      <w:pPr>
        <w:spacing w:after="0" w:line="233" w:lineRule="auto"/>
        <w:rPr>
          <w:sz w:val="20"/>
          <w:szCs w:val="20"/>
          <w:color w:val="auto"/>
        </w:rPr>
      </w:pPr>
      <w:r>
        <w:rPr>
          <w:rFonts w:ascii="Times New Roman" w:cs="Times New Roman" w:eastAsia="Times New Roman" w:hAnsi="Times New Roman"/>
          <w:sz w:val="14"/>
          <w:szCs w:val="14"/>
          <w:color w:val="auto"/>
        </w:rPr>
        <w:t>required by Item 9(e) of Schedule 14A, is incorporated herein</w:t>
      </w:r>
    </w:p>
    <w:p>
      <w:pPr>
        <w:spacing w:after="0" w:line="232" w:lineRule="auto"/>
        <w:rPr>
          <w:sz w:val="20"/>
          <w:szCs w:val="20"/>
          <w:color w:val="auto"/>
        </w:rPr>
      </w:pPr>
      <w:r>
        <w:rPr>
          <w:rFonts w:ascii="Times New Roman" w:cs="Times New Roman" w:eastAsia="Times New Roman" w:hAnsi="Times New Roman"/>
          <w:sz w:val="14"/>
          <w:szCs w:val="14"/>
          <w:color w:val="auto"/>
        </w:rPr>
        <w:t>by reference from the discussion under the heading “Annual</w:t>
      </w:r>
    </w:p>
    <w:p>
      <w:pPr>
        <w:spacing w:after="0" w:line="233" w:lineRule="auto"/>
        <w:rPr>
          <w:sz w:val="20"/>
          <w:szCs w:val="20"/>
          <w:color w:val="auto"/>
        </w:rPr>
      </w:pPr>
      <w:r>
        <w:rPr>
          <w:rFonts w:ascii="Times New Roman" w:cs="Times New Roman" w:eastAsia="Times New Roman" w:hAnsi="Times New Roman"/>
          <w:sz w:val="14"/>
          <w:szCs w:val="14"/>
          <w:color w:val="auto"/>
        </w:rPr>
        <w:t>Evaluation and 2026 Selection of the Independent Auditors”</w:t>
      </w:r>
    </w:p>
    <w:p>
      <w:pPr>
        <w:spacing w:after="0" w:line="203" w:lineRule="auto"/>
        <w:rPr>
          <w:sz w:val="20"/>
          <w:szCs w:val="20"/>
          <w:color w:val="auto"/>
        </w:rPr>
      </w:pPr>
      <w:r>
        <w:rPr>
          <w:rFonts w:ascii="Times New Roman" w:cs="Times New Roman" w:eastAsia="Times New Roman" w:hAnsi="Times New Roman"/>
          <w:sz w:val="16"/>
          <w:szCs w:val="16"/>
          <w:color w:val="auto"/>
        </w:rPr>
        <w:t>in the Proxy Statement.</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PART IV</w:t>
      </w:r>
    </w:p>
    <w:p>
      <w:pPr>
        <w:spacing w:after="0" w:line="203" w:lineRule="auto"/>
        <w:rPr>
          <w:sz w:val="20"/>
          <w:szCs w:val="20"/>
          <w:color w:val="auto"/>
        </w:rPr>
      </w:pPr>
      <w:r>
        <w:rPr>
          <w:rFonts w:ascii="Times New Roman" w:cs="Times New Roman" w:eastAsia="Times New Roman" w:hAnsi="Times New Roman"/>
          <w:sz w:val="16"/>
          <w:szCs w:val="16"/>
          <w:b w:val="1"/>
          <w:bCs w:val="1"/>
          <w:color w:val="0092BC"/>
        </w:rPr>
        <w:t>Item 15. Exhibits and Financial Statement Schedules</w:t>
      </w:r>
    </w:p>
    <w:p>
      <w:pPr>
        <w:spacing w:after="0" w:line="204" w:lineRule="auto"/>
        <w:rPr>
          <w:sz w:val="20"/>
          <w:szCs w:val="20"/>
          <w:color w:val="auto"/>
        </w:rPr>
      </w:pPr>
      <w:r>
        <w:rPr>
          <w:rFonts w:ascii="Times New Roman" w:cs="Times New Roman" w:eastAsia="Times New Roman" w:hAnsi="Times New Roman"/>
          <w:sz w:val="16"/>
          <w:szCs w:val="16"/>
          <w:color w:val="auto"/>
        </w:rPr>
        <w:t>(a)(1) Financial Statements</w:t>
      </w:r>
    </w:p>
    <w:p>
      <w:pPr>
        <w:spacing w:after="0" w:line="204" w:lineRule="auto"/>
        <w:rPr>
          <w:sz w:val="20"/>
          <w:szCs w:val="20"/>
          <w:color w:val="auto"/>
        </w:rPr>
      </w:pPr>
      <w:r>
        <w:rPr>
          <w:rFonts w:ascii="Times New Roman" w:cs="Times New Roman" w:eastAsia="Times New Roman" w:hAnsi="Times New Roman"/>
          <w:sz w:val="16"/>
          <w:szCs w:val="16"/>
          <w:color w:val="auto"/>
        </w:rPr>
        <w:t>See “Index to Consolidated Financial Statements.”</w:t>
      </w:r>
    </w:p>
    <w:p>
      <w:pPr>
        <w:spacing w:after="0" w:line="203" w:lineRule="auto"/>
        <w:rPr>
          <w:sz w:val="20"/>
          <w:szCs w:val="20"/>
          <w:color w:val="auto"/>
        </w:rPr>
      </w:pPr>
      <w:r>
        <w:rPr>
          <w:rFonts w:ascii="Times New Roman" w:cs="Times New Roman" w:eastAsia="Times New Roman" w:hAnsi="Times New Roman"/>
          <w:sz w:val="16"/>
          <w:szCs w:val="16"/>
          <w:color w:val="auto"/>
        </w:rPr>
        <w:t>(a)(2) Financial Statement Schedules</w:t>
      </w:r>
    </w:p>
    <w:p>
      <w:pPr>
        <w:spacing w:after="0" w:line="233" w:lineRule="auto"/>
        <w:rPr>
          <w:sz w:val="20"/>
          <w:szCs w:val="20"/>
          <w:color w:val="auto"/>
        </w:rPr>
      </w:pPr>
      <w:r>
        <w:rPr>
          <w:rFonts w:ascii="Times New Roman" w:cs="Times New Roman" w:eastAsia="Times New Roman" w:hAnsi="Times New Roman"/>
          <w:sz w:val="14"/>
          <w:szCs w:val="14"/>
          <w:color w:val="auto"/>
        </w:rPr>
        <w:t>All schedules are omitted because they are not applicable or</w:t>
      </w:r>
    </w:p>
    <w:p>
      <w:pPr>
        <w:spacing w:after="0" w:line="203" w:lineRule="auto"/>
        <w:rPr>
          <w:sz w:val="20"/>
          <w:szCs w:val="20"/>
          <w:color w:val="auto"/>
        </w:rPr>
      </w:pPr>
      <w:r>
        <w:rPr>
          <w:rFonts w:ascii="Times New Roman" w:cs="Times New Roman" w:eastAsia="Times New Roman" w:hAnsi="Times New Roman"/>
          <w:sz w:val="16"/>
          <w:szCs w:val="16"/>
          <w:color w:val="auto"/>
        </w:rPr>
        <w:t>the required information is included in the consolidated</w:t>
      </w:r>
    </w:p>
    <w:p>
      <w:pPr>
        <w:spacing w:after="0" w:line="204" w:lineRule="auto"/>
        <w:rPr>
          <w:sz w:val="20"/>
          <w:szCs w:val="20"/>
          <w:color w:val="auto"/>
        </w:rPr>
      </w:pPr>
      <w:r>
        <w:rPr>
          <w:rFonts w:ascii="Times New Roman" w:cs="Times New Roman" w:eastAsia="Times New Roman" w:hAnsi="Times New Roman"/>
          <w:sz w:val="16"/>
          <w:szCs w:val="16"/>
          <w:color w:val="auto"/>
        </w:rPr>
        <w:t>financial statements or notes.</w:t>
      </w:r>
    </w:p>
    <w:p>
      <w:pPr>
        <w:spacing w:after="0" w:line="228" w:lineRule="auto"/>
        <w:rPr>
          <w:sz w:val="20"/>
          <w:szCs w:val="20"/>
          <w:color w:val="auto"/>
        </w:rPr>
      </w:pPr>
      <w:r>
        <w:rPr>
          <w:rFonts w:ascii="Times New Roman" w:cs="Times New Roman" w:eastAsia="Times New Roman" w:hAnsi="Times New Roman"/>
          <w:sz w:val="16"/>
          <w:szCs w:val="16"/>
          <w:color w:val="auto"/>
        </w:rPr>
        <w:t>(a)(3) Exhibits</w:t>
      </w:r>
    </w:p>
    <w:p>
      <w:pPr>
        <w:spacing w:after="0" w:line="205" w:lineRule="auto"/>
        <w:rPr>
          <w:sz w:val="20"/>
          <w:szCs w:val="20"/>
          <w:color w:val="auto"/>
        </w:rPr>
      </w:pPr>
      <w:r>
        <w:rPr>
          <w:rFonts w:ascii="Times New Roman" w:cs="Times New Roman" w:eastAsia="Times New Roman" w:hAnsi="Times New Roman"/>
          <w:sz w:val="11"/>
          <w:szCs w:val="11"/>
          <w:b w:val="1"/>
          <w:bCs w:val="1"/>
          <w:color w:val="auto"/>
        </w:rPr>
        <w:t>Exhibit</w:t>
      </w:r>
    </w:p>
    <w:p>
      <w:pPr>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19"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u w:val="single" w:color="auto"/>
            <w:color w:val="0000FF"/>
          </w:rPr>
          <w:t>2.1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Share Purchase Agreement,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2492375" cy="128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492375" cy="1288415"/>
                    </a:xfrm>
                    <a:prstGeom prst="rect">
                      <a:avLst/>
                    </a:prstGeom>
                    <a:noFill/>
                  </pic:spPr>
                </pic:pic>
              </a:graphicData>
            </a:graphic>
          </wp:anchor>
        </w:drawing>
      </w:r>
    </w:p>
    <w:p>
      <w:pPr>
        <w:ind w:left="680"/>
        <w:spacing w:after="0" w:line="219" w:lineRule="auto"/>
        <w:rPr>
          <w:sz w:val="20"/>
          <w:szCs w:val="20"/>
          <w:color w:val="auto"/>
        </w:rPr>
      </w:pPr>
      <w:r>
        <w:rPr>
          <w:rFonts w:ascii="Times New Roman" w:cs="Times New Roman" w:eastAsia="Times New Roman" w:hAnsi="Times New Roman"/>
          <w:sz w:val="16"/>
          <w:szCs w:val="16"/>
          <w:color w:val="auto"/>
        </w:rPr>
        <w:t>November 18, 2020, by and among Osprey</w:t>
      </w:r>
    </w:p>
    <w:p>
      <w:pPr>
        <w:ind w:left="680"/>
        <w:spacing w:after="0" w:line="203" w:lineRule="auto"/>
        <w:rPr>
          <w:sz w:val="20"/>
          <w:szCs w:val="20"/>
          <w:color w:val="auto"/>
        </w:rPr>
      </w:pPr>
      <w:r>
        <w:rPr>
          <w:rFonts w:ascii="Times New Roman" w:cs="Times New Roman" w:eastAsia="Times New Roman" w:hAnsi="Times New Roman"/>
          <w:sz w:val="16"/>
          <w:szCs w:val="16"/>
          <w:color w:val="auto"/>
        </w:rPr>
        <w:t>Acquisition Corporation, a wholly owned</w:t>
      </w:r>
    </w:p>
    <w:p>
      <w:pPr>
        <w:ind w:left="680"/>
        <w:spacing w:after="0" w:line="204" w:lineRule="auto"/>
        <w:rPr>
          <w:sz w:val="20"/>
          <w:szCs w:val="20"/>
          <w:color w:val="auto"/>
        </w:rPr>
      </w:pPr>
      <w:r>
        <w:rPr>
          <w:rFonts w:ascii="Times New Roman" w:cs="Times New Roman" w:eastAsia="Times New Roman" w:hAnsi="Times New Roman"/>
          <w:sz w:val="16"/>
          <w:szCs w:val="16"/>
          <w:color w:val="auto"/>
        </w:rPr>
        <w:t>subsidiary of Nasdaq, Verafin Holdings Inc.,</w:t>
      </w:r>
    </w:p>
    <w:p>
      <w:pPr>
        <w:ind w:left="680"/>
        <w:spacing w:after="0" w:line="203" w:lineRule="auto"/>
        <w:rPr>
          <w:sz w:val="20"/>
          <w:szCs w:val="20"/>
          <w:color w:val="auto"/>
        </w:rPr>
      </w:pPr>
      <w:r>
        <w:rPr>
          <w:rFonts w:ascii="Times New Roman" w:cs="Times New Roman" w:eastAsia="Times New Roman" w:hAnsi="Times New Roman"/>
          <w:sz w:val="16"/>
          <w:szCs w:val="16"/>
          <w:color w:val="auto"/>
        </w:rPr>
        <w:t>certain shareholders of Verafin (the “Sellers”),</w:t>
      </w:r>
    </w:p>
    <w:p>
      <w:pPr>
        <w:ind w:left="680"/>
        <w:spacing w:after="0" w:line="204" w:lineRule="auto"/>
        <w:rPr>
          <w:sz w:val="20"/>
          <w:szCs w:val="20"/>
          <w:color w:val="auto"/>
        </w:rPr>
      </w:pPr>
      <w:r>
        <w:rPr>
          <w:rFonts w:ascii="Times New Roman" w:cs="Times New Roman" w:eastAsia="Times New Roman" w:hAnsi="Times New Roman"/>
          <w:sz w:val="16"/>
          <w:szCs w:val="16"/>
          <w:color w:val="auto"/>
        </w:rPr>
        <w:t>and Shareholder Representative Services LLC,</w:t>
      </w:r>
    </w:p>
    <w:p>
      <w:pPr>
        <w:ind w:left="680"/>
        <w:spacing w:after="0" w:line="203" w:lineRule="auto"/>
        <w:rPr>
          <w:sz w:val="20"/>
          <w:szCs w:val="20"/>
          <w:color w:val="auto"/>
        </w:rPr>
      </w:pPr>
      <w:r>
        <w:rPr>
          <w:rFonts w:ascii="Times New Roman" w:cs="Times New Roman" w:eastAsia="Times New Roman" w:hAnsi="Times New Roman"/>
          <w:sz w:val="16"/>
          <w:szCs w:val="16"/>
          <w:color w:val="auto"/>
        </w:rPr>
        <w:t>solely in its capacity as the representative of the</w:t>
      </w:r>
    </w:p>
    <w:p>
      <w:pPr>
        <w:ind w:left="680"/>
        <w:spacing w:after="0" w:line="204" w:lineRule="auto"/>
        <w:rPr>
          <w:sz w:val="20"/>
          <w:szCs w:val="20"/>
          <w:color w:val="auto"/>
        </w:rPr>
      </w:pPr>
      <w:r>
        <w:rPr>
          <w:rFonts w:ascii="Times New Roman" w:cs="Times New Roman" w:eastAsia="Times New Roman" w:hAnsi="Times New Roman"/>
          <w:sz w:val="16"/>
          <w:szCs w:val="16"/>
          <w:color w:val="auto"/>
        </w:rPr>
        <w:t>Sellers (incorporated herein by reference to</w:t>
      </w:r>
    </w:p>
    <w:p>
      <w:pPr>
        <w:ind w:left="680"/>
        <w:spacing w:after="0" w:line="204" w:lineRule="auto"/>
        <w:rPr>
          <w:sz w:val="20"/>
          <w:szCs w:val="20"/>
          <w:color w:val="auto"/>
        </w:rPr>
      </w:pPr>
      <w:r>
        <w:rPr>
          <w:rFonts w:ascii="Times New Roman" w:cs="Times New Roman" w:eastAsia="Times New Roman" w:hAnsi="Times New Roman"/>
          <w:sz w:val="16"/>
          <w:szCs w:val="16"/>
          <w:color w:val="auto"/>
        </w:rPr>
        <w:t>Exhibit 2.2 to the Annual Report on Form 10-K</w:t>
      </w:r>
    </w:p>
    <w:p>
      <w:pPr>
        <w:ind w:left="680"/>
        <w:spacing w:after="0" w:line="203" w:lineRule="auto"/>
        <w:rPr>
          <w:sz w:val="20"/>
          <w:szCs w:val="20"/>
          <w:color w:val="auto"/>
        </w:rPr>
      </w:pPr>
      <w:r>
        <w:rPr>
          <w:rFonts w:ascii="Times New Roman" w:cs="Times New Roman" w:eastAsia="Times New Roman" w:hAnsi="Times New Roman"/>
          <w:sz w:val="16"/>
          <w:szCs w:val="16"/>
          <w:color w:val="auto"/>
        </w:rPr>
        <w:t>for the year ended December 31, 2020 filed on</w:t>
      </w:r>
    </w:p>
    <w:p>
      <w:pPr>
        <w:ind w:left="680"/>
        <w:spacing w:after="0"/>
        <w:rPr>
          <w:sz w:val="20"/>
          <w:szCs w:val="20"/>
          <w:color w:val="auto"/>
        </w:rPr>
      </w:pPr>
      <w:r>
        <w:rPr>
          <w:rFonts w:ascii="Times New Roman" w:cs="Times New Roman" w:eastAsia="Times New Roman" w:hAnsi="Times New Roman"/>
          <w:sz w:val="16"/>
          <w:szCs w:val="16"/>
          <w:color w:val="auto"/>
        </w:rPr>
        <w:t>February 23, 2021).†</w:t>
      </w:r>
    </w:p>
    <w:p>
      <w:pPr>
        <w:spacing w:after="0" w:line="304"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u w:val="single" w:color="auto"/>
            <w:color w:val="0000FF"/>
          </w:rPr>
          <w:t>2.2</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Amendment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128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492375" cy="1288415"/>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dated as of February 11, 2021, by and among</w:t>
      </w:r>
    </w:p>
    <w:p>
      <w:pPr>
        <w:ind w:left="680"/>
        <w:spacing w:after="0" w:line="204" w:lineRule="auto"/>
        <w:rPr>
          <w:sz w:val="20"/>
          <w:szCs w:val="20"/>
          <w:color w:val="auto"/>
        </w:rPr>
      </w:pPr>
      <w:r>
        <w:rPr>
          <w:rFonts w:ascii="Times New Roman" w:cs="Times New Roman" w:eastAsia="Times New Roman" w:hAnsi="Times New Roman"/>
          <w:sz w:val="16"/>
          <w:szCs w:val="16"/>
          <w:color w:val="auto"/>
        </w:rPr>
        <w:t>Osprey Acquisition Corporation, a wholly</w:t>
      </w:r>
    </w:p>
    <w:p>
      <w:pPr>
        <w:ind w:left="680"/>
        <w:spacing w:after="0" w:line="203" w:lineRule="auto"/>
        <w:rPr>
          <w:sz w:val="20"/>
          <w:szCs w:val="20"/>
          <w:color w:val="auto"/>
        </w:rPr>
      </w:pPr>
      <w:r>
        <w:rPr>
          <w:rFonts w:ascii="Times New Roman" w:cs="Times New Roman" w:eastAsia="Times New Roman" w:hAnsi="Times New Roman"/>
          <w:sz w:val="16"/>
          <w:szCs w:val="16"/>
          <w:color w:val="auto"/>
        </w:rPr>
        <w:t>owned subsidiary of Nasdaq, Verafin Holdings</w:t>
      </w:r>
    </w:p>
    <w:p>
      <w:pPr>
        <w:ind w:left="680"/>
        <w:spacing w:after="0" w:line="204" w:lineRule="auto"/>
        <w:rPr>
          <w:sz w:val="20"/>
          <w:szCs w:val="20"/>
          <w:color w:val="auto"/>
        </w:rPr>
      </w:pPr>
      <w:r>
        <w:rPr>
          <w:rFonts w:ascii="Times New Roman" w:cs="Times New Roman" w:eastAsia="Times New Roman" w:hAnsi="Times New Roman"/>
          <w:sz w:val="16"/>
          <w:szCs w:val="16"/>
          <w:color w:val="auto"/>
        </w:rPr>
        <w:t>Inc., certain shareholders of Verafin (the</w:t>
      </w:r>
    </w:p>
    <w:p>
      <w:pPr>
        <w:ind w:left="680"/>
        <w:spacing w:after="0" w:line="203" w:lineRule="auto"/>
        <w:rPr>
          <w:sz w:val="20"/>
          <w:szCs w:val="20"/>
          <w:color w:val="auto"/>
        </w:rPr>
      </w:pPr>
      <w:r>
        <w:rPr>
          <w:rFonts w:ascii="Times New Roman" w:cs="Times New Roman" w:eastAsia="Times New Roman" w:hAnsi="Times New Roman"/>
          <w:sz w:val="16"/>
          <w:szCs w:val="16"/>
          <w:color w:val="auto"/>
        </w:rPr>
        <w:t>“Sellers”), and Shareholder Representative</w:t>
      </w:r>
    </w:p>
    <w:p>
      <w:pPr>
        <w:ind w:left="680"/>
        <w:spacing w:after="0" w:line="204" w:lineRule="auto"/>
        <w:rPr>
          <w:sz w:val="20"/>
          <w:szCs w:val="20"/>
          <w:color w:val="auto"/>
        </w:rPr>
      </w:pPr>
      <w:r>
        <w:rPr>
          <w:rFonts w:ascii="Times New Roman" w:cs="Times New Roman" w:eastAsia="Times New Roman" w:hAnsi="Times New Roman"/>
          <w:sz w:val="16"/>
          <w:szCs w:val="16"/>
          <w:color w:val="auto"/>
        </w:rPr>
        <w:t>Services LLC, solely in its capacity as the</w:t>
      </w:r>
    </w:p>
    <w:p>
      <w:pPr>
        <w:ind w:left="680"/>
        <w:spacing w:after="0" w:line="203" w:lineRule="auto"/>
        <w:rPr>
          <w:sz w:val="20"/>
          <w:szCs w:val="20"/>
          <w:color w:val="auto"/>
        </w:rPr>
      </w:pPr>
      <w:r>
        <w:rPr>
          <w:rFonts w:ascii="Times New Roman" w:cs="Times New Roman" w:eastAsia="Times New Roman" w:hAnsi="Times New Roman"/>
          <w:sz w:val="16"/>
          <w:szCs w:val="16"/>
          <w:color w:val="auto"/>
        </w:rPr>
        <w:t>representative of the Sellers (incorporated herein</w:t>
      </w:r>
    </w:p>
    <w:p>
      <w:pPr>
        <w:ind w:left="680"/>
        <w:spacing w:after="0" w:line="204" w:lineRule="auto"/>
        <w:rPr>
          <w:sz w:val="20"/>
          <w:szCs w:val="20"/>
          <w:color w:val="auto"/>
        </w:rPr>
      </w:pPr>
      <w:r>
        <w:rPr>
          <w:rFonts w:ascii="Times New Roman" w:cs="Times New Roman" w:eastAsia="Times New Roman" w:hAnsi="Times New Roman"/>
          <w:sz w:val="16"/>
          <w:szCs w:val="16"/>
          <w:color w:val="auto"/>
        </w:rPr>
        <w:t>by reference to Exhibit 2.3 to the Annual Report</w:t>
      </w:r>
    </w:p>
    <w:p>
      <w:pPr>
        <w:ind w:left="680"/>
        <w:spacing w:after="0" w:line="203" w:lineRule="auto"/>
        <w:rPr>
          <w:sz w:val="20"/>
          <w:szCs w:val="20"/>
          <w:color w:val="auto"/>
        </w:rPr>
      </w:pPr>
      <w:r>
        <w:rPr>
          <w:rFonts w:ascii="Times New Roman" w:cs="Times New Roman" w:eastAsia="Times New Roman" w:hAnsi="Times New Roman"/>
          <w:sz w:val="16"/>
          <w:szCs w:val="16"/>
          <w:color w:val="auto"/>
        </w:rPr>
        <w:t>on Form 10-K for the year ended December 31,</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2020 filed on February 23, 2021).</w:t>
      </w:r>
    </w:p>
    <w:p>
      <w:pPr>
        <w:sectPr>
          <w:pgSz w:w="11900" w:h="16840" w:orient="portrait"/>
          <w:cols w:equalWidth="0" w:num="1">
            <w:col w:w="9400"/>
          </w:cols>
          <w:pgMar w:left="1060" w:top="547" w:right="1440" w:bottom="1440" w:gutter="0" w:footer="0" w:header="0"/>
        </w:sectPr>
      </w:pPr>
    </w:p>
    <w:bookmarkStart w:id="52" w:name="page53"/>
    <w:bookmarkEnd w:id="52"/>
    <w:p>
      <w:pPr>
        <w:spacing w:after="0"/>
        <w:tabs>
          <w:tab w:leader="none" w:pos="660" w:val="left"/>
        </w:tabs>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u w:val="single" w:color="auto"/>
            <w:color w:val="0000FF"/>
          </w:rPr>
          <w:t>2.3</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Agreement and Plan of Merger, dated as of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830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492375" cy="83058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10, 2023, by and among Nasdaq, Inc., Argus</w:t>
      </w:r>
    </w:p>
    <w:p>
      <w:pPr>
        <w:ind w:left="680"/>
        <w:spacing w:after="0" w:line="204" w:lineRule="auto"/>
        <w:rPr>
          <w:sz w:val="20"/>
          <w:szCs w:val="20"/>
          <w:color w:val="auto"/>
        </w:rPr>
      </w:pPr>
      <w:r>
        <w:rPr>
          <w:rFonts w:ascii="Times New Roman" w:cs="Times New Roman" w:eastAsia="Times New Roman" w:hAnsi="Times New Roman"/>
          <w:sz w:val="16"/>
          <w:szCs w:val="16"/>
          <w:color w:val="auto"/>
        </w:rPr>
        <w:t>Merger Sub 1, Inc., Argus Merger Sub 2, LLC,</w:t>
      </w:r>
    </w:p>
    <w:p>
      <w:pPr>
        <w:ind w:left="680"/>
        <w:spacing w:after="0" w:line="203" w:lineRule="auto"/>
        <w:rPr>
          <w:sz w:val="20"/>
          <w:szCs w:val="20"/>
          <w:color w:val="auto"/>
        </w:rPr>
      </w:pPr>
      <w:r>
        <w:rPr>
          <w:rFonts w:ascii="Times New Roman" w:cs="Times New Roman" w:eastAsia="Times New Roman" w:hAnsi="Times New Roman"/>
          <w:sz w:val="16"/>
          <w:szCs w:val="16"/>
          <w:color w:val="auto"/>
        </w:rPr>
        <w:t>Adenza Holdings, Inc. and Adenza Parent, LP.</w:t>
      </w:r>
    </w:p>
    <w:p>
      <w:pPr>
        <w:ind w:left="680"/>
        <w:spacing w:after="0" w:line="204" w:lineRule="auto"/>
        <w:rPr>
          <w:sz w:val="20"/>
          <w:szCs w:val="20"/>
          <w:color w:val="auto"/>
        </w:rPr>
      </w:pPr>
      <w:r>
        <w:rPr>
          <w:rFonts w:ascii="Times New Roman" w:cs="Times New Roman" w:eastAsia="Times New Roman" w:hAnsi="Times New Roman"/>
          <w:sz w:val="16"/>
          <w:szCs w:val="16"/>
          <w:color w:val="auto"/>
        </w:rPr>
        <w:t>(incorporated herein by reference to Exhibit 2.1</w:t>
      </w:r>
    </w:p>
    <w:p>
      <w:pPr>
        <w:ind w:left="680"/>
        <w:spacing w:after="0" w:line="232" w:lineRule="auto"/>
        <w:rPr>
          <w:sz w:val="20"/>
          <w:szCs w:val="20"/>
          <w:color w:val="auto"/>
        </w:rPr>
      </w:pPr>
      <w:r>
        <w:rPr>
          <w:rFonts w:ascii="Times New Roman" w:cs="Times New Roman" w:eastAsia="Times New Roman" w:hAnsi="Times New Roman"/>
          <w:sz w:val="14"/>
          <w:szCs w:val="14"/>
          <w:color w:val="auto"/>
        </w:rPr>
        <w:t>to the Current Report on Form 8-K filed on June</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12, 2023).†</w:t>
      </w:r>
    </w:p>
    <w:p>
      <w:pPr>
        <w:spacing w:after="0" w:line="208"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u w:val="single" w:color="auto"/>
            <w:color w:val="0000FF"/>
          </w:rPr>
          <w:t>3.1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Amended and Restated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480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492375" cy="480060"/>
                    </a:xfrm>
                    <a:prstGeom prst="rect">
                      <a:avLst/>
                    </a:prstGeom>
                    <a:noFill/>
                  </pic:spPr>
                </pic:pic>
              </a:graphicData>
            </a:graphic>
          </wp:anchor>
        </w:drawing>
      </w:r>
    </w:p>
    <w:p>
      <w:pPr>
        <w:ind w:left="680"/>
        <w:spacing w:after="0" w:line="232" w:lineRule="auto"/>
        <w:rPr>
          <w:sz w:val="20"/>
          <w:szCs w:val="20"/>
          <w:color w:val="auto"/>
        </w:rPr>
      </w:pPr>
      <w:r>
        <w:rPr>
          <w:rFonts w:ascii="Times New Roman" w:cs="Times New Roman" w:eastAsia="Times New Roman" w:hAnsi="Times New Roman"/>
          <w:sz w:val="14"/>
          <w:szCs w:val="14"/>
          <w:color w:val="auto"/>
        </w:rPr>
        <w:t>Incorporation of Nasdaq (incorporated herein by</w:t>
      </w:r>
    </w:p>
    <w:p>
      <w:pPr>
        <w:ind w:left="680"/>
        <w:spacing w:after="0" w:line="233" w:lineRule="auto"/>
        <w:rPr>
          <w:sz w:val="20"/>
          <w:szCs w:val="20"/>
          <w:color w:val="auto"/>
        </w:rPr>
      </w:pPr>
      <w:r>
        <w:rPr>
          <w:rFonts w:ascii="Times New Roman" w:cs="Times New Roman" w:eastAsia="Times New Roman" w:hAnsi="Times New Roman"/>
          <w:sz w:val="14"/>
          <w:szCs w:val="14"/>
          <w:color w:val="auto"/>
        </w:rPr>
        <w:t>reference to Exhibit 3.1 to the Current Report on</w:t>
      </w:r>
    </w:p>
    <w:p>
      <w:pPr>
        <w:ind w:left="680"/>
        <w:spacing w:after="0"/>
        <w:rPr>
          <w:sz w:val="20"/>
          <w:szCs w:val="20"/>
          <w:color w:val="auto"/>
        </w:rPr>
      </w:pPr>
      <w:r>
        <w:rPr>
          <w:rFonts w:ascii="Times New Roman" w:cs="Times New Roman" w:eastAsia="Times New Roman" w:hAnsi="Times New Roman"/>
          <w:sz w:val="16"/>
          <w:szCs w:val="16"/>
          <w:color w:val="auto"/>
        </w:rPr>
        <w:t>Form 8-K filed on January 28, 2014).</w:t>
      </w:r>
    </w:p>
    <w:p>
      <w:pPr>
        <w:spacing w:after="0" w:line="134"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3.1.1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Certificate of Elimination of Nasdaq’s Series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2492375" cy="53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492375" cy="533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2492375" cy="662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spacing w:after="0" w:line="232" w:lineRule="auto"/>
        <w:tabs>
          <w:tab w:leader="none" w:pos="660" w:val="left"/>
        </w:tabs>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u w:val="single" w:color="auto"/>
            <w:color w:val="0000FF"/>
          </w:rPr>
          <w:t>4.2.2</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Second Amendment to Nasdaq Stockholders’</w:t>
      </w:r>
    </w:p>
    <w:p>
      <w:pPr>
        <w:ind w:left="680"/>
        <w:spacing w:after="0" w:line="204" w:lineRule="auto"/>
        <w:rPr>
          <w:sz w:val="20"/>
          <w:szCs w:val="20"/>
          <w:color w:val="auto"/>
        </w:rPr>
      </w:pPr>
      <w:r>
        <w:rPr>
          <w:rFonts w:ascii="Times New Roman" w:cs="Times New Roman" w:eastAsia="Times New Roman" w:hAnsi="Times New Roman"/>
          <w:sz w:val="16"/>
          <w:szCs w:val="16"/>
          <w:color w:val="auto"/>
        </w:rPr>
        <w:t>Agreement, dated as of March 19, 2024, by and</w:t>
      </w:r>
    </w:p>
    <w:p>
      <w:pPr>
        <w:ind w:left="680"/>
        <w:spacing w:after="0" w:line="203" w:lineRule="auto"/>
        <w:rPr>
          <w:sz w:val="20"/>
          <w:szCs w:val="20"/>
          <w:color w:val="auto"/>
        </w:rPr>
      </w:pPr>
      <w:r>
        <w:rPr>
          <w:rFonts w:ascii="Times New Roman" w:cs="Times New Roman" w:eastAsia="Times New Roman" w:hAnsi="Times New Roman"/>
          <w:sz w:val="16"/>
          <w:szCs w:val="16"/>
          <w:color w:val="auto"/>
        </w:rPr>
        <w:t>between Nasdaq, Inc. and Borse Dubai Limited</w:t>
      </w:r>
    </w:p>
    <w:p>
      <w:pPr>
        <w:ind w:left="680"/>
        <w:spacing w:after="0" w:line="204" w:lineRule="auto"/>
        <w:rPr>
          <w:sz w:val="20"/>
          <w:szCs w:val="20"/>
          <w:color w:val="auto"/>
        </w:rPr>
      </w:pPr>
      <w:r>
        <w:rPr>
          <w:rFonts w:ascii="Times New Roman" w:cs="Times New Roman" w:eastAsia="Times New Roman" w:hAnsi="Times New Roman"/>
          <w:sz w:val="16"/>
          <w:szCs w:val="16"/>
          <w:color w:val="auto"/>
        </w:rPr>
        <w:t>(incorporated herein by reference to Exhibit 4.1</w:t>
      </w:r>
    </w:p>
    <w:p>
      <w:pPr>
        <w:ind w:left="680"/>
        <w:spacing w:after="0" w:line="203" w:lineRule="auto"/>
        <w:rPr>
          <w:sz w:val="20"/>
          <w:szCs w:val="20"/>
          <w:color w:val="auto"/>
        </w:rPr>
      </w:pPr>
      <w:r>
        <w:rPr>
          <w:rFonts w:ascii="Times New Roman" w:cs="Times New Roman" w:eastAsia="Times New Roman" w:hAnsi="Times New Roman"/>
          <w:sz w:val="16"/>
          <w:szCs w:val="16"/>
          <w:color w:val="auto"/>
        </w:rPr>
        <w:t>to the Current Report on Form 8-K filed on</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March 20, 2024).</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u w:val="single" w:color="auto"/>
            <w:color w:val="0000FF"/>
          </w:rPr>
          <w:t>4.3</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Registration Rights Agreement,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762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492375" cy="76200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February 27, 2008, among Nasdaq, Inc. (f/k/a</w:t>
      </w:r>
    </w:p>
    <w:p>
      <w:pPr>
        <w:ind w:left="680"/>
        <w:spacing w:after="0" w:line="233" w:lineRule="auto"/>
        <w:rPr>
          <w:sz w:val="20"/>
          <w:szCs w:val="20"/>
          <w:color w:val="auto"/>
        </w:rPr>
      </w:pPr>
      <w:r>
        <w:rPr>
          <w:rFonts w:ascii="Times New Roman" w:cs="Times New Roman" w:eastAsia="Times New Roman" w:hAnsi="Times New Roman"/>
          <w:sz w:val="14"/>
          <w:szCs w:val="14"/>
          <w:color w:val="auto"/>
        </w:rPr>
        <w:t>The NASDAQ OMX Group, Inc.), Borse Dubai</w:t>
      </w:r>
    </w:p>
    <w:p>
      <w:pPr>
        <w:ind w:left="680"/>
        <w:spacing w:after="0" w:line="203" w:lineRule="auto"/>
        <w:rPr>
          <w:sz w:val="20"/>
          <w:szCs w:val="20"/>
          <w:color w:val="auto"/>
        </w:rPr>
      </w:pPr>
      <w:r>
        <w:rPr>
          <w:rFonts w:ascii="Times New Roman" w:cs="Times New Roman" w:eastAsia="Times New Roman" w:hAnsi="Times New Roman"/>
          <w:sz w:val="16"/>
          <w:szCs w:val="16"/>
          <w:color w:val="auto"/>
        </w:rPr>
        <w:t>Limited and Borse Dubai Nasdaq Share Trust</w:t>
      </w:r>
    </w:p>
    <w:p>
      <w:pPr>
        <w:ind w:left="680"/>
        <w:spacing w:after="0" w:line="233" w:lineRule="auto"/>
        <w:rPr>
          <w:sz w:val="20"/>
          <w:szCs w:val="20"/>
          <w:color w:val="auto"/>
        </w:rPr>
      </w:pPr>
      <w:r>
        <w:rPr>
          <w:rFonts w:ascii="Times New Roman" w:cs="Times New Roman" w:eastAsia="Times New Roman" w:hAnsi="Times New Roman"/>
          <w:sz w:val="14"/>
          <w:szCs w:val="14"/>
          <w:color w:val="auto"/>
        </w:rPr>
        <w:t>(incorporated herein by reference to Exhibit 10.3</w:t>
      </w:r>
    </w:p>
    <w:p>
      <w:pPr>
        <w:ind w:left="680"/>
        <w:spacing w:after="0" w:line="204" w:lineRule="auto"/>
        <w:rPr>
          <w:sz w:val="20"/>
          <w:szCs w:val="20"/>
          <w:color w:val="auto"/>
        </w:rPr>
      </w:pPr>
      <w:r>
        <w:rPr>
          <w:rFonts w:ascii="Times New Roman" w:cs="Times New Roman" w:eastAsia="Times New Roman" w:hAnsi="Times New Roman"/>
          <w:sz w:val="16"/>
          <w:szCs w:val="16"/>
          <w:color w:val="auto"/>
        </w:rPr>
        <w:t>to the Current Report on Form 8-K filed on</w:t>
      </w:r>
    </w:p>
    <w:p>
      <w:pPr>
        <w:ind w:left="680"/>
        <w:spacing w:after="0"/>
        <w:rPr>
          <w:sz w:val="20"/>
          <w:szCs w:val="20"/>
          <w:color w:val="auto"/>
        </w:rPr>
      </w:pPr>
      <w:r>
        <w:rPr>
          <w:rFonts w:ascii="Times New Roman" w:cs="Times New Roman" w:eastAsia="Times New Roman" w:hAnsi="Times New Roman"/>
          <w:sz w:val="16"/>
          <w:szCs w:val="16"/>
          <w:color w:val="auto"/>
        </w:rPr>
        <w:t>March 3, 2008).</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u w:val="single" w:color="auto"/>
            <w:color w:val="0000FF"/>
          </w:rPr>
          <w:t>4.3.1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First Amendment to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861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492375" cy="86106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Agreement, dated as of February 19, 2009,</w:t>
      </w:r>
    </w:p>
    <w:p>
      <w:pPr>
        <w:ind w:left="680"/>
        <w:spacing w:after="0" w:line="233" w:lineRule="auto"/>
        <w:rPr>
          <w:sz w:val="20"/>
          <w:szCs w:val="20"/>
          <w:color w:val="auto"/>
        </w:rPr>
      </w:pPr>
      <w:r>
        <w:rPr>
          <w:rFonts w:ascii="Times New Roman" w:cs="Times New Roman" w:eastAsia="Times New Roman" w:hAnsi="Times New Roman"/>
          <w:sz w:val="14"/>
          <w:szCs w:val="14"/>
          <w:color w:val="auto"/>
        </w:rPr>
        <w:t>among Nasdaq, Inc. (f/k/a The NASDAQ OMX</w:t>
      </w:r>
    </w:p>
    <w:p>
      <w:pPr>
        <w:ind w:left="680"/>
        <w:spacing w:after="0" w:line="203" w:lineRule="auto"/>
        <w:rPr>
          <w:sz w:val="20"/>
          <w:szCs w:val="20"/>
          <w:color w:val="auto"/>
        </w:rPr>
      </w:pPr>
      <w:r>
        <w:rPr>
          <w:rFonts w:ascii="Times New Roman" w:cs="Times New Roman" w:eastAsia="Times New Roman" w:hAnsi="Times New Roman"/>
          <w:sz w:val="16"/>
          <w:szCs w:val="16"/>
          <w:color w:val="auto"/>
        </w:rPr>
        <w:t>Group, Inc.), Borse Dubai Limited and Borse</w:t>
      </w:r>
    </w:p>
    <w:p>
      <w:pPr>
        <w:ind w:left="680"/>
        <w:spacing w:after="0" w:line="204" w:lineRule="auto"/>
        <w:rPr>
          <w:sz w:val="20"/>
          <w:szCs w:val="20"/>
          <w:color w:val="auto"/>
        </w:rPr>
      </w:pPr>
      <w:r>
        <w:rPr>
          <w:rFonts w:ascii="Times New Roman" w:cs="Times New Roman" w:eastAsia="Times New Roman" w:hAnsi="Times New Roman"/>
          <w:sz w:val="16"/>
          <w:szCs w:val="16"/>
          <w:color w:val="auto"/>
        </w:rPr>
        <w:t>Dubai Nasdaq Share Trust (incorporated herein</w:t>
      </w:r>
    </w:p>
    <w:p>
      <w:pPr>
        <w:ind w:left="680"/>
        <w:spacing w:after="0" w:line="203" w:lineRule="auto"/>
        <w:rPr>
          <w:sz w:val="20"/>
          <w:szCs w:val="20"/>
          <w:color w:val="auto"/>
        </w:rPr>
      </w:pPr>
      <w:r>
        <w:rPr>
          <w:rFonts w:ascii="Times New Roman" w:cs="Times New Roman" w:eastAsia="Times New Roman" w:hAnsi="Times New Roman"/>
          <w:sz w:val="16"/>
          <w:szCs w:val="16"/>
          <w:color w:val="auto"/>
        </w:rPr>
        <w:t>by reference to Exhibit 4.11.1 to the Annual</w:t>
      </w:r>
    </w:p>
    <w:p>
      <w:pPr>
        <w:ind w:left="680"/>
        <w:spacing w:after="0" w:line="204" w:lineRule="auto"/>
        <w:rPr>
          <w:sz w:val="20"/>
          <w:szCs w:val="20"/>
          <w:color w:val="auto"/>
        </w:rPr>
      </w:pPr>
      <w:r>
        <w:rPr>
          <w:rFonts w:ascii="Times New Roman" w:cs="Times New Roman" w:eastAsia="Times New Roman" w:hAnsi="Times New Roman"/>
          <w:sz w:val="16"/>
          <w:szCs w:val="16"/>
          <w:color w:val="auto"/>
        </w:rPr>
        <w:t>Report on Form 10-K for the year ended</w:t>
      </w:r>
    </w:p>
    <w:p>
      <w:pPr>
        <w:ind w:left="680"/>
        <w:spacing w:after="0"/>
        <w:rPr>
          <w:sz w:val="20"/>
          <w:szCs w:val="20"/>
          <w:color w:val="auto"/>
        </w:rPr>
      </w:pPr>
      <w:r>
        <w:rPr>
          <w:rFonts w:ascii="Times New Roman" w:cs="Times New Roman" w:eastAsia="Times New Roman" w:hAnsi="Times New Roman"/>
          <w:sz w:val="14"/>
          <w:szCs w:val="14"/>
          <w:color w:val="auto"/>
        </w:rPr>
        <w:t>December 31, 2008 filed on February 27, 2009).</w:t>
      </w:r>
    </w:p>
    <w:p>
      <w:pPr>
        <w:spacing w:after="0" w:line="123"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u w:val="single" w:color="auto"/>
            <w:color w:val="0000FF"/>
          </w:rPr>
          <w:t>4.4</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Stockholders’ Agreement,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762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492375" cy="762000"/>
                    </a:xfrm>
                    <a:prstGeom prst="rect">
                      <a:avLst/>
                    </a:prstGeom>
                    <a:noFill/>
                  </pic:spPr>
                </pic:pic>
              </a:graphicData>
            </a:graphic>
          </wp:anchor>
        </w:drawing>
      </w:r>
    </w:p>
    <w:p>
      <w:pPr>
        <w:ind w:left="680"/>
        <w:spacing w:after="0" w:line="232" w:lineRule="auto"/>
        <w:rPr>
          <w:sz w:val="20"/>
          <w:szCs w:val="20"/>
          <w:color w:val="auto"/>
        </w:rPr>
      </w:pPr>
      <w:r>
        <w:rPr>
          <w:rFonts w:ascii="Times New Roman" w:cs="Times New Roman" w:eastAsia="Times New Roman" w:hAnsi="Times New Roman"/>
          <w:sz w:val="14"/>
          <w:szCs w:val="14"/>
          <w:color w:val="auto"/>
        </w:rPr>
        <w:t>December 16, 2010, between Nasdaq, Inc. (f/k/a</w:t>
      </w:r>
    </w:p>
    <w:p>
      <w:pPr>
        <w:ind w:left="680"/>
        <w:spacing w:after="0" w:line="204" w:lineRule="auto"/>
        <w:rPr>
          <w:sz w:val="20"/>
          <w:szCs w:val="20"/>
          <w:color w:val="auto"/>
        </w:rPr>
      </w:pPr>
      <w:r>
        <w:rPr>
          <w:rFonts w:ascii="Times New Roman" w:cs="Times New Roman" w:eastAsia="Times New Roman" w:hAnsi="Times New Roman"/>
          <w:sz w:val="16"/>
          <w:szCs w:val="16"/>
          <w:color w:val="auto"/>
        </w:rPr>
        <w:t>The NASDAQ OMX Group, Inc.) and Investor</w:t>
      </w:r>
    </w:p>
    <w:p>
      <w:pPr>
        <w:ind w:left="680"/>
        <w:spacing w:after="0" w:line="232" w:lineRule="auto"/>
        <w:rPr>
          <w:sz w:val="20"/>
          <w:szCs w:val="20"/>
          <w:color w:val="auto"/>
        </w:rPr>
      </w:pPr>
      <w:r>
        <w:rPr>
          <w:rFonts w:ascii="Times New Roman" w:cs="Times New Roman" w:eastAsia="Times New Roman" w:hAnsi="Times New Roman"/>
          <w:sz w:val="14"/>
          <w:szCs w:val="14"/>
          <w:color w:val="auto"/>
        </w:rPr>
        <w:t>AB (incorporated herein by reference to Exhibit</w:t>
      </w:r>
    </w:p>
    <w:p>
      <w:pPr>
        <w:ind w:left="680"/>
        <w:spacing w:after="0" w:line="233" w:lineRule="auto"/>
        <w:rPr>
          <w:sz w:val="20"/>
          <w:szCs w:val="20"/>
          <w:color w:val="auto"/>
        </w:rPr>
      </w:pPr>
      <w:r>
        <w:rPr>
          <w:rFonts w:ascii="Times New Roman" w:cs="Times New Roman" w:eastAsia="Times New Roman" w:hAnsi="Times New Roman"/>
          <w:sz w:val="14"/>
          <w:szCs w:val="14"/>
          <w:color w:val="auto"/>
        </w:rPr>
        <w:t>4.12 to the Annual Report on Form 10-K for the</w:t>
      </w:r>
    </w:p>
    <w:p>
      <w:pPr>
        <w:ind w:left="680"/>
        <w:spacing w:after="0" w:line="203" w:lineRule="auto"/>
        <w:rPr>
          <w:sz w:val="20"/>
          <w:szCs w:val="20"/>
          <w:color w:val="auto"/>
        </w:rPr>
      </w:pPr>
      <w:r>
        <w:rPr>
          <w:rFonts w:ascii="Times New Roman" w:cs="Times New Roman" w:eastAsia="Times New Roman" w:hAnsi="Times New Roman"/>
          <w:sz w:val="16"/>
          <w:szCs w:val="16"/>
          <w:color w:val="auto"/>
        </w:rPr>
        <w:t>year ended December 31, 2010 filed on</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February 24, 2011).</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u w:val="single" w:color="auto"/>
            <w:color w:val="0000FF"/>
          </w:rPr>
          <w:t>4.4.1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First Amendment to Nasdaq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662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Agreement, dated as of December 14, 2022,</w:t>
      </w:r>
    </w:p>
    <w:p>
      <w:pPr>
        <w:ind w:left="680"/>
        <w:spacing w:after="0" w:line="204" w:lineRule="auto"/>
        <w:rPr>
          <w:sz w:val="20"/>
          <w:szCs w:val="20"/>
          <w:color w:val="auto"/>
        </w:rPr>
      </w:pPr>
      <w:r>
        <w:rPr>
          <w:rFonts w:ascii="Times New Roman" w:cs="Times New Roman" w:eastAsia="Times New Roman" w:hAnsi="Times New Roman"/>
          <w:sz w:val="16"/>
          <w:szCs w:val="16"/>
          <w:color w:val="auto"/>
        </w:rPr>
        <w:t>between Nasdaq, Inc. and Investor AB</w:t>
      </w:r>
    </w:p>
    <w:p>
      <w:pPr>
        <w:ind w:left="680"/>
        <w:spacing w:after="0" w:line="203" w:lineRule="auto"/>
        <w:rPr>
          <w:sz w:val="20"/>
          <w:szCs w:val="20"/>
          <w:color w:val="auto"/>
        </w:rPr>
      </w:pPr>
      <w:r>
        <w:rPr>
          <w:rFonts w:ascii="Times New Roman" w:cs="Times New Roman" w:eastAsia="Times New Roman" w:hAnsi="Times New Roman"/>
          <w:sz w:val="16"/>
          <w:szCs w:val="16"/>
          <w:color w:val="auto"/>
        </w:rPr>
        <w:t>(incorporated herein by reference to Exhibit 4.1</w:t>
      </w:r>
    </w:p>
    <w:p>
      <w:pPr>
        <w:ind w:left="680"/>
        <w:spacing w:after="0" w:line="204" w:lineRule="auto"/>
        <w:rPr>
          <w:sz w:val="20"/>
          <w:szCs w:val="20"/>
          <w:color w:val="auto"/>
        </w:rPr>
      </w:pPr>
      <w:r>
        <w:rPr>
          <w:rFonts w:ascii="Times New Roman" w:cs="Times New Roman" w:eastAsia="Times New Roman" w:hAnsi="Times New Roman"/>
          <w:sz w:val="16"/>
          <w:szCs w:val="16"/>
          <w:color w:val="auto"/>
        </w:rPr>
        <w:t>to the Current Report on Form 8-K filed on</w:t>
      </w:r>
    </w:p>
    <w:p>
      <w:pPr>
        <w:ind w:left="680"/>
        <w:spacing w:after="0"/>
        <w:rPr>
          <w:sz w:val="20"/>
          <w:szCs w:val="20"/>
          <w:color w:val="auto"/>
        </w:rPr>
      </w:pPr>
      <w:r>
        <w:rPr>
          <w:rFonts w:ascii="Times New Roman" w:cs="Times New Roman" w:eastAsia="Times New Roman" w:hAnsi="Times New Roman"/>
          <w:sz w:val="16"/>
          <w:szCs w:val="16"/>
          <w:color w:val="auto"/>
        </w:rPr>
        <w:t>December 16, 2022).</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u w:val="single" w:color="auto"/>
            <w:color w:val="0000FF"/>
          </w:rPr>
          <w:t>4.5</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Stockholders’ Agreement, dated as of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662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1, 2023, by and among Nasdaq, Inc., Adenza</w:t>
      </w:r>
    </w:p>
    <w:p>
      <w:pPr>
        <w:ind w:left="680"/>
        <w:spacing w:after="0" w:line="233" w:lineRule="auto"/>
        <w:rPr>
          <w:sz w:val="20"/>
          <w:szCs w:val="20"/>
          <w:color w:val="auto"/>
        </w:rPr>
      </w:pPr>
      <w:r>
        <w:rPr>
          <w:rFonts w:ascii="Times New Roman" w:cs="Times New Roman" w:eastAsia="Times New Roman" w:hAnsi="Times New Roman"/>
          <w:sz w:val="14"/>
          <w:szCs w:val="14"/>
          <w:color w:val="auto"/>
        </w:rPr>
        <w:t>Parent, LP and Thoma Bravo, L.P. (incorporated</w:t>
      </w:r>
    </w:p>
    <w:p>
      <w:pPr>
        <w:ind w:left="680"/>
        <w:spacing w:after="0" w:line="232" w:lineRule="auto"/>
        <w:rPr>
          <w:sz w:val="20"/>
          <w:szCs w:val="20"/>
          <w:color w:val="auto"/>
        </w:rPr>
      </w:pPr>
      <w:r>
        <w:rPr>
          <w:rFonts w:ascii="Times New Roman" w:cs="Times New Roman" w:eastAsia="Times New Roman" w:hAnsi="Times New Roman"/>
          <w:sz w:val="14"/>
          <w:szCs w:val="14"/>
          <w:color w:val="auto"/>
        </w:rPr>
        <w:t>herein by reference to Exhibit 4.1 to the Current</w:t>
      </w:r>
    </w:p>
    <w:p>
      <w:pPr>
        <w:ind w:left="680"/>
        <w:spacing w:after="0" w:line="204" w:lineRule="auto"/>
        <w:rPr>
          <w:sz w:val="20"/>
          <w:szCs w:val="20"/>
          <w:color w:val="auto"/>
        </w:rPr>
      </w:pPr>
      <w:r>
        <w:rPr>
          <w:rFonts w:ascii="Times New Roman" w:cs="Times New Roman" w:eastAsia="Times New Roman" w:hAnsi="Times New Roman"/>
          <w:sz w:val="16"/>
          <w:szCs w:val="16"/>
          <w:color w:val="auto"/>
        </w:rPr>
        <w:t>Report on Form 8-K filed on November 3,</w:t>
      </w:r>
    </w:p>
    <w:p>
      <w:pPr>
        <w:ind w:left="680"/>
        <w:spacing w:after="0"/>
        <w:rPr>
          <w:sz w:val="20"/>
          <w:szCs w:val="20"/>
          <w:color w:val="auto"/>
        </w:rPr>
      </w:pPr>
      <w:r>
        <w:rPr>
          <w:rFonts w:ascii="Times New Roman" w:cs="Times New Roman" w:eastAsia="Times New Roman" w:hAnsi="Times New Roman"/>
          <w:sz w:val="16"/>
          <w:szCs w:val="16"/>
          <w:color w:val="auto"/>
        </w:rPr>
        <w:t>2023).</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u w:val="single" w:color="auto"/>
            <w:color w:val="0000FF"/>
          </w:rPr>
          <w:t>4.6</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Registration Rights Agreement,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556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2492375" cy="55626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November 1, 2023, by and among Nasdaq, Inc.</w:t>
      </w:r>
    </w:p>
    <w:p>
      <w:pPr>
        <w:ind w:left="680"/>
        <w:spacing w:after="0" w:line="204" w:lineRule="auto"/>
        <w:rPr>
          <w:sz w:val="20"/>
          <w:szCs w:val="20"/>
          <w:color w:val="auto"/>
        </w:rPr>
      </w:pPr>
      <w:r>
        <w:rPr>
          <w:rFonts w:ascii="Times New Roman" w:cs="Times New Roman" w:eastAsia="Times New Roman" w:hAnsi="Times New Roman"/>
          <w:sz w:val="16"/>
          <w:szCs w:val="16"/>
          <w:color w:val="auto"/>
        </w:rPr>
        <w:t>and Adenza Parent, LP. (incorporated herein by</w:t>
      </w:r>
    </w:p>
    <w:p>
      <w:pPr>
        <w:ind w:left="680"/>
        <w:spacing w:after="0" w:line="232" w:lineRule="auto"/>
        <w:rPr>
          <w:sz w:val="20"/>
          <w:szCs w:val="20"/>
          <w:color w:val="auto"/>
        </w:rPr>
      </w:pPr>
      <w:r>
        <w:rPr>
          <w:rFonts w:ascii="Times New Roman" w:cs="Times New Roman" w:eastAsia="Times New Roman" w:hAnsi="Times New Roman"/>
          <w:sz w:val="14"/>
          <w:szCs w:val="14"/>
          <w:color w:val="auto"/>
        </w:rPr>
        <w:t>reference to Exhibit 4.2 to the Current Report on</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Form 8-K filed on November 3, 2023).</w:t>
      </w:r>
    </w:p>
    <w:p>
      <w:pPr>
        <w:spacing w:after="0" w:line="88"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u w:val="single" w:color="auto"/>
            <w:color w:val="0000FF"/>
          </w:rPr>
          <w:t>4.7</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Indenture, dated as of June 7, 2013,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662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80"/>
        <w:spacing w:after="0" w:line="232" w:lineRule="auto"/>
        <w:rPr>
          <w:sz w:val="20"/>
          <w:szCs w:val="20"/>
          <w:color w:val="auto"/>
        </w:rPr>
      </w:pPr>
      <w:r>
        <w:rPr>
          <w:rFonts w:ascii="Times New Roman" w:cs="Times New Roman" w:eastAsia="Times New Roman" w:hAnsi="Times New Roman"/>
          <w:sz w:val="14"/>
          <w:szCs w:val="14"/>
          <w:color w:val="auto"/>
        </w:rPr>
        <w:t>Nasdaq, Inc. (f/k/a The NASDAQ OMX Group,</w:t>
      </w:r>
    </w:p>
    <w:p>
      <w:pPr>
        <w:ind w:left="680"/>
        <w:spacing w:after="0" w:line="204" w:lineRule="auto"/>
        <w:rPr>
          <w:sz w:val="20"/>
          <w:szCs w:val="20"/>
          <w:color w:val="auto"/>
        </w:rPr>
      </w:pPr>
      <w:r>
        <w:rPr>
          <w:rFonts w:ascii="Times New Roman" w:cs="Times New Roman" w:eastAsia="Times New Roman" w:hAnsi="Times New Roman"/>
          <w:sz w:val="16"/>
          <w:szCs w:val="16"/>
          <w:color w:val="auto"/>
        </w:rPr>
        <w:t>Inc.) and Wells Fargo Bank, National</w:t>
      </w:r>
    </w:p>
    <w:p>
      <w:pPr>
        <w:ind w:left="680"/>
        <w:spacing w:after="0" w:line="203" w:lineRule="auto"/>
        <w:rPr>
          <w:sz w:val="20"/>
          <w:szCs w:val="20"/>
          <w:color w:val="auto"/>
        </w:rPr>
      </w:pPr>
      <w:r>
        <w:rPr>
          <w:rFonts w:ascii="Times New Roman" w:cs="Times New Roman" w:eastAsia="Times New Roman" w:hAnsi="Times New Roman"/>
          <w:sz w:val="16"/>
          <w:szCs w:val="16"/>
          <w:color w:val="auto"/>
        </w:rPr>
        <w:t>Association, as Trustee (incorporated herein by</w:t>
      </w:r>
    </w:p>
    <w:p>
      <w:pPr>
        <w:ind w:left="680"/>
        <w:spacing w:after="0" w:line="233" w:lineRule="auto"/>
        <w:rPr>
          <w:sz w:val="20"/>
          <w:szCs w:val="20"/>
          <w:color w:val="auto"/>
        </w:rPr>
      </w:pPr>
      <w:r>
        <w:rPr>
          <w:rFonts w:ascii="Times New Roman" w:cs="Times New Roman" w:eastAsia="Times New Roman" w:hAnsi="Times New Roman"/>
          <w:sz w:val="14"/>
          <w:szCs w:val="14"/>
          <w:color w:val="auto"/>
        </w:rPr>
        <w:t>reference to Exhibit 4.1 to the Current Report on</w:t>
      </w:r>
    </w:p>
    <w:p>
      <w:pPr>
        <w:ind w:left="680"/>
        <w:spacing w:after="0"/>
        <w:rPr>
          <w:sz w:val="20"/>
          <w:szCs w:val="20"/>
          <w:color w:val="auto"/>
        </w:rPr>
      </w:pPr>
      <w:r>
        <w:rPr>
          <w:rFonts w:ascii="Times New Roman" w:cs="Times New Roman" w:eastAsia="Times New Roman" w:hAnsi="Times New Roman"/>
          <w:sz w:val="16"/>
          <w:szCs w:val="16"/>
          <w:color w:val="auto"/>
        </w:rPr>
        <w:t>Form 8-K filed on June 10, 2013).</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u w:val="single" w:color="auto"/>
            <w:color w:val="0000FF"/>
          </w:rPr>
          <w:t>4.7.1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Fourth Supplemental Indenture, dated as of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662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7, 2016, among Nasdaq, Inc. and Wells Fargo</w:t>
      </w:r>
    </w:p>
    <w:p>
      <w:pPr>
        <w:ind w:left="680"/>
        <w:spacing w:after="0" w:line="204" w:lineRule="auto"/>
        <w:rPr>
          <w:sz w:val="20"/>
          <w:szCs w:val="20"/>
          <w:color w:val="auto"/>
        </w:rPr>
      </w:pPr>
      <w:r>
        <w:rPr>
          <w:rFonts w:ascii="Times New Roman" w:cs="Times New Roman" w:eastAsia="Times New Roman" w:hAnsi="Times New Roman"/>
          <w:sz w:val="16"/>
          <w:szCs w:val="16"/>
          <w:color w:val="auto"/>
        </w:rPr>
        <w:t>Bank, National Association, as Trustee</w:t>
      </w:r>
    </w:p>
    <w:p>
      <w:pPr>
        <w:ind w:left="680"/>
        <w:spacing w:after="0" w:line="203" w:lineRule="auto"/>
        <w:rPr>
          <w:sz w:val="20"/>
          <w:szCs w:val="20"/>
          <w:color w:val="auto"/>
        </w:rPr>
      </w:pPr>
      <w:r>
        <w:rPr>
          <w:rFonts w:ascii="Times New Roman" w:cs="Times New Roman" w:eastAsia="Times New Roman" w:hAnsi="Times New Roman"/>
          <w:sz w:val="16"/>
          <w:szCs w:val="16"/>
          <w:color w:val="auto"/>
        </w:rPr>
        <w:t>(incorporated herein by reference to Exhibit 4.1</w:t>
      </w:r>
    </w:p>
    <w:p>
      <w:pPr>
        <w:ind w:left="680"/>
        <w:spacing w:after="0" w:line="233" w:lineRule="auto"/>
        <w:rPr>
          <w:sz w:val="20"/>
          <w:szCs w:val="20"/>
          <w:color w:val="auto"/>
        </w:rPr>
      </w:pPr>
      <w:r>
        <w:rPr>
          <w:rFonts w:ascii="Times New Roman" w:cs="Times New Roman" w:eastAsia="Times New Roman" w:hAnsi="Times New Roman"/>
          <w:sz w:val="14"/>
          <w:szCs w:val="14"/>
          <w:color w:val="auto"/>
        </w:rPr>
        <w:t>to the Current Report on Form 8-K filed on June</w:t>
      </w:r>
    </w:p>
    <w:p>
      <w:pPr>
        <w:ind w:left="680"/>
        <w:spacing w:after="0"/>
        <w:rPr>
          <w:sz w:val="20"/>
          <w:szCs w:val="20"/>
          <w:color w:val="auto"/>
        </w:rPr>
      </w:pPr>
      <w:r>
        <w:rPr>
          <w:rFonts w:ascii="Times New Roman" w:cs="Times New Roman" w:eastAsia="Times New Roman" w:hAnsi="Times New Roman"/>
          <w:sz w:val="16"/>
          <w:szCs w:val="16"/>
          <w:color w:val="auto"/>
        </w:rPr>
        <w:t>7, 2016).</w:t>
      </w:r>
    </w:p>
    <w:p>
      <w:pPr>
        <w:sectPr>
          <w:pgSz w:w="11900" w:h="16840" w:orient="portrait"/>
          <w:cols w:equalWidth="0" w:num="1">
            <w:col w:w="9400"/>
          </w:cols>
          <w:pgMar w:left="1060" w:top="547" w:right="1440" w:bottom="4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w:t>
      </w:r>
    </w:p>
    <w:p>
      <w:pPr>
        <w:sectPr>
          <w:pgSz w:w="11900" w:h="16840" w:orient="portrait"/>
          <w:cols w:equalWidth="0" w:num="1">
            <w:col w:w="9400"/>
          </w:cols>
          <w:pgMar w:left="1060" w:top="547" w:right="1440" w:bottom="408" w:gutter="0" w:footer="0" w:header="0"/>
          <w:type w:val="continuous"/>
        </w:sectPr>
      </w:pPr>
    </w:p>
    <w:bookmarkStart w:id="53" w:name="page54"/>
    <w:bookmarkEnd w:id="53"/>
    <w:p>
      <w:pPr>
        <w:spacing w:after="0"/>
        <w:tabs>
          <w:tab w:leader="none" w:pos="660" w:val="left"/>
        </w:tabs>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u w:val="single" w:color="auto"/>
            <w:color w:val="0000FF"/>
          </w:rPr>
          <w:t>4.17</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Sixteenth Supplemental Indenture,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762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2492375" cy="762000"/>
                    </a:xfrm>
                    <a:prstGeom prst="rect">
                      <a:avLst/>
                    </a:prstGeom>
                    <a:noFill/>
                  </pic:spPr>
                </pic:pic>
              </a:graphicData>
            </a:graphic>
          </wp:anchor>
        </w:drawing>
      </w:r>
    </w:p>
    <w:p>
      <w:pPr>
        <w:ind w:left="680"/>
        <w:spacing w:after="0" w:line="232" w:lineRule="auto"/>
        <w:rPr>
          <w:sz w:val="20"/>
          <w:szCs w:val="20"/>
          <w:color w:val="auto"/>
        </w:rPr>
      </w:pPr>
      <w:r>
        <w:rPr>
          <w:rFonts w:ascii="Times New Roman" w:cs="Times New Roman" w:eastAsia="Times New Roman" w:hAnsi="Times New Roman"/>
          <w:sz w:val="14"/>
          <w:szCs w:val="14"/>
          <w:color w:val="auto"/>
        </w:rPr>
        <w:t>June 28, 2023, by and between Nasdaq, Inc. and</w:t>
      </w:r>
    </w:p>
    <w:p>
      <w:pPr>
        <w:ind w:left="680"/>
        <w:spacing w:after="0" w:line="204" w:lineRule="auto"/>
        <w:rPr>
          <w:sz w:val="20"/>
          <w:szCs w:val="20"/>
          <w:color w:val="auto"/>
        </w:rPr>
      </w:pPr>
      <w:r>
        <w:rPr>
          <w:rFonts w:ascii="Times New Roman" w:cs="Times New Roman" w:eastAsia="Times New Roman" w:hAnsi="Times New Roman"/>
          <w:sz w:val="16"/>
          <w:szCs w:val="16"/>
          <w:color w:val="auto"/>
        </w:rPr>
        <w:t>Computershare Trust Company, N.A. (as</w:t>
      </w:r>
    </w:p>
    <w:p>
      <w:pPr>
        <w:ind w:left="680"/>
        <w:spacing w:after="0" w:line="203" w:lineRule="auto"/>
        <w:rPr>
          <w:sz w:val="20"/>
          <w:szCs w:val="20"/>
          <w:color w:val="auto"/>
        </w:rPr>
      </w:pPr>
      <w:r>
        <w:rPr>
          <w:rFonts w:ascii="Times New Roman" w:cs="Times New Roman" w:eastAsia="Times New Roman" w:hAnsi="Times New Roman"/>
          <w:sz w:val="16"/>
          <w:szCs w:val="16"/>
          <w:color w:val="auto"/>
        </w:rPr>
        <w:t>successor to Wells Fargo Bank, National</w:t>
      </w:r>
    </w:p>
    <w:p>
      <w:pPr>
        <w:ind w:left="680"/>
        <w:spacing w:after="0" w:line="204" w:lineRule="auto"/>
        <w:rPr>
          <w:sz w:val="20"/>
          <w:szCs w:val="20"/>
          <w:color w:val="auto"/>
        </w:rPr>
      </w:pPr>
      <w:r>
        <w:rPr>
          <w:rFonts w:ascii="Times New Roman" w:cs="Times New Roman" w:eastAsia="Times New Roman" w:hAnsi="Times New Roman"/>
          <w:sz w:val="16"/>
          <w:szCs w:val="16"/>
          <w:color w:val="auto"/>
        </w:rPr>
        <w:t>Association), as trustee (incorporated herein by</w:t>
      </w:r>
    </w:p>
    <w:p>
      <w:pPr>
        <w:ind w:left="680"/>
        <w:spacing w:after="0" w:line="232" w:lineRule="auto"/>
        <w:rPr>
          <w:sz w:val="20"/>
          <w:szCs w:val="20"/>
          <w:color w:val="auto"/>
        </w:rPr>
      </w:pPr>
      <w:r>
        <w:rPr>
          <w:rFonts w:ascii="Times New Roman" w:cs="Times New Roman" w:eastAsia="Times New Roman" w:hAnsi="Times New Roman"/>
          <w:sz w:val="14"/>
          <w:szCs w:val="14"/>
          <w:color w:val="auto"/>
        </w:rPr>
        <w:t>reference to Exhibit 4.4 to the Current Report on</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Form 8-K filed on June 28, 2023).</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u w:val="single" w:color="auto"/>
            <w:color w:val="0000FF"/>
          </w:rPr>
          <w:t>4.18</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Seventeenth Supplemental Indenture,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762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2492375" cy="762000"/>
                    </a:xfrm>
                    <a:prstGeom prst="rect">
                      <a:avLst/>
                    </a:prstGeom>
                    <a:noFill/>
                  </pic:spPr>
                </pic:pic>
              </a:graphicData>
            </a:graphic>
          </wp:anchor>
        </w:drawing>
      </w:r>
    </w:p>
    <w:p>
      <w:pPr>
        <w:ind w:left="680"/>
        <w:spacing w:after="0" w:line="232" w:lineRule="auto"/>
        <w:rPr>
          <w:sz w:val="20"/>
          <w:szCs w:val="20"/>
          <w:color w:val="auto"/>
        </w:rPr>
      </w:pPr>
      <w:r>
        <w:rPr>
          <w:rFonts w:ascii="Times New Roman" w:cs="Times New Roman" w:eastAsia="Times New Roman" w:hAnsi="Times New Roman"/>
          <w:sz w:val="14"/>
          <w:szCs w:val="14"/>
          <w:color w:val="auto"/>
        </w:rPr>
        <w:t>June 28, 2023, by and between Nasdaq, Inc. and</w:t>
      </w:r>
    </w:p>
    <w:p>
      <w:pPr>
        <w:ind w:left="680"/>
        <w:spacing w:after="0" w:line="204" w:lineRule="auto"/>
        <w:rPr>
          <w:sz w:val="20"/>
          <w:szCs w:val="20"/>
          <w:color w:val="auto"/>
        </w:rPr>
      </w:pPr>
      <w:r>
        <w:rPr>
          <w:rFonts w:ascii="Times New Roman" w:cs="Times New Roman" w:eastAsia="Times New Roman" w:hAnsi="Times New Roman"/>
          <w:sz w:val="16"/>
          <w:szCs w:val="16"/>
          <w:color w:val="auto"/>
        </w:rPr>
        <w:t>Computershare Trust Company, N.A. (as</w:t>
      </w:r>
    </w:p>
    <w:p>
      <w:pPr>
        <w:ind w:left="680"/>
        <w:spacing w:after="0" w:line="203" w:lineRule="auto"/>
        <w:rPr>
          <w:sz w:val="20"/>
          <w:szCs w:val="20"/>
          <w:color w:val="auto"/>
        </w:rPr>
      </w:pPr>
      <w:r>
        <w:rPr>
          <w:rFonts w:ascii="Times New Roman" w:cs="Times New Roman" w:eastAsia="Times New Roman" w:hAnsi="Times New Roman"/>
          <w:sz w:val="16"/>
          <w:szCs w:val="16"/>
          <w:color w:val="auto"/>
        </w:rPr>
        <w:t>successor to Wells Fargo Bank, National</w:t>
      </w:r>
    </w:p>
    <w:p>
      <w:pPr>
        <w:ind w:left="680"/>
        <w:spacing w:after="0" w:line="204" w:lineRule="auto"/>
        <w:rPr>
          <w:sz w:val="20"/>
          <w:szCs w:val="20"/>
          <w:color w:val="auto"/>
        </w:rPr>
      </w:pPr>
      <w:r>
        <w:rPr>
          <w:rFonts w:ascii="Times New Roman" w:cs="Times New Roman" w:eastAsia="Times New Roman" w:hAnsi="Times New Roman"/>
          <w:sz w:val="16"/>
          <w:szCs w:val="16"/>
          <w:color w:val="auto"/>
        </w:rPr>
        <w:t>Association), as trustee (incorporated herein by</w:t>
      </w:r>
    </w:p>
    <w:p>
      <w:pPr>
        <w:ind w:left="680"/>
        <w:spacing w:after="0" w:line="232" w:lineRule="auto"/>
        <w:rPr>
          <w:sz w:val="20"/>
          <w:szCs w:val="20"/>
          <w:color w:val="auto"/>
        </w:rPr>
      </w:pPr>
      <w:r>
        <w:rPr>
          <w:rFonts w:ascii="Times New Roman" w:cs="Times New Roman" w:eastAsia="Times New Roman" w:hAnsi="Times New Roman"/>
          <w:sz w:val="14"/>
          <w:szCs w:val="14"/>
          <w:color w:val="auto"/>
        </w:rPr>
        <w:t>reference to Exhibit 4.5 to the Current Report on</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Form 8-K filed on June 28, 2023).</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u w:val="single" w:color="auto"/>
            <w:color w:val="0000FF"/>
          </w:rPr>
          <w:t>4.19</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Eighteenth Supplemental Indenture,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762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2492375" cy="762000"/>
                    </a:xfrm>
                    <a:prstGeom prst="rect">
                      <a:avLst/>
                    </a:prstGeom>
                    <a:noFill/>
                  </pic:spPr>
                </pic:pic>
              </a:graphicData>
            </a:graphic>
          </wp:anchor>
        </w:drawing>
      </w:r>
    </w:p>
    <w:p>
      <w:pPr>
        <w:ind w:left="680"/>
        <w:spacing w:after="0" w:line="232" w:lineRule="auto"/>
        <w:rPr>
          <w:sz w:val="20"/>
          <w:szCs w:val="20"/>
          <w:color w:val="auto"/>
        </w:rPr>
      </w:pPr>
      <w:r>
        <w:rPr>
          <w:rFonts w:ascii="Times New Roman" w:cs="Times New Roman" w:eastAsia="Times New Roman" w:hAnsi="Times New Roman"/>
          <w:sz w:val="14"/>
          <w:szCs w:val="14"/>
          <w:color w:val="auto"/>
        </w:rPr>
        <w:t>June 28, 2023, by and between Nasdaq, Inc. and</w:t>
      </w:r>
    </w:p>
    <w:p>
      <w:pPr>
        <w:ind w:left="680"/>
        <w:spacing w:after="0" w:line="204" w:lineRule="auto"/>
        <w:rPr>
          <w:sz w:val="20"/>
          <w:szCs w:val="20"/>
          <w:color w:val="auto"/>
        </w:rPr>
      </w:pPr>
      <w:r>
        <w:rPr>
          <w:rFonts w:ascii="Times New Roman" w:cs="Times New Roman" w:eastAsia="Times New Roman" w:hAnsi="Times New Roman"/>
          <w:sz w:val="16"/>
          <w:szCs w:val="16"/>
          <w:color w:val="auto"/>
        </w:rPr>
        <w:t>Computershare Trust Company, N.A. (as</w:t>
      </w:r>
    </w:p>
    <w:p>
      <w:pPr>
        <w:ind w:left="680"/>
        <w:spacing w:after="0" w:line="203" w:lineRule="auto"/>
        <w:rPr>
          <w:sz w:val="20"/>
          <w:szCs w:val="20"/>
          <w:color w:val="auto"/>
        </w:rPr>
      </w:pPr>
      <w:r>
        <w:rPr>
          <w:rFonts w:ascii="Times New Roman" w:cs="Times New Roman" w:eastAsia="Times New Roman" w:hAnsi="Times New Roman"/>
          <w:sz w:val="16"/>
          <w:szCs w:val="16"/>
          <w:color w:val="auto"/>
        </w:rPr>
        <w:t>successor to Wells Fargo Bank, National</w:t>
      </w:r>
    </w:p>
    <w:p>
      <w:pPr>
        <w:ind w:left="680"/>
        <w:spacing w:after="0" w:line="204" w:lineRule="auto"/>
        <w:rPr>
          <w:sz w:val="20"/>
          <w:szCs w:val="20"/>
          <w:color w:val="auto"/>
        </w:rPr>
      </w:pPr>
      <w:r>
        <w:rPr>
          <w:rFonts w:ascii="Times New Roman" w:cs="Times New Roman" w:eastAsia="Times New Roman" w:hAnsi="Times New Roman"/>
          <w:sz w:val="16"/>
          <w:szCs w:val="16"/>
          <w:color w:val="auto"/>
        </w:rPr>
        <w:t>Association), as trustee (incorporated herein by</w:t>
      </w:r>
    </w:p>
    <w:p>
      <w:pPr>
        <w:ind w:left="680"/>
        <w:spacing w:after="0" w:line="232" w:lineRule="auto"/>
        <w:rPr>
          <w:sz w:val="20"/>
          <w:szCs w:val="20"/>
          <w:color w:val="auto"/>
        </w:rPr>
      </w:pPr>
      <w:r>
        <w:rPr>
          <w:rFonts w:ascii="Times New Roman" w:cs="Times New Roman" w:eastAsia="Times New Roman" w:hAnsi="Times New Roman"/>
          <w:sz w:val="14"/>
          <w:szCs w:val="14"/>
          <w:color w:val="auto"/>
        </w:rPr>
        <w:t>reference to Exhibit 4.6 to the Current Report on</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Form 8-K filed on June 28, 2023).</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u w:val="single" w:color="auto"/>
            <w:color w:val="0000FF"/>
          </w:rPr>
          <w:t>4.20</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Nineteenth Supplemental Indenture,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967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2492375" cy="967740"/>
                    </a:xfrm>
                    <a:prstGeom prst="rect">
                      <a:avLst/>
                    </a:prstGeom>
                    <a:noFill/>
                  </pic:spPr>
                </pic:pic>
              </a:graphicData>
            </a:graphic>
          </wp:anchor>
        </w:drawing>
      </w:r>
    </w:p>
    <w:p>
      <w:pPr>
        <w:ind w:left="680"/>
        <w:spacing w:after="0" w:line="232" w:lineRule="auto"/>
        <w:rPr>
          <w:sz w:val="20"/>
          <w:szCs w:val="20"/>
          <w:color w:val="auto"/>
        </w:rPr>
      </w:pPr>
      <w:r>
        <w:rPr>
          <w:rFonts w:ascii="Times New Roman" w:cs="Times New Roman" w:eastAsia="Times New Roman" w:hAnsi="Times New Roman"/>
          <w:sz w:val="14"/>
          <w:szCs w:val="14"/>
          <w:color w:val="auto"/>
        </w:rPr>
        <w:t>June 28, 2023, by and between Nasdaq, Inc. and</w:t>
      </w:r>
    </w:p>
    <w:p>
      <w:pPr>
        <w:ind w:left="680"/>
        <w:spacing w:after="0" w:line="204" w:lineRule="auto"/>
        <w:rPr>
          <w:sz w:val="20"/>
          <w:szCs w:val="20"/>
          <w:color w:val="auto"/>
        </w:rPr>
      </w:pPr>
      <w:r>
        <w:rPr>
          <w:rFonts w:ascii="Times New Roman" w:cs="Times New Roman" w:eastAsia="Times New Roman" w:hAnsi="Times New Roman"/>
          <w:sz w:val="16"/>
          <w:szCs w:val="16"/>
          <w:color w:val="auto"/>
        </w:rPr>
        <w:t>Computershare Trust Company, N.A. (as</w:t>
      </w:r>
    </w:p>
    <w:p>
      <w:pPr>
        <w:ind w:left="680"/>
        <w:spacing w:after="0" w:line="203" w:lineRule="auto"/>
        <w:rPr>
          <w:sz w:val="20"/>
          <w:szCs w:val="20"/>
          <w:color w:val="auto"/>
        </w:rPr>
      </w:pPr>
      <w:r>
        <w:rPr>
          <w:rFonts w:ascii="Times New Roman" w:cs="Times New Roman" w:eastAsia="Times New Roman" w:hAnsi="Times New Roman"/>
          <w:sz w:val="16"/>
          <w:szCs w:val="16"/>
          <w:color w:val="auto"/>
        </w:rPr>
        <w:t>successor to Wells Fargo Bank, National</w:t>
      </w:r>
    </w:p>
    <w:p>
      <w:pPr>
        <w:ind w:left="680"/>
        <w:spacing w:after="0" w:line="204" w:lineRule="auto"/>
        <w:rPr>
          <w:sz w:val="20"/>
          <w:szCs w:val="20"/>
          <w:color w:val="auto"/>
        </w:rPr>
      </w:pPr>
      <w:r>
        <w:rPr>
          <w:rFonts w:ascii="Times New Roman" w:cs="Times New Roman" w:eastAsia="Times New Roman" w:hAnsi="Times New Roman"/>
          <w:sz w:val="16"/>
          <w:szCs w:val="16"/>
          <w:color w:val="auto"/>
        </w:rPr>
        <w:t>Association), as trustee and HSBC Bank USA,</w:t>
      </w:r>
    </w:p>
    <w:p>
      <w:pPr>
        <w:ind w:left="680"/>
        <w:spacing w:after="0" w:line="203" w:lineRule="auto"/>
        <w:rPr>
          <w:sz w:val="20"/>
          <w:szCs w:val="20"/>
          <w:color w:val="auto"/>
        </w:rPr>
      </w:pPr>
      <w:r>
        <w:rPr>
          <w:rFonts w:ascii="Times New Roman" w:cs="Times New Roman" w:eastAsia="Times New Roman" w:hAnsi="Times New Roman"/>
          <w:sz w:val="16"/>
          <w:szCs w:val="16"/>
          <w:color w:val="auto"/>
        </w:rPr>
        <w:t>National Association, as paying agent, registrar</w:t>
      </w:r>
    </w:p>
    <w:p>
      <w:pPr>
        <w:ind w:left="680"/>
        <w:spacing w:after="0" w:line="204" w:lineRule="auto"/>
        <w:rPr>
          <w:sz w:val="20"/>
          <w:szCs w:val="20"/>
          <w:color w:val="auto"/>
        </w:rPr>
      </w:pPr>
      <w:r>
        <w:rPr>
          <w:rFonts w:ascii="Times New Roman" w:cs="Times New Roman" w:eastAsia="Times New Roman" w:hAnsi="Times New Roman"/>
          <w:sz w:val="16"/>
          <w:szCs w:val="16"/>
          <w:color w:val="auto"/>
        </w:rPr>
        <w:t>and transfer agent (incorporated herein by</w:t>
      </w:r>
    </w:p>
    <w:p>
      <w:pPr>
        <w:ind w:left="680"/>
        <w:spacing w:after="0" w:line="232" w:lineRule="auto"/>
        <w:rPr>
          <w:sz w:val="20"/>
          <w:szCs w:val="20"/>
          <w:color w:val="auto"/>
        </w:rPr>
      </w:pPr>
      <w:r>
        <w:rPr>
          <w:rFonts w:ascii="Times New Roman" w:cs="Times New Roman" w:eastAsia="Times New Roman" w:hAnsi="Times New Roman"/>
          <w:sz w:val="14"/>
          <w:szCs w:val="14"/>
          <w:color w:val="auto"/>
        </w:rPr>
        <w:t>reference to Exhibit 4.7 to the Current Report on</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Form 8-K filed on June 28, 2023).</w:t>
      </w:r>
    </w:p>
    <w:p>
      <w:pPr>
        <w:spacing w:after="0" w:line="122"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u w:val="single" w:color="auto"/>
            <w:color w:val="0000FF"/>
          </w:rPr>
          <w:t>4.21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2492375" cy="152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2492375" cy="152400"/>
                    </a:xfrm>
                    <a:prstGeom prst="rect">
                      <a:avLst/>
                    </a:prstGeom>
                    <a:noFill/>
                  </pic:spPr>
                </pic:pic>
              </a:graphicData>
            </a:graphic>
          </wp:anchor>
        </w:drawing>
      </w:r>
    </w:p>
    <w:p>
      <w:pPr>
        <w:spacing w:after="0" w:line="74"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u w:val="single" w:color="auto"/>
            <w:color w:val="0000FF"/>
          </w:rPr>
          <w:t>10.1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Board Compensation Policy, as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662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restated, effective on June 11, 2025</w:t>
      </w:r>
    </w:p>
    <w:p>
      <w:pPr>
        <w:ind w:left="680"/>
        <w:spacing w:after="0" w:line="233" w:lineRule="auto"/>
        <w:rPr>
          <w:sz w:val="20"/>
          <w:szCs w:val="20"/>
          <w:color w:val="auto"/>
        </w:rPr>
      </w:pPr>
      <w:r>
        <w:rPr>
          <w:rFonts w:ascii="Times New Roman" w:cs="Times New Roman" w:eastAsia="Times New Roman" w:hAnsi="Times New Roman"/>
          <w:sz w:val="14"/>
          <w:szCs w:val="14"/>
          <w:color w:val="auto"/>
        </w:rPr>
        <w:t>(incorporated herein by reference to Exhibit 10.1</w:t>
      </w:r>
    </w:p>
    <w:p>
      <w:pPr>
        <w:ind w:left="680"/>
        <w:spacing w:after="0" w:line="203" w:lineRule="auto"/>
        <w:rPr>
          <w:sz w:val="20"/>
          <w:szCs w:val="20"/>
          <w:color w:val="auto"/>
        </w:rPr>
      </w:pPr>
      <w:r>
        <w:rPr>
          <w:rFonts w:ascii="Times New Roman" w:cs="Times New Roman" w:eastAsia="Times New Roman" w:hAnsi="Times New Roman"/>
          <w:sz w:val="16"/>
          <w:szCs w:val="16"/>
          <w:color w:val="auto"/>
        </w:rPr>
        <w:t>to the Quarterly Report on Form 10-Q for the</w:t>
      </w:r>
    </w:p>
    <w:p>
      <w:pPr>
        <w:ind w:left="680"/>
        <w:spacing w:after="0" w:line="204" w:lineRule="auto"/>
        <w:rPr>
          <w:sz w:val="20"/>
          <w:szCs w:val="20"/>
          <w:color w:val="auto"/>
        </w:rPr>
      </w:pPr>
      <w:r>
        <w:rPr>
          <w:rFonts w:ascii="Times New Roman" w:cs="Times New Roman" w:eastAsia="Times New Roman" w:hAnsi="Times New Roman"/>
          <w:sz w:val="16"/>
          <w:szCs w:val="16"/>
          <w:color w:val="auto"/>
        </w:rPr>
        <w:t>quarter ended June 30, 2025 filed on July 25,</w:t>
      </w:r>
    </w:p>
    <w:p>
      <w:pPr>
        <w:ind w:left="680"/>
        <w:spacing w:after="0"/>
        <w:rPr>
          <w:sz w:val="20"/>
          <w:szCs w:val="20"/>
          <w:color w:val="auto"/>
        </w:rPr>
      </w:pPr>
      <w:r>
        <w:rPr>
          <w:rFonts w:ascii="Times New Roman" w:cs="Times New Roman" w:eastAsia="Times New Roman" w:hAnsi="Times New Roman"/>
          <w:sz w:val="16"/>
          <w:szCs w:val="16"/>
          <w:color w:val="auto"/>
        </w:rPr>
        <w:t>2025).*</w:t>
      </w:r>
    </w:p>
    <w:p>
      <w:pPr>
        <w:spacing w:after="0" w:line="100"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u w:val="single" w:color="auto"/>
            <w:color w:val="0000FF"/>
          </w:rPr>
          <w:t>10.2</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Nasdaq Executive Corporate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556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2492375" cy="55626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effective as of January 1, 2015 (incorporated</w:t>
      </w:r>
    </w:p>
    <w:p>
      <w:pPr>
        <w:ind w:left="680"/>
        <w:spacing w:after="0" w:line="204" w:lineRule="auto"/>
        <w:rPr>
          <w:sz w:val="20"/>
          <w:szCs w:val="20"/>
          <w:color w:val="auto"/>
        </w:rPr>
      </w:pPr>
      <w:r>
        <w:rPr>
          <w:rFonts w:ascii="Times New Roman" w:cs="Times New Roman" w:eastAsia="Times New Roman" w:hAnsi="Times New Roman"/>
          <w:sz w:val="16"/>
          <w:szCs w:val="16"/>
          <w:color w:val="auto"/>
        </w:rPr>
        <w:t>herein by reference to Exhibit 10.1 to the</w:t>
      </w:r>
    </w:p>
    <w:p>
      <w:pPr>
        <w:ind w:left="680"/>
        <w:spacing w:after="0" w:line="203" w:lineRule="auto"/>
        <w:rPr>
          <w:sz w:val="20"/>
          <w:szCs w:val="20"/>
          <w:color w:val="auto"/>
        </w:rPr>
      </w:pPr>
      <w:r>
        <w:rPr>
          <w:rFonts w:ascii="Times New Roman" w:cs="Times New Roman" w:eastAsia="Times New Roman" w:hAnsi="Times New Roman"/>
          <w:sz w:val="16"/>
          <w:szCs w:val="16"/>
          <w:color w:val="auto"/>
        </w:rPr>
        <w:t>Current Report on Form 8-K filed on May 11,</w:t>
      </w:r>
    </w:p>
    <w:p>
      <w:pPr>
        <w:ind w:left="680"/>
        <w:spacing w:after="0"/>
        <w:rPr>
          <w:sz w:val="20"/>
          <w:szCs w:val="20"/>
          <w:color w:val="auto"/>
        </w:rPr>
      </w:pPr>
      <w:r>
        <w:rPr>
          <w:rFonts w:ascii="Times New Roman" w:cs="Times New Roman" w:eastAsia="Times New Roman" w:hAnsi="Times New Roman"/>
          <w:sz w:val="16"/>
          <w:szCs w:val="16"/>
          <w:color w:val="auto"/>
        </w:rPr>
        <w:t>2015).*</w:t>
      </w:r>
    </w:p>
    <w:p>
      <w:pPr>
        <w:spacing w:after="0" w:line="88"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u w:val="single" w:color="auto"/>
            <w:color w:val="0000FF"/>
          </w:rPr>
          <w:t>10.3</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Nasdaq, Inc.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457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2492375" cy="45720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and restated as of April 24, 2018) (incorporated</w:t>
      </w:r>
    </w:p>
    <w:p>
      <w:pPr>
        <w:ind w:left="680"/>
        <w:spacing w:after="0" w:line="204" w:lineRule="auto"/>
        <w:rPr>
          <w:sz w:val="20"/>
          <w:szCs w:val="20"/>
          <w:color w:val="auto"/>
        </w:rPr>
      </w:pPr>
      <w:r>
        <w:rPr>
          <w:rFonts w:ascii="Times New Roman" w:cs="Times New Roman" w:eastAsia="Times New Roman" w:hAnsi="Times New Roman"/>
          <w:sz w:val="16"/>
          <w:szCs w:val="16"/>
          <w:color w:val="auto"/>
        </w:rPr>
        <w:t>herein by reference to Exhibit 10.1 to the Form</w:t>
      </w:r>
    </w:p>
    <w:p>
      <w:pPr>
        <w:ind w:left="680"/>
        <w:spacing w:after="0"/>
        <w:rPr>
          <w:sz w:val="20"/>
          <w:szCs w:val="20"/>
          <w:color w:val="auto"/>
        </w:rPr>
      </w:pPr>
      <w:r>
        <w:rPr>
          <w:rFonts w:ascii="Times New Roman" w:cs="Times New Roman" w:eastAsia="Times New Roman" w:hAnsi="Times New Roman"/>
          <w:sz w:val="16"/>
          <w:szCs w:val="16"/>
          <w:color w:val="auto"/>
        </w:rPr>
        <w:t>S-8 filed on May 25, 2018).*</w:t>
      </w:r>
    </w:p>
    <w:p>
      <w:pPr>
        <w:spacing w:after="0" w:line="88"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u w:val="single" w:color="auto"/>
            <w:color w:val="0000FF"/>
          </w:rPr>
          <w:t>10.4</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Form of Nasdaq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556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2492375" cy="55626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Award Certificate (incorporated herein by</w:t>
      </w:r>
    </w:p>
    <w:p>
      <w:pPr>
        <w:ind w:left="680"/>
        <w:spacing w:after="0" w:line="204" w:lineRule="auto"/>
        <w:rPr>
          <w:sz w:val="20"/>
          <w:szCs w:val="20"/>
          <w:color w:val="auto"/>
        </w:rPr>
      </w:pPr>
      <w:r>
        <w:rPr>
          <w:rFonts w:ascii="Times New Roman" w:cs="Times New Roman" w:eastAsia="Times New Roman" w:hAnsi="Times New Roman"/>
          <w:sz w:val="16"/>
          <w:szCs w:val="16"/>
          <w:color w:val="auto"/>
        </w:rPr>
        <w:t>reference to Exhibit 10.3 to the Annual Report</w:t>
      </w:r>
    </w:p>
    <w:p>
      <w:pPr>
        <w:ind w:left="680"/>
        <w:spacing w:after="0" w:line="203" w:lineRule="auto"/>
        <w:rPr>
          <w:sz w:val="20"/>
          <w:szCs w:val="20"/>
          <w:color w:val="auto"/>
        </w:rPr>
      </w:pPr>
      <w:r>
        <w:rPr>
          <w:rFonts w:ascii="Times New Roman" w:cs="Times New Roman" w:eastAsia="Times New Roman" w:hAnsi="Times New Roman"/>
          <w:sz w:val="16"/>
          <w:szCs w:val="16"/>
          <w:color w:val="auto"/>
        </w:rPr>
        <w:t>on Form 10-K for the year ended December 31,</w:t>
      </w:r>
    </w:p>
    <w:p>
      <w:pPr>
        <w:ind w:left="680"/>
        <w:spacing w:after="0"/>
        <w:rPr>
          <w:sz w:val="20"/>
          <w:szCs w:val="20"/>
          <w:color w:val="auto"/>
        </w:rPr>
      </w:pPr>
      <w:r>
        <w:rPr>
          <w:rFonts w:ascii="Times New Roman" w:cs="Times New Roman" w:eastAsia="Times New Roman" w:hAnsi="Times New Roman"/>
          <w:sz w:val="16"/>
          <w:szCs w:val="16"/>
          <w:color w:val="auto"/>
        </w:rPr>
        <w:t>2010 filed on February 24, 2011).*</w:t>
      </w:r>
    </w:p>
    <w:p>
      <w:pPr>
        <w:spacing w:after="0" w:line="88"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u w:val="single" w:color="auto"/>
            <w:color w:val="0000FF"/>
          </w:rPr>
          <w:t>10.5</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Form of Nasdaq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556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2492375" cy="55626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Certificate (employees) (incorporated herein by</w:t>
      </w:r>
    </w:p>
    <w:p>
      <w:pPr>
        <w:ind w:left="680"/>
        <w:spacing w:after="0" w:line="233" w:lineRule="auto"/>
        <w:rPr>
          <w:sz w:val="20"/>
          <w:szCs w:val="20"/>
          <w:color w:val="auto"/>
        </w:rPr>
      </w:pPr>
      <w:r>
        <w:rPr>
          <w:rFonts w:ascii="Times New Roman" w:cs="Times New Roman" w:eastAsia="Times New Roman" w:hAnsi="Times New Roman"/>
          <w:sz w:val="14"/>
          <w:szCs w:val="14"/>
          <w:color w:val="auto"/>
        </w:rPr>
        <w:t>reference to Exhibit 10.2 to the Quarterly Report</w:t>
      </w:r>
    </w:p>
    <w:p>
      <w:pPr>
        <w:ind w:left="680"/>
        <w:spacing w:after="0" w:line="203" w:lineRule="auto"/>
        <w:rPr>
          <w:sz w:val="20"/>
          <w:szCs w:val="20"/>
          <w:color w:val="auto"/>
        </w:rPr>
      </w:pPr>
      <w:r>
        <w:rPr>
          <w:rFonts w:ascii="Times New Roman" w:cs="Times New Roman" w:eastAsia="Times New Roman" w:hAnsi="Times New Roman"/>
          <w:sz w:val="16"/>
          <w:szCs w:val="16"/>
          <w:color w:val="auto"/>
        </w:rPr>
        <w:t>on Form 10-Q for the quarter ended June 30,</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2025 filed on July 25, 2025).*</w:t>
      </w:r>
    </w:p>
    <w:p>
      <w:pPr>
        <w:spacing w:after="0" w:line="88" w:lineRule="exact"/>
        <w:rPr>
          <w:sz w:val="20"/>
          <w:szCs w:val="20"/>
          <w:color w:val="auto"/>
        </w:rPr>
      </w:pPr>
    </w:p>
    <w:p>
      <w:pPr>
        <w:spacing w:after="0"/>
        <w:tabs>
          <w:tab w:leader="none" w:pos="660" w:val="left"/>
        </w:tabs>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u w:val="single" w:color="auto"/>
            <w:color w:val="0000FF"/>
          </w:rPr>
          <w:t>10.6</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Form of Nasdaq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492375" cy="556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2492375" cy="556260"/>
                    </a:xfrm>
                    <a:prstGeom prst="rect">
                      <a:avLst/>
                    </a:prstGeom>
                    <a:noFill/>
                  </pic:spPr>
                </pic:pic>
              </a:graphicData>
            </a:graphic>
          </wp:anchor>
        </w:drawing>
      </w:r>
    </w:p>
    <w:p>
      <w:pPr>
        <w:ind w:left="680"/>
        <w:spacing w:after="0" w:line="203" w:lineRule="auto"/>
        <w:rPr>
          <w:sz w:val="20"/>
          <w:szCs w:val="20"/>
          <w:color w:val="auto"/>
        </w:rPr>
      </w:pPr>
      <w:r>
        <w:rPr>
          <w:rFonts w:ascii="Times New Roman" w:cs="Times New Roman" w:eastAsia="Times New Roman" w:hAnsi="Times New Roman"/>
          <w:sz w:val="16"/>
          <w:szCs w:val="16"/>
          <w:color w:val="auto"/>
        </w:rPr>
        <w:t>Certificate (directors) (incorporated herein by</w:t>
      </w:r>
    </w:p>
    <w:p>
      <w:pPr>
        <w:ind w:left="680"/>
        <w:spacing w:after="0" w:line="233" w:lineRule="auto"/>
        <w:rPr>
          <w:sz w:val="20"/>
          <w:szCs w:val="20"/>
          <w:color w:val="auto"/>
        </w:rPr>
      </w:pPr>
      <w:r>
        <w:rPr>
          <w:rFonts w:ascii="Times New Roman" w:cs="Times New Roman" w:eastAsia="Times New Roman" w:hAnsi="Times New Roman"/>
          <w:sz w:val="14"/>
          <w:szCs w:val="14"/>
          <w:color w:val="auto"/>
        </w:rPr>
        <w:t>reference to Exhibit 10.3 to the Quarterly Report</w:t>
      </w:r>
    </w:p>
    <w:p>
      <w:pPr>
        <w:ind w:left="680"/>
        <w:spacing w:after="0" w:line="203" w:lineRule="auto"/>
        <w:rPr>
          <w:sz w:val="20"/>
          <w:szCs w:val="20"/>
          <w:color w:val="auto"/>
        </w:rPr>
      </w:pPr>
      <w:r>
        <w:rPr>
          <w:rFonts w:ascii="Times New Roman" w:cs="Times New Roman" w:eastAsia="Times New Roman" w:hAnsi="Times New Roman"/>
          <w:sz w:val="16"/>
          <w:szCs w:val="16"/>
          <w:color w:val="auto"/>
        </w:rPr>
        <w:t>on Form 10-Q for the quarter ended June 30,</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2025 filed on July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62</w:t>
      </w:r>
    </w:p>
    <w:p>
      <w:pPr>
        <w:sectPr>
          <w:pgSz w:w="11900" w:h="16840" w:orient="portrait"/>
          <w:cols w:equalWidth="0" w:num="1">
            <w:col w:w="9400"/>
          </w:cols>
          <w:pgMar w:left="1060" w:top="547" w:right="1440" w:bottom="1440" w:gutter="0" w:footer="0" w:header="0"/>
        </w:sectPr>
      </w:pPr>
    </w:p>
    <w:bookmarkStart w:id="54" w:name="page55"/>
    <w:bookmarkEnd w:id="54"/>
    <w:p>
      <w:pPr>
        <w:ind w:left="10"/>
        <w:spacing w:after="0"/>
        <w:tabs>
          <w:tab w:leader="none" w:pos="669" w:val="left"/>
        </w:tabs>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u w:val="single" w:color="auto"/>
            <w:color w:val="0000FF"/>
          </w:rPr>
          <w:t>10.16</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Employment Agreement between Nasdaq,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492375" cy="662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90"/>
        <w:spacing w:after="0" w:line="203" w:lineRule="auto"/>
        <w:rPr>
          <w:sz w:val="20"/>
          <w:szCs w:val="20"/>
          <w:color w:val="auto"/>
        </w:rPr>
      </w:pPr>
      <w:r>
        <w:rPr>
          <w:rFonts w:ascii="Times New Roman" w:cs="Times New Roman" w:eastAsia="Times New Roman" w:hAnsi="Times New Roman"/>
          <w:sz w:val="16"/>
          <w:szCs w:val="16"/>
          <w:color w:val="auto"/>
        </w:rPr>
        <w:t>and Adena T. Friedman, dated as of March 11,</w:t>
      </w:r>
    </w:p>
    <w:p>
      <w:pPr>
        <w:ind w:left="690"/>
        <w:spacing w:after="0" w:line="204" w:lineRule="auto"/>
        <w:rPr>
          <w:sz w:val="20"/>
          <w:szCs w:val="20"/>
          <w:color w:val="auto"/>
        </w:rPr>
      </w:pPr>
      <w:r>
        <w:rPr>
          <w:rFonts w:ascii="Times New Roman" w:cs="Times New Roman" w:eastAsia="Times New Roman" w:hAnsi="Times New Roman"/>
          <w:sz w:val="16"/>
          <w:szCs w:val="16"/>
          <w:color w:val="auto"/>
        </w:rPr>
        <w:t>2025 (incorporated herein by reference to</w:t>
      </w:r>
    </w:p>
    <w:p>
      <w:pPr>
        <w:ind w:left="690"/>
        <w:spacing w:after="0" w:line="203" w:lineRule="auto"/>
        <w:rPr>
          <w:sz w:val="20"/>
          <w:szCs w:val="20"/>
          <w:color w:val="auto"/>
        </w:rPr>
      </w:pPr>
      <w:r>
        <w:rPr>
          <w:rFonts w:ascii="Times New Roman" w:cs="Times New Roman" w:eastAsia="Times New Roman" w:hAnsi="Times New Roman"/>
          <w:sz w:val="16"/>
          <w:szCs w:val="16"/>
          <w:color w:val="auto"/>
        </w:rPr>
        <w:t>Exhibit 10.1 to the Company’s Quarterly Report</w:t>
      </w:r>
    </w:p>
    <w:p>
      <w:pPr>
        <w:ind w:left="690"/>
        <w:spacing w:after="0" w:line="204" w:lineRule="auto"/>
        <w:rPr>
          <w:sz w:val="20"/>
          <w:szCs w:val="20"/>
          <w:color w:val="auto"/>
        </w:rPr>
      </w:pPr>
      <w:r>
        <w:rPr>
          <w:rFonts w:ascii="Times New Roman" w:cs="Times New Roman" w:eastAsia="Times New Roman" w:hAnsi="Times New Roman"/>
          <w:sz w:val="16"/>
          <w:szCs w:val="16"/>
          <w:color w:val="auto"/>
        </w:rPr>
        <w:t>on Form 10-Q for the quarter ended March 31,</w:t>
      </w:r>
    </w:p>
    <w:p>
      <w:pPr>
        <w:ind w:left="690"/>
        <w:spacing w:after="0"/>
        <w:rPr>
          <w:sz w:val="20"/>
          <w:szCs w:val="20"/>
          <w:color w:val="auto"/>
        </w:rPr>
      </w:pPr>
      <w:r>
        <w:rPr>
          <w:rFonts w:ascii="Times New Roman" w:cs="Times New Roman" w:eastAsia="Times New Roman" w:hAnsi="Times New Roman"/>
          <w:sz w:val="16"/>
          <w:szCs w:val="16"/>
          <w:color w:val="auto"/>
        </w:rPr>
        <w:t>2025 filed on April 28, 2025).*</w:t>
      </w:r>
    </w:p>
    <w:p>
      <w:pPr>
        <w:spacing w:after="0" w:line="100" w:lineRule="exact"/>
        <w:rPr>
          <w:sz w:val="20"/>
          <w:szCs w:val="20"/>
          <w:color w:val="auto"/>
        </w:rPr>
      </w:pPr>
    </w:p>
    <w:p>
      <w:pPr>
        <w:ind w:left="10"/>
        <w:spacing w:after="0"/>
        <w:tabs>
          <w:tab w:leader="none" w:pos="669" w:val="left"/>
        </w:tabs>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u w:val="single" w:color="auto"/>
            <w:color w:val="0000FF"/>
          </w:rPr>
          <w:t>10.17</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Employment Agreement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492375" cy="662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90"/>
        <w:spacing w:after="0" w:line="203" w:lineRule="auto"/>
        <w:rPr>
          <w:sz w:val="20"/>
          <w:szCs w:val="20"/>
          <w:color w:val="auto"/>
        </w:rPr>
      </w:pPr>
      <w:r>
        <w:rPr>
          <w:rFonts w:ascii="Times New Roman" w:cs="Times New Roman" w:eastAsia="Times New Roman" w:hAnsi="Times New Roman"/>
          <w:sz w:val="16"/>
          <w:szCs w:val="16"/>
          <w:color w:val="auto"/>
        </w:rPr>
        <w:t>Nasdaq, Inc. and Bradley J. Peterson, dated June</w:t>
      </w:r>
    </w:p>
    <w:p>
      <w:pPr>
        <w:ind w:left="690"/>
        <w:spacing w:after="0" w:line="204" w:lineRule="auto"/>
        <w:rPr>
          <w:sz w:val="20"/>
          <w:szCs w:val="20"/>
          <w:color w:val="auto"/>
        </w:rPr>
      </w:pPr>
      <w:r>
        <w:rPr>
          <w:rFonts w:ascii="Times New Roman" w:cs="Times New Roman" w:eastAsia="Times New Roman" w:hAnsi="Times New Roman"/>
          <w:sz w:val="16"/>
          <w:szCs w:val="16"/>
          <w:color w:val="auto"/>
        </w:rPr>
        <w:t>22, 2022 (incorporated herein by reference to</w:t>
      </w:r>
    </w:p>
    <w:p>
      <w:pPr>
        <w:ind w:left="690"/>
        <w:spacing w:after="0" w:line="203" w:lineRule="auto"/>
        <w:rPr>
          <w:sz w:val="20"/>
          <w:szCs w:val="20"/>
          <w:color w:val="auto"/>
        </w:rPr>
      </w:pPr>
      <w:r>
        <w:rPr>
          <w:rFonts w:ascii="Times New Roman" w:cs="Times New Roman" w:eastAsia="Times New Roman" w:hAnsi="Times New Roman"/>
          <w:sz w:val="16"/>
          <w:szCs w:val="16"/>
          <w:color w:val="auto"/>
        </w:rPr>
        <w:t>Exhibit 10.5 to the Quarterly Report on Form</w:t>
      </w:r>
    </w:p>
    <w:p>
      <w:pPr>
        <w:ind w:left="690"/>
        <w:spacing w:after="0" w:line="204" w:lineRule="auto"/>
        <w:rPr>
          <w:sz w:val="20"/>
          <w:szCs w:val="20"/>
          <w:color w:val="auto"/>
        </w:rPr>
      </w:pPr>
      <w:r>
        <w:rPr>
          <w:rFonts w:ascii="Times New Roman" w:cs="Times New Roman" w:eastAsia="Times New Roman" w:hAnsi="Times New Roman"/>
          <w:sz w:val="16"/>
          <w:szCs w:val="16"/>
          <w:color w:val="auto"/>
        </w:rPr>
        <w:t>10-Q for the quarter ended June 30, 2022 filed</w:t>
      </w:r>
    </w:p>
    <w:p>
      <w:pPr>
        <w:ind w:left="690"/>
        <w:spacing w:after="0"/>
        <w:rPr>
          <w:sz w:val="20"/>
          <w:szCs w:val="20"/>
          <w:color w:val="auto"/>
        </w:rPr>
      </w:pPr>
      <w:r>
        <w:rPr>
          <w:rFonts w:ascii="Times New Roman" w:cs="Times New Roman" w:eastAsia="Times New Roman" w:hAnsi="Times New Roman"/>
          <w:sz w:val="16"/>
          <w:szCs w:val="16"/>
          <w:color w:val="auto"/>
        </w:rPr>
        <w:t>on August 3, 2022).*</w:t>
      </w:r>
    </w:p>
    <w:p>
      <w:pPr>
        <w:spacing w:after="0" w:line="100" w:lineRule="exact"/>
        <w:rPr>
          <w:sz w:val="20"/>
          <w:szCs w:val="20"/>
          <w:color w:val="auto"/>
        </w:rPr>
      </w:pPr>
    </w:p>
    <w:p>
      <w:pPr>
        <w:ind w:left="10"/>
        <w:spacing w:after="0"/>
        <w:tabs>
          <w:tab w:leader="none" w:pos="669" w:val="left"/>
        </w:tabs>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u w:val="single" w:color="auto"/>
            <w:color w:val="0000FF"/>
          </w:rPr>
          <w:t>10.17.1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Employment Agreement between Nasdaq,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492375" cy="662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90"/>
        <w:spacing w:after="0" w:line="203" w:lineRule="auto"/>
        <w:rPr>
          <w:sz w:val="20"/>
          <w:szCs w:val="20"/>
          <w:color w:val="auto"/>
        </w:rPr>
      </w:pPr>
      <w:r>
        <w:rPr>
          <w:rFonts w:ascii="Times New Roman" w:cs="Times New Roman" w:eastAsia="Times New Roman" w:hAnsi="Times New Roman"/>
          <w:sz w:val="16"/>
          <w:szCs w:val="16"/>
          <w:color w:val="auto"/>
        </w:rPr>
        <w:t>and Bradley J, Peterson, dated as of March 10,</w:t>
      </w:r>
    </w:p>
    <w:p>
      <w:pPr>
        <w:ind w:left="690"/>
        <w:spacing w:after="0" w:line="204" w:lineRule="auto"/>
        <w:rPr>
          <w:sz w:val="20"/>
          <w:szCs w:val="20"/>
          <w:color w:val="auto"/>
        </w:rPr>
      </w:pPr>
      <w:r>
        <w:rPr>
          <w:rFonts w:ascii="Times New Roman" w:cs="Times New Roman" w:eastAsia="Times New Roman" w:hAnsi="Times New Roman"/>
          <w:sz w:val="16"/>
          <w:szCs w:val="16"/>
          <w:color w:val="auto"/>
        </w:rPr>
        <w:t>2025 (incorporated herein by reference to</w:t>
      </w:r>
    </w:p>
    <w:p>
      <w:pPr>
        <w:ind w:left="690"/>
        <w:spacing w:after="0" w:line="203" w:lineRule="auto"/>
        <w:rPr>
          <w:sz w:val="20"/>
          <w:szCs w:val="20"/>
          <w:color w:val="auto"/>
        </w:rPr>
      </w:pPr>
      <w:r>
        <w:rPr>
          <w:rFonts w:ascii="Times New Roman" w:cs="Times New Roman" w:eastAsia="Times New Roman" w:hAnsi="Times New Roman"/>
          <w:sz w:val="16"/>
          <w:szCs w:val="16"/>
          <w:color w:val="auto"/>
        </w:rPr>
        <w:t>Exhibit 10.3 to the Company’s Quarterly Report</w:t>
      </w:r>
    </w:p>
    <w:p>
      <w:pPr>
        <w:ind w:left="690"/>
        <w:spacing w:after="0" w:line="204" w:lineRule="auto"/>
        <w:rPr>
          <w:sz w:val="20"/>
          <w:szCs w:val="20"/>
          <w:color w:val="auto"/>
        </w:rPr>
      </w:pPr>
      <w:r>
        <w:rPr>
          <w:rFonts w:ascii="Times New Roman" w:cs="Times New Roman" w:eastAsia="Times New Roman" w:hAnsi="Times New Roman"/>
          <w:sz w:val="16"/>
          <w:szCs w:val="16"/>
          <w:color w:val="auto"/>
        </w:rPr>
        <w:t>on Form 10-Q for the quarter ended March 31,</w:t>
      </w:r>
    </w:p>
    <w:p>
      <w:pPr>
        <w:ind w:left="690"/>
        <w:spacing w:after="0"/>
        <w:rPr>
          <w:sz w:val="20"/>
          <w:szCs w:val="20"/>
          <w:color w:val="auto"/>
        </w:rPr>
      </w:pPr>
      <w:r>
        <w:rPr>
          <w:rFonts w:ascii="Times New Roman" w:cs="Times New Roman" w:eastAsia="Times New Roman" w:hAnsi="Times New Roman"/>
          <w:sz w:val="16"/>
          <w:szCs w:val="16"/>
          <w:color w:val="auto"/>
        </w:rPr>
        <w:t>2025 filed on April 28, 2025).*</w:t>
      </w:r>
    </w:p>
    <w:p>
      <w:pPr>
        <w:spacing w:after="0" w:line="100" w:lineRule="exact"/>
        <w:rPr>
          <w:sz w:val="20"/>
          <w:szCs w:val="20"/>
          <w:color w:val="auto"/>
        </w:rPr>
      </w:pPr>
    </w:p>
    <w:p>
      <w:pPr>
        <w:ind w:left="10"/>
        <w:spacing w:after="0"/>
        <w:tabs>
          <w:tab w:leader="none" w:pos="669" w:val="left"/>
        </w:tabs>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u w:val="single" w:color="auto"/>
            <w:color w:val="0000FF"/>
          </w:rPr>
          <w:t>10.18</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Employment Offer Letter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492375" cy="556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2492375" cy="556260"/>
                    </a:xfrm>
                    <a:prstGeom prst="rect">
                      <a:avLst/>
                    </a:prstGeom>
                    <a:noFill/>
                  </pic:spPr>
                </pic:pic>
              </a:graphicData>
            </a:graphic>
          </wp:anchor>
        </w:drawing>
      </w:r>
    </w:p>
    <w:p>
      <w:pPr>
        <w:ind w:left="690"/>
        <w:spacing w:after="0" w:line="203" w:lineRule="auto"/>
        <w:rPr>
          <w:sz w:val="20"/>
          <w:szCs w:val="20"/>
          <w:color w:val="auto"/>
        </w:rPr>
      </w:pPr>
      <w:r>
        <w:rPr>
          <w:rFonts w:ascii="Times New Roman" w:cs="Times New Roman" w:eastAsia="Times New Roman" w:hAnsi="Times New Roman"/>
          <w:sz w:val="16"/>
          <w:szCs w:val="16"/>
          <w:color w:val="auto"/>
        </w:rPr>
        <w:t>Nasdaq, Inc. and Michelle Daly dated January</w:t>
      </w:r>
    </w:p>
    <w:p>
      <w:pPr>
        <w:ind w:left="690"/>
        <w:spacing w:after="0" w:line="204" w:lineRule="auto"/>
        <w:rPr>
          <w:sz w:val="20"/>
          <w:szCs w:val="20"/>
          <w:color w:val="auto"/>
        </w:rPr>
      </w:pPr>
      <w:r>
        <w:rPr>
          <w:rFonts w:ascii="Times New Roman" w:cs="Times New Roman" w:eastAsia="Times New Roman" w:hAnsi="Times New Roman"/>
          <w:sz w:val="16"/>
          <w:szCs w:val="16"/>
          <w:color w:val="auto"/>
        </w:rPr>
        <w:t>29, 2021 (incorporated herein by reference to</w:t>
      </w:r>
    </w:p>
    <w:p>
      <w:pPr>
        <w:ind w:left="690"/>
        <w:spacing w:after="0" w:line="203" w:lineRule="auto"/>
        <w:rPr>
          <w:sz w:val="20"/>
          <w:szCs w:val="20"/>
          <w:color w:val="auto"/>
        </w:rPr>
      </w:pPr>
      <w:r>
        <w:rPr>
          <w:rFonts w:ascii="Times New Roman" w:cs="Times New Roman" w:eastAsia="Times New Roman" w:hAnsi="Times New Roman"/>
          <w:sz w:val="16"/>
          <w:szCs w:val="16"/>
          <w:color w:val="auto"/>
        </w:rPr>
        <w:t>Exhibit 10.1 to the Current Report on Form 8-K</w:t>
      </w:r>
    </w:p>
    <w:p>
      <w:pPr>
        <w:spacing w:after="0" w:line="1" w:lineRule="exact"/>
        <w:rPr>
          <w:sz w:val="20"/>
          <w:szCs w:val="20"/>
          <w:color w:val="auto"/>
        </w:rPr>
      </w:pPr>
    </w:p>
    <w:p>
      <w:pPr>
        <w:ind w:left="690"/>
        <w:spacing w:after="0"/>
        <w:rPr>
          <w:sz w:val="20"/>
          <w:szCs w:val="20"/>
          <w:color w:val="auto"/>
        </w:rPr>
      </w:pPr>
      <w:r>
        <w:rPr>
          <w:rFonts w:ascii="Times New Roman" w:cs="Times New Roman" w:eastAsia="Times New Roman" w:hAnsi="Times New Roman"/>
          <w:sz w:val="16"/>
          <w:szCs w:val="16"/>
          <w:color w:val="auto"/>
        </w:rPr>
        <w:t>filed on May 3, 2021).*</w:t>
      </w:r>
    </w:p>
    <w:p>
      <w:pPr>
        <w:spacing w:after="0" w:line="88" w:lineRule="exact"/>
        <w:rPr>
          <w:sz w:val="20"/>
          <w:szCs w:val="20"/>
          <w:color w:val="auto"/>
        </w:rPr>
      </w:pPr>
    </w:p>
    <w:p>
      <w:pPr>
        <w:ind w:left="10"/>
        <w:spacing w:after="0"/>
        <w:tabs>
          <w:tab w:leader="none" w:pos="669" w:val="left"/>
        </w:tabs>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u w:val="single" w:color="auto"/>
            <w:color w:val="0000FF"/>
          </w:rPr>
          <w:t>10.19</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Employment Agreement between Nasdaq,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492375" cy="662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90"/>
        <w:spacing w:after="0" w:line="203" w:lineRule="auto"/>
        <w:rPr>
          <w:sz w:val="20"/>
          <w:szCs w:val="20"/>
          <w:color w:val="auto"/>
        </w:rPr>
      </w:pPr>
      <w:r>
        <w:rPr>
          <w:rFonts w:ascii="Times New Roman" w:cs="Times New Roman" w:eastAsia="Times New Roman" w:hAnsi="Times New Roman"/>
          <w:sz w:val="16"/>
          <w:szCs w:val="16"/>
          <w:color w:val="auto"/>
        </w:rPr>
        <w:t>and Tal Cohen, dated as of March 10, 2025</w:t>
      </w:r>
    </w:p>
    <w:p>
      <w:pPr>
        <w:ind w:left="690"/>
        <w:spacing w:after="0" w:line="204" w:lineRule="auto"/>
        <w:rPr>
          <w:sz w:val="20"/>
          <w:szCs w:val="20"/>
          <w:color w:val="auto"/>
        </w:rPr>
      </w:pPr>
      <w:r>
        <w:rPr>
          <w:rFonts w:ascii="Times New Roman" w:cs="Times New Roman" w:eastAsia="Times New Roman" w:hAnsi="Times New Roman"/>
          <w:sz w:val="16"/>
          <w:szCs w:val="16"/>
          <w:color w:val="auto"/>
        </w:rPr>
        <w:t>(incorporated herein by reference to Exhibit 10.2</w:t>
      </w:r>
    </w:p>
    <w:p>
      <w:pPr>
        <w:ind w:left="690"/>
        <w:spacing w:after="0" w:line="203" w:lineRule="auto"/>
        <w:rPr>
          <w:sz w:val="20"/>
          <w:szCs w:val="20"/>
          <w:color w:val="auto"/>
        </w:rPr>
      </w:pPr>
      <w:r>
        <w:rPr>
          <w:rFonts w:ascii="Times New Roman" w:cs="Times New Roman" w:eastAsia="Times New Roman" w:hAnsi="Times New Roman"/>
          <w:sz w:val="16"/>
          <w:szCs w:val="16"/>
          <w:color w:val="auto"/>
        </w:rPr>
        <w:t>to the Company’s Quarterly Report on Form 10-</w:t>
      </w:r>
    </w:p>
    <w:p>
      <w:pPr>
        <w:ind w:left="690"/>
        <w:spacing w:after="0" w:line="204" w:lineRule="auto"/>
        <w:rPr>
          <w:sz w:val="20"/>
          <w:szCs w:val="20"/>
          <w:color w:val="auto"/>
        </w:rPr>
      </w:pPr>
      <w:r>
        <w:rPr>
          <w:rFonts w:ascii="Times New Roman" w:cs="Times New Roman" w:eastAsia="Times New Roman" w:hAnsi="Times New Roman"/>
          <w:sz w:val="16"/>
          <w:szCs w:val="16"/>
          <w:color w:val="auto"/>
        </w:rPr>
        <w:t>Q for the quarter ended March 31, 2025 filed on</w:t>
      </w:r>
    </w:p>
    <w:p>
      <w:pPr>
        <w:ind w:left="690"/>
        <w:spacing w:after="0"/>
        <w:rPr>
          <w:sz w:val="20"/>
          <w:szCs w:val="20"/>
          <w:color w:val="auto"/>
        </w:rPr>
      </w:pPr>
      <w:r>
        <w:rPr>
          <w:rFonts w:ascii="Times New Roman" w:cs="Times New Roman" w:eastAsia="Times New Roman" w:hAnsi="Times New Roman"/>
          <w:sz w:val="16"/>
          <w:szCs w:val="16"/>
          <w:color w:val="auto"/>
        </w:rPr>
        <w:t>April 28, 2025).*</w:t>
      </w:r>
    </w:p>
    <w:p>
      <w:pPr>
        <w:spacing w:after="0" w:line="100" w:lineRule="exact"/>
        <w:rPr>
          <w:sz w:val="20"/>
          <w:szCs w:val="20"/>
          <w:color w:val="auto"/>
        </w:rPr>
      </w:pPr>
    </w:p>
    <w:p>
      <w:pPr>
        <w:ind w:left="10"/>
        <w:spacing w:after="0"/>
        <w:tabs>
          <w:tab w:leader="none" w:pos="669" w:val="left"/>
        </w:tabs>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u w:val="single" w:color="auto"/>
            <w:color w:val="0000FF"/>
          </w:rPr>
          <w:t>10.20</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Employment Offer Letter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492375" cy="662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2492375" cy="662940"/>
                    </a:xfrm>
                    <a:prstGeom prst="rect">
                      <a:avLst/>
                    </a:prstGeom>
                    <a:noFill/>
                  </pic:spPr>
                </pic:pic>
              </a:graphicData>
            </a:graphic>
          </wp:anchor>
        </w:drawing>
      </w:r>
    </w:p>
    <w:p>
      <w:pPr>
        <w:ind w:left="690"/>
        <w:spacing w:after="0" w:line="203" w:lineRule="auto"/>
        <w:rPr>
          <w:sz w:val="20"/>
          <w:szCs w:val="20"/>
          <w:color w:val="auto"/>
        </w:rPr>
      </w:pPr>
      <w:r>
        <w:rPr>
          <w:rFonts w:ascii="Times New Roman" w:cs="Times New Roman" w:eastAsia="Times New Roman" w:hAnsi="Times New Roman"/>
          <w:sz w:val="16"/>
          <w:szCs w:val="16"/>
          <w:color w:val="auto"/>
        </w:rPr>
        <w:t>Nasdaq, Inc. and Sarah Youngwood, dated as of</w:t>
      </w:r>
    </w:p>
    <w:p>
      <w:pPr>
        <w:ind w:left="690"/>
        <w:spacing w:after="0" w:line="204" w:lineRule="auto"/>
        <w:rPr>
          <w:sz w:val="20"/>
          <w:szCs w:val="20"/>
          <w:color w:val="auto"/>
        </w:rPr>
      </w:pPr>
      <w:r>
        <w:rPr>
          <w:rFonts w:ascii="Times New Roman" w:cs="Times New Roman" w:eastAsia="Times New Roman" w:hAnsi="Times New Roman"/>
          <w:sz w:val="16"/>
          <w:szCs w:val="16"/>
          <w:color w:val="auto"/>
        </w:rPr>
        <w:t>August 31, 2023 (incorporated herein by</w:t>
      </w:r>
    </w:p>
    <w:p>
      <w:pPr>
        <w:ind w:left="690"/>
        <w:spacing w:after="0" w:line="203" w:lineRule="auto"/>
        <w:rPr>
          <w:sz w:val="20"/>
          <w:szCs w:val="20"/>
          <w:color w:val="auto"/>
        </w:rPr>
      </w:pPr>
      <w:r>
        <w:rPr>
          <w:rFonts w:ascii="Times New Roman" w:cs="Times New Roman" w:eastAsia="Times New Roman" w:hAnsi="Times New Roman"/>
          <w:sz w:val="16"/>
          <w:szCs w:val="16"/>
          <w:color w:val="auto"/>
        </w:rPr>
        <w:t>reference to Exhibit 10.2 to the Quarterly Report</w:t>
      </w:r>
    </w:p>
    <w:p>
      <w:pPr>
        <w:ind w:left="690"/>
        <w:spacing w:after="0" w:line="204" w:lineRule="auto"/>
        <w:rPr>
          <w:sz w:val="20"/>
          <w:szCs w:val="20"/>
          <w:color w:val="auto"/>
        </w:rPr>
      </w:pPr>
      <w:r>
        <w:rPr>
          <w:rFonts w:ascii="Times New Roman" w:cs="Times New Roman" w:eastAsia="Times New Roman" w:hAnsi="Times New Roman"/>
          <w:sz w:val="16"/>
          <w:szCs w:val="16"/>
          <w:color w:val="auto"/>
        </w:rPr>
        <w:t>on Form 10-Q for the quarter ended September</w:t>
      </w:r>
    </w:p>
    <w:p>
      <w:pPr>
        <w:ind w:left="690"/>
        <w:spacing w:after="0"/>
        <w:rPr>
          <w:sz w:val="20"/>
          <w:szCs w:val="20"/>
          <w:color w:val="auto"/>
        </w:rPr>
      </w:pPr>
      <w:r>
        <w:rPr>
          <w:rFonts w:ascii="Times New Roman" w:cs="Times New Roman" w:eastAsia="Times New Roman" w:hAnsi="Times New Roman"/>
          <w:sz w:val="16"/>
          <w:szCs w:val="16"/>
          <w:color w:val="auto"/>
        </w:rPr>
        <w:t>30, 2023 filed on November 3, 2023).*</w:t>
      </w:r>
    </w:p>
    <w:p>
      <w:pPr>
        <w:spacing w:after="0" w:line="100" w:lineRule="exact"/>
        <w:rPr>
          <w:sz w:val="20"/>
          <w:szCs w:val="20"/>
          <w:color w:val="auto"/>
        </w:rPr>
      </w:pPr>
    </w:p>
    <w:p>
      <w:pPr>
        <w:ind w:left="10"/>
        <w:spacing w:after="0"/>
        <w:tabs>
          <w:tab w:leader="none" w:pos="669" w:val="left"/>
        </w:tabs>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u w:val="single" w:color="auto"/>
            <w:color w:val="0000FF"/>
          </w:rPr>
          <w:t>10.21</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Nasdaq Change in Control Severance Plan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492375" cy="861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2492375" cy="861060"/>
                    </a:xfrm>
                    <a:prstGeom prst="rect">
                      <a:avLst/>
                    </a:prstGeom>
                    <a:noFill/>
                  </pic:spPr>
                </pic:pic>
              </a:graphicData>
            </a:graphic>
          </wp:anchor>
        </w:drawing>
      </w:r>
    </w:p>
    <w:p>
      <w:pPr>
        <w:ind w:left="690"/>
        <w:spacing w:after="0" w:line="203" w:lineRule="auto"/>
        <w:rPr>
          <w:sz w:val="20"/>
          <w:szCs w:val="20"/>
          <w:color w:val="auto"/>
        </w:rPr>
      </w:pPr>
      <w:r>
        <w:rPr>
          <w:rFonts w:ascii="Times New Roman" w:cs="Times New Roman" w:eastAsia="Times New Roman" w:hAnsi="Times New Roman"/>
          <w:sz w:val="16"/>
          <w:szCs w:val="16"/>
          <w:color w:val="auto"/>
        </w:rPr>
        <w:t>Non-CEO Presidents, Executive Vice Presidents</w:t>
      </w:r>
    </w:p>
    <w:p>
      <w:pPr>
        <w:ind w:left="690"/>
        <w:spacing w:after="0" w:line="204" w:lineRule="auto"/>
        <w:rPr>
          <w:sz w:val="20"/>
          <w:szCs w:val="20"/>
          <w:color w:val="auto"/>
        </w:rPr>
      </w:pPr>
      <w:r>
        <w:rPr>
          <w:rFonts w:ascii="Times New Roman" w:cs="Times New Roman" w:eastAsia="Times New Roman" w:hAnsi="Times New Roman"/>
          <w:sz w:val="16"/>
          <w:szCs w:val="16"/>
          <w:color w:val="auto"/>
        </w:rPr>
        <w:t>and Senior Vice Presidents, effective November</w:t>
      </w:r>
    </w:p>
    <w:p>
      <w:pPr>
        <w:ind w:left="690"/>
        <w:spacing w:after="0" w:line="203" w:lineRule="auto"/>
        <w:rPr>
          <w:sz w:val="20"/>
          <w:szCs w:val="20"/>
          <w:color w:val="auto"/>
        </w:rPr>
      </w:pPr>
      <w:r>
        <w:rPr>
          <w:rFonts w:ascii="Times New Roman" w:cs="Times New Roman" w:eastAsia="Times New Roman" w:hAnsi="Times New Roman"/>
          <w:sz w:val="16"/>
          <w:szCs w:val="16"/>
          <w:color w:val="auto"/>
        </w:rPr>
        <w:t>26, 2013, as amended December 6, 2022</w:t>
      </w:r>
    </w:p>
    <w:p>
      <w:pPr>
        <w:ind w:left="690"/>
        <w:spacing w:after="0" w:line="204" w:lineRule="auto"/>
        <w:rPr>
          <w:sz w:val="20"/>
          <w:szCs w:val="20"/>
          <w:color w:val="auto"/>
        </w:rPr>
      </w:pPr>
      <w:r>
        <w:rPr>
          <w:rFonts w:ascii="Times New Roman" w:cs="Times New Roman" w:eastAsia="Times New Roman" w:hAnsi="Times New Roman"/>
          <w:sz w:val="16"/>
          <w:szCs w:val="16"/>
          <w:color w:val="auto"/>
        </w:rPr>
        <w:t>(incorporated herein by reference to Exhibit</w:t>
      </w:r>
    </w:p>
    <w:p>
      <w:pPr>
        <w:ind w:left="690"/>
        <w:spacing w:after="0" w:line="203" w:lineRule="auto"/>
        <w:rPr>
          <w:sz w:val="20"/>
          <w:szCs w:val="20"/>
          <w:color w:val="auto"/>
        </w:rPr>
      </w:pPr>
      <w:r>
        <w:rPr>
          <w:rFonts w:ascii="Times New Roman" w:cs="Times New Roman" w:eastAsia="Times New Roman" w:hAnsi="Times New Roman"/>
          <w:sz w:val="16"/>
          <w:szCs w:val="16"/>
          <w:color w:val="auto"/>
        </w:rPr>
        <w:t>10.19 to the Annual Report on Form 10-K for</w:t>
      </w:r>
    </w:p>
    <w:p>
      <w:pPr>
        <w:ind w:left="690"/>
        <w:spacing w:after="0" w:line="204" w:lineRule="auto"/>
        <w:rPr>
          <w:sz w:val="20"/>
          <w:szCs w:val="20"/>
          <w:color w:val="auto"/>
        </w:rPr>
      </w:pPr>
      <w:r>
        <w:rPr>
          <w:rFonts w:ascii="Times New Roman" w:cs="Times New Roman" w:eastAsia="Times New Roman" w:hAnsi="Times New Roman"/>
          <w:sz w:val="16"/>
          <w:szCs w:val="16"/>
          <w:color w:val="auto"/>
        </w:rPr>
        <w:t>the year ended December 31, 2022, filed on</w:t>
      </w:r>
    </w:p>
    <w:p>
      <w:pPr>
        <w:ind w:left="690"/>
        <w:spacing w:after="0"/>
        <w:rPr>
          <w:sz w:val="20"/>
          <w:szCs w:val="20"/>
          <w:color w:val="auto"/>
        </w:rPr>
      </w:pPr>
      <w:r>
        <w:rPr>
          <w:rFonts w:ascii="Times New Roman" w:cs="Times New Roman" w:eastAsia="Times New Roman" w:hAnsi="Times New Roman"/>
          <w:sz w:val="16"/>
          <w:szCs w:val="16"/>
          <w:color w:val="auto"/>
        </w:rPr>
        <w:t>February 22, 2023).*</w:t>
      </w:r>
    </w:p>
    <w:p>
      <w:pPr>
        <w:spacing w:after="0" w:line="100" w:lineRule="exact"/>
        <w:rPr>
          <w:sz w:val="20"/>
          <w:szCs w:val="20"/>
          <w:color w:val="auto"/>
        </w:rPr>
      </w:pPr>
    </w:p>
    <w:p>
      <w:pPr>
        <w:ind w:left="10"/>
        <w:spacing w:after="0"/>
        <w:tabs>
          <w:tab w:leader="none" w:pos="669" w:val="left"/>
        </w:tabs>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u w:val="single" w:color="auto"/>
            <w:color w:val="0000FF"/>
          </w:rPr>
          <w:t>10.22</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Amended and Restated Credit Agreement,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492375" cy="7620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6">
                      <a:extLst>
                        <a:ext uri="{28A0092B-C50C-407E-A947-70E740481C1C}"/>
                      </a:extLst>
                    </a:blip>
                    <a:srcRect/>
                    <a:stretch>
                      <a:fillRect/>
                    </a:stretch>
                  </pic:blipFill>
                  <pic:spPr bwMode="auto">
                    <a:xfrm>
                      <a:off x="0" y="0"/>
                      <a:ext cx="2492375" cy="762000"/>
                    </a:xfrm>
                    <a:prstGeom prst="rect">
                      <a:avLst/>
                    </a:prstGeom>
                    <a:noFill/>
                  </pic:spPr>
                </pic:pic>
              </a:graphicData>
            </a:graphic>
          </wp:anchor>
        </w:drawing>
      </w:r>
    </w:p>
    <w:p>
      <w:pPr>
        <w:ind w:left="690"/>
        <w:spacing w:after="0" w:line="203" w:lineRule="auto"/>
        <w:rPr>
          <w:sz w:val="20"/>
          <w:szCs w:val="20"/>
          <w:color w:val="auto"/>
        </w:rPr>
      </w:pPr>
      <w:r>
        <w:rPr>
          <w:rFonts w:ascii="Times New Roman" w:cs="Times New Roman" w:eastAsia="Times New Roman" w:hAnsi="Times New Roman"/>
          <w:sz w:val="16"/>
          <w:szCs w:val="16"/>
          <w:color w:val="auto"/>
        </w:rPr>
        <w:t>as of December 16, 2022, among Nasdaq, Inc.,</w:t>
      </w:r>
    </w:p>
    <w:p>
      <w:pPr>
        <w:ind w:left="690"/>
        <w:spacing w:after="0" w:line="204" w:lineRule="auto"/>
        <w:rPr>
          <w:sz w:val="20"/>
          <w:szCs w:val="20"/>
          <w:color w:val="auto"/>
        </w:rPr>
      </w:pPr>
      <w:r>
        <w:rPr>
          <w:rFonts w:ascii="Times New Roman" w:cs="Times New Roman" w:eastAsia="Times New Roman" w:hAnsi="Times New Roman"/>
          <w:sz w:val="16"/>
          <w:szCs w:val="16"/>
          <w:color w:val="auto"/>
        </w:rPr>
        <w:t>the various lenders and issuing bank party</w:t>
      </w:r>
    </w:p>
    <w:p>
      <w:pPr>
        <w:ind w:left="690"/>
        <w:spacing w:after="0" w:line="203" w:lineRule="auto"/>
        <w:rPr>
          <w:sz w:val="20"/>
          <w:szCs w:val="20"/>
          <w:color w:val="auto"/>
        </w:rPr>
      </w:pPr>
      <w:r>
        <w:rPr>
          <w:rFonts w:ascii="Times New Roman" w:cs="Times New Roman" w:eastAsia="Times New Roman" w:hAnsi="Times New Roman"/>
          <w:sz w:val="16"/>
          <w:szCs w:val="16"/>
          <w:color w:val="auto"/>
        </w:rPr>
        <w:t>thereto and Bank of America, N.A., as</w:t>
      </w:r>
    </w:p>
    <w:p>
      <w:pPr>
        <w:ind w:left="690"/>
        <w:spacing w:after="0" w:line="204" w:lineRule="auto"/>
        <w:rPr>
          <w:sz w:val="20"/>
          <w:szCs w:val="20"/>
          <w:color w:val="auto"/>
        </w:rPr>
      </w:pPr>
      <w:r>
        <w:rPr>
          <w:rFonts w:ascii="Times New Roman" w:cs="Times New Roman" w:eastAsia="Times New Roman" w:hAnsi="Times New Roman"/>
          <w:sz w:val="16"/>
          <w:szCs w:val="16"/>
          <w:color w:val="auto"/>
        </w:rPr>
        <w:t>administrative agent (incorporated herein by</w:t>
      </w:r>
    </w:p>
    <w:p>
      <w:pPr>
        <w:ind w:left="690"/>
        <w:spacing w:after="0" w:line="203" w:lineRule="auto"/>
        <w:rPr>
          <w:sz w:val="20"/>
          <w:szCs w:val="20"/>
          <w:color w:val="auto"/>
        </w:rPr>
      </w:pPr>
      <w:r>
        <w:rPr>
          <w:rFonts w:ascii="Times New Roman" w:cs="Times New Roman" w:eastAsia="Times New Roman" w:hAnsi="Times New Roman"/>
          <w:sz w:val="16"/>
          <w:szCs w:val="16"/>
          <w:color w:val="auto"/>
        </w:rPr>
        <w:t>reference to Exhibit 10.1 to the Current Report</w:t>
      </w:r>
    </w:p>
    <w:p>
      <w:pPr>
        <w:spacing w:after="0" w:line="1" w:lineRule="exact"/>
        <w:rPr>
          <w:sz w:val="20"/>
          <w:szCs w:val="20"/>
          <w:color w:val="auto"/>
        </w:rPr>
      </w:pPr>
    </w:p>
    <w:p>
      <w:pPr>
        <w:ind w:left="690"/>
        <w:spacing w:after="0"/>
        <w:rPr>
          <w:sz w:val="20"/>
          <w:szCs w:val="20"/>
          <w:color w:val="auto"/>
        </w:rPr>
      </w:pPr>
      <w:r>
        <w:rPr>
          <w:rFonts w:ascii="Times New Roman" w:cs="Times New Roman" w:eastAsia="Times New Roman" w:hAnsi="Times New Roman"/>
          <w:sz w:val="16"/>
          <w:szCs w:val="16"/>
          <w:color w:val="auto"/>
        </w:rPr>
        <w:t>on Form 8-K filed on December 16, 2022).†</w:t>
      </w:r>
    </w:p>
    <w:p>
      <w:pPr>
        <w:spacing w:after="0" w:line="110" w:lineRule="exact"/>
        <w:rPr>
          <w:sz w:val="20"/>
          <w:szCs w:val="20"/>
          <w:color w:val="auto"/>
        </w:rPr>
      </w:pPr>
    </w:p>
    <w:p>
      <w:pPr>
        <w:ind w:left="10"/>
        <w:spacing w:after="0"/>
        <w:tabs>
          <w:tab w:leader="none" w:pos="669" w:val="left"/>
        </w:tabs>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u w:val="single" w:color="auto"/>
            <w:color w:val="0000FF"/>
          </w:rPr>
          <w:t>10.23</w:t>
        </w:r>
      </w:hyperlink>
      <w:r>
        <w:rPr>
          <w:rFonts w:ascii="Times New Roman" w:cs="Times New Roman" w:eastAsia="Times New Roman" w:hAnsi="Times New Roman"/>
          <w:sz w:val="16"/>
          <w:szCs w:val="16"/>
          <w:color w:val="0000FF"/>
        </w:rPr>
        <w:tab/>
      </w:r>
      <w:r>
        <w:rPr>
          <w:rFonts w:ascii="Times New Roman" w:cs="Times New Roman" w:eastAsia="Times New Roman" w:hAnsi="Times New Roman"/>
          <w:sz w:val="14"/>
          <w:szCs w:val="14"/>
          <w:color w:val="0000FF"/>
        </w:rPr>
        <w:t>Amendment No. 1 to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2492375" cy="121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2492375" cy="121920"/>
                    </a:xfrm>
                    <a:prstGeom prst="rect">
                      <a:avLst/>
                    </a:prstGeom>
                    <a:noFill/>
                  </pic:spPr>
                </pic:pic>
              </a:graphicData>
            </a:graphic>
          </wp:anchor>
        </w:drawing>
      </w:r>
    </w:p>
    <w:p>
      <w:pPr>
        <w:spacing w:after="0" w:line="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2492375" cy="1776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2492375" cy="1776095"/>
                    </a:xfrm>
                    <a:prstGeom prst="rect">
                      <a:avLst/>
                    </a:prstGeom>
                    <a:noFill/>
                  </pic:spPr>
                </pic:pic>
              </a:graphicData>
            </a:graphic>
          </wp:anchor>
        </w:drawing>
      </w:r>
    </w:p>
    <w:p>
      <w:pPr>
        <w:ind w:left="690" w:right="5660" w:hanging="678"/>
        <w:spacing w:after="0"/>
        <w:tabs>
          <w:tab w:leader="none" w:pos="69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the Nasdaq, Inc. Annual Report on Form 10-K for the year ended December 31, 2025, formatted in iXBRL (Inline eXtensible Business Reporting Language): (i) Consolidated Balance Sheets as of December 31, 2025 and December 31, 2024; (ii) Consolidated Statements of Income for the years ended December 31, 2025, 2024 and 2023 (iii) Consolidated Statements of Comprehensive Income for the years ended December 31, 2025, 2024 and 2023; (iv) Consolidated Statements of Changes in Stockholders’ Equity for the years ended December 31, 2025, 2024 and 2023; (v) Consolidated Statements of Cash Flows for the years ended December 31, 2025, 2024 and 2023; and (vi) notes to consolidated financial statements.</w:t>
      </w:r>
    </w:p>
    <w:p>
      <w:pPr>
        <w:spacing w:after="0" w:line="200" w:lineRule="exact"/>
        <w:rPr>
          <w:sz w:val="20"/>
          <w:szCs w:val="20"/>
          <w:color w:val="auto"/>
        </w:rPr>
      </w:pPr>
    </w:p>
    <w:p>
      <w:pPr>
        <w:spacing w:after="0" w:line="212" w:lineRule="exact"/>
        <w:rPr>
          <w:sz w:val="20"/>
          <w:szCs w:val="20"/>
          <w:color w:val="auto"/>
        </w:rPr>
      </w:pPr>
    </w:p>
    <w:p>
      <w:pPr>
        <w:ind w:left="690" w:right="5820" w:hanging="678"/>
        <w:spacing w:after="0" w:line="234" w:lineRule="auto"/>
        <w:tabs>
          <w:tab w:leader="none" w:pos="69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in iXBRL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-219075</wp:posOffset>
            </wp:positionV>
            <wp:extent cx="2492375" cy="2514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2492375" cy="251460"/>
                    </a:xfrm>
                    <a:prstGeom prst="rect">
                      <a:avLst/>
                    </a:prstGeom>
                    <a:noFill/>
                  </pic:spPr>
                </pic:pic>
              </a:graphicData>
            </a:graphic>
          </wp:anchor>
        </w:drawing>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1"/>
          <w:szCs w:val="11"/>
          <w:color w:val="auto"/>
        </w:rPr>
        <w:t>____________</w:t>
      </w:r>
    </w:p>
    <w:p>
      <w:pPr>
        <w:ind w:left="10" w:right="6200" w:hanging="10"/>
        <w:spacing w:after="0" w:line="203" w:lineRule="auto"/>
        <w:tabs>
          <w:tab w:leader="none" w:pos="29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ind w:left="10" w:right="618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Schedules have been omitted pursuant to Items 601(b)(2)(ii) or 601(b)(10)(iv) of Regulation S-K.</w:t>
      </w: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Exhibits:</w:t>
      </w:r>
    </w:p>
    <w:p>
      <w:pPr>
        <w:ind w:left="29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Item 15(a)(3) above.</w:t>
      </w: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  Financial Statement Schedules:</w:t>
      </w:r>
    </w:p>
    <w:p>
      <w:pPr>
        <w:ind w:left="10" w:right="5540" w:firstLine="288"/>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schedules are omitted because they are not applicable or the required information is included in the consolidated financial statements or notes.</w:t>
      </w:r>
    </w:p>
    <w:p>
      <w:pPr>
        <w:spacing w:after="0" w:line="1" w:lineRule="exact"/>
        <w:rPr>
          <w:rFonts w:ascii="Times New Roman" w:cs="Times New Roman" w:eastAsia="Times New Roman" w:hAnsi="Times New Roman"/>
          <w:sz w:val="16"/>
          <w:szCs w:val="16"/>
          <w:color w:val="auto"/>
        </w:rPr>
      </w:pPr>
    </w:p>
    <w:p>
      <w:pPr>
        <w:ind w:left="10" w:right="7380"/>
        <w:spacing w:after="0" w:line="22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92BC"/>
        </w:rPr>
        <w:t xml:space="preserve">Item 16. Form 10-K Summary </w:t>
      </w:r>
      <w:r>
        <w:rPr>
          <w:rFonts w:ascii="Times New Roman" w:cs="Times New Roman" w:eastAsia="Times New Roman" w:hAnsi="Times New Roman"/>
          <w:sz w:val="16"/>
          <w:szCs w:val="16"/>
          <w:color w:val="000000"/>
        </w:rPr>
        <w:t>None.</w:t>
      </w:r>
    </w:p>
    <w:p>
      <w:pPr>
        <w:sectPr>
          <w:pgSz w:w="11900" w:h="16840" w:orient="portrait"/>
          <w:cols w:equalWidth="0" w:num="1">
            <w:col w:w="9410"/>
          </w:cols>
          <w:pgMar w:left="1050" w:top="547" w:right="1440" w:bottom="956"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rFonts w:ascii="Times New Roman" w:cs="Times New Roman" w:eastAsia="Times New Roman" w:hAnsi="Times New Roman"/>
          <w:sz w:val="16"/>
          <w:szCs w:val="16"/>
          <w:color w:val="auto"/>
        </w:rPr>
      </w:pPr>
      <w:hyperlink w:anchor="page1">
        <w:r>
          <w:rPr>
            <w:rFonts w:ascii="Times New Roman" w:cs="Times New Roman" w:eastAsia="Times New Roman" w:hAnsi="Times New Roman"/>
            <w:sz w:val="16"/>
            <w:szCs w:val="16"/>
            <w:color w:val="auto"/>
          </w:rPr>
          <w:t>64</w:t>
        </w:r>
      </w:hyperlink>
    </w:p>
    <w:p>
      <w:pPr>
        <w:spacing w:after="0" w:line="203" w:lineRule="auto"/>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auto"/>
        <w:rPr>
          <w:sz w:val="20"/>
          <w:szCs w:val="20"/>
          <w:color w:val="auto"/>
        </w:rPr>
      </w:pPr>
      <w:r>
        <w:rPr>
          <w:rFonts w:ascii="Times New Roman" w:cs="Times New Roman" w:eastAsia="Times New Roman" w:hAnsi="Times New Roman"/>
          <w:sz w:val="16"/>
          <w:szCs w:val="16"/>
          <w:color w:val="auto"/>
        </w:rPr>
        <w:t>Pursuant to the requirements of Section 13 or 15(d) of the</w:t>
      </w:r>
    </w:p>
    <w:p>
      <w:pPr>
        <w:spacing w:after="0" w:line="203" w:lineRule="auto"/>
        <w:rPr>
          <w:sz w:val="20"/>
          <w:szCs w:val="20"/>
          <w:color w:val="auto"/>
        </w:rPr>
      </w:pPr>
      <w:r>
        <w:rPr>
          <w:rFonts w:ascii="Times New Roman" w:cs="Times New Roman" w:eastAsia="Times New Roman" w:hAnsi="Times New Roman"/>
          <w:sz w:val="16"/>
          <w:szCs w:val="16"/>
          <w:color w:val="auto"/>
        </w:rPr>
        <w:t>Securities Exchange Act of 1934, the registrant has duly</w:t>
      </w:r>
    </w:p>
    <w:p>
      <w:pPr>
        <w:spacing w:after="0" w:line="204" w:lineRule="auto"/>
        <w:rPr>
          <w:sz w:val="20"/>
          <w:szCs w:val="20"/>
          <w:color w:val="auto"/>
        </w:rPr>
      </w:pPr>
      <w:r>
        <w:rPr>
          <w:rFonts w:ascii="Times New Roman" w:cs="Times New Roman" w:eastAsia="Times New Roman" w:hAnsi="Times New Roman"/>
          <w:sz w:val="16"/>
          <w:szCs w:val="16"/>
          <w:color w:val="auto"/>
        </w:rPr>
        <w:t>caused this report to be signed on its behalf by the</w:t>
      </w:r>
    </w:p>
    <w:p>
      <w:pPr>
        <w:spacing w:after="0" w:line="203" w:lineRule="auto"/>
        <w:rPr>
          <w:sz w:val="20"/>
          <w:szCs w:val="20"/>
          <w:color w:val="auto"/>
        </w:rPr>
      </w:pPr>
      <w:r>
        <w:rPr>
          <w:rFonts w:ascii="Times New Roman" w:cs="Times New Roman" w:eastAsia="Times New Roman" w:hAnsi="Times New Roman"/>
          <w:sz w:val="16"/>
          <w:szCs w:val="16"/>
          <w:color w:val="auto"/>
        </w:rPr>
        <w:t>undersigned, thereunto duly authorized, on February 12,</w:t>
      </w:r>
    </w:p>
    <w:p>
      <w:pPr>
        <w:spacing w:after="0" w:line="219" w:lineRule="auto"/>
        <w:rPr>
          <w:sz w:val="20"/>
          <w:szCs w:val="20"/>
          <w:color w:val="auto"/>
        </w:rPr>
      </w:pPr>
      <w:r>
        <w:rPr>
          <w:rFonts w:ascii="Times New Roman" w:cs="Times New Roman" w:eastAsia="Times New Roman" w:hAnsi="Times New Roman"/>
          <w:sz w:val="16"/>
          <w:szCs w:val="16"/>
          <w:color w:val="auto"/>
        </w:rPr>
        <w:t>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Nasdaq,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Adena T. Friedman</w:t>
            </w:r>
          </w:p>
        </w:tc>
        <w:tc>
          <w:tcPr>
            <w:tcW w:w="0" w:type="dxa"/>
            <w:vAlign w:val="bottom"/>
          </w:tcPr>
          <w:p>
            <w:pPr>
              <w:spacing w:after="0"/>
              <w:rPr>
                <w:sz w:val="1"/>
                <w:szCs w:val="1"/>
                <w:color w:val="auto"/>
              </w:rPr>
            </w:pPr>
          </w:p>
        </w:tc>
      </w:tr>
      <w:tr>
        <w:trPr>
          <w:trHeight w:val="50"/>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980" w:type="dxa"/>
            <w:vAlign w:val="bottom"/>
            <w:vMerge w:val="continue"/>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Adena T. Friedman</w:t>
            </w: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c>
          <w:tcPr>
            <w:tcW w:w="0" w:type="dxa"/>
            <w:vAlign w:val="bottom"/>
          </w:tcPr>
          <w:p>
            <w:pPr>
              <w:spacing w:after="0"/>
              <w:rPr>
                <w:sz w:val="1"/>
                <w:szCs w:val="1"/>
                <w:color w:val="auto"/>
              </w:rPr>
            </w:pP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12, 2026</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w:t>
      </w:r>
    </w:p>
    <w:p>
      <w:pPr>
        <w:spacing w:after="0" w:line="203" w:lineRule="auto"/>
        <w:rPr>
          <w:sz w:val="20"/>
          <w:szCs w:val="20"/>
          <w:color w:val="auto"/>
        </w:rPr>
      </w:pPr>
      <w:r>
        <w:rPr>
          <w:rFonts w:ascii="Times New Roman" w:cs="Times New Roman" w:eastAsia="Times New Roman" w:hAnsi="Times New Roman"/>
          <w:sz w:val="16"/>
          <w:szCs w:val="16"/>
          <w:color w:val="auto"/>
        </w:rPr>
        <w:t>of 1934, this report has been signed below by the following</w:t>
      </w:r>
    </w:p>
    <w:p>
      <w:pPr>
        <w:spacing w:after="0" w:line="204" w:lineRule="auto"/>
        <w:rPr>
          <w:sz w:val="20"/>
          <w:szCs w:val="20"/>
          <w:color w:val="auto"/>
        </w:rPr>
      </w:pPr>
      <w:r>
        <w:rPr>
          <w:rFonts w:ascii="Times New Roman" w:cs="Times New Roman" w:eastAsia="Times New Roman" w:hAnsi="Times New Roman"/>
          <w:sz w:val="16"/>
          <w:szCs w:val="16"/>
          <w:color w:val="auto"/>
        </w:rPr>
        <w:t>persons on behalf of the registrant and in the capacities</w:t>
      </w:r>
    </w:p>
    <w:p>
      <w:pPr>
        <w:spacing w:after="0"/>
        <w:rPr>
          <w:sz w:val="20"/>
          <w:szCs w:val="20"/>
          <w:color w:val="auto"/>
        </w:rPr>
      </w:pPr>
      <w:r>
        <w:rPr>
          <w:rFonts w:ascii="Times New Roman" w:cs="Times New Roman" w:eastAsia="Times New Roman" w:hAnsi="Times New Roman"/>
          <w:sz w:val="16"/>
          <w:szCs w:val="16"/>
          <w:color w:val="auto"/>
        </w:rPr>
        <w:t>indicated as of February 12, 2026.</w:t>
      </w:r>
    </w:p>
    <w:p>
      <w:pPr>
        <w:sectPr>
          <w:pgSz w:w="11900" w:h="16840" w:orient="portrait"/>
          <w:cols w:equalWidth="0" w:num="1">
            <w:col w:w="9400"/>
          </w:cols>
          <w:pgMar w:left="1060" w:top="1440"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Adena T. Friedman</w:t>
            </w:r>
          </w:p>
        </w:tc>
        <w:tc>
          <w:tcPr>
            <w:tcW w:w="0" w:type="dxa"/>
            <w:vAlign w:val="bottom"/>
          </w:tcPr>
          <w:p>
            <w:pPr>
              <w:spacing w:after="0"/>
              <w:rPr>
                <w:sz w:val="1"/>
                <w:szCs w:val="1"/>
                <w:color w:val="auto"/>
              </w:rPr>
            </w:pPr>
          </w:p>
        </w:tc>
      </w:tr>
      <w:tr>
        <w:trPr>
          <w:trHeight w:val="50"/>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980" w:type="dxa"/>
            <w:vAlign w:val="bottom"/>
            <w:vMerge w:val="continue"/>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Adena T. Friedman</w:t>
            </w:r>
          </w:p>
        </w:tc>
        <w:tc>
          <w:tcPr>
            <w:tcW w:w="0" w:type="dxa"/>
            <w:vAlign w:val="bottom"/>
          </w:tcPr>
          <w:p>
            <w:pPr>
              <w:spacing w:after="0"/>
              <w:rPr>
                <w:sz w:val="1"/>
                <w:szCs w:val="1"/>
                <w:color w:val="auto"/>
              </w:rPr>
            </w:pPr>
          </w:p>
        </w:tc>
      </w:tr>
      <w:tr>
        <w:trPr>
          <w:trHeight w:val="167"/>
        </w:trPr>
        <w:tc>
          <w:tcPr>
            <w:tcW w:w="98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Title:</w:t>
            </w:r>
          </w:p>
        </w:tc>
        <w:tc>
          <w:tcPr>
            <w:tcW w:w="30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Chief Executive Officer and</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 of the Board</w:t>
            </w:r>
          </w:p>
        </w:tc>
        <w:tc>
          <w:tcPr>
            <w:tcW w:w="0" w:type="dxa"/>
            <w:vAlign w:val="bottom"/>
          </w:tcPr>
          <w:p>
            <w:pPr>
              <w:spacing w:after="0"/>
              <w:rPr>
                <w:sz w:val="1"/>
                <w:szCs w:val="1"/>
                <w:color w:val="auto"/>
              </w:rPr>
            </w:pPr>
          </w:p>
        </w:tc>
      </w:tr>
      <w:tr>
        <w:trPr>
          <w:trHeight w:val="287"/>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Sarah Youngwood</w:t>
            </w:r>
          </w:p>
        </w:tc>
        <w:tc>
          <w:tcPr>
            <w:tcW w:w="0" w:type="dxa"/>
            <w:vAlign w:val="bottom"/>
          </w:tcPr>
          <w:p>
            <w:pPr>
              <w:spacing w:after="0"/>
              <w:rPr>
                <w:sz w:val="1"/>
                <w:szCs w:val="1"/>
                <w:color w:val="auto"/>
              </w:rPr>
            </w:pPr>
          </w:p>
        </w:tc>
      </w:tr>
      <w:tr>
        <w:trPr>
          <w:trHeight w:val="50"/>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980" w:type="dxa"/>
            <w:vAlign w:val="bottom"/>
            <w:vMerge w:val="continue"/>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Sarah Youngwood</w:t>
            </w:r>
          </w:p>
        </w:tc>
        <w:tc>
          <w:tcPr>
            <w:tcW w:w="0" w:type="dxa"/>
            <w:vAlign w:val="bottom"/>
          </w:tcPr>
          <w:p>
            <w:pPr>
              <w:spacing w:after="0"/>
              <w:rPr>
                <w:sz w:val="1"/>
                <w:szCs w:val="1"/>
                <w:color w:val="auto"/>
              </w:rPr>
            </w:pPr>
          </w:p>
        </w:tc>
      </w:tr>
      <w:tr>
        <w:trPr>
          <w:trHeight w:val="159"/>
        </w:trPr>
        <w:tc>
          <w:tcPr>
            <w:tcW w:w="98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Title:</w:t>
            </w:r>
          </w:p>
        </w:tc>
        <w:tc>
          <w:tcPr>
            <w:tcW w:w="30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Executive Vice President and</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Michelle Daly</w:t>
            </w:r>
          </w:p>
        </w:tc>
        <w:tc>
          <w:tcPr>
            <w:tcW w:w="0" w:type="dxa"/>
            <w:vAlign w:val="bottom"/>
          </w:tcPr>
          <w:p>
            <w:pPr>
              <w:spacing w:after="0"/>
              <w:rPr>
                <w:sz w:val="1"/>
                <w:szCs w:val="1"/>
                <w:color w:val="auto"/>
              </w:rPr>
            </w:pPr>
          </w:p>
        </w:tc>
      </w:tr>
      <w:tr>
        <w:trPr>
          <w:trHeight w:val="3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vMerge w:val="continue"/>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Michelle Daly</w:t>
            </w:r>
          </w:p>
        </w:tc>
        <w:tc>
          <w:tcPr>
            <w:tcW w:w="0" w:type="dxa"/>
            <w:vAlign w:val="bottom"/>
          </w:tcPr>
          <w:p>
            <w:pPr>
              <w:spacing w:after="0"/>
              <w:rPr>
                <w:sz w:val="1"/>
                <w:szCs w:val="1"/>
                <w:color w:val="auto"/>
              </w:rPr>
            </w:pPr>
          </w:p>
        </w:tc>
      </w:tr>
      <w:tr>
        <w:trPr>
          <w:trHeight w:val="159"/>
        </w:trPr>
        <w:tc>
          <w:tcPr>
            <w:tcW w:w="98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Title:</w:t>
            </w:r>
          </w:p>
        </w:tc>
        <w:tc>
          <w:tcPr>
            <w:tcW w:w="30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Senior Vice President, Controller and</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980" w:type="dxa"/>
            <w:vAlign w:val="bottom"/>
            <w:vMerge w:val="continue"/>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Melissa M. Arnoldi</w:t>
            </w:r>
          </w:p>
        </w:tc>
        <w:tc>
          <w:tcPr>
            <w:tcW w:w="0" w:type="dxa"/>
            <w:vAlign w:val="bottom"/>
          </w:tcPr>
          <w:p>
            <w:pPr>
              <w:spacing w:after="0"/>
              <w:rPr>
                <w:sz w:val="1"/>
                <w:szCs w:val="1"/>
                <w:color w:val="auto"/>
              </w:rPr>
            </w:pPr>
          </w:p>
        </w:tc>
      </w:t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F-1</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Nasdaq, Inc.</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rPr>
          <w:sz w:val="20"/>
          <w:szCs w:val="20"/>
          <w:color w:val="auto"/>
        </w:rPr>
      </w:pPr>
      <w:r>
        <w:rPr>
          <w:rFonts w:ascii="Times New Roman" w:cs="Times New Roman" w:eastAsia="Times New Roman" w:hAnsi="Times New Roman"/>
          <w:sz w:val="14"/>
          <w:szCs w:val="14"/>
          <w:color w:val="auto"/>
        </w:rPr>
        <w:t>The following consolidated financial statements of Nasdaq, Inc. and its subsidiaries are presented herein on the page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rFonts w:ascii="Times New Roman" w:cs="Times New Roman" w:eastAsia="Times New Roman" w:hAnsi="Times New Roman"/>
                <w:sz w:val="16"/>
                <w:szCs w:val="16"/>
                <w:color w:val="0000FF"/>
              </w:rPr>
            </w:pPr>
            <w:hyperlink w:anchor="page58">
              <w:r>
                <w:rPr>
                  <w:rFonts w:ascii="Times New Roman" w:cs="Times New Roman" w:eastAsia="Times New Roman" w:hAnsi="Times New Roman"/>
                  <w:sz w:val="16"/>
                  <w:szCs w:val="16"/>
                  <w:color w:val="0000FF"/>
                </w:rPr>
                <w:t xml:space="preserve">Report of Independent Registered Public Accounting Firm </w:t>
              </w:r>
            </w:hyperlink>
            <w:r>
              <w:rPr>
                <w:rFonts w:ascii="Times New Roman" w:cs="Times New Roman" w:eastAsia="Times New Roman" w:hAnsi="Times New Roman"/>
                <w:sz w:val="16"/>
                <w:szCs w:val="16"/>
                <w:color w:val="000000"/>
              </w:rPr>
              <w:t>(PCAOB</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ID 42)</w:t>
            </w:r>
          </w:p>
        </w:tc>
        <w:tc>
          <w:tcPr>
            <w:tcW w:w="1560" w:type="dxa"/>
            <w:vAlign w:val="bottom"/>
          </w:tcPr>
          <w:p>
            <w:pPr>
              <w:ind w:left="1340"/>
              <w:spacing w:after="0"/>
              <w:rPr>
                <w:rFonts w:ascii="Times New Roman" w:cs="Times New Roman" w:eastAsia="Times New Roman" w:hAnsi="Times New Roman"/>
                <w:sz w:val="16"/>
                <w:szCs w:val="16"/>
                <w:color w:val="3051F2"/>
                <w:w w:val="89"/>
              </w:rPr>
            </w:pPr>
            <w:r>
              <w:rPr>
                <w:rFonts w:ascii="Times New Roman" w:cs="Times New Roman" w:eastAsia="Times New Roman" w:hAnsi="Times New Roman"/>
                <w:sz w:val="16"/>
                <w:szCs w:val="16"/>
                <w:color w:val="3051F2"/>
                <w:w w:val="89"/>
              </w:rPr>
              <w:t>F-</w:t>
            </w:r>
            <w:hyperlink w:anchor="page58">
              <w:r>
                <w:rPr>
                  <w:rFonts w:ascii="Times New Roman" w:cs="Times New Roman" w:eastAsia="Times New Roman" w:hAnsi="Times New Roman"/>
                  <w:sz w:val="16"/>
                  <w:szCs w:val="16"/>
                  <w:color w:val="3051F2"/>
                  <w:w w:val="89"/>
                </w:rPr>
                <w:t>2</w:t>
              </w:r>
            </w:hyperlink>
          </w:p>
        </w:tc>
      </w:tr>
      <w:tr>
        <w:trPr>
          <w:trHeight w:val="228"/>
        </w:trPr>
        <w:tc>
          <w:tcPr>
            <w:tcW w:w="6080" w:type="dxa"/>
            <w:vAlign w:val="bottom"/>
          </w:tcPr>
          <w:p>
            <w:pPr>
              <w:spacing w:after="0"/>
              <w:rPr>
                <w:rFonts w:ascii="Times New Roman" w:cs="Times New Roman" w:eastAsia="Times New Roman" w:hAnsi="Times New Roman"/>
                <w:sz w:val="16"/>
                <w:szCs w:val="16"/>
                <w:color w:val="0000FF"/>
              </w:rPr>
            </w:pPr>
            <w:hyperlink w:anchor="page59">
              <w:r>
                <w:rPr>
                  <w:rFonts w:ascii="Times New Roman" w:cs="Times New Roman" w:eastAsia="Times New Roman" w:hAnsi="Times New Roman"/>
                  <w:sz w:val="16"/>
                  <w:szCs w:val="16"/>
                  <w:color w:val="0000FF"/>
                </w:rPr>
                <w:t>Consolidated Balance Sheets</w:t>
              </w:r>
            </w:hyperlink>
          </w:p>
        </w:tc>
        <w:tc>
          <w:tcPr>
            <w:tcW w:w="1560" w:type="dxa"/>
            <w:vAlign w:val="bottom"/>
          </w:tcPr>
          <w:p>
            <w:pPr>
              <w:ind w:left="1340"/>
              <w:spacing w:after="0"/>
              <w:rPr>
                <w:rFonts w:ascii="Times New Roman" w:cs="Times New Roman" w:eastAsia="Times New Roman" w:hAnsi="Times New Roman"/>
                <w:sz w:val="16"/>
                <w:szCs w:val="16"/>
                <w:color w:val="3051F2"/>
                <w:w w:val="89"/>
              </w:rPr>
            </w:pPr>
            <w:r>
              <w:rPr>
                <w:rFonts w:ascii="Times New Roman" w:cs="Times New Roman" w:eastAsia="Times New Roman" w:hAnsi="Times New Roman"/>
                <w:sz w:val="16"/>
                <w:szCs w:val="16"/>
                <w:color w:val="3051F2"/>
                <w:w w:val="89"/>
              </w:rPr>
              <w:t>F-</w:t>
            </w:r>
            <w:hyperlink w:anchor="page59">
              <w:r>
                <w:rPr>
                  <w:rFonts w:ascii="Times New Roman" w:cs="Times New Roman" w:eastAsia="Times New Roman" w:hAnsi="Times New Roman"/>
                  <w:sz w:val="16"/>
                  <w:szCs w:val="16"/>
                  <w:color w:val="3051F2"/>
                  <w:w w:val="89"/>
                </w:rPr>
                <w:t>4</w:t>
              </w:r>
            </w:hyperlink>
          </w:p>
        </w:tc>
      </w:tr>
      <w:tr>
        <w:trPr>
          <w:trHeight w:val="228"/>
        </w:trPr>
        <w:tc>
          <w:tcPr>
            <w:tcW w:w="6080" w:type="dxa"/>
            <w:vAlign w:val="bottom"/>
          </w:tcPr>
          <w:p>
            <w:pPr>
              <w:spacing w:after="0"/>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Consolidated Statements of Income</w:t>
              </w:r>
            </w:hyperlink>
          </w:p>
        </w:tc>
        <w:tc>
          <w:tcPr>
            <w:tcW w:w="1560" w:type="dxa"/>
            <w:vAlign w:val="bottom"/>
          </w:tcPr>
          <w:p>
            <w:pPr>
              <w:ind w:left="1340"/>
              <w:spacing w:after="0"/>
              <w:rPr>
                <w:rFonts w:ascii="Times New Roman" w:cs="Times New Roman" w:eastAsia="Times New Roman" w:hAnsi="Times New Roman"/>
                <w:sz w:val="16"/>
                <w:szCs w:val="16"/>
                <w:color w:val="3051F2"/>
                <w:w w:val="89"/>
              </w:rPr>
            </w:pPr>
            <w:r>
              <w:rPr>
                <w:rFonts w:ascii="Times New Roman" w:cs="Times New Roman" w:eastAsia="Times New Roman" w:hAnsi="Times New Roman"/>
                <w:sz w:val="16"/>
                <w:szCs w:val="16"/>
                <w:color w:val="3051F2"/>
                <w:w w:val="89"/>
              </w:rPr>
              <w:t>F-</w:t>
            </w:r>
            <w:hyperlink w:anchor="page60">
              <w:r>
                <w:rPr>
                  <w:rFonts w:ascii="Times New Roman" w:cs="Times New Roman" w:eastAsia="Times New Roman" w:hAnsi="Times New Roman"/>
                  <w:sz w:val="16"/>
                  <w:szCs w:val="16"/>
                  <w:color w:val="3051F2"/>
                  <w:w w:val="89"/>
                </w:rPr>
                <w:t>5</w:t>
              </w:r>
            </w:hyperlink>
          </w:p>
        </w:tc>
      </w:tr>
      <w:tr>
        <w:trPr>
          <w:trHeight w:val="228"/>
        </w:trPr>
        <w:tc>
          <w:tcPr>
            <w:tcW w:w="6080" w:type="dxa"/>
            <w:vAlign w:val="bottom"/>
          </w:tcPr>
          <w:p>
            <w:pPr>
              <w:spacing w:after="0"/>
              <w:rPr>
                <w:rFonts w:ascii="Times New Roman" w:cs="Times New Roman" w:eastAsia="Times New Roman" w:hAnsi="Times New Roman"/>
                <w:sz w:val="16"/>
                <w:szCs w:val="16"/>
                <w:color w:val="0000FF"/>
              </w:rPr>
            </w:pPr>
            <w:hyperlink w:anchor="page61">
              <w:r>
                <w:rPr>
                  <w:rFonts w:ascii="Times New Roman" w:cs="Times New Roman" w:eastAsia="Times New Roman" w:hAnsi="Times New Roman"/>
                  <w:sz w:val="16"/>
                  <w:szCs w:val="16"/>
                  <w:color w:val="0000FF"/>
                </w:rPr>
                <w:t>Consolidated Statements of Comprehensive Income</w:t>
              </w:r>
            </w:hyperlink>
          </w:p>
        </w:tc>
        <w:tc>
          <w:tcPr>
            <w:tcW w:w="1560" w:type="dxa"/>
            <w:vAlign w:val="bottom"/>
          </w:tcPr>
          <w:p>
            <w:pPr>
              <w:ind w:left="1340"/>
              <w:spacing w:after="0"/>
              <w:rPr>
                <w:rFonts w:ascii="Times New Roman" w:cs="Times New Roman" w:eastAsia="Times New Roman" w:hAnsi="Times New Roman"/>
                <w:sz w:val="16"/>
                <w:szCs w:val="16"/>
                <w:color w:val="3051F2"/>
                <w:w w:val="89"/>
              </w:rPr>
            </w:pPr>
            <w:r>
              <w:rPr>
                <w:rFonts w:ascii="Times New Roman" w:cs="Times New Roman" w:eastAsia="Times New Roman" w:hAnsi="Times New Roman"/>
                <w:sz w:val="16"/>
                <w:szCs w:val="16"/>
                <w:color w:val="3051F2"/>
                <w:w w:val="89"/>
              </w:rPr>
              <w:t>F-</w:t>
            </w:r>
            <w:hyperlink w:anchor="page61">
              <w:r>
                <w:rPr>
                  <w:rFonts w:ascii="Times New Roman" w:cs="Times New Roman" w:eastAsia="Times New Roman" w:hAnsi="Times New Roman"/>
                  <w:sz w:val="16"/>
                  <w:szCs w:val="16"/>
                  <w:color w:val="3051F2"/>
                  <w:w w:val="89"/>
                </w:rPr>
                <w:t>6</w:t>
              </w:r>
            </w:hyperlink>
          </w:p>
        </w:tc>
      </w:tr>
      <w:tr>
        <w:trPr>
          <w:trHeight w:val="228"/>
        </w:trPr>
        <w:tc>
          <w:tcPr>
            <w:tcW w:w="6080" w:type="dxa"/>
            <w:vAlign w:val="bottom"/>
          </w:tcPr>
          <w:p>
            <w:pPr>
              <w:spacing w:after="0"/>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color w:val="0000FF"/>
                </w:rPr>
                <w:t>Consolidated Statements of Changes in Stockholders</w:t>
              </w:r>
            </w:hyperlink>
            <w:r>
              <w:rPr>
                <w:rFonts w:ascii="Times New Roman" w:cs="Times New Roman" w:eastAsia="Times New Roman" w:hAnsi="Times New Roman"/>
                <w:sz w:val="16"/>
                <w:szCs w:val="16"/>
                <w:color w:val="0E32E1"/>
              </w:rPr>
              <w:t>’</w:t>
            </w:r>
            <w:r>
              <w:rPr>
                <w:rFonts w:ascii="Times New Roman" w:cs="Times New Roman" w:eastAsia="Times New Roman" w:hAnsi="Times New Roman"/>
                <w:sz w:val="16"/>
                <w:szCs w:val="16"/>
                <w:color w:val="0000FF"/>
              </w:rPr>
              <w:t xml:space="preserve"> </w:t>
            </w:r>
            <w:hyperlink w:anchor="page62">
              <w:r>
                <w:rPr>
                  <w:rFonts w:ascii="Times New Roman" w:cs="Times New Roman" w:eastAsia="Times New Roman" w:hAnsi="Times New Roman"/>
                  <w:sz w:val="16"/>
                  <w:szCs w:val="16"/>
                  <w:color w:val="0000FF"/>
                </w:rPr>
                <w:t>Equity</w:t>
              </w:r>
            </w:hyperlink>
          </w:p>
        </w:tc>
        <w:tc>
          <w:tcPr>
            <w:tcW w:w="1560" w:type="dxa"/>
            <w:vAlign w:val="bottom"/>
          </w:tcPr>
          <w:p>
            <w:pPr>
              <w:ind w:left="1340"/>
              <w:spacing w:after="0"/>
              <w:rPr>
                <w:rFonts w:ascii="Times New Roman" w:cs="Times New Roman" w:eastAsia="Times New Roman" w:hAnsi="Times New Roman"/>
                <w:sz w:val="16"/>
                <w:szCs w:val="16"/>
                <w:color w:val="3051F2"/>
                <w:w w:val="89"/>
              </w:rPr>
            </w:pPr>
            <w:r>
              <w:rPr>
                <w:rFonts w:ascii="Times New Roman" w:cs="Times New Roman" w:eastAsia="Times New Roman" w:hAnsi="Times New Roman"/>
                <w:sz w:val="16"/>
                <w:szCs w:val="16"/>
                <w:color w:val="3051F2"/>
                <w:w w:val="89"/>
              </w:rPr>
              <w:t>F-</w:t>
            </w:r>
            <w:hyperlink w:anchor="page62">
              <w:r>
                <w:rPr>
                  <w:rFonts w:ascii="Times New Roman" w:cs="Times New Roman" w:eastAsia="Times New Roman" w:hAnsi="Times New Roman"/>
                  <w:sz w:val="16"/>
                  <w:szCs w:val="16"/>
                  <w:color w:val="3051F2"/>
                  <w:w w:val="89"/>
                </w:rPr>
                <w:t>7</w:t>
              </w:r>
            </w:hyperlink>
          </w:p>
        </w:tc>
      </w:tr>
      <w:tr>
        <w:trPr>
          <w:trHeight w:val="228"/>
        </w:trPr>
        <w:tc>
          <w:tcPr>
            <w:tcW w:w="6080" w:type="dxa"/>
            <w:vAlign w:val="bottom"/>
          </w:tcPr>
          <w:p>
            <w:pPr>
              <w:spacing w:after="0"/>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color w:val="0000FF"/>
                </w:rPr>
                <w:t>Consolidated Statements of Cash Flows</w:t>
              </w:r>
            </w:hyperlink>
          </w:p>
        </w:tc>
        <w:tc>
          <w:tcPr>
            <w:tcW w:w="1560" w:type="dxa"/>
            <w:vAlign w:val="bottom"/>
          </w:tcPr>
          <w:p>
            <w:pPr>
              <w:ind w:left="1340"/>
              <w:spacing w:after="0"/>
              <w:rPr>
                <w:rFonts w:ascii="Times New Roman" w:cs="Times New Roman" w:eastAsia="Times New Roman" w:hAnsi="Times New Roman"/>
                <w:sz w:val="16"/>
                <w:szCs w:val="16"/>
                <w:color w:val="3051F2"/>
                <w:w w:val="89"/>
              </w:rPr>
            </w:pPr>
            <w:r>
              <w:rPr>
                <w:rFonts w:ascii="Times New Roman" w:cs="Times New Roman" w:eastAsia="Times New Roman" w:hAnsi="Times New Roman"/>
                <w:sz w:val="16"/>
                <w:szCs w:val="16"/>
                <w:color w:val="3051F2"/>
                <w:w w:val="89"/>
              </w:rPr>
              <w:t>F-</w:t>
            </w:r>
            <w:hyperlink w:anchor="page62">
              <w:r>
                <w:rPr>
                  <w:rFonts w:ascii="Times New Roman" w:cs="Times New Roman" w:eastAsia="Times New Roman" w:hAnsi="Times New Roman"/>
                  <w:sz w:val="16"/>
                  <w:szCs w:val="16"/>
                  <w:color w:val="3051F2"/>
                  <w:w w:val="89"/>
                </w:rPr>
                <w:t>8</w:t>
              </w:r>
            </w:hyperlink>
          </w:p>
        </w:tc>
      </w:tr>
      <w:tr>
        <w:trPr>
          <w:trHeight w:val="228"/>
        </w:trPr>
        <w:tc>
          <w:tcPr>
            <w:tcW w:w="6080" w:type="dxa"/>
            <w:vAlign w:val="bottom"/>
          </w:tcPr>
          <w:p>
            <w:pPr>
              <w:spacing w:after="0"/>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Notes to Consolidated Financial Statements</w:t>
              </w:r>
            </w:hyperlink>
          </w:p>
        </w:tc>
        <w:tc>
          <w:tcPr>
            <w:tcW w:w="1560" w:type="dxa"/>
            <w:vAlign w:val="bottom"/>
          </w:tcPr>
          <w:p>
            <w:pPr>
              <w:ind w:left="1340"/>
              <w:spacing w:after="0"/>
              <w:rPr>
                <w:rFonts w:ascii="Times New Roman" w:cs="Times New Roman" w:eastAsia="Times New Roman" w:hAnsi="Times New Roman"/>
                <w:sz w:val="16"/>
                <w:szCs w:val="16"/>
                <w:color w:val="3051F2"/>
                <w:w w:val="89"/>
              </w:rPr>
            </w:pPr>
            <w:r>
              <w:rPr>
                <w:rFonts w:ascii="Times New Roman" w:cs="Times New Roman" w:eastAsia="Times New Roman" w:hAnsi="Times New Roman"/>
                <w:sz w:val="16"/>
                <w:szCs w:val="16"/>
                <w:color w:val="3051F2"/>
                <w:w w:val="89"/>
              </w:rPr>
              <w:t>F-</w:t>
            </w:r>
            <w:hyperlink w:anchor="page63">
              <w:r>
                <w:rPr>
                  <w:rFonts w:ascii="Times New Roman" w:cs="Times New Roman" w:eastAsia="Times New Roman" w:hAnsi="Times New Roman"/>
                  <w:sz w:val="16"/>
                  <w:szCs w:val="16"/>
                  <w:color w:val="3051F2"/>
                  <w:w w:val="89"/>
                </w:rPr>
                <w:t>9</w:t>
              </w:r>
            </w:hyperlink>
          </w:p>
        </w:tc>
      </w:tr>
    </w:tbl>
    <w:p>
      <w:pPr>
        <w:sectPr>
          <w:pgSz w:w="11900" w:h="16840" w:orient="portrait"/>
          <w:cols w:equalWidth="0" w:num="1">
            <w:col w:w="9400"/>
          </w:cols>
          <w:pgMar w:left="1060" w:top="55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F-2</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Report of Independent Registered Public Accounting</w:t>
      </w:r>
    </w:p>
    <w:p>
      <w:pPr>
        <w:spacing w:after="0"/>
        <w:rPr>
          <w:sz w:val="20"/>
          <w:szCs w:val="20"/>
          <w:color w:val="auto"/>
        </w:rPr>
      </w:pPr>
      <w:r>
        <w:rPr>
          <w:rFonts w:ascii="Times New Roman" w:cs="Times New Roman" w:eastAsia="Times New Roman" w:hAnsi="Times New Roman"/>
          <w:sz w:val="16"/>
          <w:szCs w:val="16"/>
          <w:b w:val="1"/>
          <w:bCs w:val="1"/>
          <w:color w:val="auto"/>
        </w:rPr>
        <w:t>Firm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Nasdaq,</w:t>
      </w:r>
    </w:p>
    <w:p>
      <w:pPr>
        <w:spacing w:after="0" w:line="203" w:lineRule="auto"/>
        <w:rPr>
          <w:sz w:val="20"/>
          <w:szCs w:val="20"/>
          <w:color w:val="auto"/>
        </w:rPr>
      </w:pPr>
      <w:r>
        <w:rPr>
          <w:rFonts w:ascii="Times New Roman" w:cs="Times New Roman" w:eastAsia="Times New Roman" w:hAnsi="Times New Roman"/>
          <w:sz w:val="16"/>
          <w:szCs w:val="16"/>
          <w:color w:val="auto"/>
        </w:rPr>
        <w:t>Inc.</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3" w:lineRule="auto"/>
        <w:rPr>
          <w:sz w:val="20"/>
          <w:szCs w:val="20"/>
          <w:color w:val="auto"/>
        </w:rPr>
      </w:pPr>
      <w:r>
        <w:rPr>
          <w:rFonts w:ascii="Times New Roman" w:cs="Times New Roman" w:eastAsia="Times New Roman" w:hAnsi="Times New Roman"/>
          <w:sz w:val="16"/>
          <w:szCs w:val="16"/>
          <w:color w:val="auto"/>
        </w:rPr>
        <w:t>We have audited the accompanying consolidated balance</w:t>
      </w:r>
    </w:p>
    <w:p>
      <w:pPr>
        <w:spacing w:after="0" w:line="204" w:lineRule="auto"/>
        <w:rPr>
          <w:sz w:val="20"/>
          <w:szCs w:val="20"/>
          <w:color w:val="auto"/>
        </w:rPr>
      </w:pPr>
      <w:r>
        <w:rPr>
          <w:rFonts w:ascii="Times New Roman" w:cs="Times New Roman" w:eastAsia="Times New Roman" w:hAnsi="Times New Roman"/>
          <w:sz w:val="16"/>
          <w:szCs w:val="16"/>
          <w:color w:val="auto"/>
        </w:rPr>
        <w:t>sheets of Nasdaq, Inc. (the Company) as of December 31,</w:t>
      </w:r>
    </w:p>
    <w:p>
      <w:pPr>
        <w:spacing w:after="0" w:line="203" w:lineRule="auto"/>
        <w:rPr>
          <w:sz w:val="20"/>
          <w:szCs w:val="20"/>
          <w:color w:val="auto"/>
        </w:rPr>
      </w:pPr>
      <w:r>
        <w:rPr>
          <w:rFonts w:ascii="Times New Roman" w:cs="Times New Roman" w:eastAsia="Times New Roman" w:hAnsi="Times New Roman"/>
          <w:sz w:val="16"/>
          <w:szCs w:val="16"/>
          <w:color w:val="auto"/>
        </w:rPr>
        <w:t>2025 and 2024, the related consolidated statements of</w:t>
      </w:r>
    </w:p>
    <w:p>
      <w:pPr>
        <w:spacing w:after="0" w:line="204" w:lineRule="auto"/>
        <w:rPr>
          <w:sz w:val="20"/>
          <w:szCs w:val="20"/>
          <w:color w:val="auto"/>
        </w:rPr>
      </w:pPr>
      <w:r>
        <w:rPr>
          <w:rFonts w:ascii="Times New Roman" w:cs="Times New Roman" w:eastAsia="Times New Roman" w:hAnsi="Times New Roman"/>
          <w:sz w:val="16"/>
          <w:szCs w:val="16"/>
          <w:color w:val="auto"/>
        </w:rPr>
        <w:t>income, comprehensive income, changes in stockholders’</w:t>
      </w:r>
    </w:p>
    <w:p>
      <w:pPr>
        <w:spacing w:after="0" w:line="232" w:lineRule="auto"/>
        <w:rPr>
          <w:sz w:val="20"/>
          <w:szCs w:val="20"/>
          <w:color w:val="auto"/>
        </w:rPr>
      </w:pPr>
      <w:r>
        <w:rPr>
          <w:rFonts w:ascii="Times New Roman" w:cs="Times New Roman" w:eastAsia="Times New Roman" w:hAnsi="Times New Roman"/>
          <w:sz w:val="14"/>
          <w:szCs w:val="14"/>
          <w:color w:val="auto"/>
        </w:rPr>
        <w:t>equity and cash flows for each of the three years in the period</w:t>
      </w:r>
    </w:p>
    <w:p>
      <w:pPr>
        <w:spacing w:after="0" w:line="233" w:lineRule="auto"/>
        <w:rPr>
          <w:sz w:val="20"/>
          <w:szCs w:val="20"/>
          <w:color w:val="auto"/>
        </w:rPr>
      </w:pPr>
      <w:r>
        <w:rPr>
          <w:rFonts w:ascii="Times New Roman" w:cs="Times New Roman" w:eastAsia="Times New Roman" w:hAnsi="Times New Roman"/>
          <w:sz w:val="14"/>
          <w:szCs w:val="14"/>
          <w:color w:val="auto"/>
        </w:rPr>
        <w:t>ended December 31, 2025, and the related notes(collectively</w:t>
      </w:r>
    </w:p>
    <w:p>
      <w:pPr>
        <w:spacing w:after="0" w:line="233" w:lineRule="auto"/>
        <w:rPr>
          <w:sz w:val="20"/>
          <w:szCs w:val="20"/>
          <w:color w:val="auto"/>
        </w:rPr>
      </w:pPr>
      <w:r>
        <w:rPr>
          <w:rFonts w:ascii="Times New Roman" w:cs="Times New Roman" w:eastAsia="Times New Roman" w:hAnsi="Times New Roman"/>
          <w:sz w:val="14"/>
          <w:szCs w:val="14"/>
          <w:color w:val="auto"/>
        </w:rPr>
        <w:t>referred to as the “consolidated financial statements”). In our</w:t>
      </w:r>
    </w:p>
    <w:p>
      <w:pPr>
        <w:spacing w:after="0" w:line="232" w:lineRule="auto"/>
        <w:rPr>
          <w:sz w:val="20"/>
          <w:szCs w:val="20"/>
          <w:color w:val="auto"/>
        </w:rPr>
      </w:pPr>
      <w:r>
        <w:rPr>
          <w:rFonts w:ascii="Times New Roman" w:cs="Times New Roman" w:eastAsia="Times New Roman" w:hAnsi="Times New Roman"/>
          <w:sz w:val="14"/>
          <w:szCs w:val="14"/>
          <w:color w:val="auto"/>
        </w:rPr>
        <w:t>opinion, the consolidated financial statements present fairly,</w:t>
      </w:r>
    </w:p>
    <w:p>
      <w:pPr>
        <w:spacing w:after="0" w:line="233" w:lineRule="auto"/>
        <w:rPr>
          <w:sz w:val="20"/>
          <w:szCs w:val="20"/>
          <w:color w:val="auto"/>
        </w:rPr>
      </w:pPr>
      <w:r>
        <w:rPr>
          <w:rFonts w:ascii="Times New Roman" w:cs="Times New Roman" w:eastAsia="Times New Roman" w:hAnsi="Times New Roman"/>
          <w:sz w:val="14"/>
          <w:szCs w:val="14"/>
          <w:color w:val="auto"/>
        </w:rPr>
        <w:t>in all material respects, the financial position of the Company</w:t>
      </w:r>
    </w:p>
    <w:p>
      <w:pPr>
        <w:spacing w:after="0" w:line="203" w:lineRule="auto"/>
        <w:rPr>
          <w:sz w:val="20"/>
          <w:szCs w:val="20"/>
          <w:color w:val="auto"/>
        </w:rPr>
      </w:pPr>
      <w:r>
        <w:rPr>
          <w:rFonts w:ascii="Times New Roman" w:cs="Times New Roman" w:eastAsia="Times New Roman" w:hAnsi="Times New Roman"/>
          <w:sz w:val="16"/>
          <w:szCs w:val="16"/>
          <w:color w:val="auto"/>
        </w:rPr>
        <w:t>at December 31, 2025 and 2024, and the results of its</w:t>
      </w:r>
    </w:p>
    <w:p>
      <w:pPr>
        <w:spacing w:after="0" w:line="233" w:lineRule="auto"/>
        <w:rPr>
          <w:sz w:val="20"/>
          <w:szCs w:val="20"/>
          <w:color w:val="auto"/>
        </w:rPr>
      </w:pPr>
      <w:r>
        <w:rPr>
          <w:rFonts w:ascii="Times New Roman" w:cs="Times New Roman" w:eastAsia="Times New Roman" w:hAnsi="Times New Roman"/>
          <w:sz w:val="14"/>
          <w:szCs w:val="14"/>
          <w:color w:val="auto"/>
        </w:rPr>
        <w:t>operations and its cash flows for each of the three years in the</w:t>
      </w:r>
    </w:p>
    <w:p>
      <w:pPr>
        <w:spacing w:after="0" w:line="204" w:lineRule="auto"/>
        <w:rPr>
          <w:sz w:val="20"/>
          <w:szCs w:val="20"/>
          <w:color w:val="auto"/>
        </w:rPr>
      </w:pPr>
      <w:r>
        <w:rPr>
          <w:rFonts w:ascii="Times New Roman" w:cs="Times New Roman" w:eastAsia="Times New Roman" w:hAnsi="Times New Roman"/>
          <w:sz w:val="16"/>
          <w:szCs w:val="16"/>
          <w:color w:val="auto"/>
        </w:rPr>
        <w:t>period ended December 31, 2025, in conformity with U.S.</w:t>
      </w:r>
    </w:p>
    <w:p>
      <w:pPr>
        <w:spacing w:after="0" w:line="203" w:lineRule="auto"/>
        <w:rPr>
          <w:sz w:val="20"/>
          <w:szCs w:val="20"/>
          <w:color w:val="auto"/>
        </w:rPr>
      </w:pPr>
      <w:r>
        <w:rPr>
          <w:rFonts w:ascii="Times New Roman" w:cs="Times New Roman" w:eastAsia="Times New Roman" w:hAnsi="Times New Roman"/>
          <w:sz w:val="16"/>
          <w:szCs w:val="16"/>
          <w:color w:val="auto"/>
        </w:rPr>
        <w:t>generally accepted accounting principles.</w:t>
      </w:r>
    </w:p>
    <w:p>
      <w:pPr>
        <w:spacing w:after="0" w:line="233"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w:t>
      </w:r>
    </w:p>
    <w:p>
      <w:pPr>
        <w:spacing w:after="0" w:line="204" w:lineRule="auto"/>
        <w:rPr>
          <w:sz w:val="20"/>
          <w:szCs w:val="20"/>
          <w:color w:val="auto"/>
        </w:rPr>
      </w:pPr>
      <w:r>
        <w:rPr>
          <w:rFonts w:ascii="Times New Roman" w:cs="Times New Roman" w:eastAsia="Times New Roman" w:hAnsi="Times New Roman"/>
          <w:sz w:val="16"/>
          <w:szCs w:val="16"/>
          <w:color w:val="auto"/>
        </w:rPr>
        <w:t>Public Company Accounting Oversight Board (United</w:t>
      </w:r>
    </w:p>
    <w:p>
      <w:pPr>
        <w:spacing w:after="0" w:line="203" w:lineRule="auto"/>
        <w:rPr>
          <w:sz w:val="20"/>
          <w:szCs w:val="20"/>
          <w:color w:val="auto"/>
        </w:rPr>
      </w:pPr>
      <w:r>
        <w:rPr>
          <w:rFonts w:ascii="Times New Roman" w:cs="Times New Roman" w:eastAsia="Times New Roman" w:hAnsi="Times New Roman"/>
          <w:sz w:val="16"/>
          <w:szCs w:val="16"/>
          <w:color w:val="auto"/>
        </w:rPr>
        <w:t>States) (PCAOB), the Company's internal control over</w:t>
      </w:r>
    </w:p>
    <w:p>
      <w:pPr>
        <w:spacing w:after="0" w:line="204" w:lineRule="auto"/>
        <w:rPr>
          <w:sz w:val="20"/>
          <w:szCs w:val="20"/>
          <w:color w:val="auto"/>
        </w:rPr>
      </w:pPr>
      <w:r>
        <w:rPr>
          <w:rFonts w:ascii="Times New Roman" w:cs="Times New Roman" w:eastAsia="Times New Roman" w:hAnsi="Times New Roman"/>
          <w:sz w:val="16"/>
          <w:szCs w:val="16"/>
          <w:color w:val="auto"/>
        </w:rPr>
        <w:t>financial reporting as of December 31, 2025, based on</w:t>
      </w:r>
    </w:p>
    <w:p>
      <w:pPr>
        <w:spacing w:after="0" w:line="203" w:lineRule="auto"/>
        <w:rPr>
          <w:sz w:val="20"/>
          <w:szCs w:val="20"/>
          <w:color w:val="auto"/>
        </w:rPr>
      </w:pPr>
      <w:r>
        <w:rPr>
          <w:rFonts w:ascii="Times New Roman" w:cs="Times New Roman" w:eastAsia="Times New Roman" w:hAnsi="Times New Roman"/>
          <w:sz w:val="16"/>
          <w:szCs w:val="16"/>
          <w:color w:val="auto"/>
        </w:rPr>
        <w:t>criteria established in Internal Control—Integrated</w:t>
      </w:r>
    </w:p>
    <w:p>
      <w:pPr>
        <w:spacing w:after="0" w:line="204" w:lineRule="auto"/>
        <w:rPr>
          <w:sz w:val="20"/>
          <w:szCs w:val="20"/>
          <w:color w:val="auto"/>
        </w:rPr>
      </w:pPr>
      <w:r>
        <w:rPr>
          <w:rFonts w:ascii="Times New Roman" w:cs="Times New Roman" w:eastAsia="Times New Roman" w:hAnsi="Times New Roman"/>
          <w:sz w:val="16"/>
          <w:szCs w:val="16"/>
          <w:color w:val="auto"/>
        </w:rPr>
        <w:t>Framework issued by the Committee of Sponsoring</w:t>
      </w:r>
    </w:p>
    <w:p>
      <w:pPr>
        <w:spacing w:after="0" w:line="203" w:lineRule="auto"/>
        <w:rPr>
          <w:sz w:val="20"/>
          <w:szCs w:val="20"/>
          <w:color w:val="auto"/>
        </w:rPr>
      </w:pPr>
      <w:r>
        <w:rPr>
          <w:rFonts w:ascii="Times New Roman" w:cs="Times New Roman" w:eastAsia="Times New Roman" w:hAnsi="Times New Roman"/>
          <w:sz w:val="16"/>
          <w:szCs w:val="16"/>
          <w:color w:val="auto"/>
        </w:rPr>
        <w:t>Organizations of the Treadway Commission (2013</w:t>
      </w:r>
    </w:p>
    <w:p>
      <w:pPr>
        <w:spacing w:after="0" w:line="204" w:lineRule="auto"/>
        <w:rPr>
          <w:sz w:val="20"/>
          <w:szCs w:val="20"/>
          <w:color w:val="auto"/>
        </w:rPr>
      </w:pPr>
      <w:r>
        <w:rPr>
          <w:rFonts w:ascii="Times New Roman" w:cs="Times New Roman" w:eastAsia="Times New Roman" w:hAnsi="Times New Roman"/>
          <w:sz w:val="16"/>
          <w:szCs w:val="16"/>
          <w:color w:val="auto"/>
        </w:rPr>
        <w:t>framework), and our report dated February 12, 2026</w:t>
      </w:r>
    </w:p>
    <w:p>
      <w:pPr>
        <w:spacing w:after="0" w:line="203" w:lineRule="auto"/>
        <w:rPr>
          <w:sz w:val="20"/>
          <w:szCs w:val="20"/>
          <w:color w:val="auto"/>
        </w:rPr>
      </w:pPr>
      <w:r>
        <w:rPr>
          <w:rFonts w:ascii="Times New Roman" w:cs="Times New Roman" w:eastAsia="Times New Roman" w:hAnsi="Times New Roman"/>
          <w:sz w:val="16"/>
          <w:szCs w:val="16"/>
          <w:color w:val="auto"/>
        </w:rPr>
        <w:t>expressed an unqualified opinion thereon.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3" w:lineRule="auto"/>
        <w:rPr>
          <w:sz w:val="20"/>
          <w:szCs w:val="20"/>
          <w:color w:val="auto"/>
        </w:rPr>
      </w:pPr>
      <w:r>
        <w:rPr>
          <w:rFonts w:ascii="Times New Roman" w:cs="Times New Roman" w:eastAsia="Times New Roman" w:hAnsi="Times New Roman"/>
          <w:sz w:val="16"/>
          <w:szCs w:val="16"/>
          <w:color w:val="auto"/>
        </w:rPr>
        <w:t>These financial statements are the responsibility of the</w:t>
      </w:r>
    </w:p>
    <w:p>
      <w:pPr>
        <w:spacing w:after="0" w:line="204" w:lineRule="auto"/>
        <w:rPr>
          <w:sz w:val="20"/>
          <w:szCs w:val="20"/>
          <w:color w:val="auto"/>
        </w:rPr>
      </w:pPr>
      <w:r>
        <w:rPr>
          <w:rFonts w:ascii="Times New Roman" w:cs="Times New Roman" w:eastAsia="Times New Roman" w:hAnsi="Times New Roman"/>
          <w:sz w:val="16"/>
          <w:szCs w:val="16"/>
          <w:color w:val="auto"/>
        </w:rPr>
        <w:t>Company's management. Our responsibility is to express an</w:t>
      </w:r>
    </w:p>
    <w:p>
      <w:pPr>
        <w:spacing w:after="0" w:line="233" w:lineRule="auto"/>
        <w:rPr>
          <w:sz w:val="20"/>
          <w:szCs w:val="20"/>
          <w:color w:val="auto"/>
        </w:rPr>
      </w:pPr>
      <w:r>
        <w:rPr>
          <w:rFonts w:ascii="Times New Roman" w:cs="Times New Roman" w:eastAsia="Times New Roman" w:hAnsi="Times New Roman"/>
          <w:sz w:val="14"/>
          <w:szCs w:val="14"/>
          <w:color w:val="auto"/>
        </w:rPr>
        <w:t>opinion on the Company’s financial statements based on our</w:t>
      </w:r>
    </w:p>
    <w:p>
      <w:pPr>
        <w:spacing w:after="0" w:line="203" w:lineRule="auto"/>
        <w:rPr>
          <w:sz w:val="20"/>
          <w:szCs w:val="20"/>
          <w:color w:val="auto"/>
        </w:rPr>
      </w:pPr>
      <w:r>
        <w:rPr>
          <w:rFonts w:ascii="Times New Roman" w:cs="Times New Roman" w:eastAsia="Times New Roman" w:hAnsi="Times New Roman"/>
          <w:sz w:val="16"/>
          <w:szCs w:val="16"/>
          <w:color w:val="auto"/>
        </w:rPr>
        <w:t>audits. We are a public accounting firm registered with the</w:t>
      </w:r>
    </w:p>
    <w:p>
      <w:pPr>
        <w:spacing w:after="0" w:line="204" w:lineRule="auto"/>
        <w:rPr>
          <w:sz w:val="20"/>
          <w:szCs w:val="20"/>
          <w:color w:val="auto"/>
        </w:rPr>
      </w:pPr>
      <w:r>
        <w:rPr>
          <w:rFonts w:ascii="Times New Roman" w:cs="Times New Roman" w:eastAsia="Times New Roman" w:hAnsi="Times New Roman"/>
          <w:sz w:val="16"/>
          <w:szCs w:val="16"/>
          <w:color w:val="auto"/>
        </w:rPr>
        <w:t>PCAOB and are required to be independent with respect to</w:t>
      </w:r>
    </w:p>
    <w:p>
      <w:pPr>
        <w:spacing w:after="0" w:line="203" w:lineRule="auto"/>
        <w:rPr>
          <w:sz w:val="20"/>
          <w:szCs w:val="20"/>
          <w:color w:val="auto"/>
        </w:rPr>
      </w:pPr>
      <w:r>
        <w:rPr>
          <w:rFonts w:ascii="Times New Roman" w:cs="Times New Roman" w:eastAsia="Times New Roman" w:hAnsi="Times New Roman"/>
          <w:sz w:val="16"/>
          <w:szCs w:val="16"/>
          <w:color w:val="auto"/>
        </w:rPr>
        <w:t>the Company in accordance with the U.S. federal securities</w:t>
      </w:r>
    </w:p>
    <w:p>
      <w:pPr>
        <w:spacing w:after="0" w:line="233" w:lineRule="auto"/>
        <w:rPr>
          <w:sz w:val="20"/>
          <w:szCs w:val="20"/>
          <w:color w:val="auto"/>
        </w:rPr>
      </w:pPr>
      <w:r>
        <w:rPr>
          <w:rFonts w:ascii="Times New Roman" w:cs="Times New Roman" w:eastAsia="Times New Roman" w:hAnsi="Times New Roman"/>
          <w:sz w:val="14"/>
          <w:szCs w:val="14"/>
          <w:color w:val="auto"/>
        </w:rPr>
        <w:t>laws and the applicable rules and regulations of the Securities</w:t>
      </w:r>
    </w:p>
    <w:p>
      <w:pPr>
        <w:spacing w:after="0" w:line="204" w:lineRule="auto"/>
        <w:rPr>
          <w:sz w:val="20"/>
          <w:szCs w:val="20"/>
          <w:color w:val="auto"/>
        </w:rPr>
      </w:pPr>
      <w:r>
        <w:rPr>
          <w:rFonts w:ascii="Times New Roman" w:cs="Times New Roman" w:eastAsia="Times New Roman" w:hAnsi="Times New Roman"/>
          <w:sz w:val="16"/>
          <w:szCs w:val="16"/>
          <w:color w:val="auto"/>
        </w:rPr>
        <w:t>and Exchange Commission and the PCAOB.</w:t>
      </w:r>
    </w:p>
    <w:p>
      <w:pPr>
        <w:spacing w:after="0" w:line="23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w:t>
      </w:r>
    </w:p>
    <w:p>
      <w:pPr>
        <w:spacing w:after="0" w:line="204" w:lineRule="auto"/>
        <w:rPr>
          <w:sz w:val="20"/>
          <w:szCs w:val="20"/>
          <w:color w:val="auto"/>
        </w:rPr>
      </w:pPr>
      <w:r>
        <w:rPr>
          <w:rFonts w:ascii="Times New Roman" w:cs="Times New Roman" w:eastAsia="Times New Roman" w:hAnsi="Times New Roman"/>
          <w:sz w:val="16"/>
          <w:szCs w:val="16"/>
          <w:color w:val="auto"/>
        </w:rPr>
        <w:t>the PCAOB. Those standards require that we plan and</w:t>
      </w:r>
    </w:p>
    <w:p>
      <w:pPr>
        <w:spacing w:after="0" w:line="203" w:lineRule="auto"/>
        <w:rPr>
          <w:sz w:val="20"/>
          <w:szCs w:val="20"/>
          <w:color w:val="auto"/>
        </w:rPr>
      </w:pPr>
      <w:r>
        <w:rPr>
          <w:rFonts w:ascii="Times New Roman" w:cs="Times New Roman" w:eastAsia="Times New Roman" w:hAnsi="Times New Roman"/>
          <w:sz w:val="16"/>
          <w:szCs w:val="16"/>
          <w:color w:val="auto"/>
        </w:rPr>
        <w:t>perform the audit to obtain reasonable assurance about</w:t>
      </w:r>
    </w:p>
    <w:p>
      <w:pPr>
        <w:spacing w:after="0" w:line="204" w:lineRule="auto"/>
        <w:rPr>
          <w:sz w:val="20"/>
          <w:szCs w:val="20"/>
          <w:color w:val="auto"/>
        </w:rPr>
      </w:pPr>
      <w:r>
        <w:rPr>
          <w:rFonts w:ascii="Times New Roman" w:cs="Times New Roman" w:eastAsia="Times New Roman" w:hAnsi="Times New Roman"/>
          <w:sz w:val="16"/>
          <w:szCs w:val="16"/>
          <w:color w:val="auto"/>
        </w:rPr>
        <w:t>whether the financial statements are free of material</w:t>
      </w:r>
    </w:p>
    <w:p>
      <w:pPr>
        <w:spacing w:after="0" w:line="203" w:lineRule="auto"/>
        <w:rPr>
          <w:sz w:val="20"/>
          <w:szCs w:val="20"/>
          <w:color w:val="auto"/>
        </w:rPr>
      </w:pPr>
      <w:r>
        <w:rPr>
          <w:rFonts w:ascii="Times New Roman" w:cs="Times New Roman" w:eastAsia="Times New Roman" w:hAnsi="Times New Roman"/>
          <w:sz w:val="16"/>
          <w:szCs w:val="16"/>
          <w:color w:val="auto"/>
        </w:rPr>
        <w:t>misstatement, whether due to error or fraud. Our audits</w:t>
      </w:r>
    </w:p>
    <w:p>
      <w:pPr>
        <w:spacing w:after="0" w:line="204" w:lineRule="auto"/>
        <w:rPr>
          <w:sz w:val="20"/>
          <w:szCs w:val="20"/>
          <w:color w:val="auto"/>
        </w:rPr>
      </w:pPr>
      <w:r>
        <w:rPr>
          <w:rFonts w:ascii="Times New Roman" w:cs="Times New Roman" w:eastAsia="Times New Roman" w:hAnsi="Times New Roman"/>
          <w:sz w:val="16"/>
          <w:szCs w:val="16"/>
          <w:color w:val="auto"/>
        </w:rPr>
        <w:t>included performing procedures to assess the risks of</w:t>
      </w:r>
    </w:p>
    <w:p>
      <w:pPr>
        <w:spacing w:after="0" w:line="203" w:lineRule="auto"/>
        <w:rPr>
          <w:sz w:val="20"/>
          <w:szCs w:val="20"/>
          <w:color w:val="auto"/>
        </w:rPr>
      </w:pPr>
      <w:r>
        <w:rPr>
          <w:rFonts w:ascii="Times New Roman" w:cs="Times New Roman" w:eastAsia="Times New Roman" w:hAnsi="Times New Roman"/>
          <w:sz w:val="16"/>
          <w:szCs w:val="16"/>
          <w:color w:val="auto"/>
        </w:rPr>
        <w:t>material misstatement of the financial statements, whether</w:t>
      </w:r>
    </w:p>
    <w:p>
      <w:pPr>
        <w:spacing w:after="0" w:line="233" w:lineRule="auto"/>
        <w:rPr>
          <w:sz w:val="20"/>
          <w:szCs w:val="20"/>
          <w:color w:val="auto"/>
        </w:rPr>
      </w:pPr>
      <w:r>
        <w:rPr>
          <w:rFonts w:ascii="Times New Roman" w:cs="Times New Roman" w:eastAsia="Times New Roman" w:hAnsi="Times New Roman"/>
          <w:sz w:val="14"/>
          <w:szCs w:val="14"/>
          <w:color w:val="auto"/>
        </w:rPr>
        <w:t>due to error or fraud, and performing procedures that respond</w:t>
      </w:r>
    </w:p>
    <w:p>
      <w:pPr>
        <w:spacing w:after="0" w:line="233" w:lineRule="auto"/>
        <w:rPr>
          <w:sz w:val="20"/>
          <w:szCs w:val="20"/>
          <w:color w:val="auto"/>
        </w:rPr>
      </w:pPr>
      <w:r>
        <w:rPr>
          <w:rFonts w:ascii="Times New Roman" w:cs="Times New Roman" w:eastAsia="Times New Roman" w:hAnsi="Times New Roman"/>
          <w:sz w:val="14"/>
          <w:szCs w:val="14"/>
          <w:color w:val="auto"/>
        </w:rPr>
        <w:t>to those risks. Such procedures included examining, on a test</w:t>
      </w:r>
    </w:p>
    <w:p>
      <w:pPr>
        <w:spacing w:after="0" w:line="232" w:lineRule="auto"/>
        <w:rPr>
          <w:sz w:val="20"/>
          <w:szCs w:val="20"/>
          <w:color w:val="auto"/>
        </w:rPr>
      </w:pPr>
      <w:r>
        <w:rPr>
          <w:rFonts w:ascii="Times New Roman" w:cs="Times New Roman" w:eastAsia="Times New Roman" w:hAnsi="Times New Roman"/>
          <w:sz w:val="14"/>
          <w:szCs w:val="14"/>
          <w:color w:val="auto"/>
        </w:rPr>
        <w:t>basis, evidence regarding the amounts and disclosures in the</w:t>
      </w:r>
    </w:p>
    <w:p>
      <w:pPr>
        <w:spacing w:after="0" w:line="233" w:lineRule="auto"/>
        <w:rPr>
          <w:sz w:val="20"/>
          <w:szCs w:val="20"/>
          <w:color w:val="auto"/>
        </w:rPr>
      </w:pPr>
      <w:r>
        <w:rPr>
          <w:rFonts w:ascii="Times New Roman" w:cs="Times New Roman" w:eastAsia="Times New Roman" w:hAnsi="Times New Roman"/>
          <w:sz w:val="14"/>
          <w:szCs w:val="14"/>
          <w:color w:val="auto"/>
        </w:rPr>
        <w:t>financial statements. Our audits also included evaluating the</w:t>
      </w:r>
    </w:p>
    <w:p>
      <w:pPr>
        <w:spacing w:after="0" w:line="233" w:lineRule="auto"/>
        <w:rPr>
          <w:sz w:val="20"/>
          <w:szCs w:val="20"/>
          <w:color w:val="auto"/>
        </w:rPr>
      </w:pPr>
      <w:r>
        <w:rPr>
          <w:rFonts w:ascii="Times New Roman" w:cs="Times New Roman" w:eastAsia="Times New Roman" w:hAnsi="Times New Roman"/>
          <w:sz w:val="14"/>
          <w:szCs w:val="14"/>
          <w:color w:val="auto"/>
        </w:rPr>
        <w:t>accounting principles used and significant estimates made by</w:t>
      </w:r>
    </w:p>
    <w:p>
      <w:pPr>
        <w:spacing w:after="0" w:line="232" w:lineRule="auto"/>
        <w:rPr>
          <w:sz w:val="20"/>
          <w:szCs w:val="20"/>
          <w:color w:val="auto"/>
        </w:rPr>
      </w:pPr>
      <w:r>
        <w:rPr>
          <w:rFonts w:ascii="Times New Roman" w:cs="Times New Roman" w:eastAsia="Times New Roman" w:hAnsi="Times New Roman"/>
          <w:sz w:val="14"/>
          <w:szCs w:val="14"/>
          <w:color w:val="auto"/>
        </w:rPr>
        <w:t>management, as well as evaluating the overall presentation of</w:t>
      </w:r>
    </w:p>
    <w:p>
      <w:pPr>
        <w:spacing w:after="0" w:line="233" w:lineRule="auto"/>
        <w:rPr>
          <w:sz w:val="20"/>
          <w:szCs w:val="20"/>
          <w:color w:val="auto"/>
        </w:rPr>
      </w:pPr>
      <w:r>
        <w:rPr>
          <w:rFonts w:ascii="Times New Roman" w:cs="Times New Roman" w:eastAsia="Times New Roman" w:hAnsi="Times New Roman"/>
          <w:sz w:val="14"/>
          <w:szCs w:val="14"/>
          <w:color w:val="auto"/>
        </w:rPr>
        <w:t>the financial statements. We believe that our audits provide a</w:t>
      </w:r>
    </w:p>
    <w:p>
      <w:pPr>
        <w:spacing w:after="0" w:line="203" w:lineRule="auto"/>
        <w:rPr>
          <w:sz w:val="20"/>
          <w:szCs w:val="20"/>
          <w:color w:val="auto"/>
        </w:rPr>
      </w:pPr>
      <w:r>
        <w:rPr>
          <w:rFonts w:ascii="Times New Roman" w:cs="Times New Roman" w:eastAsia="Times New Roman" w:hAnsi="Times New Roman"/>
          <w:sz w:val="16"/>
          <w:szCs w:val="16"/>
          <w:color w:val="auto"/>
        </w:rPr>
        <w:t>reasonable basis for our opinion.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04" w:lineRule="auto"/>
        <w:rPr>
          <w:sz w:val="20"/>
          <w:szCs w:val="20"/>
          <w:color w:val="auto"/>
        </w:rPr>
      </w:pPr>
      <w:r>
        <w:rPr>
          <w:rFonts w:ascii="Times New Roman" w:cs="Times New Roman" w:eastAsia="Times New Roman" w:hAnsi="Times New Roman"/>
          <w:sz w:val="16"/>
          <w:szCs w:val="16"/>
          <w:color w:val="auto"/>
        </w:rPr>
        <w:t>The critical audit matter communicated below is a matter</w:t>
      </w:r>
    </w:p>
    <w:p>
      <w:pPr>
        <w:spacing w:after="0" w:line="203" w:lineRule="auto"/>
        <w:rPr>
          <w:sz w:val="20"/>
          <w:szCs w:val="20"/>
          <w:color w:val="auto"/>
        </w:rPr>
      </w:pPr>
      <w:r>
        <w:rPr>
          <w:rFonts w:ascii="Times New Roman" w:cs="Times New Roman" w:eastAsia="Times New Roman" w:hAnsi="Times New Roman"/>
          <w:sz w:val="16"/>
          <w:szCs w:val="16"/>
          <w:color w:val="auto"/>
        </w:rPr>
        <w:t>arising from the current period audit of the financial</w:t>
      </w:r>
    </w:p>
    <w:p>
      <w:pPr>
        <w:spacing w:after="0" w:line="204" w:lineRule="auto"/>
        <w:rPr>
          <w:sz w:val="20"/>
          <w:szCs w:val="20"/>
          <w:color w:val="auto"/>
        </w:rPr>
      </w:pPr>
      <w:r>
        <w:rPr>
          <w:rFonts w:ascii="Times New Roman" w:cs="Times New Roman" w:eastAsia="Times New Roman" w:hAnsi="Times New Roman"/>
          <w:sz w:val="16"/>
          <w:szCs w:val="16"/>
          <w:color w:val="auto"/>
        </w:rPr>
        <w:t>statements that was communicated or required to be</w:t>
      </w:r>
    </w:p>
    <w:p>
      <w:pPr>
        <w:spacing w:after="0" w:line="232" w:lineRule="auto"/>
        <w:rPr>
          <w:sz w:val="20"/>
          <w:szCs w:val="20"/>
          <w:color w:val="auto"/>
        </w:rPr>
      </w:pPr>
      <w:r>
        <w:rPr>
          <w:rFonts w:ascii="Times New Roman" w:cs="Times New Roman" w:eastAsia="Times New Roman" w:hAnsi="Times New Roman"/>
          <w:sz w:val="14"/>
          <w:szCs w:val="14"/>
          <w:color w:val="auto"/>
        </w:rPr>
        <w:t>communicated to the audit committee and that: (1) relates to</w:t>
      </w:r>
    </w:p>
    <w:p>
      <w:pPr>
        <w:spacing w:after="0" w:line="204" w:lineRule="auto"/>
        <w:rPr>
          <w:sz w:val="20"/>
          <w:szCs w:val="20"/>
          <w:color w:val="auto"/>
        </w:rPr>
      </w:pPr>
      <w:r>
        <w:rPr>
          <w:rFonts w:ascii="Times New Roman" w:cs="Times New Roman" w:eastAsia="Times New Roman" w:hAnsi="Times New Roman"/>
          <w:sz w:val="16"/>
          <w:szCs w:val="16"/>
          <w:color w:val="auto"/>
        </w:rPr>
        <w:t>accounts or disclosures that are material to the financial</w:t>
      </w:r>
    </w:p>
    <w:p>
      <w:pPr>
        <w:spacing w:after="0" w:line="203" w:lineRule="auto"/>
        <w:rPr>
          <w:sz w:val="20"/>
          <w:szCs w:val="20"/>
          <w:color w:val="auto"/>
        </w:rPr>
      </w:pPr>
      <w:r>
        <w:rPr>
          <w:rFonts w:ascii="Times New Roman" w:cs="Times New Roman" w:eastAsia="Times New Roman" w:hAnsi="Times New Roman"/>
          <w:sz w:val="16"/>
          <w:szCs w:val="16"/>
          <w:color w:val="auto"/>
        </w:rPr>
        <w:t>statements and (2) involved our especially challenging,</w:t>
      </w:r>
    </w:p>
    <w:p>
      <w:pPr>
        <w:spacing w:after="0" w:line="233" w:lineRule="auto"/>
        <w:rPr>
          <w:sz w:val="20"/>
          <w:szCs w:val="20"/>
          <w:color w:val="auto"/>
        </w:rPr>
      </w:pPr>
      <w:r>
        <w:rPr>
          <w:rFonts w:ascii="Times New Roman" w:cs="Times New Roman" w:eastAsia="Times New Roman" w:hAnsi="Times New Roman"/>
          <w:sz w:val="14"/>
          <w:szCs w:val="14"/>
          <w:color w:val="auto"/>
        </w:rPr>
        <w:t>subjective or complex judgments. The communication of the</w:t>
      </w:r>
    </w:p>
    <w:p>
      <w:pPr>
        <w:spacing w:after="0" w:line="233" w:lineRule="auto"/>
        <w:rPr>
          <w:sz w:val="20"/>
          <w:szCs w:val="20"/>
          <w:color w:val="auto"/>
        </w:rPr>
      </w:pPr>
      <w:r>
        <w:rPr>
          <w:rFonts w:ascii="Times New Roman" w:cs="Times New Roman" w:eastAsia="Times New Roman" w:hAnsi="Times New Roman"/>
          <w:sz w:val="14"/>
          <w:szCs w:val="14"/>
          <w:color w:val="auto"/>
        </w:rPr>
        <w:t>critical audit matter does not alter in any way our opinion on</w:t>
      </w:r>
    </w:p>
    <w:p>
      <w:pPr>
        <w:spacing w:after="0" w:line="203" w:lineRule="auto"/>
        <w:rPr>
          <w:sz w:val="20"/>
          <w:szCs w:val="20"/>
          <w:color w:val="auto"/>
        </w:rPr>
      </w:pPr>
      <w:r>
        <w:rPr>
          <w:rFonts w:ascii="Times New Roman" w:cs="Times New Roman" w:eastAsia="Times New Roman" w:hAnsi="Times New Roman"/>
          <w:sz w:val="16"/>
          <w:szCs w:val="16"/>
          <w:color w:val="auto"/>
        </w:rPr>
        <w:t>the consolidated financial statements, taken as a whole, and</w:t>
      </w:r>
    </w:p>
    <w:p>
      <w:pPr>
        <w:spacing w:after="0" w:line="233" w:lineRule="auto"/>
        <w:rPr>
          <w:sz w:val="20"/>
          <w:szCs w:val="20"/>
          <w:color w:val="auto"/>
        </w:rPr>
      </w:pPr>
      <w:r>
        <w:rPr>
          <w:rFonts w:ascii="Times New Roman" w:cs="Times New Roman" w:eastAsia="Times New Roman" w:hAnsi="Times New Roman"/>
          <w:sz w:val="14"/>
          <w:szCs w:val="14"/>
          <w:color w:val="auto"/>
        </w:rPr>
        <w:t>we are not, by communicating the critical audit matter below,</w:t>
      </w:r>
    </w:p>
    <w:p>
      <w:pPr>
        <w:spacing w:after="0" w:line="233" w:lineRule="auto"/>
        <w:rPr>
          <w:sz w:val="20"/>
          <w:szCs w:val="20"/>
          <w:color w:val="auto"/>
        </w:rPr>
      </w:pPr>
      <w:r>
        <w:rPr>
          <w:rFonts w:ascii="Times New Roman" w:cs="Times New Roman" w:eastAsia="Times New Roman" w:hAnsi="Times New Roman"/>
          <w:sz w:val="14"/>
          <w:szCs w:val="14"/>
          <w:color w:val="auto"/>
        </w:rPr>
        <w:t>providing a separate opinion on the critical audit matter or on</w:t>
      </w:r>
    </w:p>
    <w:p>
      <w:pPr>
        <w:spacing w:after="0"/>
        <w:rPr>
          <w:sz w:val="20"/>
          <w:szCs w:val="20"/>
          <w:color w:val="auto"/>
        </w:rPr>
      </w:pPr>
      <w:r>
        <w:rPr>
          <w:rFonts w:ascii="Times New Roman" w:cs="Times New Roman" w:eastAsia="Times New Roman" w:hAnsi="Times New Roman"/>
          <w:sz w:val="16"/>
          <w:szCs w:val="16"/>
          <w:color w:val="auto"/>
        </w:rPr>
        <w:t>the accounts or disclosure to which it relates.</w:t>
      </w:r>
    </w:p>
    <w:p>
      <w:pPr>
        <w:sectPr>
          <w:pgSz w:w="11900" w:h="16840" w:orient="portrait"/>
          <w:cols w:equalWidth="0" w:num="1">
            <w:col w:w="9400"/>
          </w:cols>
          <w:pgMar w:left="1060" w:top="1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F-3</w:t>
      </w:r>
    </w:p>
    <w:p>
      <w:pPr>
        <w:sectPr>
          <w:pgSz w:w="11900" w:h="16840" w:orient="portrait"/>
          <w:cols w:equalWidth="0" w:num="1">
            <w:col w:w="9400"/>
          </w:cols>
          <w:pgMar w:left="1060" w:top="1171" w:right="1440" w:bottom="1440" w:gutter="0" w:footer="0" w:header="0"/>
          <w:type w:val="continuous"/>
        </w:sectPr>
      </w:pPr>
    </w:p>
    <w:bookmarkStart w:id="58" w:name="page59"/>
    <w:bookmarkEnd w:id="58"/>
    <w:p>
      <w:pPr>
        <w:spacing w:after="0"/>
        <w:tabs>
          <w:tab w:leader="none" w:pos="820" w:val="left"/>
        </w:tabs>
        <w:rPr>
          <w:sz w:val="20"/>
          <w:szCs w:val="20"/>
          <w:color w:val="auto"/>
        </w:rPr>
      </w:pPr>
      <w:r>
        <w:rPr>
          <w:rFonts w:ascii="Times New Roman" w:cs="Times New Roman" w:eastAsia="Times New Roman" w:hAnsi="Times New Roman"/>
          <w:sz w:val="16"/>
          <w:szCs w:val="16"/>
          <w:i w:val="1"/>
          <w:iCs w:val="1"/>
          <w:color w:val="auto"/>
        </w:rPr>
        <w:t>How We</w:t>
      </w:r>
      <w:r>
        <w:rPr>
          <w:sz w:val="20"/>
          <w:szCs w:val="20"/>
          <w:color w:val="auto"/>
        </w:rPr>
        <w:tab/>
      </w:r>
      <w:r>
        <w:rPr>
          <w:rFonts w:ascii="Times New Roman" w:cs="Times New Roman" w:eastAsia="Times New Roman" w:hAnsi="Times New Roman"/>
          <w:sz w:val="14"/>
          <w:szCs w:val="14"/>
          <w:color w:val="auto"/>
        </w:rPr>
        <w:t>We obtained an understanding, performed a</w:t>
      </w:r>
    </w:p>
    <w:p>
      <w:pPr>
        <w:spacing w:after="0" w:line="203" w:lineRule="auto"/>
        <w:tabs>
          <w:tab w:leader="none" w:pos="820" w:val="left"/>
        </w:tabs>
        <w:rPr>
          <w:sz w:val="20"/>
          <w:szCs w:val="20"/>
          <w:color w:val="auto"/>
        </w:rPr>
      </w:pPr>
      <w:r>
        <w:rPr>
          <w:rFonts w:ascii="Times New Roman" w:cs="Times New Roman" w:eastAsia="Times New Roman" w:hAnsi="Times New Roman"/>
          <w:sz w:val="16"/>
          <w:szCs w:val="16"/>
          <w:i w:val="1"/>
          <w:iCs w:val="1"/>
          <w:color w:val="auto"/>
        </w:rPr>
        <w:t>Addressed</w:t>
      </w:r>
      <w:r>
        <w:rPr>
          <w:sz w:val="20"/>
          <w:szCs w:val="20"/>
          <w:color w:val="auto"/>
        </w:rPr>
        <w:tab/>
      </w:r>
      <w:r>
        <w:rPr>
          <w:rFonts w:ascii="Times New Roman" w:cs="Times New Roman" w:eastAsia="Times New Roman" w:hAnsi="Times New Roman"/>
          <w:sz w:val="16"/>
          <w:szCs w:val="16"/>
          <w:color w:val="auto"/>
        </w:rPr>
        <w:t>walkthrough of the process and evaluated the</w:t>
      </w:r>
    </w:p>
    <w:p>
      <w:pPr>
        <w:spacing w:after="0" w:line="233" w:lineRule="auto"/>
        <w:tabs>
          <w:tab w:leader="none" w:pos="820" w:val="left"/>
        </w:tabs>
        <w:rPr>
          <w:sz w:val="20"/>
          <w:szCs w:val="20"/>
          <w:color w:val="auto"/>
        </w:rPr>
      </w:pPr>
      <w:r>
        <w:rPr>
          <w:rFonts w:ascii="Times New Roman" w:cs="Times New Roman" w:eastAsia="Times New Roman" w:hAnsi="Times New Roman"/>
          <w:sz w:val="16"/>
          <w:szCs w:val="16"/>
          <w:i w:val="1"/>
          <w:iCs w:val="1"/>
          <w:color w:val="auto"/>
        </w:rPr>
        <w:t>the Matter</w:t>
      </w:r>
      <w:r>
        <w:rPr>
          <w:sz w:val="20"/>
          <w:szCs w:val="20"/>
          <w:color w:val="auto"/>
        </w:rPr>
        <w:tab/>
      </w:r>
      <w:r>
        <w:rPr>
          <w:rFonts w:ascii="Times New Roman" w:cs="Times New Roman" w:eastAsia="Times New Roman" w:hAnsi="Times New Roman"/>
          <w:sz w:val="14"/>
          <w:szCs w:val="14"/>
          <w:color w:val="auto"/>
        </w:rPr>
        <w:t>design and tested the operating effectiveness of</w:t>
      </w:r>
    </w:p>
    <w:p>
      <w:pPr>
        <w:spacing w:after="0" w:line="232" w:lineRule="auto"/>
        <w:tabs>
          <w:tab w:leader="none" w:pos="820" w:val="left"/>
        </w:tabs>
        <w:rPr>
          <w:sz w:val="20"/>
          <w:szCs w:val="20"/>
          <w:color w:val="auto"/>
        </w:rPr>
      </w:pPr>
      <w:r>
        <w:rPr>
          <w:rFonts w:ascii="Times New Roman" w:cs="Times New Roman" w:eastAsia="Times New Roman" w:hAnsi="Times New Roman"/>
          <w:sz w:val="16"/>
          <w:szCs w:val="16"/>
          <w:i w:val="1"/>
          <w:iCs w:val="1"/>
          <w:color w:val="auto"/>
        </w:rPr>
        <w:t>in Our</w:t>
      </w:r>
      <w:r>
        <w:rPr>
          <w:sz w:val="20"/>
          <w:szCs w:val="20"/>
          <w:color w:val="auto"/>
        </w:rPr>
        <w:tab/>
      </w:r>
      <w:r>
        <w:rPr>
          <w:rFonts w:ascii="Times New Roman" w:cs="Times New Roman" w:eastAsia="Times New Roman" w:hAnsi="Times New Roman"/>
          <w:sz w:val="14"/>
          <w:szCs w:val="14"/>
          <w:color w:val="auto"/>
        </w:rPr>
        <w:t>controls over the Company's processes for</w:t>
      </w:r>
    </w:p>
    <w:p>
      <w:pPr>
        <w:spacing w:after="0" w:line="204" w:lineRule="auto"/>
        <w:tabs>
          <w:tab w:leader="none" w:pos="820" w:val="left"/>
        </w:tabs>
        <w:rPr>
          <w:sz w:val="20"/>
          <w:szCs w:val="20"/>
          <w:color w:val="auto"/>
        </w:rPr>
      </w:pPr>
      <w:r>
        <w:rPr>
          <w:rFonts w:ascii="Times New Roman" w:cs="Times New Roman" w:eastAsia="Times New Roman" w:hAnsi="Times New Roman"/>
          <w:sz w:val="16"/>
          <w:szCs w:val="16"/>
          <w:i w:val="1"/>
          <w:iCs w:val="1"/>
          <w:color w:val="auto"/>
        </w:rPr>
        <w:t>Audit</w:t>
      </w:r>
      <w:r>
        <w:rPr>
          <w:sz w:val="20"/>
          <w:szCs w:val="20"/>
          <w:color w:val="auto"/>
        </w:rPr>
        <w:tab/>
      </w:r>
      <w:r>
        <w:rPr>
          <w:rFonts w:ascii="Times New Roman" w:cs="Times New Roman" w:eastAsia="Times New Roman" w:hAnsi="Times New Roman"/>
          <w:sz w:val="16"/>
          <w:szCs w:val="16"/>
          <w:color w:val="auto"/>
        </w:rPr>
        <w:t>identifying performance obligations and</w:t>
      </w:r>
    </w:p>
    <w:p>
      <w:pPr>
        <w:ind w:left="840"/>
        <w:spacing w:after="0" w:line="203" w:lineRule="auto"/>
        <w:rPr>
          <w:sz w:val="20"/>
          <w:szCs w:val="20"/>
          <w:color w:val="auto"/>
        </w:rPr>
      </w:pPr>
      <w:r>
        <w:rPr>
          <w:rFonts w:ascii="Times New Roman" w:cs="Times New Roman" w:eastAsia="Times New Roman" w:hAnsi="Times New Roman"/>
          <w:sz w:val="16"/>
          <w:szCs w:val="16"/>
          <w:color w:val="auto"/>
        </w:rPr>
        <w:t>determining the timing over which the</w:t>
      </w:r>
    </w:p>
    <w:p>
      <w:pPr>
        <w:ind w:left="840"/>
        <w:spacing w:after="0" w:line="204" w:lineRule="auto"/>
        <w:rPr>
          <w:sz w:val="20"/>
          <w:szCs w:val="20"/>
          <w:color w:val="auto"/>
        </w:rPr>
      </w:pPr>
      <w:r>
        <w:rPr>
          <w:rFonts w:ascii="Times New Roman" w:cs="Times New Roman" w:eastAsia="Times New Roman" w:hAnsi="Times New Roman"/>
          <w:sz w:val="16"/>
          <w:szCs w:val="16"/>
          <w:color w:val="auto"/>
        </w:rPr>
        <w:t>performance obligations are satisfied with</w:t>
      </w:r>
    </w:p>
    <w:p>
      <w:pPr>
        <w:ind w:left="840"/>
        <w:spacing w:after="0" w:line="203" w:lineRule="auto"/>
        <w:rPr>
          <w:sz w:val="20"/>
          <w:szCs w:val="20"/>
          <w:color w:val="auto"/>
        </w:rPr>
      </w:pPr>
      <w:r>
        <w:rPr>
          <w:rFonts w:ascii="Times New Roman" w:cs="Times New Roman" w:eastAsia="Times New Roman" w:hAnsi="Times New Roman"/>
          <w:sz w:val="16"/>
          <w:szCs w:val="16"/>
          <w:color w:val="auto"/>
        </w:rPr>
        <w:t>respect to these products.</w:t>
      </w:r>
    </w:p>
    <w:p>
      <w:pPr>
        <w:ind w:left="840"/>
        <w:spacing w:after="0" w:line="204" w:lineRule="auto"/>
        <w:rPr>
          <w:sz w:val="20"/>
          <w:szCs w:val="20"/>
          <w:color w:val="auto"/>
        </w:rPr>
      </w:pPr>
      <w:r>
        <w:rPr>
          <w:rFonts w:ascii="Times New Roman" w:cs="Times New Roman" w:eastAsia="Times New Roman" w:hAnsi="Times New Roman"/>
          <w:sz w:val="16"/>
          <w:szCs w:val="16"/>
          <w:color w:val="auto"/>
        </w:rPr>
        <w:t>To test the Company’s judgments and</w:t>
      </w:r>
    </w:p>
    <w:p>
      <w:pPr>
        <w:ind w:left="840"/>
        <w:spacing w:after="0" w:line="203" w:lineRule="auto"/>
        <w:rPr>
          <w:sz w:val="20"/>
          <w:szCs w:val="20"/>
          <w:color w:val="auto"/>
        </w:rPr>
      </w:pPr>
      <w:r>
        <w:rPr>
          <w:rFonts w:ascii="Times New Roman" w:cs="Times New Roman" w:eastAsia="Times New Roman" w:hAnsi="Times New Roman"/>
          <w:sz w:val="16"/>
          <w:szCs w:val="16"/>
          <w:color w:val="auto"/>
        </w:rPr>
        <w:t>conclusions related to the identification of</w:t>
      </w:r>
    </w:p>
    <w:p>
      <w:pPr>
        <w:ind w:left="840"/>
        <w:spacing w:after="0" w:line="204" w:lineRule="auto"/>
        <w:rPr>
          <w:sz w:val="20"/>
          <w:szCs w:val="20"/>
          <w:color w:val="auto"/>
        </w:rPr>
      </w:pPr>
      <w:r>
        <w:rPr>
          <w:rFonts w:ascii="Times New Roman" w:cs="Times New Roman" w:eastAsia="Times New Roman" w:hAnsi="Times New Roman"/>
          <w:sz w:val="16"/>
          <w:szCs w:val="16"/>
          <w:color w:val="auto"/>
        </w:rPr>
        <w:t>performance obligations and timing of</w:t>
      </w:r>
    </w:p>
    <w:p>
      <w:pPr>
        <w:ind w:left="840"/>
        <w:spacing w:after="0" w:line="204" w:lineRule="auto"/>
        <w:rPr>
          <w:sz w:val="20"/>
          <w:szCs w:val="20"/>
          <w:color w:val="auto"/>
        </w:rPr>
      </w:pPr>
      <w:r>
        <w:rPr>
          <w:rFonts w:ascii="Times New Roman" w:cs="Times New Roman" w:eastAsia="Times New Roman" w:hAnsi="Times New Roman"/>
          <w:sz w:val="16"/>
          <w:szCs w:val="16"/>
          <w:color w:val="auto"/>
        </w:rPr>
        <w:t>satisfaction of those performance obligations,</w:t>
      </w:r>
    </w:p>
    <w:p>
      <w:pPr>
        <w:ind w:left="840"/>
        <w:spacing w:after="0" w:line="203" w:lineRule="auto"/>
        <w:rPr>
          <w:sz w:val="20"/>
          <w:szCs w:val="20"/>
          <w:color w:val="auto"/>
        </w:rPr>
      </w:pPr>
      <w:r>
        <w:rPr>
          <w:rFonts w:ascii="Times New Roman" w:cs="Times New Roman" w:eastAsia="Times New Roman" w:hAnsi="Times New Roman"/>
          <w:sz w:val="16"/>
          <w:szCs w:val="16"/>
          <w:color w:val="auto"/>
        </w:rPr>
        <w:t>our audit procedures included, among others,</w:t>
      </w:r>
    </w:p>
    <w:p>
      <w:pPr>
        <w:ind w:left="840"/>
        <w:spacing w:after="0" w:line="204" w:lineRule="auto"/>
        <w:rPr>
          <w:sz w:val="20"/>
          <w:szCs w:val="20"/>
          <w:color w:val="auto"/>
        </w:rPr>
      </w:pPr>
      <w:r>
        <w:rPr>
          <w:rFonts w:ascii="Times New Roman" w:cs="Times New Roman" w:eastAsia="Times New Roman" w:hAnsi="Times New Roman"/>
          <w:sz w:val="16"/>
          <w:szCs w:val="16"/>
          <w:color w:val="auto"/>
        </w:rPr>
        <w:t>obtaining an understanding of the Company’s</w:t>
      </w:r>
    </w:p>
    <w:p>
      <w:pPr>
        <w:ind w:left="840"/>
        <w:spacing w:after="0" w:line="203" w:lineRule="auto"/>
        <w:rPr>
          <w:sz w:val="20"/>
          <w:szCs w:val="20"/>
          <w:color w:val="auto"/>
        </w:rPr>
      </w:pPr>
      <w:r>
        <w:rPr>
          <w:rFonts w:ascii="Times New Roman" w:cs="Times New Roman" w:eastAsia="Times New Roman" w:hAnsi="Times New Roman"/>
          <w:sz w:val="16"/>
          <w:szCs w:val="16"/>
          <w:color w:val="auto"/>
        </w:rPr>
        <w:t>AxiomSL and Calypso service offerings and</w:t>
      </w:r>
    </w:p>
    <w:p>
      <w:pPr>
        <w:ind w:left="840"/>
        <w:spacing w:after="0" w:line="204" w:lineRule="auto"/>
        <w:rPr>
          <w:sz w:val="20"/>
          <w:szCs w:val="20"/>
          <w:color w:val="auto"/>
        </w:rPr>
      </w:pPr>
      <w:r>
        <w:rPr>
          <w:rFonts w:ascii="Times New Roman" w:cs="Times New Roman" w:eastAsia="Times New Roman" w:hAnsi="Times New Roman"/>
          <w:sz w:val="16"/>
          <w:szCs w:val="16"/>
          <w:color w:val="auto"/>
        </w:rPr>
        <w:t>evaluating management’s conclusions</w:t>
      </w:r>
    </w:p>
    <w:p>
      <w:pPr>
        <w:ind w:left="840"/>
        <w:spacing w:after="0" w:line="203" w:lineRule="auto"/>
        <w:rPr>
          <w:sz w:val="20"/>
          <w:szCs w:val="20"/>
          <w:color w:val="auto"/>
        </w:rPr>
      </w:pPr>
      <w:r>
        <w:rPr>
          <w:rFonts w:ascii="Times New Roman" w:cs="Times New Roman" w:eastAsia="Times New Roman" w:hAnsi="Times New Roman"/>
          <w:sz w:val="16"/>
          <w:szCs w:val="16"/>
          <w:color w:val="auto"/>
        </w:rPr>
        <w:t>regarding which were distinct. We read a</w:t>
      </w:r>
    </w:p>
    <w:p>
      <w:pPr>
        <w:ind w:left="840"/>
        <w:spacing w:after="0" w:line="204" w:lineRule="auto"/>
        <w:rPr>
          <w:sz w:val="20"/>
          <w:szCs w:val="20"/>
          <w:color w:val="auto"/>
        </w:rPr>
      </w:pPr>
      <w:r>
        <w:rPr>
          <w:rFonts w:ascii="Times New Roman" w:cs="Times New Roman" w:eastAsia="Times New Roman" w:hAnsi="Times New Roman"/>
          <w:sz w:val="16"/>
          <w:szCs w:val="16"/>
          <w:color w:val="auto"/>
        </w:rPr>
        <w:t>sample of executed contracts to assess</w:t>
      </w:r>
    </w:p>
    <w:p>
      <w:pPr>
        <w:ind w:left="840"/>
        <w:spacing w:after="0" w:line="233" w:lineRule="auto"/>
        <w:rPr>
          <w:sz w:val="20"/>
          <w:szCs w:val="20"/>
          <w:color w:val="auto"/>
        </w:rPr>
      </w:pPr>
      <w:r>
        <w:rPr>
          <w:rFonts w:ascii="Times New Roman" w:cs="Times New Roman" w:eastAsia="Times New Roman" w:hAnsi="Times New Roman"/>
          <w:sz w:val="14"/>
          <w:szCs w:val="14"/>
          <w:color w:val="auto"/>
        </w:rPr>
        <w:t>management’s evaluation of significant terms,</w:t>
      </w:r>
    </w:p>
    <w:p>
      <w:pPr>
        <w:ind w:left="840"/>
        <w:spacing w:after="0" w:line="203" w:lineRule="auto"/>
        <w:rPr>
          <w:sz w:val="20"/>
          <w:szCs w:val="20"/>
          <w:color w:val="auto"/>
        </w:rPr>
      </w:pPr>
      <w:r>
        <w:rPr>
          <w:rFonts w:ascii="Times New Roman" w:cs="Times New Roman" w:eastAsia="Times New Roman" w:hAnsi="Times New Roman"/>
          <w:sz w:val="16"/>
          <w:szCs w:val="16"/>
          <w:color w:val="auto"/>
        </w:rPr>
        <w:t>including the determination of distinct</w:t>
      </w:r>
    </w:p>
    <w:p>
      <w:pPr>
        <w:ind w:left="840"/>
        <w:spacing w:after="0"/>
        <w:rPr>
          <w:sz w:val="20"/>
          <w:szCs w:val="20"/>
          <w:color w:val="auto"/>
        </w:rPr>
      </w:pPr>
      <w:r>
        <w:rPr>
          <w:rFonts w:ascii="Times New Roman" w:cs="Times New Roman" w:eastAsia="Times New Roman" w:hAnsi="Times New Roman"/>
          <w:sz w:val="16"/>
          <w:szCs w:val="16"/>
          <w:color w:val="auto"/>
        </w:rPr>
        <w:t>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Ernst &amp; Young LLP</w:t>
      </w:r>
    </w:p>
    <w:p>
      <w:pPr>
        <w:spacing w:after="0" w:line="203" w:lineRule="auto"/>
        <w:rPr>
          <w:sz w:val="20"/>
          <w:szCs w:val="20"/>
          <w:color w:val="auto"/>
        </w:rPr>
      </w:pPr>
      <w:r>
        <w:rPr>
          <w:rFonts w:ascii="Times New Roman" w:cs="Times New Roman" w:eastAsia="Times New Roman" w:hAnsi="Times New Roman"/>
          <w:sz w:val="16"/>
          <w:szCs w:val="16"/>
          <w:color w:val="auto"/>
        </w:rPr>
        <w:t>We have served as the Company’s auditor since 1986.</w:t>
      </w:r>
    </w:p>
    <w:p>
      <w:pPr>
        <w:spacing w:after="0" w:line="204" w:lineRule="auto"/>
        <w:rPr>
          <w:sz w:val="20"/>
          <w:szCs w:val="20"/>
          <w:color w:val="auto"/>
        </w:rPr>
      </w:pPr>
      <w:r>
        <w:rPr>
          <w:rFonts w:ascii="Times New Roman" w:cs="Times New Roman" w:eastAsia="Times New Roman" w:hAnsi="Times New Roman"/>
          <w:sz w:val="16"/>
          <w:szCs w:val="16"/>
          <w:color w:val="auto"/>
        </w:rPr>
        <w:t>New York, New York</w:t>
      </w:r>
    </w:p>
    <w:p>
      <w:pPr>
        <w:spacing w:after="0"/>
        <w:rPr>
          <w:sz w:val="20"/>
          <w:szCs w:val="20"/>
          <w:color w:val="auto"/>
        </w:rPr>
      </w:pPr>
      <w:r>
        <w:rPr>
          <w:rFonts w:ascii="Times New Roman" w:cs="Times New Roman" w:eastAsia="Times New Roman" w:hAnsi="Times New Roman"/>
          <w:sz w:val="16"/>
          <w:szCs w:val="16"/>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F-4</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Nasdaq, Inc.</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rPr>
          <w:sz w:val="20"/>
          <w:szCs w:val="20"/>
          <w:color w:val="auto"/>
        </w:rPr>
      </w:pPr>
      <w:r>
        <w:rPr>
          <w:rFonts w:ascii="Times New Roman" w:cs="Times New Roman" w:eastAsia="Times New Roman" w:hAnsi="Times New Roman"/>
          <w:sz w:val="16"/>
          <w:szCs w:val="16"/>
          <w:b w:val="1"/>
          <w:bCs w:val="1"/>
          <w:color w:val="auto"/>
        </w:rPr>
        <w:t>(in millions, except share and par value amounts)</w:t>
      </w:r>
    </w:p>
    <w:p>
      <w:pPr>
        <w:sectPr>
          <w:pgSz w:w="11900" w:h="16840" w:orient="portrait"/>
          <w:cols w:equalWidth="0" w:num="1">
            <w:col w:w="9400"/>
          </w:cols>
          <w:pgMar w:left="1060" w:top="547"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2"/>
        </w:trPr>
        <w:tc>
          <w:tcPr>
            <w:tcW w:w="608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 w:type="dxa"/>
            <w:vAlign w:val="bottom"/>
          </w:tcPr>
          <w:p>
            <w:pPr>
              <w:spacing w:after="0"/>
              <w:rPr>
                <w:sz w:val="12"/>
                <w:szCs w:val="12"/>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52"/>
        </w:trPr>
        <w:tc>
          <w:tcPr>
            <w:tcW w:w="60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72"/>
        </w:trPr>
        <w:tc>
          <w:tcPr>
            <w:tcW w:w="6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604</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592</w:t>
            </w: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30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w:t>
            </w:r>
          </w:p>
        </w:tc>
      </w:tr>
      <w:tr>
        <w:trPr>
          <w:trHeight w:val="144"/>
        </w:trPr>
        <w:tc>
          <w:tcPr>
            <w:tcW w:w="60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Default funds and margin deposits (including restricted cash and cash equivalents of</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5,842</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5,664</w:t>
            </w:r>
          </w:p>
        </w:tc>
      </w:tr>
      <w:tr>
        <w:trPr>
          <w:trHeight w:val="232"/>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$3,120 and $4,383,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investments</w:t>
            </w:r>
          </w:p>
        </w:tc>
        <w:tc>
          <w:tcPr>
            <w:tcW w:w="30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184</w:t>
            </w: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943</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1,022</w:t>
            </w:r>
          </w:p>
        </w:tc>
      </w:tr>
      <w:tr>
        <w:trPr>
          <w:trHeight w:val="192"/>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376</w:t>
            </w: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293</w:t>
            </w:r>
          </w:p>
        </w:tc>
      </w:tr>
      <w:tr>
        <w:trPr>
          <w:trHeight w:val="172"/>
        </w:trPr>
        <w:tc>
          <w:tcPr>
            <w:tcW w:w="6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rPr>
              <w:t>8,003</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7,786</w:t>
            </w: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728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593</w:t>
            </w: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14,371</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13,957</w:t>
            </w: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6,511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6,905</w:t>
            </w: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447</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375</w:t>
            </w:r>
          </w:p>
        </w:tc>
      </w:tr>
      <w:tr>
        <w:trPr>
          <w:trHeight w:val="192"/>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993</w:t>
            </w: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779</w:t>
            </w:r>
          </w:p>
        </w:tc>
      </w:tr>
      <w:tr>
        <w:trPr>
          <w:trHeight w:val="197"/>
        </w:trPr>
        <w:tc>
          <w:tcPr>
            <w:tcW w:w="60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31,053</w:t>
            </w: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30,395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8"/>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280</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269</w:t>
            </w: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Section 31 fees payable to SEC</w:t>
            </w:r>
          </w:p>
        </w:tc>
        <w:tc>
          <w:tcPr>
            <w:tcW w:w="30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319</w:t>
            </w: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personnel costs</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364</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325</w:t>
            </w: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785</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711</w:t>
            </w: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259</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215</w:t>
            </w: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Default funds and margin deposits</w:t>
            </w:r>
          </w:p>
        </w:tc>
        <w:tc>
          <w:tcPr>
            <w:tcW w:w="30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5,842</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5,664</w:t>
            </w: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debt</w:t>
            </w: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431</w:t>
            </w: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399</w:t>
            </w:r>
          </w:p>
        </w:tc>
      </w:tr>
      <w:tr>
        <w:trPr>
          <w:trHeight w:val="172"/>
        </w:trPr>
        <w:tc>
          <w:tcPr>
            <w:tcW w:w="60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4"/>
                <w:szCs w:val="14"/>
                <w:color w:val="auto"/>
              </w:rPr>
            </w:pPr>
          </w:p>
        </w:tc>
        <w:tc>
          <w:tcPr>
            <w:tcW w:w="760" w:type="dxa"/>
            <w:vAlign w:val="bottom"/>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rPr>
              <w:t>7,961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7,902</w:t>
            </w: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8,573</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9,081</w:t>
            </w:r>
          </w:p>
        </w:tc>
      </w:tr>
      <w:tr>
        <w:trPr>
          <w:trHeight w:val="19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0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1,584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1,594</w:t>
            </w: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462</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388</w:t>
            </w:r>
          </w:p>
        </w:tc>
      </w:tr>
      <w:tr>
        <w:trPr>
          <w:trHeight w:val="192"/>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230</w:t>
            </w:r>
          </w:p>
        </w:tc>
      </w:tr>
      <w:tr>
        <w:trPr>
          <w:trHeight w:val="172"/>
        </w:trPr>
        <w:tc>
          <w:tcPr>
            <w:tcW w:w="6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18,821</w:t>
            </w: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19,195</w:t>
            </w:r>
          </w:p>
        </w:tc>
      </w:tr>
      <w:tr>
        <w:trPr>
          <w:trHeight w:val="64"/>
        </w:trPr>
        <w:tc>
          <w:tcPr>
            <w:tcW w:w="6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84"/>
        </w:trPr>
        <w:tc>
          <w:tcPr>
            <w:tcW w:w="6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9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Nasdaq stockholders’ equity:</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45"/>
        </w:trPr>
        <w:tc>
          <w:tcPr>
            <w:tcW w:w="60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Common stock, $0.01 par value, 900,000,000 shares authorized, shares issued:</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2"/>
              <w:spacing w:after="0" w:line="145"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2"/>
              <w:spacing w:after="0" w:line="145" w:lineRule="exact"/>
              <w:rPr>
                <w:sz w:val="20"/>
                <w:szCs w:val="20"/>
                <w:color w:val="auto"/>
              </w:rPr>
            </w:pPr>
            <w:r>
              <w:rPr>
                <w:rFonts w:ascii="Times New Roman" w:cs="Times New Roman" w:eastAsia="Times New Roman" w:hAnsi="Times New Roman"/>
                <w:sz w:val="16"/>
                <w:szCs w:val="16"/>
                <w:color w:val="auto"/>
              </w:rPr>
              <w:t>6</w:t>
            </w:r>
          </w:p>
        </w:tc>
      </w:tr>
      <w:tr>
        <w:trPr>
          <w:trHeight w:val="156"/>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594,620,320 at December 31, 2025 and 598,920,378 at December 31, 2024; shares</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8"/>
        </w:trPr>
        <w:tc>
          <w:tcPr>
            <w:tcW w:w="60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outstanding: 569,894,024 at December 31, 2025 and 575,062,217 at December 31, 2024</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F-5</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Nasdaq, Inc.</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ectPr>
          <w:pgSz w:w="11900" w:h="16840" w:orient="portrait"/>
          <w:cols w:equalWidth="0" w:num="1">
            <w:col w:w="9400"/>
          </w:cols>
          <w:pgMar w:left="1060" w:top="567" w:right="1440"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142"/>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7"/>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5780" w:type="dxa"/>
            <w:vAlign w:val="bottom"/>
          </w:tcPr>
          <w:p>
            <w:pPr>
              <w:spacing w:after="0"/>
              <w:rPr>
                <w:sz w:val="6"/>
                <w:szCs w:val="6"/>
                <w:color w:val="auto"/>
              </w:rPr>
            </w:pPr>
          </w:p>
        </w:tc>
        <w:tc>
          <w:tcPr>
            <w:tcW w:w="780" w:type="dxa"/>
            <w:vAlign w:val="bottom"/>
            <w:gridSpan w:val="3"/>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5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81"/>
              </w:rPr>
              <w:t>2024</w:t>
            </w: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5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5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Access Platforms</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30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Financial Technology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Services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7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6,064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Transaction-based 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5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rebates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(2,572)</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(2,026)</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4"/>
              </w:rPr>
              <w:t>(1,838)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Brokerage, clearance and exchange fees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7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 less transaction-based expenses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5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and contract services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Technology and communication infrastructure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Occupancy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Marketing and advertising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7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Nasdaq, Inc.</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20" w:type="dxa"/>
            <w:vAlign w:val="bottom"/>
            <w:gridSpan w:val="8"/>
            <w:vMerge w:val="restart"/>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780" w:type="dxa"/>
            <w:vAlign w:val="bottom"/>
          </w:tcPr>
          <w:p>
            <w:pPr>
              <w:spacing w:after="0"/>
              <w:rPr>
                <w:sz w:val="10"/>
                <w:szCs w:val="10"/>
                <w:color w:val="auto"/>
              </w:rPr>
            </w:pPr>
          </w:p>
        </w:tc>
        <w:tc>
          <w:tcPr>
            <w:tcW w:w="162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5780" w:type="dxa"/>
            <w:vAlign w:val="bottom"/>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3"/>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gridSpan w:val="3"/>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5780" w:type="dxa"/>
            <w:vAlign w:val="bottom"/>
          </w:tcPr>
          <w:p>
            <w:pPr>
              <w:spacing w:after="0"/>
              <w:rPr>
                <w:sz w:val="11"/>
                <w:szCs w:val="11"/>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Pr>
          <w:p>
            <w:pPr>
              <w:spacing w:after="0"/>
              <w:rPr>
                <w:sz w:val="11"/>
                <w:szCs w:val="11"/>
                <w:color w:val="auto"/>
              </w:rPr>
            </w:pPr>
          </w:p>
        </w:tc>
        <w:tc>
          <w:tcPr>
            <w:tcW w:w="30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7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gridSpan w:val="3"/>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gridSpan w:val="3"/>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1,787</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4"/>
              </w:rPr>
              <w:t>1,115</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1,057</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gains (losses)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225</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(135)</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78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Income tax benefit (expense)</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jc w:val="right"/>
              <w:ind w:right="44"/>
              <w:spacing w:after="0" w:line="36" w:lineRule="exact"/>
              <w:rPr>
                <w:sz w:val="20"/>
                <w:szCs w:val="20"/>
                <w:color w:val="auto"/>
              </w:rPr>
            </w:pPr>
            <w:r>
              <w:rPr>
                <w:rFonts w:ascii="Times New Roman" w:cs="Times New Roman" w:eastAsia="Times New Roman" w:hAnsi="Times New Roman"/>
                <w:sz w:val="4"/>
                <w:szCs w:val="4"/>
                <w:color w:val="auto"/>
              </w:rPr>
              <w:t>94</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jc w:val="right"/>
              <w:spacing w:after="0" w:line="36" w:lineRule="exact"/>
              <w:rPr>
                <w:sz w:val="20"/>
                <w:szCs w:val="20"/>
                <w:color w:val="auto"/>
              </w:rPr>
            </w:pPr>
            <w:r>
              <w:rPr>
                <w:rFonts w:ascii="Times New Roman" w:cs="Times New Roman" w:eastAsia="Times New Roman" w:hAnsi="Times New Roman"/>
                <w:sz w:val="4"/>
                <w:szCs w:val="4"/>
                <w:color w:val="auto"/>
              </w:rPr>
              <w:t>(45)</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jc w:val="right"/>
              <w:ind w:right="4"/>
              <w:spacing w:after="0" w:line="36" w:lineRule="exact"/>
              <w:rPr>
                <w:sz w:val="20"/>
                <w:szCs w:val="20"/>
                <w:color w:val="auto"/>
              </w:rPr>
            </w:pPr>
            <w:r>
              <w:rPr>
                <w:rFonts w:ascii="Times New Roman" w:cs="Times New Roman" w:eastAsia="Times New Roman" w:hAnsi="Times New Roman"/>
                <w:sz w:val="4"/>
                <w:szCs w:val="4"/>
                <w:color w:val="auto"/>
              </w:rPr>
              <w:t>18</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5780" w:type="dxa"/>
            <w:vAlign w:val="bottom"/>
          </w:tcPr>
          <w:p>
            <w:pPr>
              <w:ind w:left="1820"/>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57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net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319</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5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benefit plan adjustment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7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benefit plan, net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(loss) on derivatives instruments, net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326</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(175)</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2,113</w:t>
            </w: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940</w:t>
            </w: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1,124</w:t>
            </w: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Nasdaq</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2,114</w:t>
            </w:r>
          </w:p>
        </w:tc>
        <w:tc>
          <w:tcPr>
            <w:tcW w:w="60" w:type="dxa"/>
            <w:vAlign w:val="bottom"/>
          </w:tcPr>
          <w:p>
            <w:pPr>
              <w:spacing w:after="0"/>
              <w:rPr>
                <w:sz w:val="16"/>
                <w:szCs w:val="16"/>
                <w:color w:val="auto"/>
              </w:rPr>
            </w:pPr>
          </w:p>
        </w:tc>
        <w:tc>
          <w:tcPr>
            <w:tcW w:w="3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942</w:t>
            </w:r>
          </w:p>
        </w:tc>
        <w:tc>
          <w:tcPr>
            <w:tcW w:w="60" w:type="dxa"/>
            <w:vAlign w:val="bottom"/>
          </w:tcPr>
          <w:p>
            <w:pPr>
              <w:spacing w:after="0"/>
              <w:rPr>
                <w:sz w:val="16"/>
                <w:szCs w:val="16"/>
                <w:color w:val="auto"/>
              </w:rPr>
            </w:pPr>
          </w:p>
        </w:tc>
        <w:tc>
          <w:tcPr>
            <w:tcW w:w="2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1,126</w:t>
            </w:r>
          </w:p>
        </w:tc>
        <w:tc>
          <w:tcPr>
            <w:tcW w:w="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w:t>
            </w: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0" w:hanging="130"/>
        <w:spacing w:after="0" w:line="230" w:lineRule="auto"/>
        <w:tabs>
          <w:tab w:leader="none" w:pos="13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relates to the tax effect of unrealized gains and losses on our Euro Notes.</w:t>
      </w:r>
    </w:p>
    <w:p>
      <w:pPr>
        <w:ind w:left="1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rPr>
        <w:t>See accompanying notes to consolidated financial statements.</w:t>
      </w:r>
    </w:p>
    <w:p>
      <w:pPr>
        <w:sectPr>
          <w:pgSz w:w="11900" w:h="16840" w:orient="portrait"/>
          <w:cols w:equalWidth="0" w:num="1">
            <w:col w:w="9410"/>
          </w:cols>
          <w:pgMar w:left="1050" w:top="567"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F-7</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Nasdaq, Inc.</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Consolidated Statements of Changes in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p>
      <w:pPr>
        <w:spacing w:after="0" w:line="228" w:lineRule="auto"/>
        <w:rPr>
          <w:sz w:val="20"/>
          <w:szCs w:val="20"/>
          <w:color w:val="auto"/>
        </w:rPr>
      </w:pPr>
      <w:r>
        <w:rPr>
          <w:rFonts w:ascii="Times New Roman" w:cs="Times New Roman" w:eastAsia="Times New Roman" w:hAnsi="Times New Roman"/>
          <w:sz w:val="16"/>
          <w:szCs w:val="16"/>
          <w:b w:val="1"/>
          <w:bCs w:val="1"/>
          <w:color w:val="auto"/>
        </w:rPr>
        <w:t>(in millions)</w:t>
      </w:r>
    </w:p>
    <w:tbl>
      <w:tblPr>
        <w:tblLayout w:type="fixed"/>
        <w:tblInd w:w="44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Shares   $</w:t>
            </w:r>
          </w:p>
        </w:tc>
        <w:tc>
          <w:tcPr>
            <w:tcW w:w="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spacing w:after="0" w:line="148" w:lineRule="exact"/>
              <w:rPr>
                <w:sz w:val="20"/>
                <w:szCs w:val="20"/>
                <w:color w:val="auto"/>
              </w:rPr>
            </w:pPr>
            <w:r>
              <w:rPr>
                <w:rFonts w:ascii="Times New Roman" w:cs="Times New Roman" w:eastAsia="Times New Roman" w:hAnsi="Times New Roman"/>
                <w:sz w:val="16"/>
                <w:szCs w:val="16"/>
                <w:color w:val="auto"/>
              </w:rPr>
              <w:t>Shares   $</w:t>
            </w:r>
          </w:p>
        </w:tc>
        <w:tc>
          <w:tcPr>
            <w:tcW w:w="60" w:type="dxa"/>
            <w:vAlign w:val="bottom"/>
            <w:vMerge w:val="continue"/>
          </w:tcPr>
          <w:p>
            <w:pPr>
              <w:spacing w:after="0"/>
              <w:rPr>
                <w:sz w:val="12"/>
                <w:szCs w:val="12"/>
                <w:color w:val="auto"/>
              </w:rPr>
            </w:pPr>
          </w:p>
        </w:tc>
        <w:tc>
          <w:tcPr>
            <w:tcW w:w="4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w w:val="93"/>
              </w:rPr>
              <w:t>Shares</w:t>
            </w:r>
          </w:p>
        </w:tc>
        <w:tc>
          <w:tcPr>
            <w:tcW w:w="3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5320030" cy="152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5320030" cy="15240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575</w:t>
            </w:r>
          </w:p>
        </w:tc>
        <w:tc>
          <w:tcPr>
            <w:tcW w:w="6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575</w:t>
            </w:r>
          </w:p>
        </w:tc>
        <w:tc>
          <w:tcPr>
            <w:tcW w:w="6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492</w:t>
            </w:r>
          </w:p>
        </w:tc>
        <w:tc>
          <w:tcPr>
            <w:tcW w:w="40" w:type="dxa"/>
            <w:vAlign w:val="bottom"/>
          </w:tcPr>
          <w:p>
            <w:pPr>
              <w:spacing w:after="0"/>
              <w:rPr>
                <w:sz w:val="17"/>
                <w:szCs w:val="17"/>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50"/>
        </w:trPr>
        <w:tc>
          <w:tcPr>
            <w:tcW w:w="4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Acquisition-related stock issuance</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5"/>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5,530</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5,496</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 program</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37"/>
        </w:trPr>
        <w:tc>
          <w:tcPr>
            <w:tcW w:w="4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165</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141</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Acquisition-related stock issuance</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4,169</w:t>
            </w:r>
          </w:p>
        </w:tc>
        <w:tc>
          <w:tcPr>
            <w:tcW w:w="0" w:type="dxa"/>
            <w:vAlign w:val="bottom"/>
          </w:tcPr>
          <w:p>
            <w:pPr>
              <w:spacing w:after="0"/>
              <w:rPr>
                <w:sz w:val="1"/>
                <w:szCs w:val="1"/>
                <w:color w:val="auto"/>
              </w:rPr>
            </w:pPr>
          </w:p>
        </w:tc>
      </w:tr>
      <w:tr>
        <w:trPr>
          <w:trHeight w:val="37"/>
        </w:trPr>
        <w:tc>
          <w:tcPr>
            <w:tcW w:w="4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issuances of common stock, net</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5"/>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5,122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5,530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5,496</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 in treasury, at cost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(647)</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(587)</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Employee shares withheld</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37"/>
        </w:trPr>
        <w:tc>
          <w:tcPr>
            <w:tcW w:w="44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(716)</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(647)</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(2,099)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(1,924)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(1,991)</w:t>
            </w:r>
          </w:p>
        </w:tc>
        <w:tc>
          <w:tcPr>
            <w:tcW w:w="0" w:type="dxa"/>
            <w:vAlign w:val="bottom"/>
          </w:tcPr>
          <w:p>
            <w:pPr>
              <w:spacing w:after="0"/>
              <w:rPr>
                <w:sz w:val="1"/>
                <w:szCs w:val="1"/>
                <w:color w:val="auto"/>
              </w:rPr>
            </w:pPr>
          </w:p>
        </w:tc>
      </w:tr>
      <w:tr>
        <w:trPr>
          <w:trHeight w:val="37"/>
        </w:trPr>
        <w:tc>
          <w:tcPr>
            <w:tcW w:w="4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326</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(175)</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95"/>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(1,773)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(2,099)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(1,924)</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8,401</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7,825</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7,207</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Nasdaq</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1,788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1,117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37"/>
        </w:trPr>
        <w:tc>
          <w:tcPr>
            <w:tcW w:w="4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5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(601)</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(541)</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195"/>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9,588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8,401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7,825</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Nasdaq stockholders’ equity</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12,227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11,191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10,816</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activity related to noncontrolling interests</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7"/>
        </w:trPr>
        <w:tc>
          <w:tcPr>
            <w:tcW w:w="44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4"/>
        </w:trPr>
        <w:tc>
          <w:tcPr>
            <w:tcW w:w="44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570</w:t>
            </w:r>
          </w:p>
        </w:tc>
        <w:tc>
          <w:tcPr>
            <w:tcW w:w="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6"/>
              </w:rPr>
              <w:t>$12,232</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575</w:t>
            </w:r>
          </w:p>
        </w:tc>
        <w:tc>
          <w:tcPr>
            <w:tcW w:w="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6"/>
              </w:rPr>
              <w:t>$11,200</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575</w:t>
            </w: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$10,827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9400"/>
          </w:cols>
          <w:pgMar w:left="1060" w:top="1440" w:right="1440" w:bottom="4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F-8</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Nasdaq, Inc.</w:t>
      </w:r>
    </w:p>
    <w:p>
      <w:pPr>
        <w:spacing w:after="0" w:line="233"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40" w:orient="portrait"/>
          <w:cols w:equalWidth="0" w:num="1">
            <w:col w:w="9400"/>
          </w:cols>
          <w:pgMar w:left="1060" w:top="1440" w:right="1440" w:bottom="452" w:gutter="0" w:footer="0" w:header="0"/>
          <w:type w:val="continuous"/>
        </w:sectPr>
      </w:pPr>
    </w:p>
    <w:bookmarkStart w:id="62" w:name="page63"/>
    <w:bookmarkEnd w:id="62"/>
    <w:tbl>
      <w:tblPr>
        <w:tblLayout w:type="fixed"/>
        <w:tblInd w:w="10" w:type="dxa"/>
        <w:tblCellMar>
          <w:top w:w="0" w:type="dxa"/>
          <w:left w:w="0" w:type="dxa"/>
          <w:bottom w:w="0" w:type="dxa"/>
          <w:right w:w="0" w:type="dxa"/>
        </w:tblCellMar>
      </w:tblPr>
      <w:tr>
        <w:trPr>
          <w:trHeight w:val="144"/>
        </w:trPr>
        <w:tc>
          <w:tcPr>
            <w:tcW w:w="5600" w:type="dxa"/>
            <w:vAlign w:val="bottom"/>
          </w:tcPr>
          <w:p>
            <w:pPr>
              <w:spacing w:after="0"/>
              <w:rPr>
                <w:sz w:val="12"/>
                <w:szCs w:val="12"/>
                <w:color w:val="auto"/>
              </w:rPr>
            </w:pPr>
          </w:p>
        </w:tc>
        <w:tc>
          <w:tcPr>
            <w:tcW w:w="1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00" w:type="dxa"/>
            <w:vAlign w:val="bottom"/>
          </w:tcPr>
          <w:p>
            <w:pPr>
              <w:spacing w:after="0"/>
              <w:rPr>
                <w:sz w:val="10"/>
                <w:szCs w:val="1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0"/>
                <w:szCs w:val="1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0"/>
                <w:szCs w:val="10"/>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1,787</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1,115</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1,057</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3"/>
                <w:szCs w:val="13"/>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632</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613</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165</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141</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 expense (benefit)</w:t>
            </w:r>
          </w:p>
        </w:tc>
        <w:tc>
          <w:tcPr>
            <w:tcW w:w="32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48</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Extinguishment of debt and bridge fees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Net gain on divestitures</w:t>
            </w:r>
          </w:p>
        </w:tc>
        <w:tc>
          <w:tcPr>
            <w:tcW w:w="320" w:type="dxa"/>
            <w:vAlign w:val="bottom"/>
          </w:tcPr>
          <w:p>
            <w:pPr>
              <w:spacing w:after="0"/>
              <w:rPr>
                <w:sz w:val="13"/>
                <w:szCs w:val="13"/>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Non-cash restructuring charges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37</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from unconsolidated investees</w:t>
            </w:r>
          </w:p>
        </w:tc>
        <w:tc>
          <w:tcPr>
            <w:tcW w:w="320" w:type="dxa"/>
            <w:vAlign w:val="bottom"/>
          </w:tcPr>
          <w:p>
            <w:pPr>
              <w:spacing w:after="0"/>
              <w:rPr>
                <w:sz w:val="13"/>
                <w:szCs w:val="13"/>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(83)</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asset impairments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Adenza purchase accounting adjustment</w:t>
            </w:r>
          </w:p>
        </w:tc>
        <w:tc>
          <w:tcPr>
            <w:tcW w:w="320" w:type="dxa"/>
            <w:vAlign w:val="bottom"/>
          </w:tcPr>
          <w:p>
            <w:pPr>
              <w:spacing w:after="0"/>
              <w:rPr>
                <w:sz w:val="13"/>
                <w:szCs w:val="13"/>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reconciling items included in net income</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operating assets and liabilities, excluding the effects of divestitures:</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Receivables, net</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(193)</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320" w:type="dxa"/>
            <w:vAlign w:val="bottom"/>
          </w:tcPr>
          <w:p>
            <w:pPr>
              <w:spacing w:after="0"/>
              <w:rPr>
                <w:sz w:val="13"/>
                <w:szCs w:val="13"/>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(50)</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Section 31 fees payable to SEC</w:t>
            </w:r>
          </w:p>
        </w:tc>
        <w:tc>
          <w:tcPr>
            <w:tcW w:w="320" w:type="dxa"/>
            <w:vAlign w:val="bottom"/>
          </w:tcPr>
          <w:p>
            <w:pPr>
              <w:spacing w:after="0"/>
              <w:rPr>
                <w:sz w:val="13"/>
                <w:szCs w:val="13"/>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(319)</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235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personnel costs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320" w:type="dxa"/>
            <w:vAlign w:val="bottom"/>
          </w:tcPr>
          <w:p>
            <w:pPr>
              <w:spacing w:after="0"/>
              <w:rPr>
                <w:sz w:val="13"/>
                <w:szCs w:val="13"/>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69</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3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68"/>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2,255</w:t>
            </w: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1,939</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1,696</w:t>
            </w:r>
          </w:p>
        </w:tc>
        <w:tc>
          <w:tcPr>
            <w:tcW w:w="0" w:type="dxa"/>
            <w:vAlign w:val="bottom"/>
          </w:tcPr>
          <w:p>
            <w:pPr>
              <w:spacing w:after="0"/>
              <w:rPr>
                <w:sz w:val="1"/>
                <w:szCs w:val="1"/>
                <w:color w:val="auto"/>
              </w:rPr>
            </w:pPr>
          </w:p>
        </w:tc>
      </w:tr>
      <w:tr>
        <w:trPr>
          <w:trHeight w:val="140"/>
        </w:trPr>
        <w:tc>
          <w:tcPr>
            <w:tcW w:w="56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securities</w:t>
            </w:r>
          </w:p>
        </w:tc>
        <w:tc>
          <w:tcPr>
            <w:tcW w:w="320" w:type="dxa"/>
            <w:vAlign w:val="bottom"/>
          </w:tcPr>
          <w:p>
            <w:pPr>
              <w:spacing w:after="0"/>
              <w:rPr>
                <w:sz w:val="13"/>
                <w:szCs w:val="13"/>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(243)</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(206)</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(712)</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sales and redemptions of securities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427</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199</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719</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divestitures, net of cash divested</w:t>
            </w:r>
          </w:p>
        </w:tc>
        <w:tc>
          <w:tcPr>
            <w:tcW w:w="320" w:type="dxa"/>
            <w:vAlign w:val="bottom"/>
          </w:tcPr>
          <w:p>
            <w:pPr>
              <w:spacing w:after="0"/>
              <w:rPr>
                <w:sz w:val="13"/>
                <w:szCs w:val="13"/>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140</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of businesses, net of cash and cash equivalents acquired</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(5,766)</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320" w:type="dxa"/>
            <w:vAlign w:val="bottom"/>
          </w:tcPr>
          <w:p>
            <w:pPr>
              <w:spacing w:after="0"/>
              <w:rPr>
                <w:sz w:val="13"/>
                <w:szCs w:val="13"/>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(207)</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related to default funds and margin deposits, net</w:t>
            </w:r>
            <w:r>
              <w:rPr>
                <w:rFonts w:ascii="Times New Roman" w:cs="Times New Roman" w:eastAsia="Times New Roman" w:hAnsi="Times New Roman"/>
                <w:sz w:val="8"/>
                <w:szCs w:val="8"/>
                <w:color w:val="auto"/>
              </w:rPr>
              <w:t>(1)</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(1,080)</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(707)</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(78)</w:t>
            </w:r>
          </w:p>
        </w:tc>
        <w:tc>
          <w:tcPr>
            <w:tcW w:w="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(1,100)</w:t>
            </w:r>
          </w:p>
        </w:tc>
        <w:tc>
          <w:tcPr>
            <w:tcW w:w="2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(953)</w:t>
            </w: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(5,994)</w:t>
            </w:r>
          </w:p>
        </w:tc>
        <w:tc>
          <w:tcPr>
            <w:tcW w:w="0" w:type="dxa"/>
            <w:vAlign w:val="bottom"/>
          </w:tcPr>
          <w:p>
            <w:pPr>
              <w:spacing w:after="0"/>
              <w:rPr>
                <w:sz w:val="1"/>
                <w:szCs w:val="1"/>
                <w:color w:val="auto"/>
              </w:rPr>
            </w:pPr>
          </w:p>
        </w:tc>
      </w:tr>
      <w:tr>
        <w:trPr>
          <w:trHeight w:val="136"/>
        </w:trPr>
        <w:tc>
          <w:tcPr>
            <w:tcW w:w="560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of commercial paper, net</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(291)</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Repayments of debt and credit commitment</w:t>
            </w:r>
          </w:p>
        </w:tc>
        <w:tc>
          <w:tcPr>
            <w:tcW w:w="320" w:type="dxa"/>
            <w:vAlign w:val="bottom"/>
          </w:tcPr>
          <w:p>
            <w:pPr>
              <w:spacing w:after="0"/>
              <w:rPr>
                <w:sz w:val="15"/>
                <w:szCs w:val="15"/>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(826)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(521)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issuances of debt, net of issuance costs</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5,608</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320" w:type="dxa"/>
            <w:vAlign w:val="bottom"/>
          </w:tcPr>
          <w:p>
            <w:pPr>
              <w:spacing w:after="0"/>
              <w:rPr>
                <w:sz w:val="15"/>
                <w:szCs w:val="15"/>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(269)</w:t>
            </w: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(601)</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(541)</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Payments related to employee shares withheld for taxes</w:t>
            </w:r>
          </w:p>
        </w:tc>
        <w:tc>
          <w:tcPr>
            <w:tcW w:w="320" w:type="dxa"/>
            <w:vAlign w:val="bottom"/>
          </w:tcPr>
          <w:p>
            <w:pPr>
              <w:spacing w:after="0"/>
              <w:rPr>
                <w:sz w:val="13"/>
                <w:szCs w:val="13"/>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Default funds and margin deposits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(884)</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(1,030)</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8"/>
        </w:trPr>
        <w:tc>
          <w:tcPr>
            <w:tcW w:w="56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(2,953)</w:t>
            </w:r>
          </w:p>
        </w:tc>
        <w:tc>
          <w:tcPr>
            <w:tcW w:w="2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(2,561)</w:t>
            </w: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4,220</w:t>
            </w:r>
          </w:p>
        </w:tc>
        <w:tc>
          <w:tcPr>
            <w:tcW w:w="0" w:type="dxa"/>
            <w:vAlign w:val="bottom"/>
          </w:tcPr>
          <w:p>
            <w:pPr>
              <w:spacing w:after="0"/>
              <w:rPr>
                <w:sz w:val="1"/>
                <w:szCs w:val="1"/>
                <w:color w:val="auto"/>
              </w:rPr>
            </w:pPr>
          </w:p>
        </w:tc>
      </w:tr>
      <w:tr>
        <w:trPr>
          <w:trHeight w:val="112"/>
        </w:trPr>
        <w:tc>
          <w:tcPr>
            <w:tcW w:w="560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Effect of exchange rate changes on cash and cash equivalents and restricted cash and cash</w:t>
            </w:r>
          </w:p>
        </w:tc>
        <w:tc>
          <w:tcPr>
            <w:tcW w:w="320" w:type="dxa"/>
            <w:vAlign w:val="bottom"/>
          </w:tcPr>
          <w:p>
            <w:pPr>
              <w:spacing w:after="0"/>
              <w:rPr>
                <w:sz w:val="9"/>
                <w:szCs w:val="9"/>
                <w:color w:val="auto"/>
              </w:rPr>
            </w:pPr>
          </w:p>
        </w:tc>
        <w:tc>
          <w:tcPr>
            <w:tcW w:w="560" w:type="dxa"/>
            <w:vAlign w:val="bottom"/>
          </w:tcPr>
          <w:p>
            <w:pPr>
              <w:jc w:val="right"/>
              <w:ind w:right="54"/>
              <w:spacing w:after="0" w:line="112" w:lineRule="exact"/>
              <w:rPr>
                <w:sz w:val="20"/>
                <w:szCs w:val="20"/>
                <w:color w:val="auto"/>
              </w:rPr>
            </w:pPr>
            <w:r>
              <w:rPr>
                <w:rFonts w:ascii="Times New Roman" w:cs="Times New Roman" w:eastAsia="Times New Roman" w:hAnsi="Times New Roman"/>
                <w:sz w:val="12"/>
                <w:szCs w:val="12"/>
                <w:color w:val="auto"/>
              </w:rPr>
              <w:t>726</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jc w:val="right"/>
              <w:ind w:right="34"/>
              <w:spacing w:after="0" w:line="112" w:lineRule="exact"/>
              <w:rPr>
                <w:sz w:val="20"/>
                <w:szCs w:val="20"/>
                <w:color w:val="auto"/>
              </w:rPr>
            </w:pPr>
            <w:r>
              <w:rPr>
                <w:rFonts w:ascii="Times New Roman" w:cs="Times New Roman" w:eastAsia="Times New Roman" w:hAnsi="Times New Roman"/>
                <w:sz w:val="12"/>
                <w:szCs w:val="12"/>
                <w:color w:val="auto"/>
              </w:rPr>
              <w:t>(537)</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jc w:val="right"/>
              <w:ind w:right="54"/>
              <w:spacing w:after="0" w:line="112" w:lineRule="exact"/>
              <w:rPr>
                <w:sz w:val="20"/>
                <w:szCs w:val="20"/>
                <w:color w:val="auto"/>
              </w:rPr>
            </w:pPr>
            <w:r>
              <w:rPr>
                <w:rFonts w:ascii="Times New Roman" w:cs="Times New Roman" w:eastAsia="Times New Roman" w:hAnsi="Times New Roman"/>
                <w:sz w:val="12"/>
                <w:szCs w:val="12"/>
                <w:color w:val="auto"/>
              </w:rPr>
              <w:t>202</w:t>
            </w:r>
          </w:p>
        </w:tc>
        <w:tc>
          <w:tcPr>
            <w:tcW w:w="0" w:type="dxa"/>
            <w:vAlign w:val="bottom"/>
          </w:tcPr>
          <w:p>
            <w:pPr>
              <w:spacing w:after="0"/>
              <w:rPr>
                <w:sz w:val="1"/>
                <w:szCs w:val="1"/>
                <w:color w:val="auto"/>
              </w:rPr>
            </w:pPr>
          </w:p>
        </w:tc>
      </w:tr>
      <w:tr>
        <w:trPr>
          <w:trHeight w:val="172"/>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equivalents</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decrease in cash and cash equivalents and restricted cash and cash equivalents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(1,072)</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(2,112)</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7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and cash equivalents, restricted cash and cash equivalents at beginning of period</w:t>
            </w: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5,006</w:t>
            </w: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7,118</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6,994</w:t>
            </w:r>
          </w:p>
        </w:tc>
        <w:tc>
          <w:tcPr>
            <w:tcW w:w="0" w:type="dxa"/>
            <w:vAlign w:val="bottom"/>
          </w:tcPr>
          <w:p>
            <w:pPr>
              <w:spacing w:after="0"/>
              <w:rPr>
                <w:sz w:val="1"/>
                <w:szCs w:val="1"/>
                <w:color w:val="auto"/>
              </w:rPr>
            </w:pPr>
          </w:p>
        </w:tc>
      </w:tr>
      <w:tr>
        <w:trPr>
          <w:trHeight w:val="17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restricted cash and cash equivalents at end of period</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3,934</w:t>
            </w:r>
          </w:p>
        </w:tc>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5,006</w:t>
            </w:r>
          </w:p>
        </w:tc>
        <w:tc>
          <w:tcPr>
            <w:tcW w:w="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7,118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and Cash Equivalents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604</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592</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453</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 and cash equivalents</w:t>
            </w:r>
          </w:p>
        </w:tc>
        <w:tc>
          <w:tcPr>
            <w:tcW w:w="32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and cash equivalents (default funds and margin deposits)</w:t>
            </w:r>
          </w:p>
        </w:tc>
        <w:tc>
          <w:tcPr>
            <w:tcW w:w="3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3,120</w:t>
            </w:r>
          </w:p>
        </w:tc>
        <w:tc>
          <w:tcPr>
            <w:tcW w:w="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4,383</w:t>
            </w: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6,645</w:t>
            </w:r>
          </w:p>
        </w:tc>
        <w:tc>
          <w:tcPr>
            <w:tcW w:w="0" w:type="dxa"/>
            <w:vAlign w:val="bottom"/>
          </w:tcPr>
          <w:p>
            <w:pPr>
              <w:spacing w:after="0"/>
              <w:rPr>
                <w:sz w:val="1"/>
                <w:szCs w:val="1"/>
                <w:color w:val="auto"/>
              </w:rPr>
            </w:pPr>
          </w:p>
        </w:tc>
      </w:tr>
      <w:tr>
        <w:trPr>
          <w:trHeight w:val="148"/>
        </w:trPr>
        <w:tc>
          <w:tcPr>
            <w:tcW w:w="56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3,934</w:t>
            </w:r>
          </w:p>
        </w:tc>
        <w:tc>
          <w:tcPr>
            <w:tcW w:w="20" w:type="dxa"/>
            <w:vAlign w:val="bottom"/>
          </w:tcPr>
          <w:p>
            <w:pPr>
              <w:spacing w:after="0"/>
              <w:rPr>
                <w:sz w:val="12"/>
                <w:szCs w:val="12"/>
                <w:color w:val="auto"/>
              </w:rPr>
            </w:pPr>
          </w:p>
        </w:tc>
        <w:tc>
          <w:tcPr>
            <w:tcW w:w="38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5,006</w:t>
            </w:r>
          </w:p>
        </w:tc>
        <w:tc>
          <w:tcPr>
            <w:tcW w:w="20" w:type="dxa"/>
            <w:vAlign w:val="bottom"/>
          </w:tcPr>
          <w:p>
            <w:pPr>
              <w:spacing w:after="0"/>
              <w:rPr>
                <w:sz w:val="12"/>
                <w:szCs w:val="12"/>
                <w:color w:val="auto"/>
              </w:rPr>
            </w:pPr>
          </w:p>
        </w:tc>
        <w:tc>
          <w:tcPr>
            <w:tcW w:w="30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7,118</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Supplemental Disclosure Cash Flow Information</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354</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405</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72"/>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373</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358</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70"/>
        </w:trPr>
        <w:tc>
          <w:tcPr>
            <w:tcW w:w="5600" w:type="dxa"/>
            <w:vAlign w:val="bottom"/>
          </w:tcPr>
          <w:p>
            <w:pPr>
              <w:spacing w:after="0"/>
              <w:rPr>
                <w:sz w:val="20"/>
                <w:szCs w:val="20"/>
                <w:color w:val="auto"/>
              </w:rPr>
            </w:pPr>
            <w:r>
              <w:rPr>
                <w:rFonts w:ascii="Times New Roman" w:cs="Times New Roman" w:eastAsia="Times New Roman" w:hAnsi="Times New Roman"/>
                <w:sz w:val="5"/>
                <w:szCs w:val="5"/>
                <w:b w:val="1"/>
                <w:bCs w:val="1"/>
                <w:color w:val="auto"/>
              </w:rPr>
              <w:t>__________________________</w:t>
            </w: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70" w:hanging="270"/>
        <w:spacing w:after="0" w:line="201" w:lineRule="auto"/>
        <w:tabs>
          <w:tab w:leader="none" w:pos="27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"Default Fund Contributions and Margin Deposits," of Note 15, "Clearing Operations," for further details.</w:t>
      </w:r>
    </w:p>
    <w:p>
      <w:pPr>
        <w:ind w:left="1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F-9</w:t>
      </w:r>
    </w:p>
    <w:p>
      <w:pPr>
        <w:ind w:left="10"/>
        <w:spacing w:after="0" w:line="206" w:lineRule="auto"/>
        <w:rPr>
          <w:sz w:val="20"/>
          <w:szCs w:val="20"/>
          <w:color w:val="auto"/>
        </w:rPr>
      </w:pPr>
      <w:r>
        <w:rPr>
          <w:rFonts w:ascii="Times New Roman" w:cs="Times New Roman" w:eastAsia="Times New Roman" w:hAnsi="Times New Roman"/>
          <w:sz w:val="19"/>
          <w:szCs w:val="19"/>
          <w:b w:val="1"/>
          <w:bCs w:val="1"/>
          <w:color w:val="auto"/>
        </w:rPr>
        <w:t>Nasdaq, Inc.</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ind w:left="10" w:right="5600" w:hanging="10"/>
        <w:spacing w:after="0" w:line="203" w:lineRule="auto"/>
        <w:tabs>
          <w:tab w:leader="none" w:pos="166"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NATURE OF OPERATIONS </w:t>
      </w:r>
      <w:r>
        <w:rPr>
          <w:rFonts w:ascii="Times New Roman" w:cs="Times New Roman" w:eastAsia="Times New Roman" w:hAnsi="Times New Roman"/>
          <w:sz w:val="16"/>
          <w:szCs w:val="16"/>
          <w:color w:val="auto"/>
        </w:rPr>
        <w:t>Nasdaq is a leading technology platform that powers the world’s economies. We architect the infrastructure of the world’s most modern markets, power the innovation economy, and build trust in the financial system. We empower economic opportunity by designing and deploying the technology, data, and advanced analytics that enable our clients to capture opportunities, navigate risk, and strengthen resilience.</w:t>
      </w:r>
    </w:p>
    <w:p>
      <w:pPr>
        <w:spacing w:after="0" w:line="3" w:lineRule="exact"/>
        <w:rPr>
          <w:rFonts w:ascii="Times New Roman" w:cs="Times New Roman" w:eastAsia="Times New Roman" w:hAnsi="Times New Roman"/>
          <w:sz w:val="16"/>
          <w:szCs w:val="16"/>
          <w:b w:val="1"/>
          <w:bCs w:val="1"/>
          <w:color w:val="auto"/>
        </w:rPr>
      </w:pPr>
    </w:p>
    <w:p>
      <w:pPr>
        <w:ind w:left="10" w:right="556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organizational structure aligns our businesses with the foundational shifts that are driving the evolution of the global financial system. We manage, operate and provide our products and services in three business segments: Capital Access Platforms, Financial Technology and Market Services.</w:t>
      </w:r>
    </w:p>
    <w:p>
      <w:pPr>
        <w:spacing w:after="0" w:line="2"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 Access Platforms</w:t>
      </w:r>
    </w:p>
    <w:p>
      <w:pPr>
        <w:ind w:left="10" w:right="582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Capital Access Platforms segment comprises Data &amp; Listing Services, Index and Workflow &amp; Insights.</w:t>
      </w:r>
    </w:p>
    <w:p>
      <w:pPr>
        <w:ind w:left="10" w:right="5620"/>
        <w:spacing w:after="0" w:line="24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Our Data business distributes historical and real-time market data to sell-side customers, the institutional investing community, retail online brokers, proprietary trading firms and other venues, as well as various client portals and data</w:t>
      </w:r>
    </w:p>
    <w:p>
      <w:pPr>
        <w:sectPr>
          <w:pgSz w:w="11900" w:h="16840" w:orient="portrait"/>
          <w:cols w:equalWidth="0" w:num="1">
            <w:col w:w="9410"/>
          </w:cols>
          <w:pgMar w:left="1050" w:top="567" w:right="1440" w:bottom="42"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distributors. Our data products can enhance the transparency</w:t>
      </w:r>
    </w:p>
    <w:p>
      <w:pPr>
        <w:spacing w:after="0" w:line="220" w:lineRule="auto"/>
        <w:rPr>
          <w:sz w:val="20"/>
          <w:szCs w:val="20"/>
          <w:color w:val="auto"/>
        </w:rPr>
      </w:pPr>
      <w:r>
        <w:rPr>
          <w:rFonts w:ascii="Times New Roman" w:cs="Times New Roman" w:eastAsia="Times New Roman" w:hAnsi="Times New Roman"/>
          <w:sz w:val="16"/>
          <w:szCs w:val="16"/>
          <w:color w:val="auto"/>
        </w:rPr>
        <w:t>of market activity within our exchanges and provide critical</w:t>
      </w:r>
    </w:p>
    <w:p>
      <w:pPr>
        <w:spacing w:after="0" w:line="204" w:lineRule="auto"/>
        <w:rPr>
          <w:sz w:val="20"/>
          <w:szCs w:val="20"/>
          <w:color w:val="auto"/>
        </w:rPr>
      </w:pPr>
      <w:r>
        <w:rPr>
          <w:rFonts w:ascii="Times New Roman" w:cs="Times New Roman" w:eastAsia="Times New Roman" w:hAnsi="Times New Roman"/>
          <w:sz w:val="16"/>
          <w:szCs w:val="16"/>
          <w:color w:val="auto"/>
        </w:rPr>
        <w:t>information to professional and non-professional investors</w:t>
      </w:r>
    </w:p>
    <w:p>
      <w:pPr>
        <w:spacing w:after="0" w:line="203" w:lineRule="auto"/>
        <w:rPr>
          <w:sz w:val="20"/>
          <w:szCs w:val="20"/>
          <w:color w:val="auto"/>
        </w:rPr>
      </w:pPr>
      <w:r>
        <w:rPr>
          <w:rFonts w:ascii="Times New Roman" w:cs="Times New Roman" w:eastAsia="Times New Roman" w:hAnsi="Times New Roman"/>
          <w:sz w:val="16"/>
          <w:szCs w:val="16"/>
          <w:color w:val="auto"/>
        </w:rPr>
        <w:t>globally.</w:t>
      </w:r>
    </w:p>
    <w:p>
      <w:pPr>
        <w:spacing w:after="0" w:line="204" w:lineRule="auto"/>
        <w:rPr>
          <w:sz w:val="20"/>
          <w:szCs w:val="20"/>
          <w:color w:val="auto"/>
        </w:rPr>
      </w:pPr>
      <w:r>
        <w:rPr>
          <w:rFonts w:ascii="Times New Roman" w:cs="Times New Roman" w:eastAsia="Times New Roman" w:hAnsi="Times New Roman"/>
          <w:sz w:val="16"/>
          <w:szCs w:val="16"/>
          <w:color w:val="auto"/>
        </w:rPr>
        <w:t>Our Listing Services business operates listing platforms in</w:t>
      </w:r>
    </w:p>
    <w:p>
      <w:pPr>
        <w:spacing w:after="0" w:line="203" w:lineRule="auto"/>
        <w:rPr>
          <w:sz w:val="20"/>
          <w:szCs w:val="20"/>
          <w:color w:val="auto"/>
        </w:rPr>
      </w:pPr>
      <w:r>
        <w:rPr>
          <w:rFonts w:ascii="Times New Roman" w:cs="Times New Roman" w:eastAsia="Times New Roman" w:hAnsi="Times New Roman"/>
          <w:sz w:val="16"/>
          <w:szCs w:val="16"/>
          <w:color w:val="auto"/>
        </w:rPr>
        <w:t>the U.S. and Europe and provides multiple global capital</w:t>
      </w:r>
    </w:p>
    <w:p>
      <w:pPr>
        <w:spacing w:after="0" w:line="204" w:lineRule="auto"/>
        <w:rPr>
          <w:sz w:val="20"/>
          <w:szCs w:val="20"/>
          <w:color w:val="auto"/>
        </w:rPr>
      </w:pPr>
      <w:r>
        <w:rPr>
          <w:rFonts w:ascii="Times New Roman" w:cs="Times New Roman" w:eastAsia="Times New Roman" w:hAnsi="Times New Roman"/>
          <w:sz w:val="16"/>
          <w:szCs w:val="16"/>
          <w:color w:val="auto"/>
        </w:rPr>
        <w:t>raising solutions for public companies. Our main listing</w:t>
      </w:r>
    </w:p>
    <w:p>
      <w:pPr>
        <w:spacing w:after="0" w:line="203" w:lineRule="auto"/>
        <w:rPr>
          <w:sz w:val="20"/>
          <w:szCs w:val="20"/>
          <w:color w:val="auto"/>
        </w:rPr>
      </w:pPr>
      <w:r>
        <w:rPr>
          <w:rFonts w:ascii="Times New Roman" w:cs="Times New Roman" w:eastAsia="Times New Roman" w:hAnsi="Times New Roman"/>
          <w:sz w:val="16"/>
          <w:szCs w:val="16"/>
          <w:color w:val="auto"/>
        </w:rPr>
        <w:t>markets are The Nasdaq Stock Market and the Nasdaq</w:t>
      </w:r>
    </w:p>
    <w:p>
      <w:pPr>
        <w:spacing w:after="0" w:line="233" w:lineRule="auto"/>
        <w:rPr>
          <w:sz w:val="20"/>
          <w:szCs w:val="20"/>
          <w:color w:val="auto"/>
        </w:rPr>
      </w:pPr>
      <w:r>
        <w:rPr>
          <w:rFonts w:ascii="Times New Roman" w:cs="Times New Roman" w:eastAsia="Times New Roman" w:hAnsi="Times New Roman"/>
          <w:sz w:val="14"/>
          <w:szCs w:val="14"/>
          <w:color w:val="auto"/>
        </w:rPr>
        <w:t>Nordic and Nasdaq Baltic exchanges. Through Nasdaq First</w:t>
      </w:r>
    </w:p>
    <w:p>
      <w:pPr>
        <w:spacing w:after="0" w:line="233" w:lineRule="auto"/>
        <w:rPr>
          <w:sz w:val="20"/>
          <w:szCs w:val="20"/>
          <w:color w:val="auto"/>
        </w:rPr>
      </w:pPr>
      <w:r>
        <w:rPr>
          <w:rFonts w:ascii="Times New Roman" w:cs="Times New Roman" w:eastAsia="Times New Roman" w:hAnsi="Times New Roman"/>
          <w:sz w:val="14"/>
          <w:szCs w:val="14"/>
          <w:color w:val="auto"/>
        </w:rPr>
        <w:t>North, our Nordic and Baltic operations also offer alternative</w:t>
      </w:r>
    </w:p>
    <w:p>
      <w:pPr>
        <w:spacing w:after="0" w:line="203" w:lineRule="auto"/>
        <w:rPr>
          <w:sz w:val="20"/>
          <w:szCs w:val="20"/>
          <w:color w:val="auto"/>
        </w:rPr>
      </w:pPr>
      <w:r>
        <w:rPr>
          <w:rFonts w:ascii="Times New Roman" w:cs="Times New Roman" w:eastAsia="Times New Roman" w:hAnsi="Times New Roman"/>
          <w:sz w:val="16"/>
          <w:szCs w:val="16"/>
          <w:color w:val="auto"/>
        </w:rPr>
        <w:t>marketplaces for smaller companies and growth companies.</w:t>
      </w:r>
    </w:p>
    <w:p>
      <w:pPr>
        <w:spacing w:after="0" w:line="204" w:lineRule="auto"/>
        <w:rPr>
          <w:sz w:val="20"/>
          <w:szCs w:val="20"/>
          <w:color w:val="auto"/>
        </w:rPr>
      </w:pPr>
      <w:r>
        <w:rPr>
          <w:rFonts w:ascii="Times New Roman" w:cs="Times New Roman" w:eastAsia="Times New Roman" w:hAnsi="Times New Roman"/>
          <w:sz w:val="16"/>
          <w:szCs w:val="16"/>
          <w:color w:val="auto"/>
        </w:rPr>
        <w:t>As of December 31, 2025, a total of 5,599 companies listed</w:t>
      </w:r>
    </w:p>
    <w:p>
      <w:pPr>
        <w:spacing w:after="0" w:line="203" w:lineRule="auto"/>
        <w:rPr>
          <w:sz w:val="20"/>
          <w:szCs w:val="20"/>
          <w:color w:val="auto"/>
        </w:rPr>
      </w:pPr>
      <w:r>
        <w:rPr>
          <w:rFonts w:ascii="Times New Roman" w:cs="Times New Roman" w:eastAsia="Times New Roman" w:hAnsi="Times New Roman"/>
          <w:sz w:val="16"/>
          <w:szCs w:val="16"/>
          <w:color w:val="auto"/>
        </w:rPr>
        <w:t>securities on our U.S., Nasdaq Nordic, Nasdaq Baltic and</w:t>
      </w:r>
    </w:p>
    <w:p>
      <w:pPr>
        <w:spacing w:after="0" w:line="204" w:lineRule="auto"/>
        <w:rPr>
          <w:sz w:val="20"/>
          <w:szCs w:val="20"/>
          <w:color w:val="auto"/>
        </w:rPr>
      </w:pPr>
      <w:r>
        <w:rPr>
          <w:rFonts w:ascii="Times New Roman" w:cs="Times New Roman" w:eastAsia="Times New Roman" w:hAnsi="Times New Roman"/>
          <w:sz w:val="16"/>
          <w:szCs w:val="16"/>
          <w:color w:val="auto"/>
        </w:rPr>
        <w:t>Nasdaq First North exchanges. As of December 31, 2025,</w:t>
      </w:r>
    </w:p>
    <w:p>
      <w:pPr>
        <w:spacing w:after="0" w:line="233" w:lineRule="auto"/>
        <w:rPr>
          <w:sz w:val="20"/>
          <w:szCs w:val="20"/>
          <w:color w:val="auto"/>
        </w:rPr>
      </w:pPr>
      <w:r>
        <w:rPr>
          <w:rFonts w:ascii="Times New Roman" w:cs="Times New Roman" w:eastAsia="Times New Roman" w:hAnsi="Times New Roman"/>
          <w:sz w:val="14"/>
          <w:szCs w:val="14"/>
          <w:color w:val="auto"/>
        </w:rPr>
        <w:t>there were 4,480 total listings on The Nasdaq Stock Market,</w:t>
      </w:r>
    </w:p>
    <w:p>
      <w:pPr>
        <w:spacing w:after="0" w:line="203" w:lineRule="auto"/>
        <w:rPr>
          <w:sz w:val="20"/>
          <w:szCs w:val="20"/>
          <w:color w:val="auto"/>
        </w:rPr>
      </w:pPr>
      <w:r>
        <w:rPr>
          <w:rFonts w:ascii="Times New Roman" w:cs="Times New Roman" w:eastAsia="Times New Roman" w:hAnsi="Times New Roman"/>
          <w:sz w:val="16"/>
          <w:szCs w:val="16"/>
          <w:color w:val="auto"/>
        </w:rPr>
        <w:t>including 1,112 ETPs. The Nasdaq combined market</w:t>
      </w:r>
    </w:p>
    <w:p>
      <w:pPr>
        <w:spacing w:after="0" w:line="233" w:lineRule="auto"/>
        <w:rPr>
          <w:sz w:val="20"/>
          <w:szCs w:val="20"/>
          <w:color w:val="auto"/>
        </w:rPr>
      </w:pPr>
      <w:r>
        <w:rPr>
          <w:rFonts w:ascii="Times New Roman" w:cs="Times New Roman" w:eastAsia="Times New Roman" w:hAnsi="Times New Roman"/>
          <w:sz w:val="14"/>
          <w:szCs w:val="14"/>
          <w:color w:val="auto"/>
        </w:rPr>
        <w:t>capitalization in the U.S. was approximately $40.6 trillion. In</w:t>
      </w:r>
    </w:p>
    <w:p>
      <w:pPr>
        <w:spacing w:after="0" w:line="203" w:lineRule="auto"/>
        <w:rPr>
          <w:sz w:val="20"/>
          <w:szCs w:val="20"/>
          <w:color w:val="auto"/>
        </w:rPr>
      </w:pPr>
      <w:r>
        <w:rPr>
          <w:rFonts w:ascii="Times New Roman" w:cs="Times New Roman" w:eastAsia="Times New Roman" w:hAnsi="Times New Roman"/>
          <w:sz w:val="16"/>
          <w:szCs w:val="16"/>
          <w:color w:val="auto"/>
        </w:rPr>
        <w:t>Europe, the Nasdaq Nordic and Nasdaq Baltic exchanges,</w:t>
      </w:r>
    </w:p>
    <w:p>
      <w:pPr>
        <w:spacing w:after="0" w:line="233" w:lineRule="auto"/>
        <w:rPr>
          <w:sz w:val="20"/>
          <w:szCs w:val="20"/>
          <w:color w:val="auto"/>
        </w:rPr>
      </w:pPr>
      <w:r>
        <w:rPr>
          <w:rFonts w:ascii="Times New Roman" w:cs="Times New Roman" w:eastAsia="Times New Roman" w:hAnsi="Times New Roman"/>
          <w:sz w:val="14"/>
          <w:szCs w:val="14"/>
          <w:color w:val="auto"/>
        </w:rPr>
        <w:t>together with Nasdaq First North, were home to 1,119 listed</w:t>
      </w:r>
    </w:p>
    <w:p>
      <w:pPr>
        <w:spacing w:after="0" w:line="204" w:lineRule="auto"/>
        <w:rPr>
          <w:sz w:val="20"/>
          <w:szCs w:val="20"/>
          <w:color w:val="auto"/>
        </w:rPr>
      </w:pPr>
      <w:r>
        <w:rPr>
          <w:rFonts w:ascii="Times New Roman" w:cs="Times New Roman" w:eastAsia="Times New Roman" w:hAnsi="Times New Roman"/>
          <w:sz w:val="16"/>
          <w:szCs w:val="16"/>
          <w:color w:val="auto"/>
        </w:rPr>
        <w:t>companies with a combined market capitalization of</w:t>
      </w:r>
    </w:p>
    <w:p>
      <w:pPr>
        <w:spacing w:after="0" w:line="203" w:lineRule="auto"/>
        <w:rPr>
          <w:sz w:val="20"/>
          <w:szCs w:val="20"/>
          <w:color w:val="auto"/>
        </w:rPr>
      </w:pPr>
      <w:r>
        <w:rPr>
          <w:rFonts w:ascii="Times New Roman" w:cs="Times New Roman" w:eastAsia="Times New Roman" w:hAnsi="Times New Roman"/>
          <w:sz w:val="16"/>
          <w:szCs w:val="16"/>
          <w:color w:val="auto"/>
        </w:rPr>
        <w:t>approximately $2.4 trillion.</w:t>
      </w:r>
    </w:p>
    <w:p>
      <w:pPr>
        <w:spacing w:after="0" w:line="204" w:lineRule="auto"/>
        <w:rPr>
          <w:sz w:val="20"/>
          <w:szCs w:val="20"/>
          <w:color w:val="auto"/>
        </w:rPr>
      </w:pPr>
      <w:r>
        <w:rPr>
          <w:rFonts w:ascii="Times New Roman" w:cs="Times New Roman" w:eastAsia="Times New Roman" w:hAnsi="Times New Roman"/>
          <w:sz w:val="16"/>
          <w:szCs w:val="16"/>
          <w:color w:val="auto"/>
        </w:rPr>
        <w:t>Our Index business develops and licenses Nasdaq-branded</w:t>
      </w:r>
    </w:p>
    <w:p>
      <w:pPr>
        <w:spacing w:after="0" w:line="203" w:lineRule="auto"/>
        <w:rPr>
          <w:sz w:val="20"/>
          <w:szCs w:val="20"/>
          <w:color w:val="auto"/>
        </w:rPr>
      </w:pPr>
      <w:r>
        <w:rPr>
          <w:rFonts w:ascii="Times New Roman" w:cs="Times New Roman" w:eastAsia="Times New Roman" w:hAnsi="Times New Roman"/>
          <w:sz w:val="16"/>
          <w:szCs w:val="16"/>
          <w:color w:val="auto"/>
        </w:rPr>
        <w:t>indices and financial products. We also license cash-settled</w:t>
      </w:r>
    </w:p>
    <w:p>
      <w:pPr>
        <w:spacing w:after="0" w:line="233" w:lineRule="auto"/>
        <w:rPr>
          <w:sz w:val="20"/>
          <w:szCs w:val="20"/>
          <w:color w:val="auto"/>
        </w:rPr>
      </w:pPr>
      <w:r>
        <w:rPr>
          <w:rFonts w:ascii="Times New Roman" w:cs="Times New Roman" w:eastAsia="Times New Roman" w:hAnsi="Times New Roman"/>
          <w:sz w:val="14"/>
          <w:szCs w:val="14"/>
          <w:color w:val="auto"/>
        </w:rPr>
        <w:t>futures, options and options on futures on our indices. As of</w:t>
      </w:r>
    </w:p>
    <w:p>
      <w:pPr>
        <w:spacing w:after="0" w:line="233" w:lineRule="auto"/>
        <w:rPr>
          <w:sz w:val="20"/>
          <w:szCs w:val="20"/>
          <w:color w:val="auto"/>
        </w:rPr>
      </w:pPr>
      <w:r>
        <w:rPr>
          <w:rFonts w:ascii="Times New Roman" w:cs="Times New Roman" w:eastAsia="Times New Roman" w:hAnsi="Times New Roman"/>
          <w:sz w:val="14"/>
          <w:szCs w:val="14"/>
          <w:color w:val="auto"/>
        </w:rPr>
        <w:t>December 31, 2025, 451 ETPs listed on 27 exchanges in over</w:t>
      </w:r>
    </w:p>
    <w:p>
      <w:pPr>
        <w:spacing w:after="0" w:line="232" w:lineRule="auto"/>
        <w:rPr>
          <w:sz w:val="20"/>
          <w:szCs w:val="20"/>
          <w:color w:val="auto"/>
        </w:rPr>
      </w:pPr>
      <w:r>
        <w:rPr>
          <w:rFonts w:ascii="Times New Roman" w:cs="Times New Roman" w:eastAsia="Times New Roman" w:hAnsi="Times New Roman"/>
          <w:sz w:val="14"/>
          <w:szCs w:val="14"/>
          <w:color w:val="auto"/>
        </w:rPr>
        <w:t>20 countries tracked a Nasdaq index and accounted for $882</w:t>
      </w:r>
    </w:p>
    <w:p>
      <w:pPr>
        <w:spacing w:after="0" w:line="204" w:lineRule="auto"/>
        <w:rPr>
          <w:sz w:val="20"/>
          <w:szCs w:val="20"/>
          <w:color w:val="auto"/>
        </w:rPr>
      </w:pPr>
      <w:r>
        <w:rPr>
          <w:rFonts w:ascii="Times New Roman" w:cs="Times New Roman" w:eastAsia="Times New Roman" w:hAnsi="Times New Roman"/>
          <w:sz w:val="16"/>
          <w:szCs w:val="16"/>
          <w:color w:val="auto"/>
        </w:rPr>
        <w:t>billion in AUM.</w:t>
      </w:r>
    </w:p>
    <w:p>
      <w:pPr>
        <w:spacing w:after="0" w:line="203" w:lineRule="auto"/>
        <w:rPr>
          <w:sz w:val="20"/>
          <w:szCs w:val="20"/>
          <w:color w:val="auto"/>
        </w:rPr>
      </w:pPr>
      <w:r>
        <w:rPr>
          <w:rFonts w:ascii="Times New Roman" w:cs="Times New Roman" w:eastAsia="Times New Roman" w:hAnsi="Times New Roman"/>
          <w:sz w:val="16"/>
          <w:szCs w:val="16"/>
          <w:color w:val="auto"/>
        </w:rPr>
        <w:t>Workflow &amp; Insights includes our analytics and corporate</w:t>
      </w:r>
    </w:p>
    <w:p>
      <w:pPr>
        <w:spacing w:after="0" w:line="204" w:lineRule="auto"/>
        <w:rPr>
          <w:sz w:val="20"/>
          <w:szCs w:val="20"/>
          <w:color w:val="auto"/>
        </w:rPr>
      </w:pPr>
      <w:r>
        <w:rPr>
          <w:rFonts w:ascii="Times New Roman" w:cs="Times New Roman" w:eastAsia="Times New Roman" w:hAnsi="Times New Roman"/>
          <w:sz w:val="16"/>
          <w:szCs w:val="16"/>
          <w:color w:val="auto"/>
        </w:rPr>
        <w:t>solutions businesses. Our analytics business provides hedge</w:t>
      </w:r>
    </w:p>
    <w:p>
      <w:pPr>
        <w:spacing w:after="0" w:line="203" w:lineRule="auto"/>
        <w:rPr>
          <w:sz w:val="20"/>
          <w:szCs w:val="20"/>
          <w:color w:val="auto"/>
        </w:rPr>
      </w:pPr>
      <w:r>
        <w:rPr>
          <w:rFonts w:ascii="Times New Roman" w:cs="Times New Roman" w:eastAsia="Times New Roman" w:hAnsi="Times New Roman"/>
          <w:sz w:val="16"/>
          <w:szCs w:val="16"/>
          <w:color w:val="auto"/>
        </w:rPr>
        <w:t>funds, asset managers, investment consultants and</w:t>
      </w:r>
    </w:p>
    <w:p>
      <w:pPr>
        <w:spacing w:after="0" w:line="204" w:lineRule="auto"/>
        <w:rPr>
          <w:sz w:val="20"/>
          <w:szCs w:val="20"/>
          <w:color w:val="auto"/>
        </w:rPr>
      </w:pPr>
      <w:r>
        <w:rPr>
          <w:rFonts w:ascii="Times New Roman" w:cs="Times New Roman" w:eastAsia="Times New Roman" w:hAnsi="Times New Roman"/>
          <w:sz w:val="16"/>
          <w:szCs w:val="16"/>
          <w:color w:val="auto"/>
        </w:rPr>
        <w:t>institutional asset owners with information and analytics to</w:t>
      </w:r>
    </w:p>
    <w:p>
      <w:pPr>
        <w:spacing w:after="0" w:line="204" w:lineRule="auto"/>
        <w:rPr>
          <w:sz w:val="20"/>
          <w:szCs w:val="20"/>
          <w:color w:val="auto"/>
        </w:rPr>
      </w:pPr>
      <w:r>
        <w:rPr>
          <w:rFonts w:ascii="Times New Roman" w:cs="Times New Roman" w:eastAsia="Times New Roman" w:hAnsi="Times New Roman"/>
          <w:sz w:val="16"/>
          <w:szCs w:val="16"/>
          <w:color w:val="auto"/>
        </w:rPr>
        <w:t>make data-driven investment decisions, deploy their</w:t>
      </w:r>
    </w:p>
    <w:p>
      <w:pPr>
        <w:spacing w:after="0" w:line="232" w:lineRule="auto"/>
        <w:rPr>
          <w:sz w:val="20"/>
          <w:szCs w:val="20"/>
          <w:color w:val="auto"/>
        </w:rPr>
      </w:pPr>
      <w:r>
        <w:rPr>
          <w:rFonts w:ascii="Times New Roman" w:cs="Times New Roman" w:eastAsia="Times New Roman" w:hAnsi="Times New Roman"/>
          <w:sz w:val="14"/>
          <w:szCs w:val="14"/>
          <w:color w:val="auto"/>
        </w:rPr>
        <w:t>resources more productively, and provide liquidity solutions</w:t>
      </w:r>
    </w:p>
    <w:p>
      <w:pPr>
        <w:spacing w:after="0" w:line="204" w:lineRule="auto"/>
        <w:rPr>
          <w:sz w:val="20"/>
          <w:szCs w:val="20"/>
          <w:color w:val="auto"/>
        </w:rPr>
      </w:pPr>
      <w:r>
        <w:rPr>
          <w:rFonts w:ascii="Times New Roman" w:cs="Times New Roman" w:eastAsia="Times New Roman" w:hAnsi="Times New Roman"/>
          <w:sz w:val="16"/>
          <w:szCs w:val="16"/>
          <w:color w:val="auto"/>
        </w:rPr>
        <w:t>for private funds. Through our eVestment solutions, we</w:t>
      </w:r>
    </w:p>
    <w:p>
      <w:pPr>
        <w:spacing w:after="0" w:line="232" w:lineRule="auto"/>
        <w:rPr>
          <w:sz w:val="20"/>
          <w:szCs w:val="20"/>
          <w:color w:val="auto"/>
        </w:rPr>
      </w:pPr>
      <w:r>
        <w:rPr>
          <w:rFonts w:ascii="Times New Roman" w:cs="Times New Roman" w:eastAsia="Times New Roman" w:hAnsi="Times New Roman"/>
          <w:sz w:val="14"/>
          <w:szCs w:val="14"/>
          <w:color w:val="auto"/>
        </w:rPr>
        <w:t>provide a suite of cloud-based solutions that help institutional</w:t>
      </w:r>
    </w:p>
    <w:p>
      <w:pPr>
        <w:spacing w:after="0" w:line="204" w:lineRule="auto"/>
        <w:rPr>
          <w:sz w:val="20"/>
          <w:szCs w:val="20"/>
          <w:color w:val="auto"/>
        </w:rPr>
      </w:pPr>
      <w:r>
        <w:rPr>
          <w:rFonts w:ascii="Times New Roman" w:cs="Times New Roman" w:eastAsia="Times New Roman" w:hAnsi="Times New Roman"/>
          <w:sz w:val="16"/>
          <w:szCs w:val="16"/>
          <w:color w:val="auto"/>
        </w:rPr>
        <w:t>investors and consultants conduct pre-investment due</w:t>
      </w:r>
    </w:p>
    <w:p>
      <w:pPr>
        <w:spacing w:after="0" w:line="203" w:lineRule="auto"/>
        <w:rPr>
          <w:sz w:val="20"/>
          <w:szCs w:val="20"/>
          <w:color w:val="auto"/>
        </w:rPr>
      </w:pPr>
      <w:r>
        <w:rPr>
          <w:rFonts w:ascii="Times New Roman" w:cs="Times New Roman" w:eastAsia="Times New Roman" w:hAnsi="Times New Roman"/>
          <w:sz w:val="16"/>
          <w:szCs w:val="16"/>
          <w:color w:val="auto"/>
        </w:rPr>
        <w:t>diligence, and monitor their portfolios post-investment. The</w:t>
      </w:r>
    </w:p>
    <w:p>
      <w:pPr>
        <w:spacing w:after="0" w:line="233" w:lineRule="auto"/>
        <w:rPr>
          <w:sz w:val="20"/>
          <w:szCs w:val="20"/>
          <w:color w:val="auto"/>
        </w:rPr>
      </w:pPr>
      <w:r>
        <w:rPr>
          <w:rFonts w:ascii="Times New Roman" w:cs="Times New Roman" w:eastAsia="Times New Roman" w:hAnsi="Times New Roman"/>
          <w:sz w:val="14"/>
          <w:szCs w:val="14"/>
          <w:color w:val="auto"/>
        </w:rPr>
        <w:t>eVestment platform also enables asset managers to efficiently</w:t>
      </w:r>
    </w:p>
    <w:p>
      <w:pPr>
        <w:spacing w:after="0" w:line="203" w:lineRule="auto"/>
        <w:rPr>
          <w:sz w:val="20"/>
          <w:szCs w:val="20"/>
          <w:color w:val="auto"/>
        </w:rPr>
      </w:pPr>
      <w:r>
        <w:rPr>
          <w:rFonts w:ascii="Times New Roman" w:cs="Times New Roman" w:eastAsia="Times New Roman" w:hAnsi="Times New Roman"/>
          <w:sz w:val="16"/>
          <w:szCs w:val="16"/>
          <w:color w:val="auto"/>
        </w:rPr>
        <w:t>distribute information about their firms and funds to asset</w:t>
      </w:r>
    </w:p>
    <w:p>
      <w:pPr>
        <w:spacing w:after="0" w:line="233" w:lineRule="auto"/>
        <w:rPr>
          <w:sz w:val="20"/>
          <w:szCs w:val="20"/>
          <w:color w:val="auto"/>
        </w:rPr>
      </w:pPr>
      <w:r>
        <w:rPr>
          <w:rFonts w:ascii="Times New Roman" w:cs="Times New Roman" w:eastAsia="Times New Roman" w:hAnsi="Times New Roman"/>
          <w:sz w:val="14"/>
          <w:szCs w:val="14"/>
          <w:color w:val="auto"/>
        </w:rPr>
        <w:t>owners and consultants worldwide. In October 2025, we sold</w:t>
      </w:r>
    </w:p>
    <w:p>
      <w:pPr>
        <w:spacing w:after="0" w:line="204" w:lineRule="auto"/>
        <w:rPr>
          <w:sz w:val="20"/>
          <w:szCs w:val="20"/>
          <w:color w:val="auto"/>
        </w:rPr>
      </w:pPr>
      <w:r>
        <w:rPr>
          <w:rFonts w:ascii="Times New Roman" w:cs="Times New Roman" w:eastAsia="Times New Roman" w:hAnsi="Times New Roman"/>
          <w:sz w:val="16"/>
          <w:szCs w:val="16"/>
          <w:color w:val="auto"/>
        </w:rPr>
        <w:t>our Solovis business, a financial technology platform</w:t>
      </w:r>
    </w:p>
    <w:p>
      <w:pPr>
        <w:spacing w:after="0" w:line="203" w:lineRule="auto"/>
        <w:rPr>
          <w:sz w:val="20"/>
          <w:szCs w:val="20"/>
          <w:color w:val="auto"/>
        </w:rPr>
      </w:pPr>
      <w:r>
        <w:rPr>
          <w:rFonts w:ascii="Times New Roman" w:cs="Times New Roman" w:eastAsia="Times New Roman" w:hAnsi="Times New Roman"/>
          <w:sz w:val="16"/>
          <w:szCs w:val="16"/>
          <w:color w:val="auto"/>
        </w:rPr>
        <w:t>offering portfolio monitoring and analytics tools. Revenues</w:t>
      </w:r>
    </w:p>
    <w:p>
      <w:pPr>
        <w:spacing w:after="0" w:line="204" w:lineRule="auto"/>
        <w:rPr>
          <w:sz w:val="20"/>
          <w:szCs w:val="20"/>
          <w:color w:val="auto"/>
        </w:rPr>
      </w:pPr>
      <w:r>
        <w:rPr>
          <w:rFonts w:ascii="Times New Roman" w:cs="Times New Roman" w:eastAsia="Times New Roman" w:hAnsi="Times New Roman"/>
          <w:sz w:val="16"/>
          <w:szCs w:val="16"/>
          <w:color w:val="auto"/>
        </w:rPr>
        <w:t>from this business are reflected in Other revenues in the</w:t>
      </w:r>
    </w:p>
    <w:p>
      <w:pPr>
        <w:spacing w:after="0" w:line="232" w:lineRule="auto"/>
        <w:rPr>
          <w:sz w:val="20"/>
          <w:szCs w:val="20"/>
          <w:color w:val="auto"/>
        </w:rPr>
      </w:pPr>
      <w:r>
        <w:rPr>
          <w:rFonts w:ascii="Times New Roman" w:cs="Times New Roman" w:eastAsia="Times New Roman" w:hAnsi="Times New Roman"/>
          <w:sz w:val="14"/>
          <w:szCs w:val="14"/>
          <w:color w:val="auto"/>
        </w:rPr>
        <w:t>Consolidated Statements of Income for all periods presented,</w:t>
      </w:r>
    </w:p>
    <w:p>
      <w:pPr>
        <w:spacing w:after="0" w:line="204" w:lineRule="auto"/>
        <w:rPr>
          <w:sz w:val="20"/>
          <w:szCs w:val="20"/>
          <w:color w:val="auto"/>
        </w:rPr>
      </w:pPr>
      <w:r>
        <w:rPr>
          <w:rFonts w:ascii="Times New Roman" w:cs="Times New Roman" w:eastAsia="Times New Roman" w:hAnsi="Times New Roman"/>
          <w:sz w:val="16"/>
          <w:szCs w:val="16"/>
          <w:color w:val="auto"/>
        </w:rPr>
        <w:t>and in our Corporate segment for our segment disclosures.</w:t>
      </w:r>
    </w:p>
    <w:p>
      <w:pPr>
        <w:spacing w:after="0" w:line="203" w:lineRule="auto"/>
        <w:rPr>
          <w:sz w:val="20"/>
          <w:szCs w:val="20"/>
          <w:color w:val="auto"/>
        </w:rPr>
      </w:pPr>
      <w:r>
        <w:rPr>
          <w:rFonts w:ascii="Times New Roman" w:cs="Times New Roman" w:eastAsia="Times New Roman" w:hAnsi="Times New Roman"/>
          <w:sz w:val="16"/>
          <w:szCs w:val="16"/>
          <w:color w:val="auto"/>
        </w:rPr>
        <w:t>The Nasdaq Fund Network and Nasdaq Data Link are</w:t>
      </w:r>
    </w:p>
    <w:p>
      <w:pPr>
        <w:spacing w:after="0" w:line="233" w:lineRule="auto"/>
        <w:rPr>
          <w:sz w:val="20"/>
          <w:szCs w:val="20"/>
          <w:color w:val="auto"/>
        </w:rPr>
      </w:pPr>
      <w:r>
        <w:rPr>
          <w:rFonts w:ascii="Times New Roman" w:cs="Times New Roman" w:eastAsia="Times New Roman" w:hAnsi="Times New Roman"/>
          <w:sz w:val="14"/>
          <w:szCs w:val="14"/>
          <w:color w:val="auto"/>
        </w:rPr>
        <w:t>additional platforms in our suite of investment data analytics</w:t>
      </w:r>
    </w:p>
    <w:p>
      <w:pPr>
        <w:spacing w:after="0" w:line="204" w:lineRule="auto"/>
        <w:rPr>
          <w:sz w:val="20"/>
          <w:szCs w:val="20"/>
          <w:color w:val="auto"/>
        </w:rPr>
      </w:pPr>
      <w:r>
        <w:rPr>
          <w:rFonts w:ascii="Times New Roman" w:cs="Times New Roman" w:eastAsia="Times New Roman" w:hAnsi="Times New Roman"/>
          <w:sz w:val="16"/>
          <w:szCs w:val="16"/>
          <w:color w:val="auto"/>
        </w:rPr>
        <w:t>offerings and data management tools.</w:t>
      </w:r>
    </w:p>
    <w:p>
      <w:pPr>
        <w:spacing w:after="0" w:line="203" w:lineRule="auto"/>
        <w:rPr>
          <w:sz w:val="20"/>
          <w:szCs w:val="20"/>
          <w:color w:val="auto"/>
        </w:rPr>
      </w:pPr>
      <w:r>
        <w:rPr>
          <w:rFonts w:ascii="Times New Roman" w:cs="Times New Roman" w:eastAsia="Times New Roman" w:hAnsi="Times New Roman"/>
          <w:sz w:val="16"/>
          <w:szCs w:val="16"/>
          <w:color w:val="auto"/>
        </w:rPr>
        <w:t>Our corporate solutions business serves both public and</w:t>
      </w:r>
    </w:p>
    <w:p>
      <w:pPr>
        <w:spacing w:after="0" w:line="204" w:lineRule="auto"/>
        <w:rPr>
          <w:sz w:val="20"/>
          <w:szCs w:val="20"/>
          <w:color w:val="auto"/>
        </w:rPr>
      </w:pPr>
      <w:r>
        <w:rPr>
          <w:rFonts w:ascii="Times New Roman" w:cs="Times New Roman" w:eastAsia="Times New Roman" w:hAnsi="Times New Roman"/>
          <w:sz w:val="16"/>
          <w:szCs w:val="16"/>
          <w:color w:val="auto"/>
        </w:rPr>
        <w:t>private companies and organizations through our Investor</w:t>
      </w:r>
    </w:p>
    <w:p>
      <w:pPr>
        <w:spacing w:after="0" w:line="203" w:lineRule="auto"/>
        <w:rPr>
          <w:sz w:val="20"/>
          <w:szCs w:val="20"/>
          <w:color w:val="auto"/>
        </w:rPr>
      </w:pPr>
      <w:r>
        <w:rPr>
          <w:rFonts w:ascii="Times New Roman" w:cs="Times New Roman" w:eastAsia="Times New Roman" w:hAnsi="Times New Roman"/>
          <w:sz w:val="16"/>
          <w:szCs w:val="16"/>
          <w:color w:val="auto"/>
        </w:rPr>
        <w:t>Relations Intelligence, Sustainability Solutions and</w:t>
      </w:r>
    </w:p>
    <w:p>
      <w:pPr>
        <w:spacing w:after="0" w:line="233" w:lineRule="auto"/>
        <w:rPr>
          <w:sz w:val="20"/>
          <w:szCs w:val="20"/>
          <w:color w:val="auto"/>
        </w:rPr>
      </w:pPr>
      <w:r>
        <w:rPr>
          <w:rFonts w:ascii="Times New Roman" w:cs="Times New Roman" w:eastAsia="Times New Roman" w:hAnsi="Times New Roman"/>
          <w:sz w:val="14"/>
          <w:szCs w:val="14"/>
          <w:color w:val="auto"/>
        </w:rPr>
        <w:t>Governance Solutions products. Our public company clients</w:t>
      </w:r>
    </w:p>
    <w:p>
      <w:pPr>
        <w:spacing w:after="0" w:line="204" w:lineRule="auto"/>
        <w:rPr>
          <w:sz w:val="20"/>
          <w:szCs w:val="20"/>
          <w:color w:val="auto"/>
        </w:rPr>
      </w:pPr>
      <w:r>
        <w:rPr>
          <w:rFonts w:ascii="Times New Roman" w:cs="Times New Roman" w:eastAsia="Times New Roman" w:hAnsi="Times New Roman"/>
          <w:sz w:val="16"/>
          <w:szCs w:val="16"/>
          <w:color w:val="auto"/>
        </w:rPr>
        <w:t>can be companies listed on our exchanges or other U.S. and</w:t>
      </w:r>
    </w:p>
    <w:p>
      <w:pPr>
        <w:spacing w:after="0" w:line="203" w:lineRule="auto"/>
        <w:rPr>
          <w:sz w:val="20"/>
          <w:szCs w:val="20"/>
          <w:color w:val="auto"/>
        </w:rPr>
      </w:pPr>
      <w:r>
        <w:rPr>
          <w:rFonts w:ascii="Times New Roman" w:cs="Times New Roman" w:eastAsia="Times New Roman" w:hAnsi="Times New Roman"/>
          <w:sz w:val="16"/>
          <w:szCs w:val="16"/>
          <w:color w:val="auto"/>
        </w:rPr>
        <w:t>global exchanges. Our private company clients include a</w:t>
      </w:r>
    </w:p>
    <w:p>
      <w:pPr>
        <w:spacing w:after="0" w:line="204" w:lineRule="auto"/>
        <w:rPr>
          <w:sz w:val="20"/>
          <w:szCs w:val="20"/>
          <w:color w:val="auto"/>
        </w:rPr>
      </w:pPr>
      <w:r>
        <w:rPr>
          <w:rFonts w:ascii="Times New Roman" w:cs="Times New Roman" w:eastAsia="Times New Roman" w:hAnsi="Times New Roman"/>
          <w:sz w:val="16"/>
          <w:szCs w:val="16"/>
          <w:color w:val="auto"/>
        </w:rPr>
        <w:t>diverse group of organizations ranging from family-owned</w:t>
      </w:r>
    </w:p>
    <w:p>
      <w:pPr>
        <w:spacing w:after="0"/>
        <w:rPr>
          <w:sz w:val="20"/>
          <w:szCs w:val="20"/>
          <w:color w:val="auto"/>
        </w:rPr>
      </w:pPr>
      <w:r>
        <w:rPr>
          <w:rFonts w:ascii="Times New Roman" w:cs="Times New Roman" w:eastAsia="Times New Roman" w:hAnsi="Times New Roman"/>
          <w:sz w:val="16"/>
          <w:szCs w:val="16"/>
          <w:color w:val="auto"/>
        </w:rPr>
        <w:t>companies, government organizations, law firms, privately</w:t>
      </w:r>
    </w:p>
    <w:p>
      <w:pPr>
        <w:spacing w:after="0" w:line="229" w:lineRule="auto"/>
        <w:rPr>
          <w:sz w:val="20"/>
          <w:szCs w:val="20"/>
          <w:color w:val="auto"/>
        </w:rPr>
      </w:pPr>
      <w:r>
        <w:rPr>
          <w:rFonts w:ascii="Times New Roman" w:cs="Times New Roman" w:eastAsia="Times New Roman" w:hAnsi="Times New Roman"/>
          <w:sz w:val="16"/>
          <w:szCs w:val="16"/>
          <w:color w:val="auto"/>
        </w:rPr>
        <w:t>F-10</w:t>
      </w:r>
    </w:p>
    <w:p>
      <w:pPr>
        <w:spacing w:after="0" w:line="204" w:lineRule="auto"/>
        <w:rPr>
          <w:sz w:val="20"/>
          <w:szCs w:val="20"/>
          <w:color w:val="auto"/>
        </w:rPr>
      </w:pPr>
      <w:r>
        <w:rPr>
          <w:rFonts w:ascii="Times New Roman" w:cs="Times New Roman" w:eastAsia="Times New Roman" w:hAnsi="Times New Roman"/>
          <w:sz w:val="16"/>
          <w:szCs w:val="16"/>
          <w:color w:val="auto"/>
        </w:rPr>
        <w:t>compliance across a wide range of global and local</w:t>
      </w:r>
    </w:p>
    <w:p>
      <w:pPr>
        <w:spacing w:after="0" w:line="203" w:lineRule="auto"/>
        <w:rPr>
          <w:sz w:val="20"/>
          <w:szCs w:val="20"/>
          <w:color w:val="auto"/>
        </w:rPr>
      </w:pPr>
      <w:r>
        <w:rPr>
          <w:rFonts w:ascii="Times New Roman" w:cs="Times New Roman" w:eastAsia="Times New Roman" w:hAnsi="Times New Roman"/>
          <w:sz w:val="16"/>
          <w:szCs w:val="16"/>
          <w:color w:val="auto"/>
        </w:rPr>
        <w:t>regulations. Our surveillance solutions are designed for</w:t>
      </w:r>
    </w:p>
    <w:p>
      <w:pPr>
        <w:spacing w:after="0" w:line="233" w:lineRule="auto"/>
        <w:rPr>
          <w:sz w:val="20"/>
          <w:szCs w:val="20"/>
          <w:color w:val="auto"/>
        </w:rPr>
      </w:pPr>
      <w:r>
        <w:rPr>
          <w:rFonts w:ascii="Times New Roman" w:cs="Times New Roman" w:eastAsia="Times New Roman" w:hAnsi="Times New Roman"/>
          <w:sz w:val="14"/>
          <w:szCs w:val="14"/>
          <w:color w:val="auto"/>
        </w:rPr>
        <w:t>banks, brokers and other market participants to assist them in</w:t>
      </w:r>
    </w:p>
    <w:p>
      <w:pPr>
        <w:spacing w:after="0" w:line="204" w:lineRule="auto"/>
        <w:rPr>
          <w:sz w:val="20"/>
          <w:szCs w:val="20"/>
          <w:color w:val="auto"/>
        </w:rPr>
      </w:pPr>
      <w:r>
        <w:rPr>
          <w:rFonts w:ascii="Times New Roman" w:cs="Times New Roman" w:eastAsia="Times New Roman" w:hAnsi="Times New Roman"/>
          <w:sz w:val="16"/>
          <w:szCs w:val="16"/>
          <w:color w:val="auto"/>
        </w:rPr>
        <w:t>complying with market abuse and integrity rules and</w:t>
      </w:r>
    </w:p>
    <w:p>
      <w:pPr>
        <w:spacing w:after="0" w:line="232" w:lineRule="auto"/>
        <w:rPr>
          <w:sz w:val="20"/>
          <w:szCs w:val="20"/>
          <w:color w:val="auto"/>
        </w:rPr>
      </w:pPr>
      <w:r>
        <w:rPr>
          <w:rFonts w:ascii="Times New Roman" w:cs="Times New Roman" w:eastAsia="Times New Roman" w:hAnsi="Times New Roman"/>
          <w:sz w:val="14"/>
          <w:szCs w:val="14"/>
          <w:color w:val="auto"/>
        </w:rPr>
        <w:t>regulations. In addition, we provide regulators and exchanges</w:t>
      </w:r>
    </w:p>
    <w:p>
      <w:pPr>
        <w:spacing w:after="0" w:line="204" w:lineRule="auto"/>
        <w:rPr>
          <w:sz w:val="20"/>
          <w:szCs w:val="20"/>
          <w:color w:val="auto"/>
        </w:rPr>
      </w:pPr>
      <w:r>
        <w:rPr>
          <w:rFonts w:ascii="Times New Roman" w:cs="Times New Roman" w:eastAsia="Times New Roman" w:hAnsi="Times New Roman"/>
          <w:sz w:val="16"/>
          <w:szCs w:val="16"/>
          <w:color w:val="auto"/>
        </w:rPr>
        <w:t>with a platform for surveillance.</w:t>
      </w:r>
    </w:p>
    <w:p>
      <w:pPr>
        <w:spacing w:after="0" w:line="232" w:lineRule="auto"/>
        <w:rPr>
          <w:sz w:val="20"/>
          <w:szCs w:val="20"/>
          <w:color w:val="auto"/>
        </w:rPr>
      </w:pPr>
      <w:r>
        <w:rPr>
          <w:rFonts w:ascii="Times New Roman" w:cs="Times New Roman" w:eastAsia="Times New Roman" w:hAnsi="Times New Roman"/>
          <w:sz w:val="14"/>
          <w:szCs w:val="14"/>
          <w:color w:val="auto"/>
        </w:rPr>
        <w:t>Capital Markets Technology includes our market technology,</w:t>
      </w:r>
    </w:p>
    <w:p>
      <w:pPr>
        <w:spacing w:after="0" w:line="204" w:lineRule="auto"/>
        <w:rPr>
          <w:sz w:val="20"/>
          <w:szCs w:val="20"/>
          <w:color w:val="auto"/>
        </w:rPr>
      </w:pPr>
      <w:r>
        <w:rPr>
          <w:rFonts w:ascii="Times New Roman" w:cs="Times New Roman" w:eastAsia="Times New Roman" w:hAnsi="Times New Roman"/>
          <w:sz w:val="16"/>
          <w:szCs w:val="16"/>
          <w:color w:val="auto"/>
        </w:rPr>
        <w:t>trade management services and Calypso solutions. Our</w:t>
      </w:r>
    </w:p>
    <w:p>
      <w:pPr>
        <w:spacing w:after="0" w:line="203" w:lineRule="auto"/>
        <w:rPr>
          <w:sz w:val="20"/>
          <w:szCs w:val="20"/>
          <w:color w:val="auto"/>
        </w:rPr>
      </w:pPr>
      <w:r>
        <w:rPr>
          <w:rFonts w:ascii="Times New Roman" w:cs="Times New Roman" w:eastAsia="Times New Roman" w:hAnsi="Times New Roman"/>
          <w:sz w:val="16"/>
          <w:szCs w:val="16"/>
          <w:color w:val="auto"/>
        </w:rPr>
        <w:t>market technology business is a leading global technology</w:t>
      </w:r>
    </w:p>
    <w:p>
      <w:pPr>
        <w:spacing w:after="0" w:line="204" w:lineRule="auto"/>
        <w:rPr>
          <w:sz w:val="20"/>
          <w:szCs w:val="20"/>
          <w:color w:val="auto"/>
        </w:rPr>
      </w:pPr>
      <w:r>
        <w:rPr>
          <w:rFonts w:ascii="Times New Roman" w:cs="Times New Roman" w:eastAsia="Times New Roman" w:hAnsi="Times New Roman"/>
          <w:sz w:val="16"/>
          <w:szCs w:val="16"/>
          <w:color w:val="auto"/>
        </w:rPr>
        <w:t>solutions provider and partner to exchanges, clearing</w:t>
      </w:r>
    </w:p>
    <w:p>
      <w:pPr>
        <w:spacing w:after="0" w:line="203" w:lineRule="auto"/>
        <w:rPr>
          <w:sz w:val="20"/>
          <w:szCs w:val="20"/>
          <w:color w:val="auto"/>
        </w:rPr>
      </w:pPr>
      <w:r>
        <w:rPr>
          <w:rFonts w:ascii="Times New Roman" w:cs="Times New Roman" w:eastAsia="Times New Roman" w:hAnsi="Times New Roman"/>
          <w:sz w:val="16"/>
          <w:szCs w:val="16"/>
          <w:color w:val="auto"/>
        </w:rPr>
        <w:t>organizations, central securities depositories, regulators,</w:t>
      </w:r>
    </w:p>
    <w:p>
      <w:pPr>
        <w:spacing w:after="0" w:line="233" w:lineRule="auto"/>
        <w:rPr>
          <w:sz w:val="20"/>
          <w:szCs w:val="20"/>
          <w:color w:val="auto"/>
        </w:rPr>
      </w:pPr>
      <w:r>
        <w:rPr>
          <w:rFonts w:ascii="Times New Roman" w:cs="Times New Roman" w:eastAsia="Times New Roman" w:hAnsi="Times New Roman"/>
          <w:sz w:val="14"/>
          <w:szCs w:val="14"/>
          <w:color w:val="auto"/>
        </w:rPr>
        <w:t>banks, brokers, buy-side firms and corporate businesses. Our</w:t>
      </w:r>
    </w:p>
    <w:p>
      <w:pPr>
        <w:spacing w:after="0" w:line="204" w:lineRule="auto"/>
        <w:rPr>
          <w:sz w:val="20"/>
          <w:szCs w:val="20"/>
          <w:color w:val="auto"/>
        </w:rPr>
      </w:pPr>
      <w:r>
        <w:rPr>
          <w:rFonts w:ascii="Times New Roman" w:cs="Times New Roman" w:eastAsia="Times New Roman" w:hAnsi="Times New Roman"/>
          <w:sz w:val="16"/>
          <w:szCs w:val="16"/>
          <w:color w:val="auto"/>
        </w:rPr>
        <w:t>market technology solutions are utilized by leading markets</w:t>
      </w:r>
    </w:p>
    <w:p>
      <w:pPr>
        <w:spacing w:after="0" w:line="203" w:lineRule="auto"/>
        <w:rPr>
          <w:sz w:val="20"/>
          <w:szCs w:val="20"/>
          <w:color w:val="auto"/>
        </w:rPr>
      </w:pPr>
      <w:r>
        <w:rPr>
          <w:rFonts w:ascii="Times New Roman" w:cs="Times New Roman" w:eastAsia="Times New Roman" w:hAnsi="Times New Roman"/>
          <w:sz w:val="16"/>
          <w:szCs w:val="16"/>
          <w:color w:val="auto"/>
        </w:rPr>
        <w:t>in North America, Europe and Asia as well as emerging</w:t>
      </w:r>
    </w:p>
    <w:p>
      <w:pPr>
        <w:spacing w:after="0" w:line="204" w:lineRule="auto"/>
        <w:rPr>
          <w:sz w:val="20"/>
          <w:szCs w:val="20"/>
          <w:color w:val="auto"/>
        </w:rPr>
      </w:pPr>
      <w:r>
        <w:rPr>
          <w:rFonts w:ascii="Times New Roman" w:cs="Times New Roman" w:eastAsia="Times New Roman" w:hAnsi="Times New Roman"/>
          <w:sz w:val="16"/>
          <w:szCs w:val="16"/>
          <w:color w:val="auto"/>
        </w:rPr>
        <w:t>markets in the Middle East, Latin America, and Africa. Our</w:t>
      </w:r>
    </w:p>
    <w:p>
      <w:pPr>
        <w:spacing w:after="0" w:line="232" w:lineRule="auto"/>
        <w:rPr>
          <w:sz w:val="20"/>
          <w:szCs w:val="20"/>
          <w:color w:val="auto"/>
        </w:rPr>
      </w:pPr>
      <w:r>
        <w:rPr>
          <w:rFonts w:ascii="Times New Roman" w:cs="Times New Roman" w:eastAsia="Times New Roman" w:hAnsi="Times New Roman"/>
          <w:sz w:val="14"/>
          <w:szCs w:val="14"/>
          <w:color w:val="auto"/>
        </w:rPr>
        <w:t>trade management services provide market participants with</w:t>
      </w:r>
    </w:p>
    <w:p>
      <w:pPr>
        <w:spacing w:after="0" w:line="233" w:lineRule="auto"/>
        <w:rPr>
          <w:sz w:val="20"/>
          <w:szCs w:val="20"/>
          <w:color w:val="auto"/>
        </w:rPr>
      </w:pPr>
      <w:r>
        <w:rPr>
          <w:rFonts w:ascii="Times New Roman" w:cs="Times New Roman" w:eastAsia="Times New Roman" w:hAnsi="Times New Roman"/>
          <w:sz w:val="14"/>
          <w:szCs w:val="14"/>
          <w:color w:val="auto"/>
        </w:rPr>
        <w:t>a wide variety of alternatives for connecting to and accessing</w:t>
      </w:r>
    </w:p>
    <w:p>
      <w:pPr>
        <w:spacing w:after="0" w:line="204" w:lineRule="auto"/>
        <w:rPr>
          <w:sz w:val="20"/>
          <w:szCs w:val="20"/>
          <w:color w:val="auto"/>
        </w:rPr>
      </w:pPr>
      <w:r>
        <w:rPr>
          <w:rFonts w:ascii="Times New Roman" w:cs="Times New Roman" w:eastAsia="Times New Roman" w:hAnsi="Times New Roman"/>
          <w:sz w:val="16"/>
          <w:szCs w:val="16"/>
          <w:color w:val="auto"/>
        </w:rPr>
        <w:t>our markets for a fee. Our marketplaces may be accessed</w:t>
      </w:r>
    </w:p>
    <w:p>
      <w:pPr>
        <w:spacing w:after="0" w:line="203" w:lineRule="auto"/>
        <w:rPr>
          <w:sz w:val="20"/>
          <w:szCs w:val="20"/>
          <w:color w:val="auto"/>
        </w:rPr>
      </w:pPr>
      <w:r>
        <w:rPr>
          <w:rFonts w:ascii="Times New Roman" w:cs="Times New Roman" w:eastAsia="Times New Roman" w:hAnsi="Times New Roman"/>
          <w:sz w:val="16"/>
          <w:szCs w:val="16"/>
          <w:color w:val="auto"/>
        </w:rPr>
        <w:t>through different protocols used for quoting, order entry,</w:t>
      </w:r>
    </w:p>
    <w:p>
      <w:pPr>
        <w:spacing w:after="0" w:line="204" w:lineRule="auto"/>
        <w:rPr>
          <w:sz w:val="20"/>
          <w:szCs w:val="20"/>
          <w:color w:val="auto"/>
        </w:rPr>
      </w:pPr>
      <w:r>
        <w:rPr>
          <w:rFonts w:ascii="Times New Roman" w:cs="Times New Roman" w:eastAsia="Times New Roman" w:hAnsi="Times New Roman"/>
          <w:sz w:val="16"/>
          <w:szCs w:val="16"/>
          <w:color w:val="auto"/>
        </w:rPr>
        <w:t>trade reporting and connectivity to various data feeds. We</w:t>
      </w:r>
    </w:p>
    <w:p>
      <w:pPr>
        <w:spacing w:after="0" w:line="203" w:lineRule="auto"/>
        <w:rPr>
          <w:sz w:val="20"/>
          <w:szCs w:val="20"/>
          <w:color w:val="auto"/>
        </w:rPr>
      </w:pPr>
      <w:r>
        <w:rPr>
          <w:rFonts w:ascii="Times New Roman" w:cs="Times New Roman" w:eastAsia="Times New Roman" w:hAnsi="Times New Roman"/>
          <w:sz w:val="16"/>
          <w:szCs w:val="16"/>
          <w:color w:val="auto"/>
        </w:rPr>
        <w:t>also provide colocation services to market participants,</w:t>
      </w:r>
    </w:p>
    <w:p>
      <w:pPr>
        <w:spacing w:after="0" w:line="204" w:lineRule="auto"/>
        <w:rPr>
          <w:sz w:val="20"/>
          <w:szCs w:val="20"/>
          <w:color w:val="auto"/>
        </w:rPr>
      </w:pPr>
      <w:r>
        <w:rPr>
          <w:rFonts w:ascii="Times New Roman" w:cs="Times New Roman" w:eastAsia="Times New Roman" w:hAnsi="Times New Roman"/>
          <w:sz w:val="16"/>
          <w:szCs w:val="16"/>
          <w:color w:val="auto"/>
        </w:rPr>
        <w:t>whereby we offer firms cabinet space and power to house</w:t>
      </w:r>
    </w:p>
    <w:p>
      <w:pPr>
        <w:spacing w:after="0" w:line="203" w:lineRule="auto"/>
        <w:rPr>
          <w:sz w:val="20"/>
          <w:szCs w:val="20"/>
          <w:color w:val="auto"/>
        </w:rPr>
      </w:pPr>
      <w:r>
        <w:rPr>
          <w:rFonts w:ascii="Times New Roman" w:cs="Times New Roman" w:eastAsia="Times New Roman" w:hAnsi="Times New Roman"/>
          <w:sz w:val="16"/>
          <w:szCs w:val="16"/>
          <w:color w:val="auto"/>
        </w:rPr>
        <w:t>their own equipment and servers within our data centers.</w:t>
      </w:r>
    </w:p>
    <w:p>
      <w:pPr>
        <w:spacing w:after="0" w:line="204" w:lineRule="auto"/>
        <w:rPr>
          <w:sz w:val="20"/>
          <w:szCs w:val="20"/>
          <w:color w:val="auto"/>
        </w:rPr>
      </w:pPr>
      <w:r>
        <w:rPr>
          <w:rFonts w:ascii="Times New Roman" w:cs="Times New Roman" w:eastAsia="Times New Roman" w:hAnsi="Times New Roman"/>
          <w:sz w:val="16"/>
          <w:szCs w:val="16"/>
          <w:color w:val="auto"/>
        </w:rPr>
        <w:t>Additionally, we offer a number of wireless connectivity</w:t>
      </w:r>
    </w:p>
    <w:p>
      <w:pPr>
        <w:spacing w:after="0" w:line="203" w:lineRule="auto"/>
        <w:rPr>
          <w:sz w:val="20"/>
          <w:szCs w:val="20"/>
          <w:color w:val="auto"/>
        </w:rPr>
      </w:pPr>
      <w:r>
        <w:rPr>
          <w:rFonts w:ascii="Times New Roman" w:cs="Times New Roman" w:eastAsia="Times New Roman" w:hAnsi="Times New Roman"/>
          <w:sz w:val="16"/>
          <w:szCs w:val="16"/>
          <w:color w:val="auto"/>
        </w:rPr>
        <w:t>offerings between select data centers using millimeter wave</w:t>
      </w:r>
    </w:p>
    <w:p>
      <w:pPr>
        <w:spacing w:after="0" w:line="204" w:lineRule="auto"/>
        <w:rPr>
          <w:sz w:val="20"/>
          <w:szCs w:val="20"/>
          <w:color w:val="auto"/>
        </w:rPr>
      </w:pPr>
      <w:r>
        <w:rPr>
          <w:rFonts w:ascii="Times New Roman" w:cs="Times New Roman" w:eastAsia="Times New Roman" w:hAnsi="Times New Roman"/>
          <w:sz w:val="16"/>
          <w:szCs w:val="16"/>
          <w:color w:val="auto"/>
        </w:rPr>
        <w:t>and microwave technology. Calypso is a leading platform</w:t>
      </w:r>
    </w:p>
    <w:p>
      <w:pPr>
        <w:spacing w:after="0" w:line="233" w:lineRule="auto"/>
        <w:rPr>
          <w:sz w:val="20"/>
          <w:szCs w:val="20"/>
          <w:color w:val="auto"/>
        </w:rPr>
      </w:pPr>
      <w:r>
        <w:rPr>
          <w:rFonts w:ascii="Times New Roman" w:cs="Times New Roman" w:eastAsia="Times New Roman" w:hAnsi="Times New Roman"/>
          <w:sz w:val="14"/>
          <w:szCs w:val="14"/>
          <w:color w:val="auto"/>
        </w:rPr>
        <w:t>providing cross-asset, front-to-back trading, treasury, risk and</w:t>
      </w:r>
    </w:p>
    <w:p>
      <w:pPr>
        <w:spacing w:after="0" w:line="203" w:lineRule="auto"/>
        <w:rPr>
          <w:sz w:val="20"/>
          <w:szCs w:val="20"/>
          <w:color w:val="auto"/>
        </w:rPr>
      </w:pPr>
      <w:r>
        <w:rPr>
          <w:rFonts w:ascii="Times New Roman" w:cs="Times New Roman" w:eastAsia="Times New Roman" w:hAnsi="Times New Roman"/>
          <w:sz w:val="16"/>
          <w:szCs w:val="16"/>
          <w:color w:val="auto"/>
        </w:rPr>
        <w:t>collateral management solutions. The Calypso solution</w:t>
      </w:r>
    </w:p>
    <w:p>
      <w:pPr>
        <w:spacing w:after="0" w:line="233" w:lineRule="auto"/>
        <w:rPr>
          <w:sz w:val="20"/>
          <w:szCs w:val="20"/>
          <w:color w:val="auto"/>
        </w:rPr>
      </w:pPr>
      <w:r>
        <w:rPr>
          <w:rFonts w:ascii="Times New Roman" w:cs="Times New Roman" w:eastAsia="Times New Roman" w:hAnsi="Times New Roman"/>
          <w:sz w:val="14"/>
          <w:szCs w:val="14"/>
          <w:color w:val="auto"/>
        </w:rPr>
        <w:t>provides customers with a single platform designed from the</w:t>
      </w:r>
    </w:p>
    <w:p>
      <w:pPr>
        <w:spacing w:after="0" w:line="203" w:lineRule="auto"/>
        <w:rPr>
          <w:sz w:val="20"/>
          <w:szCs w:val="20"/>
          <w:color w:val="auto"/>
        </w:rPr>
      </w:pPr>
      <w:r>
        <w:rPr>
          <w:rFonts w:ascii="Times New Roman" w:cs="Times New Roman" w:eastAsia="Times New Roman" w:hAnsi="Times New Roman"/>
          <w:sz w:val="16"/>
          <w:szCs w:val="16"/>
          <w:color w:val="auto"/>
        </w:rPr>
        <w:t>outset to enable consolidation, innovation and growth.</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Market Services</w:t>
      </w:r>
    </w:p>
    <w:p>
      <w:pPr>
        <w:spacing w:after="0" w:line="233" w:lineRule="auto"/>
        <w:rPr>
          <w:sz w:val="20"/>
          <w:szCs w:val="20"/>
          <w:color w:val="auto"/>
        </w:rPr>
      </w:pPr>
      <w:r>
        <w:rPr>
          <w:rFonts w:ascii="Times New Roman" w:cs="Times New Roman" w:eastAsia="Times New Roman" w:hAnsi="Times New Roman"/>
          <w:sz w:val="14"/>
          <w:szCs w:val="14"/>
          <w:color w:val="auto"/>
        </w:rPr>
        <w:t>Our Market Services segment includes revenues from equity</w:t>
      </w:r>
    </w:p>
    <w:p>
      <w:pPr>
        <w:spacing w:after="0" w:line="232" w:lineRule="auto"/>
        <w:rPr>
          <w:sz w:val="20"/>
          <w:szCs w:val="20"/>
          <w:color w:val="auto"/>
        </w:rPr>
      </w:pPr>
      <w:r>
        <w:rPr>
          <w:rFonts w:ascii="Times New Roman" w:cs="Times New Roman" w:eastAsia="Times New Roman" w:hAnsi="Times New Roman"/>
          <w:sz w:val="14"/>
          <w:szCs w:val="14"/>
          <w:color w:val="auto"/>
        </w:rPr>
        <w:t>derivatives trading, cash equity trading, Nordic fixed income</w:t>
      </w:r>
    </w:p>
    <w:p>
      <w:pPr>
        <w:spacing w:after="0" w:line="233" w:lineRule="auto"/>
        <w:rPr>
          <w:sz w:val="20"/>
          <w:szCs w:val="20"/>
          <w:color w:val="auto"/>
        </w:rPr>
      </w:pPr>
      <w:r>
        <w:rPr>
          <w:rFonts w:ascii="Times New Roman" w:cs="Times New Roman" w:eastAsia="Times New Roman" w:hAnsi="Times New Roman"/>
          <w:sz w:val="14"/>
          <w:szCs w:val="14"/>
          <w:color w:val="auto"/>
        </w:rPr>
        <w:t>trading &amp; clearing, Nordic commodities and U.S. Tape plans</w:t>
      </w:r>
    </w:p>
    <w:p>
      <w:pPr>
        <w:spacing w:after="0" w:line="203" w:lineRule="auto"/>
        <w:rPr>
          <w:sz w:val="20"/>
          <w:szCs w:val="20"/>
          <w:color w:val="auto"/>
        </w:rPr>
      </w:pPr>
      <w:r>
        <w:rPr>
          <w:rFonts w:ascii="Times New Roman" w:cs="Times New Roman" w:eastAsia="Times New Roman" w:hAnsi="Times New Roman"/>
          <w:sz w:val="16"/>
          <w:szCs w:val="16"/>
          <w:color w:val="auto"/>
        </w:rPr>
        <w:t>data. We operate 19 exchanges across several asset classes,</w:t>
      </w:r>
    </w:p>
    <w:p>
      <w:pPr>
        <w:spacing w:after="0" w:line="204" w:lineRule="auto"/>
        <w:rPr>
          <w:sz w:val="20"/>
          <w:szCs w:val="20"/>
          <w:color w:val="auto"/>
        </w:rPr>
      </w:pPr>
      <w:r>
        <w:rPr>
          <w:rFonts w:ascii="Times New Roman" w:cs="Times New Roman" w:eastAsia="Times New Roman" w:hAnsi="Times New Roman"/>
          <w:sz w:val="16"/>
          <w:szCs w:val="16"/>
          <w:color w:val="auto"/>
        </w:rPr>
        <w:t>including derivatives, commodities, cash equity, debt,</w:t>
      </w:r>
    </w:p>
    <w:p>
      <w:pPr>
        <w:spacing w:after="0" w:line="204" w:lineRule="auto"/>
        <w:rPr>
          <w:sz w:val="20"/>
          <w:szCs w:val="20"/>
          <w:color w:val="auto"/>
        </w:rPr>
      </w:pPr>
      <w:r>
        <w:rPr>
          <w:rFonts w:ascii="Times New Roman" w:cs="Times New Roman" w:eastAsia="Times New Roman" w:hAnsi="Times New Roman"/>
          <w:sz w:val="16"/>
          <w:szCs w:val="16"/>
          <w:color w:val="auto"/>
        </w:rPr>
        <w:t>structured products and ETPs. In addition, in certain</w:t>
      </w:r>
    </w:p>
    <w:p>
      <w:pPr>
        <w:spacing w:after="0" w:line="203" w:lineRule="auto"/>
        <w:rPr>
          <w:sz w:val="20"/>
          <w:szCs w:val="20"/>
          <w:color w:val="auto"/>
        </w:rPr>
      </w:pPr>
      <w:r>
        <w:rPr>
          <w:rFonts w:ascii="Times New Roman" w:cs="Times New Roman" w:eastAsia="Times New Roman" w:hAnsi="Times New Roman"/>
          <w:sz w:val="16"/>
          <w:szCs w:val="16"/>
          <w:color w:val="auto"/>
        </w:rPr>
        <w:t>countries where we operate exchanges, we also provide</w:t>
      </w:r>
    </w:p>
    <w:p>
      <w:pPr>
        <w:spacing w:after="0" w:line="204" w:lineRule="auto"/>
        <w:rPr>
          <w:sz w:val="20"/>
          <w:szCs w:val="20"/>
          <w:color w:val="auto"/>
        </w:rPr>
      </w:pPr>
      <w:r>
        <w:rPr>
          <w:rFonts w:ascii="Times New Roman" w:cs="Times New Roman" w:eastAsia="Times New Roman" w:hAnsi="Times New Roman"/>
          <w:sz w:val="16"/>
          <w:szCs w:val="16"/>
          <w:color w:val="auto"/>
        </w:rPr>
        <w:t>clearing, settlement and central depository services. In</w:t>
      </w:r>
    </w:p>
    <w:p>
      <w:pPr>
        <w:spacing w:after="0" w:line="203" w:lineRule="auto"/>
        <w:rPr>
          <w:sz w:val="20"/>
          <w:szCs w:val="20"/>
          <w:color w:val="auto"/>
        </w:rPr>
      </w:pPr>
      <w:r>
        <w:rPr>
          <w:rFonts w:ascii="Times New Roman" w:cs="Times New Roman" w:eastAsia="Times New Roman" w:hAnsi="Times New Roman"/>
          <w:sz w:val="16"/>
          <w:szCs w:val="16"/>
          <w:color w:val="auto"/>
        </w:rPr>
        <w:t>January 2025, we entered into an agreement to transfer</w:t>
      </w:r>
    </w:p>
    <w:p>
      <w:pPr>
        <w:spacing w:after="0" w:line="233" w:lineRule="auto"/>
        <w:rPr>
          <w:sz w:val="20"/>
          <w:szCs w:val="20"/>
          <w:color w:val="auto"/>
        </w:rPr>
      </w:pPr>
      <w:r>
        <w:rPr>
          <w:rFonts w:ascii="Times New Roman" w:cs="Times New Roman" w:eastAsia="Times New Roman" w:hAnsi="Times New Roman"/>
          <w:sz w:val="14"/>
          <w:szCs w:val="14"/>
          <w:color w:val="auto"/>
        </w:rPr>
        <w:t>existing open positions in our Nordic power futures business</w:t>
      </w:r>
    </w:p>
    <w:p>
      <w:pPr>
        <w:spacing w:after="0" w:line="233" w:lineRule="auto"/>
        <w:rPr>
          <w:sz w:val="20"/>
          <w:szCs w:val="20"/>
          <w:color w:val="auto"/>
        </w:rPr>
      </w:pPr>
      <w:r>
        <w:rPr>
          <w:rFonts w:ascii="Times New Roman" w:cs="Times New Roman" w:eastAsia="Times New Roman" w:hAnsi="Times New Roman"/>
          <w:sz w:val="14"/>
          <w:szCs w:val="14"/>
          <w:color w:val="auto"/>
        </w:rPr>
        <w:t>to a European exchange, which was completed in June 2025.</w:t>
      </w:r>
    </w:p>
    <w:p>
      <w:pPr>
        <w:spacing w:after="0"/>
        <w:rPr>
          <w:sz w:val="20"/>
          <w:szCs w:val="20"/>
          <w:color w:val="auto"/>
        </w:rPr>
      </w:pPr>
      <w:r>
        <w:rPr>
          <w:rFonts w:ascii="Times New Roman" w:cs="Times New Roman" w:eastAsia="Times New Roman" w:hAnsi="Times New Roman"/>
          <w:sz w:val="16"/>
          <w:szCs w:val="16"/>
          <w:color w:val="auto"/>
        </w:rPr>
        <w:t>See Note 4, “Acquisition and Divestitures,” for further</w:t>
      </w:r>
    </w:p>
    <w:p>
      <w:pPr>
        <w:sectPr>
          <w:pgSz w:w="11900" w:h="16840" w:orient="portrait"/>
          <w:cols w:equalWidth="0" w:num="1">
            <w:col w:w="9400"/>
          </w:cols>
          <w:pgMar w:left="1060" w:top="557" w:right="1440" w:bottom="20" w:gutter="0" w:footer="0" w:header="0"/>
        </w:sectPr>
      </w:pPr>
    </w:p>
    <w:bookmarkStart w:id="64" w:name="page65"/>
    <w:bookmarkEnd w:id="64"/>
    <w:p>
      <w:pPr>
        <w:ind w:left="10"/>
        <w:spacing w:after="0"/>
        <w:rPr>
          <w:sz w:val="20"/>
          <w:szCs w:val="20"/>
          <w:color w:val="auto"/>
        </w:rPr>
      </w:pPr>
      <w:r>
        <w:rPr>
          <w:rFonts w:ascii="Times New Roman" w:cs="Times New Roman" w:eastAsia="Times New Roman" w:hAnsi="Times New Roman"/>
          <w:sz w:val="14"/>
          <w:szCs w:val="14"/>
          <w:color w:val="auto"/>
        </w:rPr>
        <w:t>discussion. Revenues from this business are reflected in other</w:t>
      </w:r>
    </w:p>
    <w:p>
      <w:pPr>
        <w:ind w:left="10"/>
        <w:spacing w:after="0" w:line="220" w:lineRule="auto"/>
        <w:rPr>
          <w:sz w:val="20"/>
          <w:szCs w:val="20"/>
          <w:color w:val="auto"/>
        </w:rPr>
      </w:pPr>
      <w:r>
        <w:rPr>
          <w:rFonts w:ascii="Times New Roman" w:cs="Times New Roman" w:eastAsia="Times New Roman" w:hAnsi="Times New Roman"/>
          <w:sz w:val="16"/>
          <w:szCs w:val="16"/>
          <w:color w:val="auto"/>
        </w:rPr>
        <w:t>revenues in the Consolidated Statements of Income for all</w:t>
      </w:r>
    </w:p>
    <w:p>
      <w:pPr>
        <w:ind w:left="10"/>
        <w:spacing w:after="0" w:line="204" w:lineRule="auto"/>
        <w:rPr>
          <w:sz w:val="20"/>
          <w:szCs w:val="20"/>
          <w:color w:val="auto"/>
        </w:rPr>
      </w:pPr>
      <w:r>
        <w:rPr>
          <w:rFonts w:ascii="Times New Roman" w:cs="Times New Roman" w:eastAsia="Times New Roman" w:hAnsi="Times New Roman"/>
          <w:sz w:val="16"/>
          <w:szCs w:val="16"/>
          <w:color w:val="auto"/>
        </w:rPr>
        <w:t>periods presented, and in our Corporate segment for our</w:t>
      </w:r>
    </w:p>
    <w:p>
      <w:pPr>
        <w:ind w:left="10"/>
        <w:spacing w:after="0" w:line="203" w:lineRule="auto"/>
        <w:rPr>
          <w:sz w:val="20"/>
          <w:szCs w:val="20"/>
          <w:color w:val="auto"/>
        </w:rPr>
      </w:pPr>
      <w:r>
        <w:rPr>
          <w:rFonts w:ascii="Times New Roman" w:cs="Times New Roman" w:eastAsia="Times New Roman" w:hAnsi="Times New Roman"/>
          <w:sz w:val="16"/>
          <w:szCs w:val="16"/>
          <w:color w:val="auto"/>
        </w:rPr>
        <w:t>segment disclosures.</w:t>
      </w:r>
    </w:p>
    <w:p>
      <w:pPr>
        <w:ind w:left="10"/>
        <w:spacing w:after="0" w:line="233" w:lineRule="auto"/>
        <w:rPr>
          <w:sz w:val="20"/>
          <w:szCs w:val="20"/>
          <w:color w:val="auto"/>
        </w:rPr>
      </w:pPr>
      <w:r>
        <w:rPr>
          <w:rFonts w:ascii="Times New Roman" w:cs="Times New Roman" w:eastAsia="Times New Roman" w:hAnsi="Times New Roman"/>
          <w:sz w:val="14"/>
          <w:szCs w:val="14"/>
          <w:color w:val="auto"/>
        </w:rPr>
        <w:t>Our transaction-based platforms provide market participants</w:t>
      </w:r>
    </w:p>
    <w:p>
      <w:pPr>
        <w:ind w:left="10"/>
        <w:spacing w:after="0" w:line="203" w:lineRule="auto"/>
        <w:rPr>
          <w:sz w:val="20"/>
          <w:szCs w:val="20"/>
          <w:color w:val="auto"/>
        </w:rPr>
      </w:pPr>
      <w:r>
        <w:rPr>
          <w:rFonts w:ascii="Times New Roman" w:cs="Times New Roman" w:eastAsia="Times New Roman" w:hAnsi="Times New Roman"/>
          <w:sz w:val="16"/>
          <w:szCs w:val="16"/>
          <w:color w:val="auto"/>
        </w:rPr>
        <w:t>with the ability to access, process, display and integrate</w:t>
      </w:r>
    </w:p>
    <w:p>
      <w:pPr>
        <w:ind w:left="10"/>
        <w:spacing w:after="0" w:line="204" w:lineRule="auto"/>
        <w:rPr>
          <w:sz w:val="20"/>
          <w:szCs w:val="20"/>
          <w:color w:val="auto"/>
        </w:rPr>
      </w:pPr>
      <w:r>
        <w:rPr>
          <w:rFonts w:ascii="Times New Roman" w:cs="Times New Roman" w:eastAsia="Times New Roman" w:hAnsi="Times New Roman"/>
          <w:sz w:val="16"/>
          <w:szCs w:val="16"/>
          <w:color w:val="auto"/>
        </w:rPr>
        <w:t>orders and quotes. The platforms allow the routing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execution of buy and sell orders as well as the reporting of</w:t>
      </w:r>
    </w:p>
    <w:p>
      <w:pPr>
        <w:ind w:left="10"/>
        <w:spacing w:after="0" w:line="203" w:lineRule="auto"/>
        <w:rPr>
          <w:sz w:val="20"/>
          <w:szCs w:val="20"/>
          <w:color w:val="auto"/>
        </w:rPr>
      </w:pPr>
      <w:r>
        <w:rPr>
          <w:rFonts w:ascii="Times New Roman" w:cs="Times New Roman" w:eastAsia="Times New Roman" w:hAnsi="Times New Roman"/>
          <w:sz w:val="16"/>
          <w:szCs w:val="16"/>
          <w:color w:val="auto"/>
        </w:rPr>
        <w:t>transactions, providing fee-based revenues.</w:t>
      </w:r>
    </w:p>
    <w:p>
      <w:pPr>
        <w:ind w:left="10" w:right="5960" w:hanging="10"/>
        <w:spacing w:after="0" w:line="203" w:lineRule="auto"/>
        <w:tabs>
          <w:tab w:leader="none" w:pos="166"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ind w:left="10" w:right="5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 xml:space="preserve">Basis of Presentation and Principles of Consolidation </w:t>
      </w:r>
      <w:r>
        <w:rPr>
          <w:rFonts w:ascii="Times New Roman" w:cs="Times New Roman" w:eastAsia="Times New Roman" w:hAnsi="Times New Roman"/>
          <w:sz w:val="14"/>
          <w:szCs w:val="14"/>
          <w:color w:val="auto"/>
        </w:rPr>
        <w:t>The consolidated financial statements are prepared in accordance with U.S. GAAP and include 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See “Equity Method Investments” within “Investments” below for further discussion.</w:t>
      </w:r>
    </w:p>
    <w:p>
      <w:pPr>
        <w:spacing w:after="0" w:line="111" w:lineRule="exact"/>
        <w:rPr>
          <w:rFonts w:ascii="Times New Roman" w:cs="Times New Roman" w:eastAsia="Times New Roman" w:hAnsi="Times New Roman"/>
          <w:sz w:val="16"/>
          <w:szCs w:val="16"/>
          <w:b w:val="1"/>
          <w:bCs w:val="1"/>
          <w:color w:val="auto"/>
        </w:rPr>
      </w:pPr>
    </w:p>
    <w:p>
      <w:pPr>
        <w:ind w:left="10" w:right="556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accompanying consolidated financial statements reflect all adjustments which are, in the opinion of management, necessary for a fair statement of the results. These adjustments are of a normal recurring nature. All significant intercompany accounts and transactions have been eliminated in consolidation.</w:t>
      </w:r>
    </w:p>
    <w:p>
      <w:pPr>
        <w:spacing w:after="0" w:line="2" w:lineRule="exact"/>
        <w:rPr>
          <w:rFonts w:ascii="Times New Roman" w:cs="Times New Roman" w:eastAsia="Times New Roman" w:hAnsi="Times New Roman"/>
          <w:sz w:val="16"/>
          <w:szCs w:val="16"/>
          <w:b w:val="1"/>
          <w:bCs w:val="1"/>
          <w:color w:val="auto"/>
        </w:rPr>
      </w:pPr>
    </w:p>
    <w:p>
      <w:pPr>
        <w:ind w:left="10" w:right="560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Certain prior year amounts have been reclassified to conform to the current year presentation. In addition, certain percentages and per share amounts herein may not sum or recalculate due to rounding.</w:t>
      </w:r>
    </w:p>
    <w:p>
      <w:pPr>
        <w:spacing w:after="0" w:line="1"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Estimates</w:t>
      </w:r>
    </w:p>
    <w:p>
      <w:pPr>
        <w:ind w:left="10" w:right="5540"/>
        <w:spacing w:after="0" w:line="24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In preparing our consolidated financial statements, we make assumptions, judgments and estimates that can have a significant impact on our revenue, operating income and net income, as well as on the value of certain assets and liabilities in the consolidated balance sheets. At least quarterly, we</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F-11</w:t>
      </w:r>
    </w:p>
    <w:p>
      <w:pPr>
        <w:ind w:left="10"/>
        <w:spacing w:after="0" w:line="203" w:lineRule="auto"/>
        <w:rPr>
          <w:sz w:val="20"/>
          <w:szCs w:val="20"/>
          <w:color w:val="auto"/>
        </w:rPr>
      </w:pPr>
      <w:r>
        <w:rPr>
          <w:rFonts w:ascii="Times New Roman" w:cs="Times New Roman" w:eastAsia="Times New Roman" w:hAnsi="Times New Roman"/>
          <w:sz w:val="16"/>
          <w:szCs w:val="16"/>
          <w:color w:val="auto"/>
        </w:rPr>
        <w:t>interest, which approximates fair value due to the short</w:t>
      </w:r>
    </w:p>
    <w:p>
      <w:pPr>
        <w:ind w:left="10"/>
        <w:spacing w:after="0" w:line="204" w:lineRule="auto"/>
        <w:rPr>
          <w:sz w:val="20"/>
          <w:szCs w:val="20"/>
          <w:color w:val="auto"/>
        </w:rPr>
      </w:pPr>
      <w:r>
        <w:rPr>
          <w:rFonts w:ascii="Times New Roman" w:cs="Times New Roman" w:eastAsia="Times New Roman" w:hAnsi="Times New Roman"/>
          <w:sz w:val="16"/>
          <w:szCs w:val="16"/>
          <w:color w:val="auto"/>
        </w:rPr>
        <w:t>maturities of these investments.</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Restricted Cash</w:t>
      </w:r>
    </w:p>
    <w:p>
      <w:pPr>
        <w:ind w:left="10"/>
        <w:spacing w:after="0" w:line="233" w:lineRule="auto"/>
        <w:rPr>
          <w:sz w:val="20"/>
          <w:szCs w:val="20"/>
          <w:color w:val="auto"/>
        </w:rPr>
      </w:pPr>
      <w:r>
        <w:rPr>
          <w:rFonts w:ascii="Times New Roman" w:cs="Times New Roman" w:eastAsia="Times New Roman" w:hAnsi="Times New Roman"/>
          <w:sz w:val="14"/>
          <w:szCs w:val="14"/>
          <w:color w:val="auto"/>
        </w:rPr>
        <w:t>Restricted cash and cash equivalents, which was $210 million</w:t>
      </w:r>
    </w:p>
    <w:p>
      <w:pPr>
        <w:ind w:left="10"/>
        <w:spacing w:after="0" w:line="233" w:lineRule="auto"/>
        <w:rPr>
          <w:sz w:val="20"/>
          <w:szCs w:val="20"/>
          <w:color w:val="auto"/>
        </w:rPr>
      </w:pPr>
      <w:r>
        <w:rPr>
          <w:rFonts w:ascii="Times New Roman" w:cs="Times New Roman" w:eastAsia="Times New Roman" w:hAnsi="Times New Roman"/>
          <w:sz w:val="14"/>
          <w:szCs w:val="14"/>
          <w:color w:val="auto"/>
        </w:rPr>
        <w:t>as of December 31, 2025 and $31 million as of December 31,</w:t>
      </w:r>
    </w:p>
    <w:p>
      <w:pPr>
        <w:ind w:left="10"/>
        <w:spacing w:after="0" w:line="203" w:lineRule="auto"/>
        <w:rPr>
          <w:sz w:val="20"/>
          <w:szCs w:val="20"/>
          <w:color w:val="auto"/>
        </w:rPr>
      </w:pPr>
      <w:r>
        <w:rPr>
          <w:rFonts w:ascii="Times New Roman" w:cs="Times New Roman" w:eastAsia="Times New Roman" w:hAnsi="Times New Roman"/>
          <w:sz w:val="16"/>
          <w:szCs w:val="16"/>
          <w:color w:val="auto"/>
        </w:rPr>
        <w:t>2024, is restricted from withdrawal due to a contractual or</w:t>
      </w:r>
    </w:p>
    <w:p>
      <w:pPr>
        <w:ind w:left="10"/>
        <w:spacing w:after="0" w:line="233" w:lineRule="auto"/>
        <w:rPr>
          <w:sz w:val="20"/>
          <w:szCs w:val="20"/>
          <w:color w:val="auto"/>
        </w:rPr>
      </w:pPr>
      <w:r>
        <w:rPr>
          <w:rFonts w:ascii="Times New Roman" w:cs="Times New Roman" w:eastAsia="Times New Roman" w:hAnsi="Times New Roman"/>
          <w:sz w:val="14"/>
          <w:szCs w:val="14"/>
          <w:color w:val="auto"/>
        </w:rPr>
        <w:t>regulatory requirement or not available for general use and as</w:t>
      </w:r>
    </w:p>
    <w:p>
      <w:pPr>
        <w:ind w:left="10"/>
        <w:spacing w:after="0" w:line="203" w:lineRule="auto"/>
        <w:rPr>
          <w:sz w:val="20"/>
          <w:szCs w:val="20"/>
          <w:color w:val="auto"/>
        </w:rPr>
      </w:pPr>
      <w:r>
        <w:rPr>
          <w:rFonts w:ascii="Times New Roman" w:cs="Times New Roman" w:eastAsia="Times New Roman" w:hAnsi="Times New Roman"/>
          <w:sz w:val="16"/>
          <w:szCs w:val="16"/>
          <w:color w:val="auto"/>
        </w:rPr>
        <w:t>such is classified as restricted in the Consolidated Balance</w:t>
      </w:r>
    </w:p>
    <w:p>
      <w:pPr>
        <w:ind w:left="10"/>
        <w:spacing w:after="0" w:line="204" w:lineRule="auto"/>
        <w:rPr>
          <w:sz w:val="20"/>
          <w:szCs w:val="20"/>
          <w:color w:val="auto"/>
        </w:rPr>
      </w:pPr>
      <w:r>
        <w:rPr>
          <w:rFonts w:ascii="Times New Roman" w:cs="Times New Roman" w:eastAsia="Times New Roman" w:hAnsi="Times New Roman"/>
          <w:sz w:val="16"/>
          <w:szCs w:val="16"/>
          <w:color w:val="auto"/>
        </w:rPr>
        <w:t>Sheets. As of December 31, 2025 and 2024, restricted cash</w:t>
      </w:r>
    </w:p>
    <w:p>
      <w:pPr>
        <w:ind w:left="10"/>
        <w:spacing w:after="0" w:line="203" w:lineRule="auto"/>
        <w:rPr>
          <w:sz w:val="20"/>
          <w:szCs w:val="20"/>
          <w:color w:val="auto"/>
        </w:rPr>
      </w:pPr>
      <w:r>
        <w:rPr>
          <w:rFonts w:ascii="Times New Roman" w:cs="Times New Roman" w:eastAsia="Times New Roman" w:hAnsi="Times New Roman"/>
          <w:sz w:val="16"/>
          <w:szCs w:val="16"/>
          <w:color w:val="auto"/>
        </w:rPr>
        <w:t>and cash equivalents primarily includes funds held for</w:t>
      </w:r>
    </w:p>
    <w:p>
      <w:pPr>
        <w:ind w:left="10"/>
        <w:spacing w:after="0" w:line="204" w:lineRule="auto"/>
        <w:rPr>
          <w:sz w:val="20"/>
          <w:szCs w:val="20"/>
          <w:color w:val="auto"/>
        </w:rPr>
      </w:pPr>
      <w:r>
        <w:rPr>
          <w:rFonts w:ascii="Times New Roman" w:cs="Times New Roman" w:eastAsia="Times New Roman" w:hAnsi="Times New Roman"/>
          <w:sz w:val="16"/>
          <w:szCs w:val="16"/>
          <w:color w:val="auto"/>
        </w:rPr>
        <w:t>regulatory capital for our trading and clearing businesses.</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Default Funds and Margin Deposits</w:t>
      </w:r>
    </w:p>
    <w:p>
      <w:pPr>
        <w:ind w:left="10"/>
        <w:spacing w:after="0" w:line="233" w:lineRule="auto"/>
        <w:rPr>
          <w:sz w:val="20"/>
          <w:szCs w:val="20"/>
          <w:color w:val="auto"/>
        </w:rPr>
      </w:pPr>
      <w:r>
        <w:rPr>
          <w:rFonts w:ascii="Times New Roman" w:cs="Times New Roman" w:eastAsia="Times New Roman" w:hAnsi="Times New Roman"/>
          <w:sz w:val="14"/>
          <w:szCs w:val="14"/>
          <w:color w:val="auto"/>
        </w:rPr>
        <w:t>Nasdaq Clearing members’ cash contributions are included in</w:t>
      </w:r>
    </w:p>
    <w:p>
      <w:pPr>
        <w:ind w:left="10"/>
        <w:spacing w:after="0" w:line="204" w:lineRule="auto"/>
        <w:rPr>
          <w:sz w:val="20"/>
          <w:szCs w:val="20"/>
          <w:color w:val="auto"/>
        </w:rPr>
      </w:pPr>
      <w:r>
        <w:rPr>
          <w:rFonts w:ascii="Times New Roman" w:cs="Times New Roman" w:eastAsia="Times New Roman" w:hAnsi="Times New Roman"/>
          <w:sz w:val="16"/>
          <w:szCs w:val="16"/>
          <w:color w:val="auto"/>
        </w:rPr>
        <w:t>default funds and margin deposits in the Consolidated</w:t>
      </w:r>
    </w:p>
    <w:p>
      <w:pPr>
        <w:ind w:left="10"/>
        <w:spacing w:after="0" w:line="232" w:lineRule="auto"/>
        <w:rPr>
          <w:sz w:val="20"/>
          <w:szCs w:val="20"/>
          <w:color w:val="auto"/>
        </w:rPr>
      </w:pPr>
      <w:r>
        <w:rPr>
          <w:rFonts w:ascii="Times New Roman" w:cs="Times New Roman" w:eastAsia="Times New Roman" w:hAnsi="Times New Roman"/>
          <w:sz w:val="14"/>
          <w:szCs w:val="14"/>
          <w:color w:val="auto"/>
        </w:rPr>
        <w:t>Balance Sheets as both a current asset and a current liability.</w:t>
      </w:r>
    </w:p>
    <w:p>
      <w:pPr>
        <w:ind w:left="10"/>
        <w:spacing w:after="0" w:line="233" w:lineRule="auto"/>
        <w:rPr>
          <w:sz w:val="20"/>
          <w:szCs w:val="20"/>
          <w:color w:val="auto"/>
        </w:rPr>
      </w:pPr>
      <w:r>
        <w:rPr>
          <w:rFonts w:ascii="Times New Roman" w:cs="Times New Roman" w:eastAsia="Times New Roman" w:hAnsi="Times New Roman"/>
          <w:sz w:val="14"/>
          <w:szCs w:val="14"/>
          <w:color w:val="auto"/>
        </w:rPr>
        <w:t>These balances may fluctuate over time due to changes in the</w:t>
      </w:r>
    </w:p>
    <w:p>
      <w:pPr>
        <w:ind w:left="10"/>
        <w:spacing w:after="0" w:line="233" w:lineRule="auto"/>
        <w:rPr>
          <w:sz w:val="20"/>
          <w:szCs w:val="20"/>
          <w:color w:val="auto"/>
        </w:rPr>
      </w:pPr>
      <w:r>
        <w:rPr>
          <w:rFonts w:ascii="Times New Roman" w:cs="Times New Roman" w:eastAsia="Times New Roman" w:hAnsi="Times New Roman"/>
          <w:sz w:val="14"/>
          <w:szCs w:val="14"/>
          <w:color w:val="auto"/>
        </w:rPr>
        <w:t>amount of deposits required and whether members choose to</w:t>
      </w:r>
    </w:p>
    <w:p>
      <w:pPr>
        <w:ind w:left="10"/>
        <w:spacing w:after="0" w:line="203" w:lineRule="auto"/>
        <w:rPr>
          <w:sz w:val="20"/>
          <w:szCs w:val="20"/>
          <w:color w:val="auto"/>
        </w:rPr>
      </w:pPr>
      <w:r>
        <w:rPr>
          <w:rFonts w:ascii="Times New Roman" w:cs="Times New Roman" w:eastAsia="Times New Roman" w:hAnsi="Times New Roman"/>
          <w:sz w:val="16"/>
          <w:szCs w:val="16"/>
          <w:color w:val="auto"/>
        </w:rPr>
        <w:t>provide cash or non-cash contributions. Non-cash</w:t>
      </w:r>
    </w:p>
    <w:p>
      <w:pPr>
        <w:ind w:left="10"/>
        <w:spacing w:after="0" w:line="233" w:lineRule="auto"/>
        <w:rPr>
          <w:sz w:val="20"/>
          <w:szCs w:val="20"/>
          <w:color w:val="auto"/>
        </w:rPr>
      </w:pPr>
      <w:r>
        <w:rPr>
          <w:rFonts w:ascii="Times New Roman" w:cs="Times New Roman" w:eastAsia="Times New Roman" w:hAnsi="Times New Roman"/>
          <w:sz w:val="14"/>
          <w:szCs w:val="14"/>
          <w:color w:val="auto"/>
        </w:rPr>
        <w:t>contributions include highly rated government debt securities</w:t>
      </w:r>
    </w:p>
    <w:p>
      <w:pPr>
        <w:ind w:left="10"/>
        <w:spacing w:after="0" w:line="233" w:lineRule="auto"/>
        <w:rPr>
          <w:sz w:val="20"/>
          <w:szCs w:val="20"/>
          <w:color w:val="auto"/>
        </w:rPr>
      </w:pPr>
      <w:r>
        <w:rPr>
          <w:rFonts w:ascii="Times New Roman" w:cs="Times New Roman" w:eastAsia="Times New Roman" w:hAnsi="Times New Roman"/>
          <w:sz w:val="14"/>
          <w:szCs w:val="14"/>
          <w:color w:val="auto"/>
        </w:rPr>
        <w:t>that must meet specific criteria approved by Nasdaq Clearing.</w:t>
      </w:r>
    </w:p>
    <w:p>
      <w:pPr>
        <w:ind w:left="10"/>
        <w:spacing w:after="0" w:line="203" w:lineRule="auto"/>
        <w:rPr>
          <w:sz w:val="20"/>
          <w:szCs w:val="20"/>
          <w:color w:val="auto"/>
        </w:rPr>
      </w:pPr>
      <w:r>
        <w:rPr>
          <w:rFonts w:ascii="Times New Roman" w:cs="Times New Roman" w:eastAsia="Times New Roman" w:hAnsi="Times New Roman"/>
          <w:sz w:val="16"/>
          <w:szCs w:val="16"/>
          <w:color w:val="auto"/>
        </w:rPr>
        <w:t>Non-cash contributions are pledged assets that are not</w:t>
      </w:r>
    </w:p>
    <w:p>
      <w:pPr>
        <w:ind w:left="10"/>
        <w:spacing w:after="0" w:line="204" w:lineRule="auto"/>
        <w:rPr>
          <w:sz w:val="20"/>
          <w:szCs w:val="20"/>
          <w:color w:val="auto"/>
        </w:rPr>
      </w:pPr>
      <w:r>
        <w:rPr>
          <w:rFonts w:ascii="Times New Roman" w:cs="Times New Roman" w:eastAsia="Times New Roman" w:hAnsi="Times New Roman"/>
          <w:sz w:val="16"/>
          <w:szCs w:val="16"/>
          <w:color w:val="auto"/>
        </w:rPr>
        <w:t>recorded in the Consolidated Balance Sheets as Nasdaq</w:t>
      </w:r>
    </w:p>
    <w:p>
      <w:pPr>
        <w:ind w:left="10"/>
        <w:spacing w:after="0" w:line="232" w:lineRule="auto"/>
        <w:rPr>
          <w:sz w:val="20"/>
          <w:szCs w:val="20"/>
          <w:color w:val="auto"/>
        </w:rPr>
      </w:pPr>
      <w:r>
        <w:rPr>
          <w:rFonts w:ascii="Times New Roman" w:cs="Times New Roman" w:eastAsia="Times New Roman" w:hAnsi="Times New Roman"/>
          <w:sz w:val="14"/>
          <w:szCs w:val="14"/>
          <w:color w:val="auto"/>
        </w:rPr>
        <w:t>Clearing does not take legal ownership of these assets and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risks and rewards remain with the clearing members.</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Receivables, net</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receivables are concentrated with our customers which</w:t>
      </w:r>
    </w:p>
    <w:p>
      <w:pPr>
        <w:ind w:left="10"/>
        <w:spacing w:after="0" w:line="203" w:lineRule="auto"/>
        <w:rPr>
          <w:sz w:val="20"/>
          <w:szCs w:val="20"/>
          <w:color w:val="auto"/>
        </w:rPr>
      </w:pPr>
      <w:r>
        <w:rPr>
          <w:rFonts w:ascii="Times New Roman" w:cs="Times New Roman" w:eastAsia="Times New Roman" w:hAnsi="Times New Roman"/>
          <w:sz w:val="16"/>
          <w:szCs w:val="16"/>
          <w:color w:val="auto"/>
        </w:rPr>
        <w:t>primarily include corporate clients, banks, investment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managers, brokers, and exchange operators. Receivables are</w:t>
      </w:r>
    </w:p>
    <w:p>
      <w:pPr>
        <w:ind w:left="10"/>
        <w:spacing w:after="0" w:line="203" w:lineRule="auto"/>
        <w:rPr>
          <w:sz w:val="20"/>
          <w:szCs w:val="20"/>
          <w:color w:val="auto"/>
        </w:rPr>
      </w:pPr>
      <w:r>
        <w:rPr>
          <w:rFonts w:ascii="Times New Roman" w:cs="Times New Roman" w:eastAsia="Times New Roman" w:hAnsi="Times New Roman"/>
          <w:sz w:val="16"/>
          <w:szCs w:val="16"/>
          <w:color w:val="auto"/>
        </w:rPr>
        <w:t>shown net of allowance for credit losses. The allowance is</w:t>
      </w:r>
    </w:p>
    <w:p>
      <w:pPr>
        <w:ind w:left="10"/>
        <w:spacing w:after="0" w:line="204" w:lineRule="auto"/>
        <w:rPr>
          <w:sz w:val="20"/>
          <w:szCs w:val="20"/>
          <w:color w:val="auto"/>
        </w:rPr>
      </w:pPr>
      <w:r>
        <w:rPr>
          <w:rFonts w:ascii="Times New Roman" w:cs="Times New Roman" w:eastAsia="Times New Roman" w:hAnsi="Times New Roman"/>
          <w:sz w:val="16"/>
          <w:szCs w:val="16"/>
          <w:color w:val="auto"/>
        </w:rPr>
        <w:t>maintained at a level that management believes to be</w:t>
      </w:r>
    </w:p>
    <w:p>
      <w:pPr>
        <w:ind w:left="10"/>
        <w:spacing w:after="0" w:line="204" w:lineRule="auto"/>
        <w:rPr>
          <w:sz w:val="20"/>
          <w:szCs w:val="20"/>
          <w:color w:val="auto"/>
        </w:rPr>
      </w:pPr>
      <w:r>
        <w:rPr>
          <w:rFonts w:ascii="Times New Roman" w:cs="Times New Roman" w:eastAsia="Times New Roman" w:hAnsi="Times New Roman"/>
          <w:sz w:val="16"/>
          <w:szCs w:val="16"/>
          <w:color w:val="auto"/>
        </w:rPr>
        <w:t>sufficient to absorb expected losses over the life of our</w:t>
      </w:r>
    </w:p>
    <w:p>
      <w:pPr>
        <w:ind w:left="10"/>
        <w:spacing w:after="0" w:line="232" w:lineRule="auto"/>
        <w:rPr>
          <w:sz w:val="20"/>
          <w:szCs w:val="20"/>
          <w:color w:val="auto"/>
        </w:rPr>
      </w:pPr>
      <w:r>
        <w:rPr>
          <w:rFonts w:ascii="Times New Roman" w:cs="Times New Roman" w:eastAsia="Times New Roman" w:hAnsi="Times New Roman"/>
          <w:sz w:val="14"/>
          <w:szCs w:val="14"/>
          <w:color w:val="auto"/>
        </w:rPr>
        <w:t>accounts receivable portfolio. The allowance is increased by</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provision for bad debts, which is included in general,</w:t>
      </w:r>
    </w:p>
    <w:p>
      <w:pPr>
        <w:ind w:left="10"/>
        <w:spacing w:after="0" w:line="203" w:lineRule="auto"/>
        <w:rPr>
          <w:sz w:val="20"/>
          <w:szCs w:val="20"/>
          <w:color w:val="auto"/>
        </w:rPr>
      </w:pPr>
      <w:r>
        <w:rPr>
          <w:rFonts w:ascii="Times New Roman" w:cs="Times New Roman" w:eastAsia="Times New Roman" w:hAnsi="Times New Roman"/>
          <w:sz w:val="16"/>
          <w:szCs w:val="16"/>
          <w:color w:val="auto"/>
        </w:rPr>
        <w:t>administrative and other expense in the Consolidated</w:t>
      </w:r>
    </w:p>
    <w:p>
      <w:pPr>
        <w:ind w:left="10"/>
        <w:spacing w:after="0" w:line="204" w:lineRule="auto"/>
        <w:rPr>
          <w:sz w:val="20"/>
          <w:szCs w:val="20"/>
          <w:color w:val="auto"/>
        </w:rPr>
      </w:pPr>
      <w:r>
        <w:rPr>
          <w:rFonts w:ascii="Times New Roman" w:cs="Times New Roman" w:eastAsia="Times New Roman" w:hAnsi="Times New Roman"/>
          <w:sz w:val="16"/>
          <w:szCs w:val="16"/>
          <w:color w:val="auto"/>
        </w:rPr>
        <w:t>Statements of Income, and decreased by the amount of</w:t>
      </w:r>
    </w:p>
    <w:p>
      <w:pPr>
        <w:ind w:left="10"/>
        <w:spacing w:after="0" w:line="203" w:lineRule="auto"/>
        <w:rPr>
          <w:sz w:val="20"/>
          <w:szCs w:val="20"/>
          <w:color w:val="auto"/>
        </w:rPr>
      </w:pPr>
      <w:r>
        <w:rPr>
          <w:rFonts w:ascii="Times New Roman" w:cs="Times New Roman" w:eastAsia="Times New Roman" w:hAnsi="Times New Roman"/>
          <w:sz w:val="16"/>
          <w:szCs w:val="16"/>
          <w:color w:val="auto"/>
        </w:rPr>
        <w:t>charge-offs, net of recoveries.</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allowance is primarily based on an aging methodology.</w:t>
      </w:r>
    </w:p>
    <w:p>
      <w:pPr>
        <w:ind w:left="10"/>
        <w:spacing w:after="0" w:line="203" w:lineRule="auto"/>
        <w:rPr>
          <w:sz w:val="20"/>
          <w:szCs w:val="20"/>
          <w:color w:val="auto"/>
        </w:rPr>
      </w:pPr>
      <w:r>
        <w:rPr>
          <w:rFonts w:ascii="Times New Roman" w:cs="Times New Roman" w:eastAsia="Times New Roman" w:hAnsi="Times New Roman"/>
          <w:sz w:val="16"/>
          <w:szCs w:val="16"/>
          <w:color w:val="auto"/>
        </w:rPr>
        <w:t>This method applies loss rates based on historical loss</w:t>
      </w:r>
    </w:p>
    <w:p>
      <w:pPr>
        <w:ind w:left="10"/>
        <w:spacing w:after="0" w:line="233" w:lineRule="auto"/>
        <w:rPr>
          <w:sz w:val="20"/>
          <w:szCs w:val="20"/>
          <w:color w:val="auto"/>
        </w:rPr>
      </w:pPr>
      <w:r>
        <w:rPr>
          <w:rFonts w:ascii="Times New Roman" w:cs="Times New Roman" w:eastAsia="Times New Roman" w:hAnsi="Times New Roman"/>
          <w:sz w:val="14"/>
          <w:szCs w:val="14"/>
          <w:color w:val="auto"/>
        </w:rPr>
        <w:t>information which is disaggregated by business segment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as deemed necessary, is adjusted for other factors and</w:t>
      </w:r>
    </w:p>
    <w:p>
      <w:pPr>
        <w:ind w:left="10"/>
        <w:spacing w:after="0" w:line="232" w:lineRule="auto"/>
        <w:rPr>
          <w:sz w:val="20"/>
          <w:szCs w:val="20"/>
          <w:color w:val="auto"/>
        </w:rPr>
      </w:pPr>
      <w:r>
        <w:rPr>
          <w:rFonts w:ascii="Times New Roman" w:cs="Times New Roman" w:eastAsia="Times New Roman" w:hAnsi="Times New Roman"/>
          <w:sz w:val="14"/>
          <w:szCs w:val="14"/>
          <w:color w:val="auto"/>
        </w:rPr>
        <w:t>considerations that could impact collectibility. In developing</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estimate of lifetime expected credit losses, we also</w:t>
      </w:r>
    </w:p>
    <w:p>
      <w:pPr>
        <w:ind w:left="10"/>
        <w:spacing w:after="0" w:line="232" w:lineRule="auto"/>
        <w:rPr>
          <w:sz w:val="20"/>
          <w:szCs w:val="20"/>
          <w:color w:val="auto"/>
        </w:rPr>
      </w:pPr>
      <w:r>
        <w:rPr>
          <w:rFonts w:ascii="Times New Roman" w:cs="Times New Roman" w:eastAsia="Times New Roman" w:hAnsi="Times New Roman"/>
          <w:sz w:val="14"/>
          <w:szCs w:val="14"/>
          <w:color w:val="auto"/>
        </w:rPr>
        <w:t>consider business, economic, and market conditions that may</w:t>
      </w:r>
    </w:p>
    <w:p>
      <w:pPr>
        <w:ind w:left="10"/>
        <w:spacing w:after="0" w:line="204" w:lineRule="auto"/>
        <w:rPr>
          <w:sz w:val="20"/>
          <w:szCs w:val="20"/>
          <w:color w:val="auto"/>
        </w:rPr>
      </w:pPr>
      <w:r>
        <w:rPr>
          <w:rFonts w:ascii="Times New Roman" w:cs="Times New Roman" w:eastAsia="Times New Roman" w:hAnsi="Times New Roman"/>
          <w:sz w:val="16"/>
          <w:szCs w:val="16"/>
          <w:color w:val="auto"/>
        </w:rPr>
        <w:t>affect customers’ ability to pay, as well as identifiable</w:t>
      </w:r>
    </w:p>
    <w:p>
      <w:pPr>
        <w:ind w:left="10"/>
        <w:spacing w:after="0" w:line="203" w:lineRule="auto"/>
        <w:rPr>
          <w:sz w:val="20"/>
          <w:szCs w:val="20"/>
          <w:color w:val="auto"/>
        </w:rPr>
      </w:pPr>
      <w:r>
        <w:rPr>
          <w:rFonts w:ascii="Times New Roman" w:cs="Times New Roman" w:eastAsia="Times New Roman" w:hAnsi="Times New Roman"/>
          <w:sz w:val="16"/>
          <w:szCs w:val="16"/>
          <w:color w:val="auto"/>
        </w:rPr>
        <w:t>changes in the risk characteristics of our customer base.</w:t>
      </w:r>
    </w:p>
    <w:p>
      <w:pPr>
        <w:ind w:left="10"/>
        <w:spacing w:after="0" w:line="204" w:lineRule="auto"/>
        <w:rPr>
          <w:sz w:val="20"/>
          <w:szCs w:val="20"/>
          <w:color w:val="auto"/>
        </w:rPr>
      </w:pPr>
      <w:r>
        <w:rPr>
          <w:rFonts w:ascii="Times New Roman" w:cs="Times New Roman" w:eastAsia="Times New Roman" w:hAnsi="Times New Roman"/>
          <w:sz w:val="16"/>
          <w:szCs w:val="16"/>
          <w:color w:val="auto"/>
        </w:rPr>
        <w:t>In circumstances where a specific customer’s inability to</w:t>
      </w:r>
    </w:p>
    <w:p>
      <w:pPr>
        <w:ind w:left="10"/>
        <w:spacing w:after="0" w:line="204" w:lineRule="auto"/>
        <w:rPr>
          <w:sz w:val="20"/>
          <w:szCs w:val="20"/>
          <w:color w:val="auto"/>
        </w:rPr>
      </w:pPr>
      <w:r>
        <w:rPr>
          <w:rFonts w:ascii="Times New Roman" w:cs="Times New Roman" w:eastAsia="Times New Roman" w:hAnsi="Times New Roman"/>
          <w:sz w:val="16"/>
          <w:szCs w:val="16"/>
          <w:color w:val="auto"/>
        </w:rPr>
        <w:t>meet its financial obligations is known (i.e., bankruptcy</w:t>
      </w:r>
    </w:p>
    <w:p>
      <w:pPr>
        <w:ind w:left="10"/>
        <w:spacing w:after="0" w:line="203" w:lineRule="auto"/>
        <w:rPr>
          <w:sz w:val="20"/>
          <w:szCs w:val="20"/>
          <w:color w:val="auto"/>
        </w:rPr>
      </w:pPr>
      <w:r>
        <w:rPr>
          <w:rFonts w:ascii="Times New Roman" w:cs="Times New Roman" w:eastAsia="Times New Roman" w:hAnsi="Times New Roman"/>
          <w:sz w:val="16"/>
          <w:szCs w:val="16"/>
          <w:color w:val="auto"/>
        </w:rPr>
        <w:t>filings), we determine whether a specific provision for bad</w:t>
      </w:r>
    </w:p>
    <w:p>
      <w:pPr>
        <w:ind w:left="10"/>
        <w:spacing w:after="0" w:line="233" w:lineRule="auto"/>
        <w:rPr>
          <w:sz w:val="20"/>
          <w:szCs w:val="20"/>
          <w:color w:val="auto"/>
        </w:rPr>
      </w:pPr>
      <w:r>
        <w:rPr>
          <w:rFonts w:ascii="Times New Roman" w:cs="Times New Roman" w:eastAsia="Times New Roman" w:hAnsi="Times New Roman"/>
          <w:sz w:val="14"/>
          <w:szCs w:val="14"/>
          <w:color w:val="auto"/>
        </w:rPr>
        <w:t>debts is required. Accounts receivable are written-off against</w:t>
      </w:r>
    </w:p>
    <w:p>
      <w:pPr>
        <w:ind w:left="10"/>
        <w:spacing w:after="0" w:line="232" w:lineRule="auto"/>
        <w:rPr>
          <w:sz w:val="20"/>
          <w:szCs w:val="20"/>
          <w:color w:val="auto"/>
        </w:rPr>
      </w:pPr>
      <w:r>
        <w:rPr>
          <w:rFonts w:ascii="Times New Roman" w:cs="Times New Roman" w:eastAsia="Times New Roman" w:hAnsi="Times New Roman"/>
          <w:sz w:val="14"/>
          <w:szCs w:val="14"/>
          <w:color w:val="auto"/>
        </w:rPr>
        <w:t>the allowance when collection efforts cease. Due to changing</w:t>
      </w:r>
    </w:p>
    <w:p>
      <w:pPr>
        <w:ind w:left="10"/>
        <w:spacing w:after="0" w:line="204" w:lineRule="auto"/>
        <w:rPr>
          <w:sz w:val="20"/>
          <w:szCs w:val="20"/>
          <w:color w:val="auto"/>
        </w:rPr>
      </w:pPr>
      <w:r>
        <w:rPr>
          <w:rFonts w:ascii="Times New Roman" w:cs="Times New Roman" w:eastAsia="Times New Roman" w:hAnsi="Times New Roman"/>
          <w:sz w:val="16"/>
          <w:szCs w:val="16"/>
          <w:color w:val="auto"/>
        </w:rPr>
        <w:t>economic, business and market conditions, we review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allowance quarterly and make changes to the allowance</w:t>
      </w:r>
    </w:p>
    <w:p>
      <w:pPr>
        <w:ind w:left="10"/>
        <w:spacing w:after="0" w:line="204" w:lineRule="auto"/>
        <w:rPr>
          <w:sz w:val="20"/>
          <w:szCs w:val="20"/>
          <w:color w:val="auto"/>
        </w:rPr>
      </w:pPr>
      <w:r>
        <w:rPr>
          <w:rFonts w:ascii="Times New Roman" w:cs="Times New Roman" w:eastAsia="Times New Roman" w:hAnsi="Times New Roman"/>
          <w:sz w:val="16"/>
          <w:szCs w:val="16"/>
          <w:color w:val="auto"/>
        </w:rPr>
        <w:t>through the provision for bad debts as appropriate. If</w:t>
      </w:r>
    </w:p>
    <w:p>
      <w:pPr>
        <w:ind w:left="10"/>
        <w:spacing w:after="0" w:line="204" w:lineRule="auto"/>
        <w:rPr>
          <w:sz w:val="20"/>
          <w:szCs w:val="20"/>
          <w:color w:val="auto"/>
        </w:rPr>
      </w:pPr>
      <w:r>
        <w:rPr>
          <w:rFonts w:ascii="Times New Roman" w:cs="Times New Roman" w:eastAsia="Times New Roman" w:hAnsi="Times New Roman"/>
          <w:sz w:val="16"/>
          <w:szCs w:val="16"/>
          <w:color w:val="auto"/>
        </w:rPr>
        <w:t>circumstances change (i.e., higher than expected defaults or</w:t>
      </w:r>
    </w:p>
    <w:p>
      <w:pPr>
        <w:ind w:left="10"/>
        <w:spacing w:after="0" w:line="232" w:lineRule="auto"/>
        <w:rPr>
          <w:sz w:val="20"/>
          <w:szCs w:val="20"/>
          <w:color w:val="auto"/>
        </w:rPr>
      </w:pPr>
      <w:r>
        <w:rPr>
          <w:rFonts w:ascii="Times New Roman" w:cs="Times New Roman" w:eastAsia="Times New Roman" w:hAnsi="Times New Roman"/>
          <w:sz w:val="14"/>
          <w:szCs w:val="14"/>
          <w:color w:val="auto"/>
        </w:rPr>
        <w:t>an unexpected material adverse change in a major customer’s</w:t>
      </w:r>
    </w:p>
    <w:p>
      <w:pPr>
        <w:ind w:left="10"/>
        <w:spacing w:after="0" w:line="204" w:lineRule="auto"/>
        <w:rPr>
          <w:sz w:val="20"/>
          <w:szCs w:val="20"/>
          <w:color w:val="auto"/>
        </w:rPr>
      </w:pPr>
      <w:r>
        <w:rPr>
          <w:rFonts w:ascii="Times New Roman" w:cs="Times New Roman" w:eastAsia="Times New Roman" w:hAnsi="Times New Roman"/>
          <w:sz w:val="16"/>
          <w:szCs w:val="16"/>
          <w:color w:val="auto"/>
        </w:rPr>
        <w:t>ability to pay), our estimates of recoverability could be</w:t>
      </w:r>
    </w:p>
    <w:p>
      <w:pPr>
        <w:ind w:left="10"/>
        <w:spacing w:after="0" w:line="203" w:lineRule="auto"/>
        <w:rPr>
          <w:sz w:val="20"/>
          <w:szCs w:val="20"/>
          <w:color w:val="auto"/>
        </w:rPr>
      </w:pPr>
      <w:r>
        <w:rPr>
          <w:rFonts w:ascii="Times New Roman" w:cs="Times New Roman" w:eastAsia="Times New Roman" w:hAnsi="Times New Roman"/>
          <w:sz w:val="16"/>
          <w:szCs w:val="16"/>
          <w:color w:val="auto"/>
        </w:rPr>
        <w:t>reduced by a material amount. The total allowance netted</w:t>
      </w:r>
    </w:p>
    <w:p>
      <w:pPr>
        <w:ind w:left="10"/>
        <w:spacing w:after="0" w:line="204" w:lineRule="auto"/>
        <w:rPr>
          <w:sz w:val="20"/>
          <w:szCs w:val="20"/>
          <w:color w:val="auto"/>
        </w:rPr>
      </w:pPr>
      <w:r>
        <w:rPr>
          <w:rFonts w:ascii="Times New Roman" w:cs="Times New Roman" w:eastAsia="Times New Roman" w:hAnsi="Times New Roman"/>
          <w:sz w:val="16"/>
          <w:szCs w:val="16"/>
          <w:color w:val="auto"/>
        </w:rPr>
        <w:t>against receivables in the Consolidated Balance Sheets was</w:t>
      </w:r>
    </w:p>
    <w:p>
      <w:pPr>
        <w:ind w:left="10"/>
        <w:spacing w:after="0" w:line="203" w:lineRule="auto"/>
        <w:rPr>
          <w:sz w:val="20"/>
          <w:szCs w:val="20"/>
          <w:color w:val="auto"/>
        </w:rPr>
      </w:pPr>
      <w:r>
        <w:rPr>
          <w:rFonts w:ascii="Times New Roman" w:cs="Times New Roman" w:eastAsia="Times New Roman" w:hAnsi="Times New Roman"/>
          <w:sz w:val="16"/>
          <w:szCs w:val="16"/>
          <w:color w:val="auto"/>
        </w:rPr>
        <w:t>$11 million as of December 31, 2025 and $10 million as of</w:t>
      </w:r>
    </w:p>
    <w:p>
      <w:pPr>
        <w:ind w:left="10"/>
        <w:spacing w:after="0" w:line="204" w:lineRule="auto"/>
        <w:rPr>
          <w:sz w:val="20"/>
          <w:szCs w:val="20"/>
          <w:color w:val="auto"/>
        </w:rPr>
      </w:pPr>
      <w:r>
        <w:rPr>
          <w:rFonts w:ascii="Times New Roman" w:cs="Times New Roman" w:eastAsia="Times New Roman" w:hAnsi="Times New Roman"/>
          <w:sz w:val="16"/>
          <w:szCs w:val="16"/>
          <w:color w:val="auto"/>
        </w:rPr>
        <w:t>December 31, 2024. Any provision for bad debt or write-off</w:t>
      </w:r>
    </w:p>
    <w:p>
      <w:pPr>
        <w:ind w:left="10"/>
        <w:spacing w:after="0"/>
        <w:rPr>
          <w:sz w:val="20"/>
          <w:szCs w:val="20"/>
          <w:color w:val="auto"/>
        </w:rPr>
      </w:pPr>
      <w:r>
        <w:rPr>
          <w:rFonts w:ascii="Times New Roman" w:cs="Times New Roman" w:eastAsia="Times New Roman" w:hAnsi="Times New Roman"/>
          <w:sz w:val="16"/>
          <w:szCs w:val="16"/>
          <w:color w:val="auto"/>
        </w:rPr>
        <w:t>recorded during the year was immaterial.</w:t>
      </w:r>
    </w:p>
    <w:p>
      <w:pPr>
        <w:sectPr>
          <w:pgSz w:w="11900" w:h="16840" w:orient="portrait"/>
          <w:cols w:equalWidth="0" w:num="1">
            <w:col w:w="9410"/>
          </w:cols>
          <w:pgMar w:left="1050" w:top="557" w:right="1440" w:bottom="116"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203" w:lineRule="auto"/>
        <w:rPr>
          <w:sz w:val="20"/>
          <w:szCs w:val="20"/>
          <w:color w:val="auto"/>
        </w:rPr>
      </w:pPr>
      <w:r>
        <w:rPr>
          <w:rFonts w:ascii="Times New Roman" w:cs="Times New Roman" w:eastAsia="Times New Roman" w:hAnsi="Times New Roman"/>
          <w:sz w:val="16"/>
          <w:szCs w:val="16"/>
          <w:color w:val="auto"/>
        </w:rPr>
        <w:t>Purchases and sales of investment securities are recognized</w:t>
      </w:r>
    </w:p>
    <w:p>
      <w:pPr>
        <w:spacing w:after="0" w:line="204" w:lineRule="auto"/>
        <w:rPr>
          <w:sz w:val="20"/>
          <w:szCs w:val="20"/>
          <w:color w:val="auto"/>
        </w:rPr>
      </w:pPr>
      <w:r>
        <w:rPr>
          <w:rFonts w:ascii="Times New Roman" w:cs="Times New Roman" w:eastAsia="Times New Roman" w:hAnsi="Times New Roman"/>
          <w:sz w:val="16"/>
          <w:szCs w:val="16"/>
          <w:color w:val="auto"/>
        </w:rPr>
        <w:t>on settlement date.</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Financial Investments</w:t>
      </w:r>
    </w:p>
    <w:p>
      <w:pPr>
        <w:spacing w:after="0" w:line="204" w:lineRule="auto"/>
        <w:rPr>
          <w:sz w:val="20"/>
          <w:szCs w:val="20"/>
          <w:color w:val="auto"/>
        </w:rPr>
      </w:pPr>
      <w:r>
        <w:rPr>
          <w:rFonts w:ascii="Times New Roman" w:cs="Times New Roman" w:eastAsia="Times New Roman" w:hAnsi="Times New Roman"/>
          <w:sz w:val="16"/>
          <w:szCs w:val="16"/>
          <w:color w:val="auto"/>
        </w:rPr>
        <w:t>Financial investments are comprised of trading securities</w:t>
      </w:r>
    </w:p>
    <w:p>
      <w:pPr>
        <w:spacing w:after="0" w:line="203" w:lineRule="auto"/>
        <w:rPr>
          <w:sz w:val="20"/>
          <w:szCs w:val="20"/>
          <w:color w:val="auto"/>
        </w:rPr>
      </w:pPr>
      <w:r>
        <w:rPr>
          <w:rFonts w:ascii="Times New Roman" w:cs="Times New Roman" w:eastAsia="Times New Roman" w:hAnsi="Times New Roman"/>
          <w:sz w:val="16"/>
          <w:szCs w:val="16"/>
          <w:color w:val="auto"/>
        </w:rPr>
        <w:t>bought primarily to meet regulatory capital requirements.</w:t>
      </w:r>
    </w:p>
    <w:p>
      <w:pPr>
        <w:spacing w:after="0" w:line="233" w:lineRule="auto"/>
        <w:rPr>
          <w:sz w:val="20"/>
          <w:szCs w:val="20"/>
          <w:color w:val="auto"/>
        </w:rPr>
      </w:pPr>
      <w:r>
        <w:rPr>
          <w:rFonts w:ascii="Times New Roman" w:cs="Times New Roman" w:eastAsia="Times New Roman" w:hAnsi="Times New Roman"/>
          <w:sz w:val="14"/>
          <w:szCs w:val="14"/>
          <w:color w:val="auto"/>
        </w:rPr>
        <w:t>These investments are classified as trading securities as they</w:t>
      </w:r>
    </w:p>
    <w:p>
      <w:pPr>
        <w:spacing w:after="0" w:line="233" w:lineRule="auto"/>
        <w:rPr>
          <w:sz w:val="20"/>
          <w:szCs w:val="20"/>
          <w:color w:val="auto"/>
        </w:rPr>
      </w:pPr>
      <w:r>
        <w:rPr>
          <w:rFonts w:ascii="Times New Roman" w:cs="Times New Roman" w:eastAsia="Times New Roman" w:hAnsi="Times New Roman"/>
          <w:sz w:val="14"/>
          <w:szCs w:val="14"/>
          <w:color w:val="auto"/>
        </w:rPr>
        <w:t>are generally sold in the near term, with changes in fair value</w:t>
      </w:r>
    </w:p>
    <w:p>
      <w:pPr>
        <w:spacing w:after="0" w:line="203" w:lineRule="auto"/>
        <w:rPr>
          <w:sz w:val="20"/>
          <w:szCs w:val="20"/>
          <w:color w:val="auto"/>
        </w:rPr>
      </w:pPr>
      <w:r>
        <w:rPr>
          <w:rFonts w:ascii="Times New Roman" w:cs="Times New Roman" w:eastAsia="Times New Roman" w:hAnsi="Times New Roman"/>
          <w:sz w:val="16"/>
          <w:szCs w:val="16"/>
          <w:color w:val="auto"/>
        </w:rPr>
        <w:t>included in other income (loss) in the Consolidated</w:t>
      </w:r>
    </w:p>
    <w:p>
      <w:pPr>
        <w:spacing w:after="0" w:line="204" w:lineRule="auto"/>
        <w:rPr>
          <w:sz w:val="20"/>
          <w:szCs w:val="20"/>
          <w:color w:val="auto"/>
        </w:rPr>
      </w:pPr>
      <w:r>
        <w:rPr>
          <w:rFonts w:ascii="Times New Roman" w:cs="Times New Roman" w:eastAsia="Times New Roman" w:hAnsi="Times New Roman"/>
          <w:sz w:val="16"/>
          <w:szCs w:val="16"/>
          <w:color w:val="auto"/>
        </w:rPr>
        <w:t>Statements of Income.</w:t>
      </w:r>
    </w:p>
    <w:p>
      <w:pPr>
        <w:spacing w:after="0" w:line="203" w:lineRule="auto"/>
        <w:rPr>
          <w:sz w:val="20"/>
          <w:szCs w:val="20"/>
          <w:color w:val="auto"/>
        </w:rPr>
      </w:pPr>
      <w:r>
        <w:rPr>
          <w:rFonts w:ascii="Times New Roman" w:cs="Times New Roman" w:eastAsia="Times New Roman" w:hAnsi="Times New Roman"/>
          <w:sz w:val="16"/>
          <w:szCs w:val="16"/>
          <w:color w:val="auto"/>
        </w:rPr>
        <w:t>Fair values are obtained from third-party pricing sources.</w:t>
      </w:r>
    </w:p>
    <w:p>
      <w:pPr>
        <w:spacing w:after="0" w:line="204" w:lineRule="auto"/>
        <w:rPr>
          <w:sz w:val="20"/>
          <w:szCs w:val="20"/>
          <w:color w:val="auto"/>
        </w:rPr>
      </w:pPr>
      <w:r>
        <w:rPr>
          <w:rFonts w:ascii="Times New Roman" w:cs="Times New Roman" w:eastAsia="Times New Roman" w:hAnsi="Times New Roman"/>
          <w:sz w:val="16"/>
          <w:szCs w:val="16"/>
          <w:color w:val="auto"/>
        </w:rPr>
        <w:t>When available, quoted market prices are used to determine</w:t>
      </w:r>
    </w:p>
    <w:p>
      <w:pPr>
        <w:spacing w:after="0" w:line="203" w:lineRule="auto"/>
        <w:rPr>
          <w:sz w:val="20"/>
          <w:szCs w:val="20"/>
          <w:color w:val="auto"/>
        </w:rPr>
      </w:pPr>
      <w:r>
        <w:rPr>
          <w:rFonts w:ascii="Times New Roman" w:cs="Times New Roman" w:eastAsia="Times New Roman" w:hAnsi="Times New Roman"/>
          <w:sz w:val="16"/>
          <w:szCs w:val="16"/>
          <w:color w:val="auto"/>
        </w:rPr>
        <w:t>fair value. If quoted market prices are not available, fair</w:t>
      </w:r>
    </w:p>
    <w:p>
      <w:pPr>
        <w:spacing w:after="0" w:line="204" w:lineRule="auto"/>
        <w:rPr>
          <w:sz w:val="20"/>
          <w:szCs w:val="20"/>
          <w:color w:val="auto"/>
        </w:rPr>
      </w:pPr>
      <w:r>
        <w:rPr>
          <w:rFonts w:ascii="Times New Roman" w:cs="Times New Roman" w:eastAsia="Times New Roman" w:hAnsi="Times New Roman"/>
          <w:sz w:val="16"/>
          <w:szCs w:val="16"/>
          <w:color w:val="auto"/>
        </w:rPr>
        <w:t>values are estimated using pricing models with observable</w:t>
      </w:r>
    </w:p>
    <w:p>
      <w:pPr>
        <w:spacing w:after="0" w:line="233" w:lineRule="auto"/>
        <w:rPr>
          <w:sz w:val="20"/>
          <w:szCs w:val="20"/>
          <w:color w:val="auto"/>
        </w:rPr>
      </w:pPr>
      <w:r>
        <w:rPr>
          <w:rFonts w:ascii="Times New Roman" w:cs="Times New Roman" w:eastAsia="Times New Roman" w:hAnsi="Times New Roman"/>
          <w:sz w:val="14"/>
          <w:szCs w:val="14"/>
          <w:color w:val="auto"/>
        </w:rPr>
        <w:t>market inputs. The inputs to the valuation models vary by the</w:t>
      </w:r>
    </w:p>
    <w:p>
      <w:pPr>
        <w:spacing w:after="0" w:line="203" w:lineRule="auto"/>
        <w:rPr>
          <w:sz w:val="20"/>
          <w:szCs w:val="20"/>
          <w:color w:val="auto"/>
        </w:rPr>
      </w:pPr>
      <w:r>
        <w:rPr>
          <w:rFonts w:ascii="Times New Roman" w:cs="Times New Roman" w:eastAsia="Times New Roman" w:hAnsi="Times New Roman"/>
          <w:sz w:val="16"/>
          <w:szCs w:val="16"/>
          <w:color w:val="auto"/>
        </w:rPr>
        <w:t>type of security being priced but are typically benchmark</w:t>
      </w:r>
    </w:p>
    <w:p>
      <w:pPr>
        <w:spacing w:after="0" w:line="204" w:lineRule="auto"/>
        <w:rPr>
          <w:sz w:val="20"/>
          <w:szCs w:val="20"/>
          <w:color w:val="auto"/>
        </w:rPr>
      </w:pPr>
      <w:r>
        <w:rPr>
          <w:rFonts w:ascii="Times New Roman" w:cs="Times New Roman" w:eastAsia="Times New Roman" w:hAnsi="Times New Roman"/>
          <w:sz w:val="16"/>
          <w:szCs w:val="16"/>
          <w:color w:val="auto"/>
        </w:rPr>
        <w:t>yields, reported trades, broker-dealer quotes, and prices of</w:t>
      </w:r>
    </w:p>
    <w:p>
      <w:pPr>
        <w:spacing w:after="0"/>
        <w:rPr>
          <w:sz w:val="20"/>
          <w:szCs w:val="20"/>
          <w:color w:val="auto"/>
        </w:rPr>
      </w:pPr>
      <w:r>
        <w:rPr>
          <w:rFonts w:ascii="Times New Roman" w:cs="Times New Roman" w:eastAsia="Times New Roman" w:hAnsi="Times New Roman"/>
          <w:sz w:val="14"/>
          <w:szCs w:val="14"/>
          <w:color w:val="auto"/>
        </w:rPr>
        <w:t>similar assets. Pricing models generally do not entail material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F-12</w:t>
      </w:r>
    </w:p>
    <w:p>
      <w:pPr>
        <w:spacing w:after="0" w:line="232" w:lineRule="auto"/>
        <w:rPr>
          <w:sz w:val="20"/>
          <w:szCs w:val="20"/>
          <w:color w:val="auto"/>
        </w:rPr>
      </w:pPr>
      <w:r>
        <w:rPr>
          <w:rFonts w:ascii="Times New Roman" w:cs="Times New Roman" w:eastAsia="Times New Roman" w:hAnsi="Times New Roman"/>
          <w:sz w:val="14"/>
          <w:szCs w:val="14"/>
          <w:color w:val="auto"/>
        </w:rPr>
        <w:t>period the impairment occurs. See Note 6, “Investments,” for</w:t>
      </w:r>
    </w:p>
    <w:p>
      <w:pPr>
        <w:spacing w:after="0" w:line="204" w:lineRule="auto"/>
        <w:rPr>
          <w:sz w:val="20"/>
          <w:szCs w:val="20"/>
          <w:color w:val="auto"/>
        </w:rPr>
      </w:pPr>
      <w:r>
        <w:rPr>
          <w:rFonts w:ascii="Times New Roman" w:cs="Times New Roman" w:eastAsia="Times New Roman" w:hAnsi="Times New Roman"/>
          <w:sz w:val="16"/>
          <w:szCs w:val="16"/>
          <w:color w:val="auto"/>
        </w:rPr>
        <w:t>further discussion of our equity securities.</w:t>
      </w:r>
    </w:p>
    <w:p>
      <w:pPr>
        <w:spacing w:after="0" w:line="203" w:lineRule="auto"/>
        <w:rPr>
          <w:sz w:val="20"/>
          <w:szCs w:val="20"/>
          <w:color w:val="auto"/>
        </w:rPr>
      </w:pPr>
      <w:r>
        <w:rPr>
          <w:rFonts w:ascii="Times New Roman" w:cs="Times New Roman" w:eastAsia="Times New Roman" w:hAnsi="Times New Roman"/>
          <w:sz w:val="16"/>
          <w:szCs w:val="16"/>
          <w:color w:val="auto"/>
        </w:rPr>
        <w:t>Our investments in equity securities are included in other</w:t>
      </w:r>
    </w:p>
    <w:p>
      <w:pPr>
        <w:spacing w:after="0" w:line="233" w:lineRule="auto"/>
        <w:rPr>
          <w:sz w:val="20"/>
          <w:szCs w:val="20"/>
          <w:color w:val="auto"/>
        </w:rPr>
      </w:pPr>
      <w:r>
        <w:rPr>
          <w:rFonts w:ascii="Times New Roman" w:cs="Times New Roman" w:eastAsia="Times New Roman" w:hAnsi="Times New Roman"/>
          <w:sz w:val="14"/>
          <w:szCs w:val="14"/>
          <w:color w:val="auto"/>
        </w:rPr>
        <w:t>non-current assets in the Consolidated Balance Sheets, as we</w:t>
      </w:r>
    </w:p>
    <w:p>
      <w:pPr>
        <w:spacing w:after="0" w:line="203" w:lineRule="auto"/>
        <w:rPr>
          <w:sz w:val="20"/>
          <w:szCs w:val="20"/>
          <w:color w:val="auto"/>
        </w:rPr>
      </w:pPr>
      <w:r>
        <w:rPr>
          <w:rFonts w:ascii="Times New Roman" w:cs="Times New Roman" w:eastAsia="Times New Roman" w:hAnsi="Times New Roman"/>
          <w:sz w:val="16"/>
          <w:szCs w:val="16"/>
          <w:color w:val="auto"/>
        </w:rPr>
        <w:t>intend to hold these investments for more than one year.</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Equity Method Investments</w:t>
      </w:r>
    </w:p>
    <w:p>
      <w:pPr>
        <w:spacing w:after="0" w:line="233" w:lineRule="auto"/>
        <w:rPr>
          <w:sz w:val="20"/>
          <w:szCs w:val="20"/>
          <w:color w:val="auto"/>
        </w:rPr>
      </w:pPr>
      <w:r>
        <w:rPr>
          <w:rFonts w:ascii="Times New Roman" w:cs="Times New Roman" w:eastAsia="Times New Roman" w:hAnsi="Times New Roman"/>
          <w:sz w:val="14"/>
          <w:szCs w:val="14"/>
          <w:color w:val="auto"/>
        </w:rPr>
        <w:t>In general, the equity method of accounting is used when we</w:t>
      </w:r>
    </w:p>
    <w:p>
      <w:pPr>
        <w:spacing w:after="0" w:line="203" w:lineRule="auto"/>
        <w:rPr>
          <w:sz w:val="20"/>
          <w:szCs w:val="20"/>
          <w:color w:val="auto"/>
        </w:rPr>
      </w:pPr>
      <w:r>
        <w:rPr>
          <w:rFonts w:ascii="Times New Roman" w:cs="Times New Roman" w:eastAsia="Times New Roman" w:hAnsi="Times New Roman"/>
          <w:sz w:val="16"/>
          <w:szCs w:val="16"/>
          <w:color w:val="auto"/>
        </w:rPr>
        <w:t>own 20% to 50% of the outstanding voting stock of a</w:t>
      </w:r>
    </w:p>
    <w:p>
      <w:pPr>
        <w:spacing w:after="0" w:line="204" w:lineRule="auto"/>
        <w:rPr>
          <w:sz w:val="20"/>
          <w:szCs w:val="20"/>
          <w:color w:val="auto"/>
        </w:rPr>
      </w:pPr>
      <w:r>
        <w:rPr>
          <w:rFonts w:ascii="Times New Roman" w:cs="Times New Roman" w:eastAsia="Times New Roman" w:hAnsi="Times New Roman"/>
          <w:sz w:val="16"/>
          <w:szCs w:val="16"/>
          <w:color w:val="auto"/>
        </w:rPr>
        <w:t>company or when we are able to exercise significant</w:t>
      </w:r>
    </w:p>
    <w:p>
      <w:pPr>
        <w:spacing w:after="0" w:line="203" w:lineRule="auto"/>
        <w:rPr>
          <w:sz w:val="20"/>
          <w:szCs w:val="20"/>
          <w:color w:val="auto"/>
        </w:rPr>
      </w:pPr>
      <w:r>
        <w:rPr>
          <w:rFonts w:ascii="Times New Roman" w:cs="Times New Roman" w:eastAsia="Times New Roman" w:hAnsi="Times New Roman"/>
          <w:sz w:val="16"/>
          <w:szCs w:val="16"/>
          <w:color w:val="auto"/>
        </w:rPr>
        <w:t>influence over the operating and financial policies of a</w:t>
      </w:r>
    </w:p>
    <w:p>
      <w:pPr>
        <w:spacing w:after="0" w:line="204" w:lineRule="auto"/>
        <w:rPr>
          <w:sz w:val="20"/>
          <w:szCs w:val="20"/>
          <w:color w:val="auto"/>
        </w:rPr>
      </w:pPr>
      <w:r>
        <w:rPr>
          <w:rFonts w:ascii="Times New Roman" w:cs="Times New Roman" w:eastAsia="Times New Roman" w:hAnsi="Times New Roman"/>
          <w:sz w:val="16"/>
          <w:szCs w:val="16"/>
          <w:color w:val="auto"/>
        </w:rPr>
        <w:t>company. We have certain investments in which we have</w:t>
      </w:r>
    </w:p>
    <w:p>
      <w:pPr>
        <w:spacing w:after="0" w:line="203" w:lineRule="auto"/>
        <w:rPr>
          <w:sz w:val="20"/>
          <w:szCs w:val="20"/>
          <w:color w:val="auto"/>
        </w:rPr>
      </w:pPr>
      <w:r>
        <w:rPr>
          <w:rFonts w:ascii="Times New Roman" w:cs="Times New Roman" w:eastAsia="Times New Roman" w:hAnsi="Times New Roman"/>
          <w:sz w:val="16"/>
          <w:szCs w:val="16"/>
          <w:color w:val="auto"/>
        </w:rPr>
        <w:t>determined that we have significant influence and as such</w:t>
      </w:r>
    </w:p>
    <w:p>
      <w:pPr>
        <w:spacing w:after="0" w:line="204" w:lineRule="auto"/>
        <w:rPr>
          <w:sz w:val="20"/>
          <w:szCs w:val="20"/>
          <w:color w:val="auto"/>
        </w:rPr>
      </w:pPr>
      <w:r>
        <w:rPr>
          <w:rFonts w:ascii="Times New Roman" w:cs="Times New Roman" w:eastAsia="Times New Roman" w:hAnsi="Times New Roman"/>
          <w:sz w:val="16"/>
          <w:szCs w:val="16"/>
          <w:color w:val="auto"/>
        </w:rPr>
        <w:t>account for the investments under the equity method of</w:t>
      </w:r>
    </w:p>
    <w:p>
      <w:pPr>
        <w:spacing w:after="0" w:line="203" w:lineRule="auto"/>
        <w:rPr>
          <w:sz w:val="20"/>
          <w:szCs w:val="20"/>
          <w:color w:val="auto"/>
        </w:rPr>
      </w:pPr>
      <w:r>
        <w:rPr>
          <w:rFonts w:ascii="Times New Roman" w:cs="Times New Roman" w:eastAsia="Times New Roman" w:hAnsi="Times New Roman"/>
          <w:sz w:val="16"/>
          <w:szCs w:val="16"/>
          <w:color w:val="auto"/>
        </w:rPr>
        <w:t>accounting. We record our estimated pro-rata share of</w:t>
      </w:r>
    </w:p>
    <w:p>
      <w:pPr>
        <w:spacing w:after="0" w:line="204" w:lineRule="auto"/>
        <w:rPr>
          <w:sz w:val="20"/>
          <w:szCs w:val="20"/>
          <w:color w:val="auto"/>
        </w:rPr>
      </w:pPr>
      <w:r>
        <w:rPr>
          <w:rFonts w:ascii="Times New Roman" w:cs="Times New Roman" w:eastAsia="Times New Roman" w:hAnsi="Times New Roman"/>
          <w:sz w:val="16"/>
          <w:szCs w:val="16"/>
          <w:color w:val="auto"/>
        </w:rPr>
        <w:t>earnings or losses each reporting period and record any</w:t>
      </w:r>
    </w:p>
    <w:p>
      <w:pPr>
        <w:spacing w:after="0" w:line="204" w:lineRule="auto"/>
        <w:rPr>
          <w:sz w:val="20"/>
          <w:szCs w:val="20"/>
          <w:color w:val="auto"/>
        </w:rPr>
      </w:pPr>
      <w:r>
        <w:rPr>
          <w:rFonts w:ascii="Times New Roman" w:cs="Times New Roman" w:eastAsia="Times New Roman" w:hAnsi="Times New Roman"/>
          <w:sz w:val="16"/>
          <w:szCs w:val="16"/>
          <w:color w:val="auto"/>
        </w:rPr>
        <w:t>dividends as a reduction in the investment balance. We</w:t>
      </w:r>
    </w:p>
    <w:p>
      <w:pPr>
        <w:spacing w:after="0" w:line="203" w:lineRule="auto"/>
        <w:rPr>
          <w:sz w:val="20"/>
          <w:szCs w:val="20"/>
          <w:color w:val="auto"/>
        </w:rPr>
      </w:pPr>
      <w:r>
        <w:rPr>
          <w:rFonts w:ascii="Times New Roman" w:cs="Times New Roman" w:eastAsia="Times New Roman" w:hAnsi="Times New Roman"/>
          <w:sz w:val="16"/>
          <w:szCs w:val="16"/>
          <w:color w:val="auto"/>
        </w:rPr>
        <w:t>evaluate our equity method investments for other-than-</w:t>
      </w:r>
    </w:p>
    <w:p>
      <w:pPr>
        <w:spacing w:after="0" w:line="204" w:lineRule="auto"/>
        <w:rPr>
          <w:sz w:val="20"/>
          <w:szCs w:val="20"/>
          <w:color w:val="auto"/>
        </w:rPr>
      </w:pPr>
      <w:r>
        <w:rPr>
          <w:rFonts w:ascii="Times New Roman" w:cs="Times New Roman" w:eastAsia="Times New Roman" w:hAnsi="Times New Roman"/>
          <w:sz w:val="16"/>
          <w:szCs w:val="16"/>
          <w:color w:val="auto"/>
        </w:rPr>
        <w:t>temporary declines in value by considering a variety of</w:t>
      </w:r>
    </w:p>
    <w:p>
      <w:pPr>
        <w:spacing w:after="0" w:line="203" w:lineRule="auto"/>
        <w:rPr>
          <w:sz w:val="20"/>
          <w:szCs w:val="20"/>
          <w:color w:val="auto"/>
        </w:rPr>
      </w:pPr>
      <w:r>
        <w:rPr>
          <w:rFonts w:ascii="Times New Roman" w:cs="Times New Roman" w:eastAsia="Times New Roman" w:hAnsi="Times New Roman"/>
          <w:sz w:val="16"/>
          <w:szCs w:val="16"/>
          <w:color w:val="auto"/>
        </w:rPr>
        <w:t>factors such as the earnings capacity of the investment and</w:t>
      </w:r>
    </w:p>
    <w:p>
      <w:pPr>
        <w:spacing w:after="0" w:line="204" w:lineRule="auto"/>
        <w:rPr>
          <w:sz w:val="20"/>
          <w:szCs w:val="20"/>
          <w:color w:val="auto"/>
        </w:rPr>
      </w:pPr>
      <w:r>
        <w:rPr>
          <w:rFonts w:ascii="Times New Roman" w:cs="Times New Roman" w:eastAsia="Times New Roman" w:hAnsi="Times New Roman"/>
          <w:sz w:val="16"/>
          <w:szCs w:val="16"/>
          <w:color w:val="auto"/>
        </w:rPr>
        <w:t>the fair value of the investment compared to its carrying</w:t>
      </w:r>
    </w:p>
    <w:p>
      <w:pPr>
        <w:spacing w:after="0" w:line="232" w:lineRule="auto"/>
        <w:rPr>
          <w:sz w:val="20"/>
          <w:szCs w:val="20"/>
          <w:color w:val="auto"/>
        </w:rPr>
      </w:pPr>
      <w:r>
        <w:rPr>
          <w:rFonts w:ascii="Times New Roman" w:cs="Times New Roman" w:eastAsia="Times New Roman" w:hAnsi="Times New Roman"/>
          <w:sz w:val="14"/>
          <w:szCs w:val="14"/>
          <w:color w:val="auto"/>
        </w:rPr>
        <w:t>amount. In addition, for investments where the market value</w:t>
      </w:r>
    </w:p>
    <w:p>
      <w:pPr>
        <w:spacing w:after="0" w:line="204" w:lineRule="auto"/>
        <w:rPr>
          <w:sz w:val="20"/>
          <w:szCs w:val="20"/>
          <w:color w:val="auto"/>
        </w:rPr>
      </w:pPr>
      <w:r>
        <w:rPr>
          <w:rFonts w:ascii="Times New Roman" w:cs="Times New Roman" w:eastAsia="Times New Roman" w:hAnsi="Times New Roman"/>
          <w:sz w:val="16"/>
          <w:szCs w:val="16"/>
          <w:color w:val="auto"/>
        </w:rPr>
        <w:t>is readily determinable, we consider the underlying stock</w:t>
      </w:r>
    </w:p>
    <w:p>
      <w:pPr>
        <w:spacing w:after="0" w:line="233" w:lineRule="auto"/>
        <w:rPr>
          <w:sz w:val="20"/>
          <w:szCs w:val="20"/>
          <w:color w:val="auto"/>
        </w:rPr>
      </w:pPr>
      <w:r>
        <w:rPr>
          <w:rFonts w:ascii="Times New Roman" w:cs="Times New Roman" w:eastAsia="Times New Roman" w:hAnsi="Times New Roman"/>
          <w:sz w:val="14"/>
          <w:szCs w:val="14"/>
          <w:color w:val="auto"/>
        </w:rPr>
        <w:t>price. If the estimated fair value of the investment is less than</w:t>
      </w:r>
    </w:p>
    <w:p>
      <w:pPr>
        <w:spacing w:after="0" w:line="232" w:lineRule="auto"/>
        <w:rPr>
          <w:sz w:val="20"/>
          <w:szCs w:val="20"/>
          <w:color w:val="auto"/>
        </w:rPr>
      </w:pPr>
      <w:r>
        <w:rPr>
          <w:rFonts w:ascii="Times New Roman" w:cs="Times New Roman" w:eastAsia="Times New Roman" w:hAnsi="Times New Roman"/>
          <w:sz w:val="14"/>
          <w:szCs w:val="14"/>
          <w:color w:val="auto"/>
        </w:rPr>
        <w:t>the carrying amount and management considers the decline in</w:t>
      </w:r>
    </w:p>
    <w:p>
      <w:pPr>
        <w:spacing w:after="0" w:line="204" w:lineRule="auto"/>
        <w:rPr>
          <w:sz w:val="20"/>
          <w:szCs w:val="20"/>
          <w:color w:val="auto"/>
        </w:rPr>
      </w:pPr>
      <w:r>
        <w:rPr>
          <w:rFonts w:ascii="Times New Roman" w:cs="Times New Roman" w:eastAsia="Times New Roman" w:hAnsi="Times New Roman"/>
          <w:sz w:val="16"/>
          <w:szCs w:val="16"/>
          <w:color w:val="auto"/>
        </w:rPr>
        <w:t>value to be other than temporary, the excess of the carrying</w:t>
      </w:r>
    </w:p>
    <w:p>
      <w:pPr>
        <w:spacing w:after="0" w:line="203" w:lineRule="auto"/>
        <w:rPr>
          <w:sz w:val="20"/>
          <w:szCs w:val="20"/>
          <w:color w:val="auto"/>
        </w:rPr>
      </w:pPr>
      <w:r>
        <w:rPr>
          <w:rFonts w:ascii="Times New Roman" w:cs="Times New Roman" w:eastAsia="Times New Roman" w:hAnsi="Times New Roman"/>
          <w:sz w:val="16"/>
          <w:szCs w:val="16"/>
          <w:color w:val="auto"/>
        </w:rPr>
        <w:t>amount over the estimated fair value is recognized in net</w:t>
      </w:r>
    </w:p>
    <w:p>
      <w:pPr>
        <w:spacing w:after="0" w:line="204" w:lineRule="auto"/>
        <w:rPr>
          <w:sz w:val="20"/>
          <w:szCs w:val="20"/>
          <w:color w:val="auto"/>
        </w:rPr>
      </w:pPr>
      <w:r>
        <w:rPr>
          <w:rFonts w:ascii="Times New Roman" w:cs="Times New Roman" w:eastAsia="Times New Roman" w:hAnsi="Times New Roman"/>
          <w:sz w:val="16"/>
          <w:szCs w:val="16"/>
          <w:color w:val="auto"/>
        </w:rPr>
        <w:t>income in the period the impairment occurs. See Note 6,</w:t>
      </w:r>
    </w:p>
    <w:p>
      <w:pPr>
        <w:spacing w:after="0" w:line="203" w:lineRule="auto"/>
        <w:rPr>
          <w:sz w:val="20"/>
          <w:szCs w:val="20"/>
          <w:color w:val="auto"/>
        </w:rPr>
      </w:pPr>
      <w:r>
        <w:rPr>
          <w:rFonts w:ascii="Times New Roman" w:cs="Times New Roman" w:eastAsia="Times New Roman" w:hAnsi="Times New Roman"/>
          <w:sz w:val="16"/>
          <w:szCs w:val="16"/>
          <w:color w:val="auto"/>
        </w:rPr>
        <w:t>“Investments,” for further discussion of our equity method</w:t>
      </w:r>
    </w:p>
    <w:p>
      <w:pPr>
        <w:spacing w:after="0" w:line="204" w:lineRule="auto"/>
        <w:rPr>
          <w:sz w:val="20"/>
          <w:szCs w:val="20"/>
          <w:color w:val="auto"/>
        </w:rPr>
      </w:pPr>
      <w:r>
        <w:rPr>
          <w:rFonts w:ascii="Times New Roman" w:cs="Times New Roman" w:eastAsia="Times New Roman" w:hAnsi="Times New Roman"/>
          <w:sz w:val="16"/>
          <w:szCs w:val="16"/>
          <w:color w:val="auto"/>
        </w:rPr>
        <w:t>investments.</w:t>
      </w:r>
    </w:p>
    <w:p>
      <w:pPr>
        <w:spacing w:after="0" w:line="233" w:lineRule="auto"/>
        <w:rPr>
          <w:sz w:val="20"/>
          <w:szCs w:val="20"/>
          <w:color w:val="auto"/>
        </w:rPr>
      </w:pPr>
      <w:r>
        <w:rPr>
          <w:rFonts w:ascii="Times New Roman" w:cs="Times New Roman" w:eastAsia="Times New Roman" w:hAnsi="Times New Roman"/>
          <w:sz w:val="14"/>
          <w:szCs w:val="14"/>
          <w:b w:val="1"/>
          <w:bCs w:val="1"/>
          <w:color w:val="auto"/>
        </w:rPr>
        <w:t>Derivative Financial Instruments and Hedging Activities</w:t>
      </w:r>
    </w:p>
    <w:p>
      <w:pPr>
        <w:spacing w:after="0" w:line="203" w:lineRule="auto"/>
        <w:rPr>
          <w:sz w:val="20"/>
          <w:szCs w:val="20"/>
          <w:color w:val="auto"/>
        </w:rPr>
      </w:pPr>
      <w:r>
        <w:rPr>
          <w:rFonts w:ascii="Times New Roman" w:cs="Times New Roman" w:eastAsia="Times New Roman" w:hAnsi="Times New Roman"/>
          <w:sz w:val="16"/>
          <w:szCs w:val="16"/>
          <w:color w:val="auto"/>
        </w:rPr>
        <w:t>We may use derivative financial instruments to manage</w:t>
      </w:r>
    </w:p>
    <w:p>
      <w:pPr>
        <w:spacing w:after="0" w:line="204" w:lineRule="auto"/>
        <w:rPr>
          <w:sz w:val="20"/>
          <w:szCs w:val="20"/>
          <w:color w:val="auto"/>
        </w:rPr>
      </w:pPr>
      <w:r>
        <w:rPr>
          <w:rFonts w:ascii="Times New Roman" w:cs="Times New Roman" w:eastAsia="Times New Roman" w:hAnsi="Times New Roman"/>
          <w:sz w:val="16"/>
          <w:szCs w:val="16"/>
          <w:color w:val="auto"/>
        </w:rPr>
        <w:t>exposure to changes in currency exchange rates. We do not</w:t>
      </w:r>
    </w:p>
    <w:p>
      <w:pPr>
        <w:spacing w:after="0" w:line="203" w:lineRule="auto"/>
        <w:rPr>
          <w:sz w:val="20"/>
          <w:szCs w:val="20"/>
          <w:color w:val="auto"/>
        </w:rPr>
      </w:pPr>
      <w:r>
        <w:rPr>
          <w:rFonts w:ascii="Times New Roman" w:cs="Times New Roman" w:eastAsia="Times New Roman" w:hAnsi="Times New Roman"/>
          <w:sz w:val="16"/>
          <w:szCs w:val="16"/>
          <w:color w:val="auto"/>
        </w:rPr>
        <w:t>use these contracts for speculative trading purposes.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Non-Designated Derivatives</w:t>
      </w:r>
    </w:p>
    <w:p>
      <w:pPr>
        <w:spacing w:after="0" w:line="203" w:lineRule="auto"/>
        <w:rPr>
          <w:sz w:val="20"/>
          <w:szCs w:val="20"/>
          <w:color w:val="auto"/>
        </w:rPr>
      </w:pPr>
      <w:r>
        <w:rPr>
          <w:rFonts w:ascii="Times New Roman" w:cs="Times New Roman" w:eastAsia="Times New Roman" w:hAnsi="Times New Roman"/>
          <w:sz w:val="16"/>
          <w:szCs w:val="16"/>
          <w:color w:val="auto"/>
        </w:rPr>
        <w:t>We use foreign exchange forward contracts to manage</w:t>
      </w:r>
    </w:p>
    <w:p>
      <w:pPr>
        <w:spacing w:after="0" w:line="204" w:lineRule="auto"/>
        <w:rPr>
          <w:sz w:val="20"/>
          <w:szCs w:val="20"/>
          <w:color w:val="auto"/>
        </w:rPr>
      </w:pPr>
      <w:r>
        <w:rPr>
          <w:rFonts w:ascii="Times New Roman" w:cs="Times New Roman" w:eastAsia="Times New Roman" w:hAnsi="Times New Roman"/>
          <w:sz w:val="16"/>
          <w:szCs w:val="16"/>
          <w:color w:val="auto"/>
        </w:rPr>
        <w:t>foreign currency exposure of intercompany loans, accounts</w:t>
      </w:r>
    </w:p>
    <w:p>
      <w:pPr>
        <w:spacing w:after="0" w:line="203" w:lineRule="auto"/>
        <w:rPr>
          <w:sz w:val="20"/>
          <w:szCs w:val="20"/>
          <w:color w:val="auto"/>
        </w:rPr>
      </w:pPr>
      <w:r>
        <w:rPr>
          <w:rFonts w:ascii="Times New Roman" w:cs="Times New Roman" w:eastAsia="Times New Roman" w:hAnsi="Times New Roman"/>
          <w:sz w:val="16"/>
          <w:szCs w:val="16"/>
          <w:color w:val="auto"/>
        </w:rPr>
        <w:t>receivable, accounts payable and other balance sheet items.</w:t>
      </w:r>
    </w:p>
    <w:p>
      <w:pPr>
        <w:spacing w:after="0" w:line="233" w:lineRule="auto"/>
        <w:rPr>
          <w:sz w:val="20"/>
          <w:szCs w:val="20"/>
          <w:color w:val="auto"/>
        </w:rPr>
      </w:pPr>
      <w:r>
        <w:rPr>
          <w:rFonts w:ascii="Times New Roman" w:cs="Times New Roman" w:eastAsia="Times New Roman" w:hAnsi="Times New Roman"/>
          <w:sz w:val="14"/>
          <w:szCs w:val="14"/>
          <w:color w:val="auto"/>
        </w:rPr>
        <w:t>These contracts are not designated as hedges under ASC 815,</w:t>
      </w:r>
    </w:p>
    <w:p>
      <w:pPr>
        <w:spacing w:after="0" w:line="204" w:lineRule="auto"/>
        <w:rPr>
          <w:sz w:val="20"/>
          <w:szCs w:val="20"/>
          <w:color w:val="auto"/>
        </w:rPr>
      </w:pPr>
      <w:r>
        <w:rPr>
          <w:rFonts w:ascii="Times New Roman" w:cs="Times New Roman" w:eastAsia="Times New Roman" w:hAnsi="Times New Roman"/>
          <w:sz w:val="16"/>
          <w:szCs w:val="16"/>
          <w:color w:val="auto"/>
        </w:rPr>
        <w:t>Derivatives and Hedging. The change in fair value of these</w:t>
      </w:r>
    </w:p>
    <w:p>
      <w:pPr>
        <w:spacing w:after="0" w:line="203" w:lineRule="auto"/>
        <w:rPr>
          <w:sz w:val="20"/>
          <w:szCs w:val="20"/>
          <w:color w:val="auto"/>
        </w:rPr>
      </w:pPr>
      <w:r>
        <w:rPr>
          <w:rFonts w:ascii="Times New Roman" w:cs="Times New Roman" w:eastAsia="Times New Roman" w:hAnsi="Times New Roman"/>
          <w:sz w:val="16"/>
          <w:szCs w:val="16"/>
          <w:color w:val="auto"/>
        </w:rPr>
        <w:t>contracts is recognized in general, administrative and other</w:t>
      </w:r>
    </w:p>
    <w:p>
      <w:pPr>
        <w:spacing w:after="0" w:line="204" w:lineRule="auto"/>
        <w:rPr>
          <w:sz w:val="20"/>
          <w:szCs w:val="20"/>
          <w:color w:val="auto"/>
        </w:rPr>
      </w:pPr>
      <w:r>
        <w:rPr>
          <w:rFonts w:ascii="Times New Roman" w:cs="Times New Roman" w:eastAsia="Times New Roman" w:hAnsi="Times New Roman"/>
          <w:sz w:val="16"/>
          <w:szCs w:val="16"/>
          <w:color w:val="auto"/>
        </w:rPr>
        <w:t>expense in the Consolidated Statements of Income and</w:t>
      </w:r>
    </w:p>
    <w:p>
      <w:pPr>
        <w:spacing w:after="0" w:line="203" w:lineRule="auto"/>
        <w:rPr>
          <w:sz w:val="20"/>
          <w:szCs w:val="20"/>
          <w:color w:val="auto"/>
        </w:rPr>
      </w:pPr>
      <w:r>
        <w:rPr>
          <w:rFonts w:ascii="Times New Roman" w:cs="Times New Roman" w:eastAsia="Times New Roman" w:hAnsi="Times New Roman"/>
          <w:sz w:val="16"/>
          <w:szCs w:val="16"/>
          <w:color w:val="auto"/>
        </w:rPr>
        <w:t>offsets the foreign currency exposure.</w:t>
      </w:r>
    </w:p>
    <w:p>
      <w:pPr>
        <w:spacing w:after="0" w:line="204" w:lineRule="auto"/>
        <w:rPr>
          <w:sz w:val="20"/>
          <w:szCs w:val="20"/>
          <w:color w:val="auto"/>
        </w:rPr>
      </w:pPr>
      <w:r>
        <w:rPr>
          <w:rFonts w:ascii="Times New Roman" w:cs="Times New Roman" w:eastAsia="Times New Roman" w:hAnsi="Times New Roman"/>
          <w:sz w:val="16"/>
          <w:szCs w:val="16"/>
          <w:color w:val="auto"/>
        </w:rPr>
        <w:t>As of December 31, 2025 and 2024 and for the years ended</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2024 and 2023, the fair value of our</w:t>
      </w:r>
    </w:p>
    <w:p>
      <w:pPr>
        <w:spacing w:after="0" w:line="204" w:lineRule="auto"/>
        <w:rPr>
          <w:sz w:val="20"/>
          <w:szCs w:val="20"/>
          <w:color w:val="auto"/>
        </w:rPr>
      </w:pPr>
      <w:r>
        <w:rPr>
          <w:rFonts w:ascii="Times New Roman" w:cs="Times New Roman" w:eastAsia="Times New Roman" w:hAnsi="Times New Roman"/>
          <w:sz w:val="16"/>
          <w:szCs w:val="16"/>
          <w:color w:val="auto"/>
        </w:rPr>
        <w:t>non-designated derivative instruments and the related gains</w:t>
      </w:r>
    </w:p>
    <w:p>
      <w:pPr>
        <w:spacing w:after="0" w:line="203" w:lineRule="auto"/>
        <w:rPr>
          <w:sz w:val="20"/>
          <w:szCs w:val="20"/>
          <w:color w:val="auto"/>
        </w:rPr>
      </w:pPr>
      <w:r>
        <w:rPr>
          <w:rFonts w:ascii="Times New Roman" w:cs="Times New Roman" w:eastAsia="Times New Roman" w:hAnsi="Times New Roman"/>
          <w:sz w:val="16"/>
          <w:szCs w:val="16"/>
          <w:color w:val="auto"/>
        </w:rPr>
        <w:t>and losses were immaterial.</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Derivatives designated as cash flow hedges</w:t>
      </w:r>
    </w:p>
    <w:p>
      <w:pPr>
        <w:spacing w:after="0" w:line="233" w:lineRule="auto"/>
        <w:rPr>
          <w:sz w:val="20"/>
          <w:szCs w:val="20"/>
          <w:color w:val="auto"/>
        </w:rPr>
      </w:pPr>
      <w:r>
        <w:rPr>
          <w:rFonts w:ascii="Times New Roman" w:cs="Times New Roman" w:eastAsia="Times New Roman" w:hAnsi="Times New Roman"/>
          <w:sz w:val="14"/>
          <w:szCs w:val="14"/>
          <w:color w:val="auto"/>
        </w:rPr>
        <w:t>We enter into foreign currency contracts and designate them</w:t>
      </w:r>
    </w:p>
    <w:p>
      <w:pPr>
        <w:spacing w:after="0" w:line="203" w:lineRule="auto"/>
        <w:rPr>
          <w:sz w:val="20"/>
          <w:szCs w:val="20"/>
          <w:color w:val="auto"/>
        </w:rPr>
      </w:pPr>
      <w:r>
        <w:rPr>
          <w:rFonts w:ascii="Times New Roman" w:cs="Times New Roman" w:eastAsia="Times New Roman" w:hAnsi="Times New Roman"/>
          <w:sz w:val="16"/>
          <w:szCs w:val="16"/>
          <w:color w:val="auto"/>
        </w:rPr>
        <w:t>as cash flow hedges to manage forecasted foreign currency</w:t>
      </w:r>
    </w:p>
    <w:p>
      <w:pPr>
        <w:spacing w:after="0" w:line="233" w:lineRule="auto"/>
        <w:rPr>
          <w:sz w:val="20"/>
          <w:szCs w:val="20"/>
          <w:color w:val="auto"/>
        </w:rPr>
      </w:pPr>
      <w:r>
        <w:rPr>
          <w:rFonts w:ascii="Times New Roman" w:cs="Times New Roman" w:eastAsia="Times New Roman" w:hAnsi="Times New Roman"/>
          <w:sz w:val="14"/>
          <w:szCs w:val="14"/>
          <w:color w:val="auto"/>
        </w:rPr>
        <w:t>revenue and expenses. To apply hedge accounting treatment,</w:t>
      </w:r>
    </w:p>
    <w:p>
      <w:pPr>
        <w:spacing w:after="0" w:line="203" w:lineRule="auto"/>
        <w:rPr>
          <w:sz w:val="20"/>
          <w:szCs w:val="20"/>
          <w:color w:val="auto"/>
        </w:rPr>
      </w:pPr>
      <w:r>
        <w:rPr>
          <w:rFonts w:ascii="Times New Roman" w:cs="Times New Roman" w:eastAsia="Times New Roman" w:hAnsi="Times New Roman"/>
          <w:sz w:val="16"/>
          <w:szCs w:val="16"/>
          <w:color w:val="auto"/>
        </w:rPr>
        <w:t>all hedging relationships are formally documented at the</w:t>
      </w:r>
    </w:p>
    <w:p>
      <w:pPr>
        <w:spacing w:after="0" w:line="204" w:lineRule="auto"/>
        <w:rPr>
          <w:sz w:val="20"/>
          <w:szCs w:val="20"/>
          <w:color w:val="auto"/>
        </w:rPr>
      </w:pPr>
      <w:r>
        <w:rPr>
          <w:rFonts w:ascii="Times New Roman" w:cs="Times New Roman" w:eastAsia="Times New Roman" w:hAnsi="Times New Roman"/>
          <w:sz w:val="16"/>
          <w:szCs w:val="16"/>
          <w:color w:val="auto"/>
        </w:rPr>
        <w:t>inception of the hedge, and the hedges must be highly</w:t>
      </w:r>
    </w:p>
    <w:p>
      <w:pPr>
        <w:spacing w:after="0" w:line="204" w:lineRule="auto"/>
        <w:rPr>
          <w:sz w:val="20"/>
          <w:szCs w:val="20"/>
          <w:color w:val="auto"/>
        </w:rPr>
      </w:pPr>
      <w:r>
        <w:rPr>
          <w:rFonts w:ascii="Times New Roman" w:cs="Times New Roman" w:eastAsia="Times New Roman" w:hAnsi="Times New Roman"/>
          <w:sz w:val="16"/>
          <w:szCs w:val="16"/>
          <w:color w:val="auto"/>
        </w:rPr>
        <w:t>effective in offsetting changes to future cash flows on the</w:t>
      </w:r>
    </w:p>
    <w:p>
      <w:pPr>
        <w:spacing w:after="0" w:line="203" w:lineRule="auto"/>
        <w:rPr>
          <w:sz w:val="20"/>
          <w:szCs w:val="20"/>
          <w:color w:val="auto"/>
        </w:rPr>
      </w:pPr>
      <w:r>
        <w:rPr>
          <w:rFonts w:ascii="Times New Roman" w:cs="Times New Roman" w:eastAsia="Times New Roman" w:hAnsi="Times New Roman"/>
          <w:sz w:val="16"/>
          <w:szCs w:val="16"/>
          <w:color w:val="auto"/>
        </w:rPr>
        <w:t>hedged transactions. The change in fair value of these</w:t>
      </w:r>
    </w:p>
    <w:p>
      <w:pPr>
        <w:spacing w:after="0" w:line="204" w:lineRule="auto"/>
        <w:rPr>
          <w:sz w:val="20"/>
          <w:szCs w:val="20"/>
          <w:color w:val="auto"/>
        </w:rPr>
      </w:pPr>
      <w:r>
        <w:rPr>
          <w:rFonts w:ascii="Times New Roman" w:cs="Times New Roman" w:eastAsia="Times New Roman" w:hAnsi="Times New Roman"/>
          <w:sz w:val="16"/>
          <w:szCs w:val="16"/>
          <w:color w:val="auto"/>
        </w:rPr>
        <w:t>contracts is recorded, net of tax, in accumulated other</w:t>
      </w:r>
    </w:p>
    <w:p>
      <w:pPr>
        <w:spacing w:after="0" w:line="232" w:lineRule="auto"/>
        <w:rPr>
          <w:sz w:val="20"/>
          <w:szCs w:val="20"/>
          <w:color w:val="auto"/>
        </w:rPr>
      </w:pPr>
      <w:r>
        <w:rPr>
          <w:rFonts w:ascii="Times New Roman" w:cs="Times New Roman" w:eastAsia="Times New Roman" w:hAnsi="Times New Roman"/>
          <w:sz w:val="14"/>
          <w:szCs w:val="14"/>
          <w:color w:val="auto"/>
        </w:rPr>
        <w:t>comprehensive loss in the Consolidated Balance Sheets until</w:t>
      </w:r>
    </w:p>
    <w:p>
      <w:pPr>
        <w:spacing w:after="0" w:line="204" w:lineRule="auto"/>
        <w:rPr>
          <w:sz w:val="20"/>
          <w:szCs w:val="20"/>
          <w:color w:val="auto"/>
        </w:rPr>
      </w:pPr>
      <w:r>
        <w:rPr>
          <w:rFonts w:ascii="Times New Roman" w:cs="Times New Roman" w:eastAsia="Times New Roman" w:hAnsi="Times New Roman"/>
          <w:sz w:val="16"/>
          <w:szCs w:val="16"/>
          <w:color w:val="auto"/>
        </w:rPr>
        <w:t>the forecasted transaction occurs. When the forecasted</w:t>
      </w:r>
    </w:p>
    <w:p>
      <w:pPr>
        <w:spacing w:after="0" w:line="232" w:lineRule="auto"/>
        <w:rPr>
          <w:sz w:val="20"/>
          <w:szCs w:val="20"/>
          <w:color w:val="auto"/>
        </w:rPr>
      </w:pPr>
      <w:r>
        <w:rPr>
          <w:rFonts w:ascii="Times New Roman" w:cs="Times New Roman" w:eastAsia="Times New Roman" w:hAnsi="Times New Roman"/>
          <w:sz w:val="14"/>
          <w:szCs w:val="14"/>
          <w:color w:val="auto"/>
        </w:rPr>
        <w:t>transaction affects earnings, we reclassify the related gain or</w:t>
      </w:r>
    </w:p>
    <w:p>
      <w:pPr>
        <w:spacing w:after="0" w:line="204" w:lineRule="auto"/>
        <w:rPr>
          <w:sz w:val="20"/>
          <w:szCs w:val="20"/>
          <w:color w:val="auto"/>
        </w:rPr>
      </w:pPr>
      <w:r>
        <w:rPr>
          <w:rFonts w:ascii="Times New Roman" w:cs="Times New Roman" w:eastAsia="Times New Roman" w:hAnsi="Times New Roman"/>
          <w:sz w:val="16"/>
          <w:szCs w:val="16"/>
          <w:color w:val="auto"/>
        </w:rPr>
        <w:t>loss on the foreign currency revenue or foreign currency</w:t>
      </w:r>
    </w:p>
    <w:p>
      <w:pPr>
        <w:spacing w:after="0" w:line="203" w:lineRule="auto"/>
        <w:rPr>
          <w:sz w:val="20"/>
          <w:szCs w:val="20"/>
          <w:color w:val="auto"/>
        </w:rPr>
      </w:pPr>
      <w:r>
        <w:rPr>
          <w:rFonts w:ascii="Times New Roman" w:cs="Times New Roman" w:eastAsia="Times New Roman" w:hAnsi="Times New Roman"/>
          <w:sz w:val="16"/>
          <w:szCs w:val="16"/>
          <w:color w:val="auto"/>
        </w:rPr>
        <w:t>expense to revenue or operating expense, as applicable.</w:t>
      </w:r>
    </w:p>
    <w:p>
      <w:pPr>
        <w:spacing w:after="0" w:line="204" w:lineRule="auto"/>
        <w:rPr>
          <w:sz w:val="20"/>
          <w:szCs w:val="20"/>
          <w:color w:val="auto"/>
        </w:rPr>
      </w:pPr>
      <w:r>
        <w:rPr>
          <w:rFonts w:ascii="Times New Roman" w:cs="Times New Roman" w:eastAsia="Times New Roman" w:hAnsi="Times New Roman"/>
          <w:sz w:val="16"/>
          <w:szCs w:val="16"/>
          <w:color w:val="auto"/>
        </w:rPr>
        <w:t>As of December 31, 2025 and 2024, and for the years ended</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2024 and 2023, the fair value of our</w:t>
      </w:r>
    </w:p>
    <w:p>
      <w:pPr>
        <w:spacing w:after="0" w:line="203" w:lineRule="auto"/>
        <w:rPr>
          <w:sz w:val="20"/>
          <w:szCs w:val="20"/>
          <w:color w:val="auto"/>
        </w:rPr>
      </w:pPr>
      <w:r>
        <w:rPr>
          <w:rFonts w:ascii="Times New Roman" w:cs="Times New Roman" w:eastAsia="Times New Roman" w:hAnsi="Times New Roman"/>
          <w:sz w:val="16"/>
          <w:szCs w:val="16"/>
          <w:color w:val="auto"/>
        </w:rPr>
        <w:t>derivative instruments designated as cash flow hedges, the</w:t>
      </w:r>
    </w:p>
    <w:p>
      <w:pPr>
        <w:spacing w:after="0" w:line="233" w:lineRule="auto"/>
        <w:rPr>
          <w:sz w:val="20"/>
          <w:szCs w:val="20"/>
          <w:color w:val="auto"/>
        </w:rPr>
      </w:pPr>
      <w:r>
        <w:rPr>
          <w:rFonts w:ascii="Times New Roman" w:cs="Times New Roman" w:eastAsia="Times New Roman" w:hAnsi="Times New Roman"/>
          <w:sz w:val="14"/>
          <w:szCs w:val="14"/>
          <w:color w:val="auto"/>
        </w:rPr>
        <w:t>related amounts recognized in other comprehensive loss and</w:t>
      </w:r>
    </w:p>
    <w:p>
      <w:pPr>
        <w:spacing w:after="0" w:line="203" w:lineRule="auto"/>
        <w:rPr>
          <w:sz w:val="20"/>
          <w:szCs w:val="20"/>
          <w:color w:val="auto"/>
        </w:rPr>
      </w:pPr>
      <w:r>
        <w:rPr>
          <w:rFonts w:ascii="Times New Roman" w:cs="Times New Roman" w:eastAsia="Times New Roman" w:hAnsi="Times New Roman"/>
          <w:sz w:val="16"/>
          <w:szCs w:val="16"/>
          <w:color w:val="auto"/>
        </w:rPr>
        <w:t>any amounts reclassified into earnings, were immaterial.</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Net Investment Hedges</w:t>
      </w:r>
    </w:p>
    <w:p>
      <w:pPr>
        <w:spacing w:after="0" w:line="233" w:lineRule="auto"/>
        <w:rPr>
          <w:sz w:val="20"/>
          <w:szCs w:val="20"/>
          <w:color w:val="auto"/>
        </w:rPr>
      </w:pPr>
      <w:r>
        <w:rPr>
          <w:rFonts w:ascii="Times New Roman" w:cs="Times New Roman" w:eastAsia="Times New Roman" w:hAnsi="Times New Roman"/>
          <w:sz w:val="14"/>
          <w:szCs w:val="14"/>
          <w:color w:val="auto"/>
        </w:rPr>
        <w:t>Net assets of our foreign subsidiaries are exposed to volatility</w:t>
      </w:r>
    </w:p>
    <w:p>
      <w:pPr>
        <w:spacing w:after="0" w:line="203" w:lineRule="auto"/>
        <w:rPr>
          <w:sz w:val="20"/>
          <w:szCs w:val="20"/>
          <w:color w:val="auto"/>
        </w:rPr>
      </w:pPr>
      <w:r>
        <w:rPr>
          <w:rFonts w:ascii="Times New Roman" w:cs="Times New Roman" w:eastAsia="Times New Roman" w:hAnsi="Times New Roman"/>
          <w:sz w:val="16"/>
          <w:szCs w:val="16"/>
          <w:color w:val="auto"/>
        </w:rPr>
        <w:t>in foreign currency exchange rates. We may utilize net</w:t>
      </w:r>
    </w:p>
    <w:p>
      <w:pPr>
        <w:spacing w:after="0" w:line="233" w:lineRule="auto"/>
        <w:rPr>
          <w:sz w:val="20"/>
          <w:szCs w:val="20"/>
          <w:color w:val="auto"/>
        </w:rPr>
      </w:pPr>
      <w:r>
        <w:rPr>
          <w:rFonts w:ascii="Times New Roman" w:cs="Times New Roman" w:eastAsia="Times New Roman" w:hAnsi="Times New Roman"/>
          <w:sz w:val="14"/>
          <w:szCs w:val="14"/>
          <w:color w:val="auto"/>
        </w:rPr>
        <w:t>investment hedges to offset the translation adjustment arising</w:t>
      </w:r>
    </w:p>
    <w:p>
      <w:pPr>
        <w:spacing w:after="0" w:line="203" w:lineRule="auto"/>
        <w:rPr>
          <w:sz w:val="20"/>
          <w:szCs w:val="20"/>
          <w:color w:val="auto"/>
        </w:rPr>
      </w:pPr>
      <w:r>
        <w:rPr>
          <w:rFonts w:ascii="Times New Roman" w:cs="Times New Roman" w:eastAsia="Times New Roman" w:hAnsi="Times New Roman"/>
          <w:sz w:val="16"/>
          <w:szCs w:val="16"/>
          <w:color w:val="auto"/>
        </w:rPr>
        <w:t>from re-measuring our investment in foreign subsidiaries.</w:t>
      </w:r>
    </w:p>
    <w:p>
      <w:pPr>
        <w:spacing w:after="0" w:line="204" w:lineRule="auto"/>
        <w:rPr>
          <w:sz w:val="20"/>
          <w:szCs w:val="20"/>
          <w:color w:val="auto"/>
        </w:rPr>
      </w:pPr>
      <w:r>
        <w:rPr>
          <w:rFonts w:ascii="Times New Roman" w:cs="Times New Roman" w:eastAsia="Times New Roman" w:hAnsi="Times New Roman"/>
          <w:sz w:val="16"/>
          <w:szCs w:val="16"/>
          <w:color w:val="auto"/>
        </w:rPr>
        <w:t>Our Euro Notes have been designated as a hedge of our net</w:t>
      </w:r>
    </w:p>
    <w:p>
      <w:pPr>
        <w:spacing w:after="0" w:line="203" w:lineRule="auto"/>
        <w:rPr>
          <w:sz w:val="20"/>
          <w:szCs w:val="20"/>
          <w:color w:val="auto"/>
        </w:rPr>
      </w:pPr>
      <w:r>
        <w:rPr>
          <w:rFonts w:ascii="Times New Roman" w:cs="Times New Roman" w:eastAsia="Times New Roman" w:hAnsi="Times New Roman"/>
          <w:sz w:val="16"/>
          <w:szCs w:val="16"/>
          <w:color w:val="auto"/>
        </w:rPr>
        <w:t>investment in certain foreign subsidiaries to mitigate the</w:t>
      </w:r>
    </w:p>
    <w:p>
      <w:pPr>
        <w:spacing w:after="0" w:line="204" w:lineRule="auto"/>
        <w:rPr>
          <w:sz w:val="20"/>
          <w:szCs w:val="20"/>
          <w:color w:val="auto"/>
        </w:rPr>
      </w:pPr>
      <w:r>
        <w:rPr>
          <w:rFonts w:ascii="Times New Roman" w:cs="Times New Roman" w:eastAsia="Times New Roman" w:hAnsi="Times New Roman"/>
          <w:sz w:val="16"/>
          <w:szCs w:val="16"/>
          <w:color w:val="auto"/>
        </w:rPr>
        <w:t>foreign exchange risk associated with certain investments in</w:t>
      </w:r>
    </w:p>
    <w:p>
      <w:pPr>
        <w:spacing w:after="0" w:line="204" w:lineRule="auto"/>
        <w:rPr>
          <w:sz w:val="20"/>
          <w:szCs w:val="20"/>
          <w:color w:val="auto"/>
        </w:rPr>
      </w:pPr>
      <w:r>
        <w:rPr>
          <w:rFonts w:ascii="Times New Roman" w:cs="Times New Roman" w:eastAsia="Times New Roman" w:hAnsi="Times New Roman"/>
          <w:sz w:val="16"/>
          <w:szCs w:val="16"/>
          <w:color w:val="auto"/>
        </w:rPr>
        <w:t>these subsidiaries. Any increase or decrease related to the</w:t>
      </w:r>
    </w:p>
    <w:p>
      <w:pPr>
        <w:spacing w:after="0" w:line="232" w:lineRule="auto"/>
        <w:rPr>
          <w:sz w:val="20"/>
          <w:szCs w:val="20"/>
          <w:color w:val="auto"/>
        </w:rPr>
      </w:pPr>
      <w:r>
        <w:rPr>
          <w:rFonts w:ascii="Times New Roman" w:cs="Times New Roman" w:eastAsia="Times New Roman" w:hAnsi="Times New Roman"/>
          <w:sz w:val="14"/>
          <w:szCs w:val="14"/>
          <w:color w:val="auto"/>
        </w:rPr>
        <w:t>remeasurement of these notes into U.S. dollars is recorded in</w:t>
      </w:r>
    </w:p>
    <w:p>
      <w:pPr>
        <w:spacing w:after="0" w:line="204" w:lineRule="auto"/>
        <w:rPr>
          <w:sz w:val="20"/>
          <w:szCs w:val="20"/>
          <w:color w:val="auto"/>
        </w:rPr>
      </w:pPr>
      <w:r>
        <w:rPr>
          <w:rFonts w:ascii="Times New Roman" w:cs="Times New Roman" w:eastAsia="Times New Roman" w:hAnsi="Times New Roman"/>
          <w:sz w:val="16"/>
          <w:szCs w:val="16"/>
          <w:color w:val="auto"/>
        </w:rPr>
        <w:t>accumulated other comprehensive loss in the Consolidated</w:t>
      </w:r>
    </w:p>
    <w:p>
      <w:pPr>
        <w:spacing w:after="0" w:line="203" w:lineRule="auto"/>
        <w:rPr>
          <w:sz w:val="20"/>
          <w:szCs w:val="20"/>
          <w:color w:val="auto"/>
        </w:rPr>
      </w:pPr>
      <w:r>
        <w:rPr>
          <w:rFonts w:ascii="Times New Roman" w:cs="Times New Roman" w:eastAsia="Times New Roman" w:hAnsi="Times New Roman"/>
          <w:sz w:val="16"/>
          <w:szCs w:val="16"/>
          <w:color w:val="auto"/>
        </w:rPr>
        <w:t>Balance Sheets. See “Net Investment Hedge” of Note 9,</w:t>
      </w:r>
    </w:p>
    <w:p>
      <w:pPr>
        <w:spacing w:after="0" w:line="204" w:lineRule="auto"/>
        <w:rPr>
          <w:sz w:val="20"/>
          <w:szCs w:val="20"/>
          <w:color w:val="auto"/>
        </w:rPr>
      </w:pPr>
      <w:r>
        <w:rPr>
          <w:rFonts w:ascii="Times New Roman" w:cs="Times New Roman" w:eastAsia="Times New Roman" w:hAnsi="Times New Roman"/>
          <w:sz w:val="16"/>
          <w:szCs w:val="16"/>
          <w:color w:val="auto"/>
        </w:rPr>
        <w:t>“Debt Obligations,” for further discussion.</w:t>
      </w:r>
    </w:p>
    <w:p>
      <w:pPr>
        <w:spacing w:after="0" w:line="203" w:lineRule="auto"/>
        <w:rPr>
          <w:sz w:val="20"/>
          <w:szCs w:val="20"/>
          <w:color w:val="auto"/>
        </w:rPr>
      </w:pPr>
      <w:r>
        <w:rPr>
          <w:rFonts w:ascii="Times New Roman" w:cs="Times New Roman" w:eastAsia="Times New Roman" w:hAnsi="Times New Roman"/>
          <w:sz w:val="16"/>
          <w:szCs w:val="16"/>
          <w:color w:val="auto"/>
        </w:rPr>
        <w:t>In 2025, we also entered into foreign exchange forward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contracts to hedge a portion of our net investment in certain</w:t>
      </w:r>
    </w:p>
    <w:p>
      <w:pPr>
        <w:sectPr>
          <w:pgSz w:w="11900" w:h="16840" w:orient="portrait"/>
          <w:cols w:equalWidth="0" w:num="1">
            <w:col w:w="9400"/>
          </w:cols>
          <w:pgMar w:left="1060" w:top="547" w:right="1440" w:bottom="56"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color w:val="auto"/>
        </w:rPr>
        <w:t>F-13</w:t>
      </w:r>
    </w:p>
    <w:p>
      <w:pPr>
        <w:spacing w:after="0" w:line="232" w:lineRule="auto"/>
        <w:rPr>
          <w:sz w:val="20"/>
          <w:szCs w:val="20"/>
          <w:color w:val="auto"/>
        </w:rPr>
      </w:pPr>
      <w:r>
        <w:rPr>
          <w:rFonts w:ascii="Times New Roman" w:cs="Times New Roman" w:eastAsia="Times New Roman" w:hAnsi="Times New Roman"/>
          <w:sz w:val="14"/>
          <w:szCs w:val="14"/>
          <w:color w:val="auto"/>
        </w:rPr>
        <w:t>Leasehold improvements are amortized using the straight-line</w:t>
      </w:r>
    </w:p>
    <w:p>
      <w:pPr>
        <w:spacing w:after="0" w:line="233" w:lineRule="auto"/>
        <w:rPr>
          <w:sz w:val="20"/>
          <w:szCs w:val="20"/>
          <w:color w:val="auto"/>
        </w:rPr>
      </w:pPr>
      <w:r>
        <w:rPr>
          <w:rFonts w:ascii="Times New Roman" w:cs="Times New Roman" w:eastAsia="Times New Roman" w:hAnsi="Times New Roman"/>
          <w:sz w:val="14"/>
          <w:szCs w:val="14"/>
          <w:color w:val="auto"/>
        </w:rPr>
        <w:t>method over the shorter of their estimated useful lives or the</w:t>
      </w:r>
    </w:p>
    <w:p>
      <w:pPr>
        <w:spacing w:after="0" w:line="203" w:lineRule="auto"/>
        <w:rPr>
          <w:sz w:val="20"/>
          <w:szCs w:val="20"/>
          <w:color w:val="auto"/>
        </w:rPr>
      </w:pPr>
      <w:r>
        <w:rPr>
          <w:rFonts w:ascii="Times New Roman" w:cs="Times New Roman" w:eastAsia="Times New Roman" w:hAnsi="Times New Roman"/>
          <w:sz w:val="16"/>
          <w:szCs w:val="16"/>
          <w:color w:val="auto"/>
        </w:rPr>
        <w:t>remaining term of the related lease.</w:t>
      </w:r>
    </w:p>
    <w:p>
      <w:pPr>
        <w:spacing w:after="0" w:line="204" w:lineRule="auto"/>
        <w:rPr>
          <w:sz w:val="20"/>
          <w:szCs w:val="20"/>
          <w:color w:val="auto"/>
        </w:rPr>
      </w:pPr>
      <w:r>
        <w:rPr>
          <w:rFonts w:ascii="Times New Roman" w:cs="Times New Roman" w:eastAsia="Times New Roman" w:hAnsi="Times New Roman"/>
          <w:sz w:val="16"/>
          <w:szCs w:val="16"/>
          <w:color w:val="auto"/>
        </w:rPr>
        <w:t>We develop systems solutions for both internal and external</w:t>
      </w:r>
    </w:p>
    <w:p>
      <w:pPr>
        <w:spacing w:after="0" w:line="203" w:lineRule="auto"/>
        <w:rPr>
          <w:sz w:val="20"/>
          <w:szCs w:val="20"/>
          <w:color w:val="auto"/>
        </w:rPr>
      </w:pPr>
      <w:r>
        <w:rPr>
          <w:rFonts w:ascii="Times New Roman" w:cs="Times New Roman" w:eastAsia="Times New Roman" w:hAnsi="Times New Roman"/>
          <w:sz w:val="16"/>
          <w:szCs w:val="16"/>
          <w:color w:val="auto"/>
        </w:rPr>
        <w:t>use. Certain costs incurred in connection with developing or</w:t>
      </w:r>
    </w:p>
    <w:p>
      <w:pPr>
        <w:spacing w:after="0" w:line="204" w:lineRule="auto"/>
        <w:rPr>
          <w:sz w:val="20"/>
          <w:szCs w:val="20"/>
          <w:color w:val="auto"/>
        </w:rPr>
      </w:pPr>
      <w:r>
        <w:rPr>
          <w:rFonts w:ascii="Times New Roman" w:cs="Times New Roman" w:eastAsia="Times New Roman" w:hAnsi="Times New Roman"/>
          <w:sz w:val="16"/>
          <w:szCs w:val="16"/>
          <w:color w:val="auto"/>
        </w:rPr>
        <w:t>obtaining internal use software are capitalized. In addition,</w:t>
      </w:r>
    </w:p>
    <w:p>
      <w:pPr>
        <w:spacing w:after="0" w:line="203" w:lineRule="auto"/>
        <w:rPr>
          <w:sz w:val="20"/>
          <w:szCs w:val="20"/>
          <w:color w:val="auto"/>
        </w:rPr>
      </w:pPr>
      <w:r>
        <w:rPr>
          <w:rFonts w:ascii="Times New Roman" w:cs="Times New Roman" w:eastAsia="Times New Roman" w:hAnsi="Times New Roman"/>
          <w:sz w:val="16"/>
          <w:szCs w:val="16"/>
          <w:color w:val="auto"/>
        </w:rPr>
        <w:t>certain costs of computer software to be sold, leased, or</w:t>
      </w:r>
    </w:p>
    <w:p>
      <w:pPr>
        <w:spacing w:after="0" w:line="204" w:lineRule="auto"/>
        <w:rPr>
          <w:sz w:val="20"/>
          <w:szCs w:val="20"/>
          <w:color w:val="auto"/>
        </w:rPr>
      </w:pPr>
      <w:r>
        <w:rPr>
          <w:rFonts w:ascii="Times New Roman" w:cs="Times New Roman" w:eastAsia="Times New Roman" w:hAnsi="Times New Roman"/>
          <w:sz w:val="16"/>
          <w:szCs w:val="16"/>
          <w:color w:val="auto"/>
        </w:rPr>
        <w:t>otherwise marketed as a separate product or as part of a</w:t>
      </w:r>
    </w:p>
    <w:p>
      <w:pPr>
        <w:spacing w:after="0" w:line="204" w:lineRule="auto"/>
        <w:rPr>
          <w:sz w:val="20"/>
          <w:szCs w:val="20"/>
          <w:color w:val="auto"/>
        </w:rPr>
      </w:pPr>
      <w:r>
        <w:rPr>
          <w:rFonts w:ascii="Times New Roman" w:cs="Times New Roman" w:eastAsia="Times New Roman" w:hAnsi="Times New Roman"/>
          <w:sz w:val="16"/>
          <w:szCs w:val="16"/>
          <w:color w:val="auto"/>
        </w:rPr>
        <w:t>product or process are capitalized beginning when a</w:t>
      </w:r>
    </w:p>
    <w:p>
      <w:pPr>
        <w:spacing w:after="0" w:line="203" w:lineRule="auto"/>
        <w:rPr>
          <w:sz w:val="20"/>
          <w:szCs w:val="20"/>
          <w:color w:val="auto"/>
        </w:rPr>
      </w:pPr>
      <w:r>
        <w:rPr>
          <w:rFonts w:ascii="Times New Roman" w:cs="Times New Roman" w:eastAsia="Times New Roman" w:hAnsi="Times New Roman"/>
          <w:sz w:val="16"/>
          <w:szCs w:val="16"/>
          <w:color w:val="auto"/>
        </w:rPr>
        <w:t>product’s technological feasibility has been established and</w:t>
      </w:r>
    </w:p>
    <w:p>
      <w:pPr>
        <w:spacing w:after="0" w:line="204" w:lineRule="auto"/>
        <w:rPr>
          <w:sz w:val="20"/>
          <w:szCs w:val="20"/>
          <w:color w:val="auto"/>
        </w:rPr>
      </w:pPr>
      <w:r>
        <w:rPr>
          <w:rFonts w:ascii="Times New Roman" w:cs="Times New Roman" w:eastAsia="Times New Roman" w:hAnsi="Times New Roman"/>
          <w:sz w:val="16"/>
          <w:szCs w:val="16"/>
          <w:color w:val="auto"/>
        </w:rPr>
        <w:t>ending when a product is available for general release.</w:t>
      </w:r>
    </w:p>
    <w:p>
      <w:pPr>
        <w:spacing w:after="0" w:line="232" w:lineRule="auto"/>
        <w:rPr>
          <w:sz w:val="20"/>
          <w:szCs w:val="20"/>
          <w:color w:val="auto"/>
        </w:rPr>
      </w:pPr>
      <w:r>
        <w:rPr>
          <w:rFonts w:ascii="Times New Roman" w:cs="Times New Roman" w:eastAsia="Times New Roman" w:hAnsi="Times New Roman"/>
          <w:sz w:val="14"/>
          <w:szCs w:val="14"/>
          <w:color w:val="auto"/>
        </w:rPr>
        <w:t>Technological feasibility is established upon completion of a</w:t>
      </w:r>
    </w:p>
    <w:p>
      <w:pPr>
        <w:spacing w:after="0" w:line="204" w:lineRule="auto"/>
        <w:rPr>
          <w:sz w:val="20"/>
          <w:szCs w:val="20"/>
          <w:color w:val="auto"/>
        </w:rPr>
      </w:pPr>
      <w:r>
        <w:rPr>
          <w:rFonts w:ascii="Times New Roman" w:cs="Times New Roman" w:eastAsia="Times New Roman" w:hAnsi="Times New Roman"/>
          <w:sz w:val="16"/>
          <w:szCs w:val="16"/>
          <w:color w:val="auto"/>
        </w:rPr>
        <w:t>detailed program design or, in its absence, completion of a</w:t>
      </w:r>
    </w:p>
    <w:p>
      <w:pPr>
        <w:spacing w:after="0" w:line="232" w:lineRule="auto"/>
        <w:rPr>
          <w:sz w:val="20"/>
          <w:szCs w:val="20"/>
          <w:color w:val="auto"/>
        </w:rPr>
      </w:pPr>
      <w:r>
        <w:rPr>
          <w:rFonts w:ascii="Times New Roman" w:cs="Times New Roman" w:eastAsia="Times New Roman" w:hAnsi="Times New Roman"/>
          <w:sz w:val="14"/>
          <w:szCs w:val="14"/>
          <w:color w:val="auto"/>
        </w:rPr>
        <w:t>working model. Prior to reaching technological feasibility, all</w:t>
      </w:r>
    </w:p>
    <w:p>
      <w:pPr>
        <w:spacing w:after="0" w:line="204" w:lineRule="auto"/>
        <w:rPr>
          <w:sz w:val="20"/>
          <w:szCs w:val="20"/>
          <w:color w:val="auto"/>
        </w:rPr>
      </w:pPr>
      <w:r>
        <w:rPr>
          <w:rFonts w:ascii="Times New Roman" w:cs="Times New Roman" w:eastAsia="Times New Roman" w:hAnsi="Times New Roman"/>
          <w:sz w:val="16"/>
          <w:szCs w:val="16"/>
          <w:color w:val="auto"/>
        </w:rPr>
        <w:t>costs are charged to expense. Unamortized capitalized costs</w:t>
      </w:r>
    </w:p>
    <w:p>
      <w:pPr>
        <w:spacing w:after="0" w:line="203" w:lineRule="auto"/>
        <w:rPr>
          <w:sz w:val="20"/>
          <w:szCs w:val="20"/>
          <w:color w:val="auto"/>
        </w:rPr>
      </w:pPr>
      <w:r>
        <w:rPr>
          <w:rFonts w:ascii="Times New Roman" w:cs="Times New Roman" w:eastAsia="Times New Roman" w:hAnsi="Times New Roman"/>
          <w:sz w:val="16"/>
          <w:szCs w:val="16"/>
          <w:color w:val="auto"/>
        </w:rPr>
        <w:t>are included in data processing equipment and software,</w:t>
      </w:r>
    </w:p>
    <w:p>
      <w:pPr>
        <w:spacing w:after="0" w:line="204" w:lineRule="auto"/>
        <w:rPr>
          <w:sz w:val="20"/>
          <w:szCs w:val="20"/>
          <w:color w:val="auto"/>
        </w:rPr>
      </w:pPr>
      <w:r>
        <w:rPr>
          <w:rFonts w:ascii="Times New Roman" w:cs="Times New Roman" w:eastAsia="Times New Roman" w:hAnsi="Times New Roman"/>
          <w:sz w:val="16"/>
          <w:szCs w:val="16"/>
          <w:color w:val="auto"/>
        </w:rPr>
        <w:t>within property and equipment, net in the Consolidated</w:t>
      </w:r>
    </w:p>
    <w:p>
      <w:pPr>
        <w:spacing w:after="0" w:line="233" w:lineRule="auto"/>
        <w:rPr>
          <w:sz w:val="20"/>
          <w:szCs w:val="20"/>
          <w:color w:val="auto"/>
        </w:rPr>
      </w:pPr>
      <w:r>
        <w:rPr>
          <w:rFonts w:ascii="Times New Roman" w:cs="Times New Roman" w:eastAsia="Times New Roman" w:hAnsi="Times New Roman"/>
          <w:sz w:val="14"/>
          <w:szCs w:val="14"/>
          <w:color w:val="auto"/>
        </w:rPr>
        <w:t>Balance Sheets. Capitalized software costs are amortized on a</w:t>
      </w:r>
    </w:p>
    <w:p>
      <w:pPr>
        <w:spacing w:after="0" w:line="203" w:lineRule="auto"/>
        <w:rPr>
          <w:sz w:val="20"/>
          <w:szCs w:val="20"/>
          <w:color w:val="auto"/>
        </w:rPr>
      </w:pPr>
      <w:r>
        <w:rPr>
          <w:rFonts w:ascii="Times New Roman" w:cs="Times New Roman" w:eastAsia="Times New Roman" w:hAnsi="Times New Roman"/>
          <w:sz w:val="16"/>
          <w:szCs w:val="16"/>
          <w:color w:val="auto"/>
        </w:rPr>
        <w:t>straight-line basis over the estimated useful lives of the</w:t>
      </w:r>
    </w:p>
    <w:p>
      <w:pPr>
        <w:spacing w:after="0" w:line="233" w:lineRule="auto"/>
        <w:rPr>
          <w:sz w:val="20"/>
          <w:szCs w:val="20"/>
          <w:color w:val="auto"/>
        </w:rPr>
      </w:pPr>
      <w:r>
        <w:rPr>
          <w:rFonts w:ascii="Times New Roman" w:cs="Times New Roman" w:eastAsia="Times New Roman" w:hAnsi="Times New Roman"/>
          <w:sz w:val="14"/>
          <w:szCs w:val="14"/>
          <w:color w:val="auto"/>
        </w:rPr>
        <w:t>software, generally 5 to 10 years. Amortization of these costs</w:t>
      </w:r>
    </w:p>
    <w:p>
      <w:pPr>
        <w:spacing w:after="0" w:line="203" w:lineRule="auto"/>
        <w:rPr>
          <w:sz w:val="20"/>
          <w:szCs w:val="20"/>
          <w:color w:val="auto"/>
        </w:rPr>
      </w:pPr>
      <w:r>
        <w:rPr>
          <w:rFonts w:ascii="Times New Roman" w:cs="Times New Roman" w:eastAsia="Times New Roman" w:hAnsi="Times New Roman"/>
          <w:sz w:val="16"/>
          <w:szCs w:val="16"/>
          <w:color w:val="auto"/>
        </w:rPr>
        <w:t>is included in depreciation and amortization expense in the</w:t>
      </w:r>
    </w:p>
    <w:p>
      <w:pPr>
        <w:spacing w:after="0" w:line="204" w:lineRule="auto"/>
        <w:rPr>
          <w:sz w:val="20"/>
          <w:szCs w:val="20"/>
          <w:color w:val="auto"/>
        </w:rPr>
      </w:pPr>
      <w:r>
        <w:rPr>
          <w:rFonts w:ascii="Times New Roman" w:cs="Times New Roman" w:eastAsia="Times New Roman" w:hAnsi="Times New Roman"/>
          <w:sz w:val="16"/>
          <w:szCs w:val="16"/>
          <w:color w:val="auto"/>
        </w:rPr>
        <w:t>Consolidated Statements of Income.</w:t>
      </w:r>
    </w:p>
    <w:p>
      <w:pPr>
        <w:spacing w:after="0" w:line="204" w:lineRule="auto"/>
        <w:rPr>
          <w:sz w:val="20"/>
          <w:szCs w:val="20"/>
          <w:color w:val="auto"/>
        </w:rPr>
      </w:pPr>
      <w:r>
        <w:rPr>
          <w:rFonts w:ascii="Times New Roman" w:cs="Times New Roman" w:eastAsia="Times New Roman" w:hAnsi="Times New Roman"/>
          <w:sz w:val="16"/>
          <w:szCs w:val="16"/>
          <w:color w:val="auto"/>
        </w:rPr>
        <w:t>Implementation costs incurred in a cloud computing</w:t>
      </w:r>
    </w:p>
    <w:p>
      <w:pPr>
        <w:spacing w:after="0" w:line="203" w:lineRule="auto"/>
        <w:rPr>
          <w:sz w:val="20"/>
          <w:szCs w:val="20"/>
          <w:color w:val="auto"/>
        </w:rPr>
      </w:pPr>
      <w:r>
        <w:rPr>
          <w:rFonts w:ascii="Times New Roman" w:cs="Times New Roman" w:eastAsia="Times New Roman" w:hAnsi="Times New Roman"/>
          <w:sz w:val="16"/>
          <w:szCs w:val="16"/>
          <w:color w:val="auto"/>
        </w:rPr>
        <w:t>arrangement that is a service contract are capitalized as a</w:t>
      </w:r>
    </w:p>
    <w:p>
      <w:pPr>
        <w:spacing w:after="0" w:line="233" w:lineRule="auto"/>
        <w:rPr>
          <w:sz w:val="20"/>
          <w:szCs w:val="20"/>
          <w:color w:val="auto"/>
        </w:rPr>
      </w:pPr>
      <w:r>
        <w:rPr>
          <w:rFonts w:ascii="Times New Roman" w:cs="Times New Roman" w:eastAsia="Times New Roman" w:hAnsi="Times New Roman"/>
          <w:sz w:val="14"/>
          <w:szCs w:val="14"/>
          <w:color w:val="auto"/>
        </w:rPr>
        <w:t>prepaid asset, primarily included in other current assets in the</w:t>
      </w:r>
    </w:p>
    <w:p>
      <w:pPr>
        <w:spacing w:after="0" w:line="203" w:lineRule="auto"/>
        <w:rPr>
          <w:sz w:val="20"/>
          <w:szCs w:val="20"/>
          <w:color w:val="auto"/>
        </w:rPr>
      </w:pPr>
      <w:r>
        <w:rPr>
          <w:rFonts w:ascii="Times New Roman" w:cs="Times New Roman" w:eastAsia="Times New Roman" w:hAnsi="Times New Roman"/>
          <w:sz w:val="16"/>
          <w:szCs w:val="16"/>
          <w:color w:val="auto"/>
        </w:rPr>
        <w:t>Consolidated Balance Sheets, and are amortized over the</w:t>
      </w:r>
    </w:p>
    <w:p>
      <w:pPr>
        <w:spacing w:after="0" w:line="204" w:lineRule="auto"/>
        <w:rPr>
          <w:sz w:val="20"/>
          <w:szCs w:val="20"/>
          <w:color w:val="auto"/>
        </w:rPr>
      </w:pPr>
      <w:r>
        <w:rPr>
          <w:rFonts w:ascii="Times New Roman" w:cs="Times New Roman" w:eastAsia="Times New Roman" w:hAnsi="Times New Roman"/>
          <w:sz w:val="16"/>
          <w:szCs w:val="16"/>
          <w:color w:val="auto"/>
        </w:rPr>
        <w:t>expected service period in the relevant expense category in</w:t>
      </w:r>
    </w:p>
    <w:p>
      <w:pPr>
        <w:spacing w:after="0" w:line="203" w:lineRule="auto"/>
        <w:rPr>
          <w:sz w:val="20"/>
          <w:szCs w:val="20"/>
          <w:color w:val="auto"/>
        </w:rPr>
      </w:pPr>
      <w:r>
        <w:rPr>
          <w:rFonts w:ascii="Times New Roman" w:cs="Times New Roman" w:eastAsia="Times New Roman" w:hAnsi="Times New Roman"/>
          <w:sz w:val="16"/>
          <w:szCs w:val="16"/>
          <w:color w:val="auto"/>
        </w:rPr>
        <w:t>the Consolidated Statements of Income.</w:t>
      </w:r>
    </w:p>
    <w:p>
      <w:pPr>
        <w:spacing w:after="0" w:line="233" w:lineRule="auto"/>
        <w:rPr>
          <w:sz w:val="20"/>
          <w:szCs w:val="20"/>
          <w:color w:val="auto"/>
        </w:rPr>
      </w:pPr>
      <w:r>
        <w:rPr>
          <w:rFonts w:ascii="Times New Roman" w:cs="Times New Roman" w:eastAsia="Times New Roman" w:hAnsi="Times New Roman"/>
          <w:sz w:val="14"/>
          <w:szCs w:val="14"/>
          <w:color w:val="auto"/>
        </w:rPr>
        <w:t>Property and equipment and costs capitalized related to cloud</w:t>
      </w:r>
    </w:p>
    <w:p>
      <w:pPr>
        <w:spacing w:after="0" w:line="204" w:lineRule="auto"/>
        <w:rPr>
          <w:sz w:val="20"/>
          <w:szCs w:val="20"/>
          <w:color w:val="auto"/>
        </w:rPr>
      </w:pPr>
      <w:r>
        <w:rPr>
          <w:rFonts w:ascii="Times New Roman" w:cs="Times New Roman" w:eastAsia="Times New Roman" w:hAnsi="Times New Roman"/>
          <w:sz w:val="16"/>
          <w:szCs w:val="16"/>
          <w:color w:val="auto"/>
        </w:rPr>
        <w:t>computing arrangements are subject to impairment testing</w:t>
      </w:r>
    </w:p>
    <w:p>
      <w:pPr>
        <w:spacing w:after="0" w:line="203" w:lineRule="auto"/>
        <w:rPr>
          <w:sz w:val="20"/>
          <w:szCs w:val="20"/>
          <w:color w:val="auto"/>
        </w:rPr>
      </w:pPr>
      <w:r>
        <w:rPr>
          <w:rFonts w:ascii="Times New Roman" w:cs="Times New Roman" w:eastAsia="Times New Roman" w:hAnsi="Times New Roman"/>
          <w:sz w:val="16"/>
          <w:szCs w:val="16"/>
          <w:color w:val="auto"/>
        </w:rPr>
        <w:t>when events or conditions indicate that the carrying amount</w:t>
      </w:r>
    </w:p>
    <w:p>
      <w:pPr>
        <w:spacing w:after="0" w:line="233" w:lineRule="auto"/>
        <w:rPr>
          <w:sz w:val="20"/>
          <w:szCs w:val="20"/>
          <w:color w:val="auto"/>
        </w:rPr>
      </w:pPr>
      <w:r>
        <w:rPr>
          <w:rFonts w:ascii="Times New Roman" w:cs="Times New Roman" w:eastAsia="Times New Roman" w:hAnsi="Times New Roman"/>
          <w:sz w:val="14"/>
          <w:szCs w:val="14"/>
          <w:color w:val="auto"/>
        </w:rPr>
        <w:t>of an asset may not be recoverable. For internal use software</w:t>
      </w:r>
    </w:p>
    <w:p>
      <w:pPr>
        <w:spacing w:after="0" w:line="233" w:lineRule="auto"/>
        <w:rPr>
          <w:sz w:val="20"/>
          <w:szCs w:val="20"/>
          <w:color w:val="auto"/>
        </w:rPr>
      </w:pPr>
      <w:r>
        <w:rPr>
          <w:rFonts w:ascii="Times New Roman" w:cs="Times New Roman" w:eastAsia="Times New Roman" w:hAnsi="Times New Roman"/>
          <w:sz w:val="14"/>
          <w:szCs w:val="14"/>
          <w:color w:val="auto"/>
        </w:rPr>
        <w:t>and cloud computing arrangements, an impairment charge is</w:t>
      </w:r>
    </w:p>
    <w:p>
      <w:pPr>
        <w:spacing w:after="0" w:line="232" w:lineRule="auto"/>
        <w:rPr>
          <w:sz w:val="20"/>
          <w:szCs w:val="20"/>
          <w:color w:val="auto"/>
        </w:rPr>
      </w:pPr>
      <w:r>
        <w:rPr>
          <w:rFonts w:ascii="Times New Roman" w:cs="Times New Roman" w:eastAsia="Times New Roman" w:hAnsi="Times New Roman"/>
          <w:sz w:val="14"/>
          <w:szCs w:val="14"/>
          <w:color w:val="auto"/>
        </w:rPr>
        <w:t>recognized when the carrying amount of the software exceeds</w:t>
      </w:r>
    </w:p>
    <w:p>
      <w:pPr>
        <w:spacing w:after="0" w:line="204" w:lineRule="auto"/>
        <w:rPr>
          <w:sz w:val="20"/>
          <w:szCs w:val="20"/>
          <w:color w:val="auto"/>
        </w:rPr>
      </w:pPr>
      <w:r>
        <w:rPr>
          <w:rFonts w:ascii="Times New Roman" w:cs="Times New Roman" w:eastAsia="Times New Roman" w:hAnsi="Times New Roman"/>
          <w:sz w:val="16"/>
          <w:szCs w:val="16"/>
          <w:color w:val="auto"/>
        </w:rPr>
        <w:t>its fair value and is not recoverable. For software to be sold,</w:t>
      </w:r>
    </w:p>
    <w:p>
      <w:pPr>
        <w:spacing w:after="0" w:line="203" w:lineRule="auto"/>
        <w:rPr>
          <w:sz w:val="20"/>
          <w:szCs w:val="20"/>
          <w:color w:val="auto"/>
        </w:rPr>
      </w:pPr>
      <w:r>
        <w:rPr>
          <w:rFonts w:ascii="Times New Roman" w:cs="Times New Roman" w:eastAsia="Times New Roman" w:hAnsi="Times New Roman"/>
          <w:sz w:val="16"/>
          <w:szCs w:val="16"/>
          <w:color w:val="auto"/>
        </w:rPr>
        <w:t>leased, or marketed, the carrying amount of the software is</w:t>
      </w:r>
    </w:p>
    <w:p>
      <w:pPr>
        <w:spacing w:after="0" w:line="204" w:lineRule="auto"/>
        <w:rPr>
          <w:sz w:val="20"/>
          <w:szCs w:val="20"/>
          <w:color w:val="auto"/>
        </w:rPr>
      </w:pPr>
      <w:r>
        <w:rPr>
          <w:rFonts w:ascii="Times New Roman" w:cs="Times New Roman" w:eastAsia="Times New Roman" w:hAnsi="Times New Roman"/>
          <w:sz w:val="16"/>
          <w:szCs w:val="16"/>
          <w:color w:val="auto"/>
        </w:rPr>
        <w:t>compared to its net realizable value, which represents the</w:t>
      </w:r>
    </w:p>
    <w:p>
      <w:pPr>
        <w:spacing w:after="0" w:line="232" w:lineRule="auto"/>
        <w:rPr>
          <w:sz w:val="20"/>
          <w:szCs w:val="20"/>
          <w:color w:val="auto"/>
        </w:rPr>
      </w:pPr>
      <w:r>
        <w:rPr>
          <w:rFonts w:ascii="Times New Roman" w:cs="Times New Roman" w:eastAsia="Times New Roman" w:hAnsi="Times New Roman"/>
          <w:sz w:val="14"/>
          <w:szCs w:val="14"/>
          <w:color w:val="auto"/>
        </w:rPr>
        <w:t>estimated future gross revenues from that product reduced by</w:t>
      </w:r>
    </w:p>
    <w:p>
      <w:pPr>
        <w:spacing w:after="0" w:line="233" w:lineRule="auto"/>
        <w:rPr>
          <w:sz w:val="20"/>
          <w:szCs w:val="20"/>
          <w:color w:val="auto"/>
        </w:rPr>
      </w:pPr>
      <w:r>
        <w:rPr>
          <w:rFonts w:ascii="Times New Roman" w:cs="Times New Roman" w:eastAsia="Times New Roman" w:hAnsi="Times New Roman"/>
          <w:sz w:val="14"/>
          <w:szCs w:val="14"/>
          <w:color w:val="auto"/>
        </w:rPr>
        <w:t>the estimated future costs of completing and disposing of that</w:t>
      </w:r>
    </w:p>
    <w:p>
      <w:pPr>
        <w:spacing w:after="0" w:line="204" w:lineRule="auto"/>
        <w:rPr>
          <w:sz w:val="20"/>
          <w:szCs w:val="20"/>
          <w:color w:val="auto"/>
        </w:rPr>
      </w:pPr>
      <w:r>
        <w:rPr>
          <w:rFonts w:ascii="Times New Roman" w:cs="Times New Roman" w:eastAsia="Times New Roman" w:hAnsi="Times New Roman"/>
          <w:sz w:val="16"/>
          <w:szCs w:val="16"/>
          <w:color w:val="auto"/>
        </w:rPr>
        <w:t>product. The amount by which the carrying amount exceeds</w:t>
      </w:r>
    </w:p>
    <w:p>
      <w:pPr>
        <w:spacing w:after="0" w:line="203" w:lineRule="auto"/>
        <w:rPr>
          <w:sz w:val="20"/>
          <w:szCs w:val="20"/>
          <w:color w:val="auto"/>
        </w:rPr>
      </w:pPr>
      <w:r>
        <w:rPr>
          <w:rFonts w:ascii="Times New Roman" w:cs="Times New Roman" w:eastAsia="Times New Roman" w:hAnsi="Times New Roman"/>
          <w:sz w:val="16"/>
          <w:szCs w:val="16"/>
          <w:color w:val="auto"/>
        </w:rPr>
        <w:t>the net realizable value shall be written off. Any required</w:t>
      </w:r>
    </w:p>
    <w:p>
      <w:pPr>
        <w:spacing w:after="0" w:line="204" w:lineRule="auto"/>
        <w:rPr>
          <w:sz w:val="20"/>
          <w:szCs w:val="20"/>
          <w:color w:val="auto"/>
        </w:rPr>
      </w:pPr>
      <w:r>
        <w:rPr>
          <w:rFonts w:ascii="Times New Roman" w:cs="Times New Roman" w:eastAsia="Times New Roman" w:hAnsi="Times New Roman"/>
          <w:sz w:val="16"/>
          <w:szCs w:val="16"/>
          <w:color w:val="auto"/>
        </w:rPr>
        <w:t>impairment loss is recorded as a reduction in the carrying</w:t>
      </w:r>
    </w:p>
    <w:p>
      <w:pPr>
        <w:spacing w:after="0" w:line="232" w:lineRule="auto"/>
        <w:rPr>
          <w:sz w:val="20"/>
          <w:szCs w:val="20"/>
          <w:color w:val="auto"/>
        </w:rPr>
      </w:pPr>
      <w:r>
        <w:rPr>
          <w:rFonts w:ascii="Times New Roman" w:cs="Times New Roman" w:eastAsia="Times New Roman" w:hAnsi="Times New Roman"/>
          <w:sz w:val="14"/>
          <w:szCs w:val="14"/>
          <w:color w:val="auto"/>
        </w:rPr>
        <w:t>amount of the related asset and a charge to operating results.</w:t>
      </w:r>
    </w:p>
    <w:p>
      <w:pPr>
        <w:spacing w:after="0" w:line="204" w:lineRule="auto"/>
        <w:rPr>
          <w:sz w:val="20"/>
          <w:szCs w:val="20"/>
          <w:color w:val="auto"/>
        </w:rPr>
      </w:pPr>
      <w:r>
        <w:rPr>
          <w:rFonts w:ascii="Times New Roman" w:cs="Times New Roman" w:eastAsia="Times New Roman" w:hAnsi="Times New Roman"/>
          <w:sz w:val="16"/>
          <w:szCs w:val="16"/>
          <w:color w:val="auto"/>
        </w:rPr>
        <w:t>See Note 7, “Property and Equipment, net,” for further</w:t>
      </w:r>
    </w:p>
    <w:p>
      <w:pPr>
        <w:spacing w:after="0" w:line="203" w:lineRule="auto"/>
        <w:rPr>
          <w:sz w:val="20"/>
          <w:szCs w:val="20"/>
          <w:color w:val="auto"/>
        </w:rPr>
      </w:pPr>
      <w:r>
        <w:rPr>
          <w:rFonts w:ascii="Times New Roman" w:cs="Times New Roman" w:eastAsia="Times New Roman" w:hAnsi="Times New Roman"/>
          <w:sz w:val="16"/>
          <w:szCs w:val="16"/>
          <w:color w:val="auto"/>
        </w:rPr>
        <w:t>discussion.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Leases</w:t>
      </w:r>
    </w:p>
    <w:p>
      <w:pPr>
        <w:spacing w:after="0" w:line="203" w:lineRule="auto"/>
        <w:rPr>
          <w:sz w:val="20"/>
          <w:szCs w:val="20"/>
          <w:color w:val="auto"/>
        </w:rPr>
      </w:pPr>
      <w:r>
        <w:rPr>
          <w:rFonts w:ascii="Times New Roman" w:cs="Times New Roman" w:eastAsia="Times New Roman" w:hAnsi="Times New Roman"/>
          <w:sz w:val="16"/>
          <w:szCs w:val="16"/>
          <w:color w:val="auto"/>
        </w:rPr>
        <w:t>At inception, we determine whether a contract is or contains</w:t>
      </w:r>
    </w:p>
    <w:p>
      <w:pPr>
        <w:spacing w:after="0" w:line="204" w:lineRule="auto"/>
        <w:rPr>
          <w:sz w:val="20"/>
          <w:szCs w:val="20"/>
          <w:color w:val="auto"/>
        </w:rPr>
      </w:pPr>
      <w:r>
        <w:rPr>
          <w:rFonts w:ascii="Times New Roman" w:cs="Times New Roman" w:eastAsia="Times New Roman" w:hAnsi="Times New Roman"/>
          <w:sz w:val="16"/>
          <w:szCs w:val="16"/>
          <w:color w:val="auto"/>
        </w:rPr>
        <w:t>a lease. W</w:t>
      </w:r>
      <w:r>
        <w:rPr>
          <w:rFonts w:ascii="Times New Roman" w:cs="Times New Roman" w:eastAsia="Times New Roman" w:hAnsi="Times New Roman"/>
          <w:sz w:val="16"/>
          <w:szCs w:val="16"/>
          <w:color w:val="111111"/>
        </w:rPr>
        <w:t>e have operating leases which include real estate</w:t>
      </w:r>
    </w:p>
    <w:p>
      <w:pPr>
        <w:spacing w:after="0" w:line="233" w:lineRule="auto"/>
        <w:rPr>
          <w:sz w:val="20"/>
          <w:szCs w:val="20"/>
          <w:color w:val="auto"/>
        </w:rPr>
      </w:pPr>
      <w:r>
        <w:rPr>
          <w:rFonts w:ascii="Times New Roman" w:cs="Times New Roman" w:eastAsia="Times New Roman" w:hAnsi="Times New Roman"/>
          <w:sz w:val="14"/>
          <w:szCs w:val="14"/>
          <w:color w:val="111111"/>
        </w:rPr>
        <w:t>leases, primarily for our U.S. and European headquarters and</w:t>
      </w:r>
    </w:p>
    <w:p>
      <w:pPr>
        <w:spacing w:after="0" w:line="203" w:lineRule="auto"/>
        <w:rPr>
          <w:sz w:val="20"/>
          <w:szCs w:val="20"/>
          <w:color w:val="auto"/>
        </w:rPr>
      </w:pPr>
      <w:r>
        <w:rPr>
          <w:rFonts w:ascii="Times New Roman" w:cs="Times New Roman" w:eastAsia="Times New Roman" w:hAnsi="Times New Roman"/>
          <w:sz w:val="16"/>
          <w:szCs w:val="16"/>
          <w:color w:val="111111"/>
        </w:rPr>
        <w:t xml:space="preserve">for general office space, and data center leases. </w:t>
      </w:r>
      <w:r>
        <w:rPr>
          <w:rFonts w:ascii="Times New Roman" w:cs="Times New Roman" w:eastAsia="Times New Roman" w:hAnsi="Times New Roman"/>
          <w:sz w:val="16"/>
          <w:szCs w:val="16"/>
          <w:color w:val="000000"/>
        </w:rPr>
        <w:t>As of</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t</w:t>
      </w:r>
      <w:r>
        <w:rPr>
          <w:rFonts w:ascii="Times New Roman" w:cs="Times New Roman" w:eastAsia="Times New Roman" w:hAnsi="Times New Roman"/>
          <w:sz w:val="16"/>
          <w:szCs w:val="16"/>
          <w:color w:val="111111"/>
        </w:rPr>
        <w:t>hese leases have varying lease terms</w:t>
      </w:r>
    </w:p>
    <w:p>
      <w:pPr>
        <w:spacing w:after="0" w:line="203" w:lineRule="auto"/>
        <w:rPr>
          <w:sz w:val="20"/>
          <w:szCs w:val="20"/>
          <w:color w:val="auto"/>
        </w:rPr>
      </w:pPr>
      <w:r>
        <w:rPr>
          <w:rFonts w:ascii="Times New Roman" w:cs="Times New Roman" w:eastAsia="Times New Roman" w:hAnsi="Times New Roman"/>
          <w:sz w:val="16"/>
          <w:szCs w:val="16"/>
          <w:color w:val="111111"/>
        </w:rPr>
        <w:t>with remaining maturities ranging up to 12 years. Operating</w:t>
      </w:r>
    </w:p>
    <w:p>
      <w:pPr>
        <w:spacing w:after="0" w:line="204" w:lineRule="auto"/>
        <w:rPr>
          <w:sz w:val="20"/>
          <w:szCs w:val="20"/>
          <w:color w:val="auto"/>
        </w:rPr>
      </w:pPr>
      <w:r>
        <w:rPr>
          <w:rFonts w:ascii="Times New Roman" w:cs="Times New Roman" w:eastAsia="Times New Roman" w:hAnsi="Times New Roman"/>
          <w:sz w:val="16"/>
          <w:szCs w:val="16"/>
          <w:color w:val="111111"/>
        </w:rPr>
        <w:t>lease balances are included in operating lease assets, other</w:t>
      </w:r>
    </w:p>
    <w:p>
      <w:pPr>
        <w:spacing w:after="0" w:line="203" w:lineRule="auto"/>
        <w:rPr>
          <w:sz w:val="20"/>
          <w:szCs w:val="20"/>
          <w:color w:val="auto"/>
        </w:rPr>
      </w:pPr>
      <w:r>
        <w:rPr>
          <w:rFonts w:ascii="Times New Roman" w:cs="Times New Roman" w:eastAsia="Times New Roman" w:hAnsi="Times New Roman"/>
          <w:sz w:val="16"/>
          <w:szCs w:val="16"/>
          <w:color w:val="111111"/>
        </w:rPr>
        <w:t>current liabilities, and operating lease liabilities in the</w:t>
      </w:r>
    </w:p>
    <w:p>
      <w:pPr>
        <w:spacing w:after="0" w:line="204" w:lineRule="auto"/>
        <w:rPr>
          <w:sz w:val="20"/>
          <w:szCs w:val="20"/>
          <w:color w:val="auto"/>
        </w:rPr>
      </w:pPr>
      <w:r>
        <w:rPr>
          <w:rFonts w:ascii="Times New Roman" w:cs="Times New Roman" w:eastAsia="Times New Roman" w:hAnsi="Times New Roman"/>
          <w:sz w:val="16"/>
          <w:szCs w:val="16"/>
          <w:color w:val="111111"/>
        </w:rPr>
        <w:t>Consolidated Balance Sheets. We do not have any leases</w:t>
      </w:r>
    </w:p>
    <w:p>
      <w:pPr>
        <w:spacing w:after="0" w:line="204" w:lineRule="auto"/>
        <w:rPr>
          <w:sz w:val="20"/>
          <w:szCs w:val="20"/>
          <w:color w:val="auto"/>
        </w:rPr>
      </w:pPr>
      <w:r>
        <w:rPr>
          <w:rFonts w:ascii="Times New Roman" w:cs="Times New Roman" w:eastAsia="Times New Roman" w:hAnsi="Times New Roman"/>
          <w:sz w:val="16"/>
          <w:szCs w:val="16"/>
          <w:color w:val="111111"/>
        </w:rPr>
        <w:t>classified as finance leases.</w:t>
      </w:r>
    </w:p>
    <w:p>
      <w:pPr>
        <w:spacing w:after="0" w:line="203" w:lineRule="auto"/>
        <w:rPr>
          <w:sz w:val="20"/>
          <w:szCs w:val="20"/>
          <w:color w:val="auto"/>
        </w:rPr>
      </w:pPr>
      <w:r>
        <w:rPr>
          <w:rFonts w:ascii="Times New Roman" w:cs="Times New Roman" w:eastAsia="Times New Roman" w:hAnsi="Times New Roman"/>
          <w:sz w:val="16"/>
          <w:szCs w:val="16"/>
          <w:color w:val="111111"/>
        </w:rPr>
        <w:t>Operating lease assets represent our right to use an</w:t>
      </w:r>
    </w:p>
    <w:p>
      <w:pPr>
        <w:spacing w:after="0" w:line="204" w:lineRule="auto"/>
        <w:rPr>
          <w:sz w:val="20"/>
          <w:szCs w:val="20"/>
          <w:color w:val="auto"/>
        </w:rPr>
      </w:pPr>
      <w:r>
        <w:rPr>
          <w:rFonts w:ascii="Times New Roman" w:cs="Times New Roman" w:eastAsia="Times New Roman" w:hAnsi="Times New Roman"/>
          <w:sz w:val="16"/>
          <w:szCs w:val="16"/>
          <w:color w:val="111111"/>
        </w:rPr>
        <w:t>underlying asset for the lease term and lease liabilities</w:t>
      </w:r>
    </w:p>
    <w:p>
      <w:pPr>
        <w:spacing w:after="0" w:line="232" w:lineRule="auto"/>
        <w:rPr>
          <w:sz w:val="20"/>
          <w:szCs w:val="20"/>
          <w:color w:val="auto"/>
        </w:rPr>
      </w:pPr>
      <w:r>
        <w:rPr>
          <w:rFonts w:ascii="Times New Roman" w:cs="Times New Roman" w:eastAsia="Times New Roman" w:hAnsi="Times New Roman"/>
          <w:sz w:val="14"/>
          <w:szCs w:val="14"/>
          <w:color w:val="111111"/>
        </w:rPr>
        <w:t>represent our obligation to make lease payments arising from</w:t>
      </w:r>
    </w:p>
    <w:p>
      <w:pPr>
        <w:spacing w:after="0" w:line="233" w:lineRule="auto"/>
        <w:rPr>
          <w:sz w:val="20"/>
          <w:szCs w:val="20"/>
          <w:color w:val="auto"/>
        </w:rPr>
      </w:pPr>
      <w:r>
        <w:rPr>
          <w:rFonts w:ascii="Times New Roman" w:cs="Times New Roman" w:eastAsia="Times New Roman" w:hAnsi="Times New Roman"/>
          <w:sz w:val="14"/>
          <w:szCs w:val="14"/>
          <w:color w:val="111111"/>
        </w:rPr>
        <w:t>the lease. Operating lease assets and liabilities are recognized</w:t>
      </w:r>
    </w:p>
    <w:p>
      <w:pPr>
        <w:spacing w:after="0" w:line="203" w:lineRule="auto"/>
        <w:rPr>
          <w:sz w:val="20"/>
          <w:szCs w:val="20"/>
          <w:color w:val="auto"/>
        </w:rPr>
      </w:pPr>
      <w:r>
        <w:rPr>
          <w:rFonts w:ascii="Times New Roman" w:cs="Times New Roman" w:eastAsia="Times New Roman" w:hAnsi="Times New Roman"/>
          <w:sz w:val="16"/>
          <w:szCs w:val="16"/>
          <w:color w:val="111111"/>
        </w:rPr>
        <w:t>at commencement date based on the present value of lease</w:t>
      </w:r>
    </w:p>
    <w:p>
      <w:pPr>
        <w:spacing w:after="0" w:line="233" w:lineRule="auto"/>
        <w:rPr>
          <w:sz w:val="20"/>
          <w:szCs w:val="20"/>
          <w:color w:val="auto"/>
        </w:rPr>
      </w:pPr>
      <w:r>
        <w:rPr>
          <w:rFonts w:ascii="Times New Roman" w:cs="Times New Roman" w:eastAsia="Times New Roman" w:hAnsi="Times New Roman"/>
          <w:sz w:val="14"/>
          <w:szCs w:val="14"/>
          <w:color w:val="111111"/>
        </w:rPr>
        <w:t>payments over the lease term. Since our leases do not provide</w:t>
      </w:r>
    </w:p>
    <w:p>
      <w:pPr>
        <w:spacing w:after="0" w:line="233" w:lineRule="auto"/>
        <w:rPr>
          <w:sz w:val="20"/>
          <w:szCs w:val="20"/>
          <w:color w:val="auto"/>
        </w:rPr>
      </w:pPr>
      <w:r>
        <w:rPr>
          <w:rFonts w:ascii="Times New Roman" w:cs="Times New Roman" w:eastAsia="Times New Roman" w:hAnsi="Times New Roman"/>
          <w:sz w:val="14"/>
          <w:szCs w:val="14"/>
          <w:color w:val="111111"/>
        </w:rPr>
        <w:t>an implicit rate, we use our incremental borrowing rate based</w:t>
      </w:r>
    </w:p>
    <w:p>
      <w:pPr>
        <w:spacing w:after="0" w:line="203" w:lineRule="auto"/>
        <w:rPr>
          <w:sz w:val="20"/>
          <w:szCs w:val="20"/>
          <w:color w:val="auto"/>
        </w:rPr>
      </w:pPr>
      <w:r>
        <w:rPr>
          <w:rFonts w:ascii="Times New Roman" w:cs="Times New Roman" w:eastAsia="Times New Roman" w:hAnsi="Times New Roman"/>
          <w:sz w:val="16"/>
          <w:szCs w:val="16"/>
          <w:color w:val="111111"/>
        </w:rPr>
        <w:t>on the estimated rate of interest for collateralized borrowing</w:t>
      </w:r>
    </w:p>
    <w:p>
      <w:pPr>
        <w:spacing w:after="0" w:line="204" w:lineRule="auto"/>
        <w:rPr>
          <w:sz w:val="20"/>
          <w:szCs w:val="20"/>
          <w:color w:val="auto"/>
        </w:rPr>
      </w:pPr>
      <w:r>
        <w:rPr>
          <w:rFonts w:ascii="Times New Roman" w:cs="Times New Roman" w:eastAsia="Times New Roman" w:hAnsi="Times New Roman"/>
          <w:sz w:val="16"/>
          <w:szCs w:val="16"/>
          <w:color w:val="111111"/>
        </w:rPr>
        <w:t>over a similar term of the lease payments at commencement</w:t>
      </w:r>
    </w:p>
    <w:p>
      <w:pPr>
        <w:spacing w:after="0" w:line="233" w:lineRule="auto"/>
        <w:rPr>
          <w:sz w:val="20"/>
          <w:szCs w:val="20"/>
          <w:color w:val="auto"/>
        </w:rPr>
      </w:pPr>
      <w:r>
        <w:rPr>
          <w:rFonts w:ascii="Times New Roman" w:cs="Times New Roman" w:eastAsia="Times New Roman" w:hAnsi="Times New Roman"/>
          <w:sz w:val="14"/>
          <w:szCs w:val="14"/>
          <w:color w:val="111111"/>
        </w:rPr>
        <w:t>date in determining the present value of lease payments. The</w:t>
      </w:r>
    </w:p>
    <w:p>
      <w:pPr>
        <w:spacing w:after="0" w:line="203" w:lineRule="auto"/>
        <w:rPr>
          <w:sz w:val="20"/>
          <w:szCs w:val="20"/>
          <w:color w:val="auto"/>
        </w:rPr>
      </w:pPr>
      <w:r>
        <w:rPr>
          <w:rFonts w:ascii="Times New Roman" w:cs="Times New Roman" w:eastAsia="Times New Roman" w:hAnsi="Times New Roman"/>
          <w:sz w:val="16"/>
          <w:szCs w:val="16"/>
          <w:color w:val="111111"/>
        </w:rPr>
        <w:t>operating lease asset also includes any lease payments made</w:t>
      </w:r>
    </w:p>
    <w:p>
      <w:pPr>
        <w:spacing w:after="0" w:line="204" w:lineRule="auto"/>
        <w:rPr>
          <w:sz w:val="20"/>
          <w:szCs w:val="20"/>
          <w:color w:val="auto"/>
        </w:rPr>
      </w:pPr>
      <w:r>
        <w:rPr>
          <w:rFonts w:ascii="Times New Roman" w:cs="Times New Roman" w:eastAsia="Times New Roman" w:hAnsi="Times New Roman"/>
          <w:sz w:val="16"/>
          <w:szCs w:val="16"/>
          <w:color w:val="111111"/>
        </w:rPr>
        <w:t>and excludes lease incentives. Our lease terms include</w:t>
      </w:r>
    </w:p>
    <w:p>
      <w:pPr>
        <w:spacing w:after="0" w:line="203" w:lineRule="auto"/>
        <w:rPr>
          <w:sz w:val="20"/>
          <w:szCs w:val="20"/>
          <w:color w:val="auto"/>
        </w:rPr>
      </w:pPr>
      <w:r>
        <w:rPr>
          <w:rFonts w:ascii="Times New Roman" w:cs="Times New Roman" w:eastAsia="Times New Roman" w:hAnsi="Times New Roman"/>
          <w:sz w:val="16"/>
          <w:szCs w:val="16"/>
          <w:color w:val="111111"/>
        </w:rPr>
        <w:t>options to extend or terminate the lease when we are</w:t>
      </w:r>
    </w:p>
    <w:p>
      <w:pPr>
        <w:spacing w:after="0" w:line="204" w:lineRule="auto"/>
        <w:rPr>
          <w:sz w:val="20"/>
          <w:szCs w:val="20"/>
          <w:color w:val="auto"/>
        </w:rPr>
      </w:pPr>
      <w:r>
        <w:rPr>
          <w:rFonts w:ascii="Times New Roman" w:cs="Times New Roman" w:eastAsia="Times New Roman" w:hAnsi="Times New Roman"/>
          <w:sz w:val="16"/>
          <w:szCs w:val="16"/>
          <w:color w:val="111111"/>
        </w:rPr>
        <w:t>reasonably certain that we will exercise that option. Lease</w:t>
      </w:r>
    </w:p>
    <w:p>
      <w:pPr>
        <w:spacing w:after="0" w:line="203" w:lineRule="auto"/>
        <w:rPr>
          <w:sz w:val="20"/>
          <w:szCs w:val="20"/>
          <w:color w:val="auto"/>
        </w:rPr>
      </w:pPr>
      <w:r>
        <w:rPr>
          <w:rFonts w:ascii="Times New Roman" w:cs="Times New Roman" w:eastAsia="Times New Roman" w:hAnsi="Times New Roman"/>
          <w:sz w:val="16"/>
          <w:szCs w:val="16"/>
          <w:color w:val="111111"/>
        </w:rPr>
        <w:t>expense for lease payments is recognized on a straight-line</w:t>
      </w:r>
    </w:p>
    <w:p>
      <w:pPr>
        <w:spacing w:after="0" w:line="204" w:lineRule="auto"/>
        <w:rPr>
          <w:sz w:val="20"/>
          <w:szCs w:val="20"/>
          <w:color w:val="auto"/>
        </w:rPr>
      </w:pPr>
      <w:r>
        <w:rPr>
          <w:rFonts w:ascii="Times New Roman" w:cs="Times New Roman" w:eastAsia="Times New Roman" w:hAnsi="Times New Roman"/>
          <w:sz w:val="16"/>
          <w:szCs w:val="16"/>
          <w:color w:val="111111"/>
        </w:rPr>
        <w:t>basis over the lease term. Certain of our lease agreements</w:t>
      </w:r>
    </w:p>
    <w:p>
      <w:pPr>
        <w:spacing w:after="0" w:line="203" w:lineRule="auto"/>
        <w:rPr>
          <w:sz w:val="20"/>
          <w:szCs w:val="20"/>
          <w:color w:val="auto"/>
        </w:rPr>
      </w:pPr>
      <w:r>
        <w:rPr>
          <w:rFonts w:ascii="Times New Roman" w:cs="Times New Roman" w:eastAsia="Times New Roman" w:hAnsi="Times New Roman"/>
          <w:sz w:val="16"/>
          <w:szCs w:val="16"/>
          <w:color w:val="111111"/>
        </w:rPr>
        <w:t>include rental payments adjusted periodically for inflation</w:t>
      </w:r>
    </w:p>
    <w:p>
      <w:pPr>
        <w:spacing w:after="0" w:line="233" w:lineRule="auto"/>
        <w:rPr>
          <w:sz w:val="20"/>
          <w:szCs w:val="20"/>
          <w:color w:val="auto"/>
        </w:rPr>
      </w:pPr>
      <w:r>
        <w:rPr>
          <w:rFonts w:ascii="Times New Roman" w:cs="Times New Roman" w:eastAsia="Times New Roman" w:hAnsi="Times New Roman"/>
          <w:sz w:val="14"/>
          <w:szCs w:val="14"/>
          <w:color w:val="111111"/>
        </w:rPr>
        <w:t>based on an index or rate, which are considered variable lease</w:t>
      </w:r>
    </w:p>
    <w:p>
      <w:pPr>
        <w:spacing w:after="0" w:line="204" w:lineRule="auto"/>
        <w:rPr>
          <w:sz w:val="20"/>
          <w:szCs w:val="20"/>
          <w:color w:val="auto"/>
        </w:rPr>
      </w:pPr>
      <w:r>
        <w:rPr>
          <w:rFonts w:ascii="Times New Roman" w:cs="Times New Roman" w:eastAsia="Times New Roman" w:hAnsi="Times New Roman"/>
          <w:sz w:val="16"/>
          <w:szCs w:val="16"/>
          <w:color w:val="111111"/>
        </w:rPr>
        <w:t>payments and are expensed as incurred.</w:t>
      </w:r>
    </w:p>
    <w:p>
      <w:pPr>
        <w:spacing w:after="0" w:line="203" w:lineRule="auto"/>
        <w:rPr>
          <w:sz w:val="20"/>
          <w:szCs w:val="20"/>
          <w:color w:val="auto"/>
        </w:rPr>
      </w:pPr>
      <w:r>
        <w:rPr>
          <w:rFonts w:ascii="Times New Roman" w:cs="Times New Roman" w:eastAsia="Times New Roman" w:hAnsi="Times New Roman"/>
          <w:sz w:val="16"/>
          <w:szCs w:val="16"/>
          <w:color w:val="111111"/>
        </w:rPr>
        <w:t>We have lease agreements with lease and non-lease</w:t>
      </w:r>
    </w:p>
    <w:p>
      <w:pPr>
        <w:spacing w:after="0" w:line="233" w:lineRule="auto"/>
        <w:rPr>
          <w:sz w:val="20"/>
          <w:szCs w:val="20"/>
          <w:color w:val="auto"/>
        </w:rPr>
      </w:pPr>
      <w:r>
        <w:rPr>
          <w:rFonts w:ascii="Times New Roman" w:cs="Times New Roman" w:eastAsia="Times New Roman" w:hAnsi="Times New Roman"/>
          <w:sz w:val="14"/>
          <w:szCs w:val="14"/>
          <w:color w:val="111111"/>
        </w:rPr>
        <w:t>components, which are accounted for as a single performance</w:t>
      </w:r>
    </w:p>
    <w:p>
      <w:pPr>
        <w:spacing w:after="0" w:line="233" w:lineRule="auto"/>
        <w:rPr>
          <w:sz w:val="20"/>
          <w:szCs w:val="20"/>
          <w:color w:val="auto"/>
        </w:rPr>
      </w:pPr>
      <w:r>
        <w:rPr>
          <w:rFonts w:ascii="Times New Roman" w:cs="Times New Roman" w:eastAsia="Times New Roman" w:hAnsi="Times New Roman"/>
          <w:sz w:val="14"/>
          <w:szCs w:val="14"/>
          <w:color w:val="111111"/>
        </w:rPr>
        <w:t xml:space="preserve">obligation </w:t>
      </w:r>
      <w:r>
        <w:rPr>
          <w:rFonts w:ascii="Times New Roman" w:cs="Times New Roman" w:eastAsia="Times New Roman" w:hAnsi="Times New Roman"/>
          <w:sz w:val="14"/>
          <w:szCs w:val="14"/>
          <w:color w:val="000000"/>
        </w:rPr>
        <w:t>to the extent that the timing and pattern of transfer</w:t>
      </w:r>
    </w:p>
    <w:p>
      <w:pPr>
        <w:spacing w:after="0" w:line="203" w:lineRule="auto"/>
        <w:rPr>
          <w:sz w:val="20"/>
          <w:szCs w:val="20"/>
          <w:color w:val="auto"/>
        </w:rPr>
      </w:pPr>
      <w:r>
        <w:rPr>
          <w:rFonts w:ascii="Times New Roman" w:cs="Times New Roman" w:eastAsia="Times New Roman" w:hAnsi="Times New Roman"/>
          <w:sz w:val="16"/>
          <w:szCs w:val="16"/>
          <w:color w:val="auto"/>
        </w:rPr>
        <w:t>are similar for the lease and non-lease components and the</w:t>
      </w:r>
    </w:p>
    <w:p>
      <w:pPr>
        <w:spacing w:after="0"/>
        <w:rPr>
          <w:sz w:val="20"/>
          <w:szCs w:val="20"/>
          <w:color w:val="auto"/>
        </w:rPr>
      </w:pPr>
      <w:r>
        <w:rPr>
          <w:rFonts w:ascii="Times New Roman" w:cs="Times New Roman" w:eastAsia="Times New Roman" w:hAnsi="Times New Roman"/>
          <w:sz w:val="16"/>
          <w:szCs w:val="16"/>
          <w:color w:val="auto"/>
        </w:rPr>
        <w:t>lease component qualifies as an operating lease</w:t>
      </w:r>
      <w:r>
        <w:rPr>
          <w:rFonts w:ascii="Times New Roman" w:cs="Times New Roman" w:eastAsia="Times New Roman" w:hAnsi="Times New Roman"/>
          <w:sz w:val="16"/>
          <w:szCs w:val="16"/>
          <w:color w:val="111111"/>
        </w:rPr>
        <w:t>. We do not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F-14</w:t>
      </w:r>
    </w:p>
    <w:p>
      <w:pPr>
        <w:spacing w:after="0" w:line="203" w:lineRule="auto"/>
        <w:rPr>
          <w:sz w:val="20"/>
          <w:szCs w:val="20"/>
          <w:color w:val="auto"/>
        </w:rPr>
      </w:pPr>
      <w:r>
        <w:rPr>
          <w:rFonts w:ascii="Times New Roman" w:cs="Times New Roman" w:eastAsia="Times New Roman" w:hAnsi="Times New Roman"/>
          <w:sz w:val="16"/>
          <w:szCs w:val="16"/>
          <w:color w:val="auto"/>
        </w:rPr>
        <w:t>when a specific right or contract is acquired. Goodwill and</w:t>
      </w:r>
    </w:p>
    <w:p>
      <w:pPr>
        <w:spacing w:after="0" w:line="204" w:lineRule="auto"/>
        <w:rPr>
          <w:sz w:val="20"/>
          <w:szCs w:val="20"/>
          <w:color w:val="auto"/>
        </w:rPr>
      </w:pPr>
      <w:r>
        <w:rPr>
          <w:rFonts w:ascii="Times New Roman" w:cs="Times New Roman" w:eastAsia="Times New Roman" w:hAnsi="Times New Roman"/>
          <w:sz w:val="16"/>
          <w:szCs w:val="16"/>
          <w:color w:val="auto"/>
        </w:rPr>
        <w:t>intangible assets deemed to have indefinite useful lives,</w:t>
      </w:r>
    </w:p>
    <w:p>
      <w:pPr>
        <w:spacing w:after="0" w:line="203" w:lineRule="auto"/>
        <w:rPr>
          <w:sz w:val="20"/>
          <w:szCs w:val="20"/>
          <w:color w:val="auto"/>
        </w:rPr>
      </w:pPr>
      <w:r>
        <w:rPr>
          <w:rFonts w:ascii="Times New Roman" w:cs="Times New Roman" w:eastAsia="Times New Roman" w:hAnsi="Times New Roman"/>
          <w:sz w:val="16"/>
          <w:szCs w:val="16"/>
          <w:color w:val="auto"/>
        </w:rPr>
        <w:t>primarily exchange and clearing registrations, are not</w:t>
      </w:r>
    </w:p>
    <w:p>
      <w:pPr>
        <w:spacing w:after="0" w:line="204" w:lineRule="auto"/>
        <w:rPr>
          <w:sz w:val="20"/>
          <w:szCs w:val="20"/>
          <w:color w:val="auto"/>
        </w:rPr>
      </w:pPr>
      <w:r>
        <w:rPr>
          <w:rFonts w:ascii="Times New Roman" w:cs="Times New Roman" w:eastAsia="Times New Roman" w:hAnsi="Times New Roman"/>
          <w:sz w:val="16"/>
          <w:szCs w:val="16"/>
          <w:color w:val="auto"/>
        </w:rPr>
        <w:t>amortized but instead are tested for impairment at least</w:t>
      </w:r>
    </w:p>
    <w:p>
      <w:pPr>
        <w:spacing w:after="0" w:line="203" w:lineRule="auto"/>
        <w:rPr>
          <w:sz w:val="20"/>
          <w:szCs w:val="20"/>
          <w:color w:val="auto"/>
        </w:rPr>
      </w:pPr>
      <w:r>
        <w:rPr>
          <w:rFonts w:ascii="Times New Roman" w:cs="Times New Roman" w:eastAsia="Times New Roman" w:hAnsi="Times New Roman"/>
          <w:sz w:val="16"/>
          <w:szCs w:val="16"/>
          <w:color w:val="auto"/>
        </w:rPr>
        <w:t>annually as of October 1 and more frequently whenever</w:t>
      </w:r>
    </w:p>
    <w:p>
      <w:pPr>
        <w:spacing w:after="0" w:line="233" w:lineRule="auto"/>
        <w:rPr>
          <w:sz w:val="20"/>
          <w:szCs w:val="20"/>
          <w:color w:val="auto"/>
        </w:rPr>
      </w:pPr>
      <w:r>
        <w:rPr>
          <w:rFonts w:ascii="Times New Roman" w:cs="Times New Roman" w:eastAsia="Times New Roman" w:hAnsi="Times New Roman"/>
          <w:sz w:val="14"/>
          <w:szCs w:val="14"/>
          <w:color w:val="auto"/>
        </w:rPr>
        <w:t>events or changes in circumstances indicate that the fair value</w:t>
      </w:r>
    </w:p>
    <w:p>
      <w:pPr>
        <w:spacing w:after="0" w:line="203" w:lineRule="auto"/>
        <w:rPr>
          <w:sz w:val="20"/>
          <w:szCs w:val="20"/>
          <w:color w:val="auto"/>
        </w:rPr>
      </w:pPr>
      <w:r>
        <w:rPr>
          <w:rFonts w:ascii="Times New Roman" w:cs="Times New Roman" w:eastAsia="Times New Roman" w:hAnsi="Times New Roman"/>
          <w:sz w:val="16"/>
          <w:szCs w:val="16"/>
          <w:color w:val="auto"/>
        </w:rPr>
        <w:t>of the asset may be less than its carrying amount, such as</w:t>
      </w:r>
    </w:p>
    <w:p>
      <w:pPr>
        <w:spacing w:after="0" w:line="233" w:lineRule="auto"/>
        <w:rPr>
          <w:sz w:val="20"/>
          <w:szCs w:val="20"/>
          <w:color w:val="auto"/>
        </w:rPr>
      </w:pPr>
      <w:r>
        <w:rPr>
          <w:rFonts w:ascii="Times New Roman" w:cs="Times New Roman" w:eastAsia="Times New Roman" w:hAnsi="Times New Roman"/>
          <w:sz w:val="14"/>
          <w:szCs w:val="14"/>
          <w:color w:val="auto"/>
        </w:rPr>
        <w:t>changes in the business climate, poor indicators of operating</w:t>
      </w:r>
    </w:p>
    <w:p>
      <w:pPr>
        <w:spacing w:after="0" w:line="233" w:lineRule="auto"/>
        <w:rPr>
          <w:sz w:val="20"/>
          <w:szCs w:val="20"/>
          <w:color w:val="auto"/>
        </w:rPr>
      </w:pPr>
      <w:r>
        <w:rPr>
          <w:rFonts w:ascii="Times New Roman" w:cs="Times New Roman" w:eastAsia="Times New Roman" w:hAnsi="Times New Roman"/>
          <w:sz w:val="14"/>
          <w:szCs w:val="14"/>
          <w:color w:val="auto"/>
        </w:rPr>
        <w:t>performance or the sale or disposition of a significant portion</w:t>
      </w:r>
    </w:p>
    <w:p>
      <w:pPr>
        <w:spacing w:after="0" w:line="233" w:lineRule="auto"/>
        <w:rPr>
          <w:sz w:val="20"/>
          <w:szCs w:val="20"/>
          <w:color w:val="auto"/>
        </w:rPr>
      </w:pPr>
      <w:r>
        <w:rPr>
          <w:rFonts w:ascii="Times New Roman" w:cs="Times New Roman" w:eastAsia="Times New Roman" w:hAnsi="Times New Roman"/>
          <w:sz w:val="14"/>
          <w:szCs w:val="14"/>
          <w:color w:val="auto"/>
        </w:rPr>
        <w:t>of a reporting unit. We perform our goodwill impairment test</w:t>
      </w:r>
    </w:p>
    <w:p>
      <w:pPr>
        <w:spacing w:after="0" w:line="203" w:lineRule="auto"/>
        <w:rPr>
          <w:sz w:val="20"/>
          <w:szCs w:val="20"/>
          <w:color w:val="auto"/>
        </w:rPr>
      </w:pPr>
      <w:r>
        <w:rPr>
          <w:rFonts w:ascii="Times New Roman" w:cs="Times New Roman" w:eastAsia="Times New Roman" w:hAnsi="Times New Roman"/>
          <w:sz w:val="16"/>
          <w:szCs w:val="16"/>
          <w:color w:val="auto"/>
        </w:rPr>
        <w:t>at the reporting unit level for our three reporting units:</w:t>
      </w:r>
    </w:p>
    <w:p>
      <w:pPr>
        <w:spacing w:after="0" w:line="233" w:lineRule="auto"/>
        <w:rPr>
          <w:sz w:val="20"/>
          <w:szCs w:val="20"/>
          <w:color w:val="auto"/>
        </w:rPr>
      </w:pPr>
      <w:r>
        <w:rPr>
          <w:rFonts w:ascii="Times New Roman" w:cs="Times New Roman" w:eastAsia="Times New Roman" w:hAnsi="Times New Roman"/>
          <w:sz w:val="14"/>
          <w:szCs w:val="14"/>
          <w:color w:val="auto"/>
        </w:rPr>
        <w:t>Capital Access Platforms, Financial Technology and Market</w:t>
      </w:r>
    </w:p>
    <w:p>
      <w:pPr>
        <w:spacing w:after="0" w:line="203" w:lineRule="auto"/>
        <w:rPr>
          <w:sz w:val="20"/>
          <w:szCs w:val="20"/>
          <w:color w:val="auto"/>
        </w:rPr>
      </w:pPr>
      <w:r>
        <w:rPr>
          <w:rFonts w:ascii="Times New Roman" w:cs="Times New Roman" w:eastAsia="Times New Roman" w:hAnsi="Times New Roman"/>
          <w:sz w:val="16"/>
          <w:szCs w:val="16"/>
          <w:color w:val="auto"/>
        </w:rPr>
        <w:t>Services segments. When testing goodwill and indefinite-</w:t>
      </w:r>
    </w:p>
    <w:p>
      <w:pPr>
        <w:spacing w:after="0" w:line="233" w:lineRule="auto"/>
        <w:rPr>
          <w:sz w:val="20"/>
          <w:szCs w:val="20"/>
          <w:color w:val="auto"/>
        </w:rPr>
      </w:pPr>
      <w:r>
        <w:rPr>
          <w:rFonts w:ascii="Times New Roman" w:cs="Times New Roman" w:eastAsia="Times New Roman" w:hAnsi="Times New Roman"/>
          <w:sz w:val="14"/>
          <w:szCs w:val="14"/>
          <w:color w:val="auto"/>
        </w:rPr>
        <w:t>lived intangible assets for impairment, we have the option of</w:t>
      </w:r>
    </w:p>
    <w:p>
      <w:pPr>
        <w:spacing w:after="0" w:line="204" w:lineRule="auto"/>
        <w:rPr>
          <w:sz w:val="20"/>
          <w:szCs w:val="20"/>
          <w:color w:val="auto"/>
        </w:rPr>
      </w:pPr>
      <w:r>
        <w:rPr>
          <w:rFonts w:ascii="Times New Roman" w:cs="Times New Roman" w:eastAsia="Times New Roman" w:hAnsi="Times New Roman"/>
          <w:sz w:val="16"/>
          <w:szCs w:val="16"/>
          <w:color w:val="auto"/>
        </w:rPr>
        <w:t>first performing a qualitative assessment to determine</w:t>
      </w:r>
    </w:p>
    <w:p>
      <w:pPr>
        <w:spacing w:after="0" w:line="203" w:lineRule="auto"/>
        <w:rPr>
          <w:sz w:val="20"/>
          <w:szCs w:val="20"/>
          <w:color w:val="auto"/>
        </w:rPr>
      </w:pPr>
      <w:r>
        <w:rPr>
          <w:rFonts w:ascii="Times New Roman" w:cs="Times New Roman" w:eastAsia="Times New Roman" w:hAnsi="Times New Roman"/>
          <w:sz w:val="16"/>
          <w:szCs w:val="16"/>
          <w:color w:val="auto"/>
        </w:rPr>
        <w:t>whether it is more likely than not that the fair value of a</w:t>
      </w:r>
    </w:p>
    <w:p>
      <w:pPr>
        <w:spacing w:after="0"/>
        <w:rPr>
          <w:sz w:val="20"/>
          <w:szCs w:val="20"/>
          <w:color w:val="auto"/>
        </w:rPr>
      </w:pPr>
      <w:r>
        <w:rPr>
          <w:rFonts w:ascii="Times New Roman" w:cs="Times New Roman" w:eastAsia="Times New Roman" w:hAnsi="Times New Roman"/>
          <w:sz w:val="16"/>
          <w:szCs w:val="16"/>
          <w:color w:val="auto"/>
        </w:rPr>
        <w:t>reporting unit or indefinite-lived intangible asset is less than</w:t>
      </w:r>
    </w:p>
    <w:p>
      <w:pPr>
        <w:sectPr>
          <w:pgSz w:w="11900" w:h="16840" w:orient="portrait"/>
          <w:cols w:equalWidth="0" w:num="1">
            <w:col w:w="9400"/>
          </w:cols>
          <w:pgMar w:left="1060" w:top="547" w:right="1440" w:bottom="68"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their respective carrying amounts as the basis to determine if</w:t>
      </w:r>
    </w:p>
    <w:p>
      <w:pPr>
        <w:spacing w:after="0" w:line="220" w:lineRule="auto"/>
        <w:rPr>
          <w:sz w:val="20"/>
          <w:szCs w:val="20"/>
          <w:color w:val="auto"/>
        </w:rPr>
      </w:pPr>
      <w:r>
        <w:rPr>
          <w:rFonts w:ascii="Times New Roman" w:cs="Times New Roman" w:eastAsia="Times New Roman" w:hAnsi="Times New Roman"/>
          <w:sz w:val="16"/>
          <w:szCs w:val="16"/>
          <w:color w:val="auto"/>
        </w:rPr>
        <w:t>it is necessary to perform a quantitative impairment test. If</w:t>
      </w:r>
    </w:p>
    <w:p>
      <w:pPr>
        <w:spacing w:after="0" w:line="233" w:lineRule="auto"/>
        <w:rPr>
          <w:sz w:val="20"/>
          <w:szCs w:val="20"/>
          <w:color w:val="auto"/>
        </w:rPr>
      </w:pPr>
      <w:r>
        <w:rPr>
          <w:rFonts w:ascii="Times New Roman" w:cs="Times New Roman" w:eastAsia="Times New Roman" w:hAnsi="Times New Roman"/>
          <w:sz w:val="14"/>
          <w:szCs w:val="14"/>
          <w:color w:val="auto"/>
        </w:rPr>
        <w:t>we choose not to complete a qualitative assessment, or if the</w:t>
      </w:r>
    </w:p>
    <w:p>
      <w:pPr>
        <w:spacing w:after="0" w:line="232" w:lineRule="auto"/>
        <w:rPr>
          <w:sz w:val="20"/>
          <w:szCs w:val="20"/>
          <w:color w:val="auto"/>
        </w:rPr>
      </w:pPr>
      <w:r>
        <w:rPr>
          <w:rFonts w:ascii="Times New Roman" w:cs="Times New Roman" w:eastAsia="Times New Roman" w:hAnsi="Times New Roman"/>
          <w:sz w:val="14"/>
          <w:szCs w:val="14"/>
          <w:color w:val="auto"/>
        </w:rPr>
        <w:t>initial assessment indicates that it is more likely than not that</w:t>
      </w:r>
    </w:p>
    <w:p>
      <w:pPr>
        <w:spacing w:after="0" w:line="204" w:lineRule="auto"/>
        <w:rPr>
          <w:sz w:val="20"/>
          <w:szCs w:val="20"/>
          <w:color w:val="auto"/>
        </w:rPr>
      </w:pPr>
      <w:r>
        <w:rPr>
          <w:rFonts w:ascii="Times New Roman" w:cs="Times New Roman" w:eastAsia="Times New Roman" w:hAnsi="Times New Roman"/>
          <w:sz w:val="16"/>
          <w:szCs w:val="16"/>
          <w:color w:val="auto"/>
        </w:rPr>
        <w:t>the carrying amount of a reporting unit or the carrying</w:t>
      </w:r>
    </w:p>
    <w:p>
      <w:pPr>
        <w:spacing w:after="0" w:line="203" w:lineRule="auto"/>
        <w:rPr>
          <w:sz w:val="20"/>
          <w:szCs w:val="20"/>
          <w:color w:val="auto"/>
        </w:rPr>
      </w:pPr>
      <w:r>
        <w:rPr>
          <w:rFonts w:ascii="Times New Roman" w:cs="Times New Roman" w:eastAsia="Times New Roman" w:hAnsi="Times New Roman"/>
          <w:sz w:val="16"/>
          <w:szCs w:val="16"/>
          <w:color w:val="auto"/>
        </w:rPr>
        <w:t>amount of an indefinite-lived intangible asset exceeds their</w:t>
      </w:r>
    </w:p>
    <w:p>
      <w:pPr>
        <w:spacing w:after="0" w:line="204" w:lineRule="auto"/>
        <w:rPr>
          <w:sz w:val="20"/>
          <w:szCs w:val="20"/>
          <w:color w:val="auto"/>
        </w:rPr>
      </w:pPr>
      <w:r>
        <w:rPr>
          <w:rFonts w:ascii="Times New Roman" w:cs="Times New Roman" w:eastAsia="Times New Roman" w:hAnsi="Times New Roman"/>
          <w:sz w:val="16"/>
          <w:szCs w:val="16"/>
          <w:color w:val="auto"/>
        </w:rPr>
        <w:t>respective estimated fair values, a quantitative test is</w:t>
      </w:r>
    </w:p>
    <w:p>
      <w:pPr>
        <w:spacing w:after="0" w:line="204" w:lineRule="auto"/>
        <w:rPr>
          <w:sz w:val="20"/>
          <w:szCs w:val="20"/>
          <w:color w:val="auto"/>
        </w:rPr>
      </w:pPr>
      <w:r>
        <w:rPr>
          <w:rFonts w:ascii="Times New Roman" w:cs="Times New Roman" w:eastAsia="Times New Roman" w:hAnsi="Times New Roman"/>
          <w:sz w:val="16"/>
          <w:szCs w:val="16"/>
          <w:color w:val="auto"/>
        </w:rPr>
        <w:t>required. Our decision to perform a qualitative impairment</w:t>
      </w:r>
    </w:p>
    <w:p>
      <w:pPr>
        <w:spacing w:after="0" w:line="203" w:lineRule="auto"/>
        <w:rPr>
          <w:sz w:val="20"/>
          <w:szCs w:val="20"/>
          <w:color w:val="auto"/>
        </w:rPr>
      </w:pPr>
      <w:r>
        <w:rPr>
          <w:rFonts w:ascii="Times New Roman" w:cs="Times New Roman" w:eastAsia="Times New Roman" w:hAnsi="Times New Roman"/>
          <w:sz w:val="16"/>
          <w:szCs w:val="16"/>
          <w:color w:val="auto"/>
        </w:rPr>
        <w:t>assessment in a given year is influenced by a number of</w:t>
      </w:r>
    </w:p>
    <w:p>
      <w:pPr>
        <w:spacing w:after="0" w:line="233" w:lineRule="auto"/>
        <w:rPr>
          <w:sz w:val="20"/>
          <w:szCs w:val="20"/>
          <w:color w:val="auto"/>
        </w:rPr>
      </w:pPr>
      <w:r>
        <w:rPr>
          <w:rFonts w:ascii="Times New Roman" w:cs="Times New Roman" w:eastAsia="Times New Roman" w:hAnsi="Times New Roman"/>
          <w:sz w:val="14"/>
          <w:szCs w:val="14"/>
          <w:color w:val="auto"/>
        </w:rPr>
        <w:t>factors, including but not limited to, the size of the reporting</w:t>
      </w:r>
    </w:p>
    <w:p>
      <w:pPr>
        <w:spacing w:after="0" w:line="203" w:lineRule="auto"/>
        <w:rPr>
          <w:sz w:val="20"/>
          <w:szCs w:val="20"/>
          <w:color w:val="auto"/>
        </w:rPr>
      </w:pPr>
      <w:r>
        <w:rPr>
          <w:rFonts w:ascii="Times New Roman" w:cs="Times New Roman" w:eastAsia="Times New Roman" w:hAnsi="Times New Roman"/>
          <w:sz w:val="16"/>
          <w:szCs w:val="16"/>
          <w:color w:val="auto"/>
        </w:rPr>
        <w:t>unit’s goodwill, the significance of the excess of the</w:t>
      </w:r>
    </w:p>
    <w:p>
      <w:pPr>
        <w:spacing w:after="0" w:line="204" w:lineRule="auto"/>
        <w:rPr>
          <w:sz w:val="20"/>
          <w:szCs w:val="20"/>
          <w:color w:val="auto"/>
        </w:rPr>
      </w:pPr>
      <w:r>
        <w:rPr>
          <w:rFonts w:ascii="Times New Roman" w:cs="Times New Roman" w:eastAsia="Times New Roman" w:hAnsi="Times New Roman"/>
          <w:sz w:val="16"/>
          <w:szCs w:val="16"/>
          <w:color w:val="auto"/>
        </w:rPr>
        <w:t>reporting unit’s estimated fair value or the indefinite-lived</w:t>
      </w:r>
    </w:p>
    <w:p>
      <w:pPr>
        <w:spacing w:after="0" w:line="203" w:lineRule="auto"/>
        <w:rPr>
          <w:sz w:val="20"/>
          <w:szCs w:val="20"/>
          <w:color w:val="auto"/>
        </w:rPr>
      </w:pPr>
      <w:r>
        <w:rPr>
          <w:rFonts w:ascii="Times New Roman" w:cs="Times New Roman" w:eastAsia="Times New Roman" w:hAnsi="Times New Roman"/>
          <w:sz w:val="16"/>
          <w:szCs w:val="16"/>
          <w:color w:val="auto"/>
        </w:rPr>
        <w:t>intangible asset’s fair value over their respective carrying</w:t>
      </w:r>
    </w:p>
    <w:p>
      <w:pPr>
        <w:spacing w:after="0" w:line="204" w:lineRule="auto"/>
        <w:rPr>
          <w:sz w:val="20"/>
          <w:szCs w:val="20"/>
          <w:color w:val="auto"/>
        </w:rPr>
      </w:pPr>
      <w:r>
        <w:rPr>
          <w:rFonts w:ascii="Times New Roman" w:cs="Times New Roman" w:eastAsia="Times New Roman" w:hAnsi="Times New Roman"/>
          <w:sz w:val="16"/>
          <w:szCs w:val="16"/>
          <w:color w:val="auto"/>
        </w:rPr>
        <w:t>amounts at the last quantitative assessment date, and the</w:t>
      </w:r>
    </w:p>
    <w:p>
      <w:pPr>
        <w:spacing w:after="0" w:line="204" w:lineRule="auto"/>
        <w:rPr>
          <w:sz w:val="20"/>
          <w:szCs w:val="20"/>
          <w:color w:val="auto"/>
        </w:rPr>
      </w:pPr>
      <w:r>
        <w:rPr>
          <w:rFonts w:ascii="Times New Roman" w:cs="Times New Roman" w:eastAsia="Times New Roman" w:hAnsi="Times New Roman"/>
          <w:sz w:val="16"/>
          <w:szCs w:val="16"/>
          <w:color w:val="auto"/>
        </w:rPr>
        <w:t>amount of time in between quantitative fair value</w:t>
      </w:r>
    </w:p>
    <w:p>
      <w:pPr>
        <w:spacing w:after="0" w:line="203" w:lineRule="auto"/>
        <w:rPr>
          <w:sz w:val="20"/>
          <w:szCs w:val="20"/>
          <w:color w:val="auto"/>
        </w:rPr>
      </w:pPr>
      <w:r>
        <w:rPr>
          <w:rFonts w:ascii="Times New Roman" w:cs="Times New Roman" w:eastAsia="Times New Roman" w:hAnsi="Times New Roman"/>
          <w:sz w:val="16"/>
          <w:szCs w:val="16"/>
          <w:color w:val="auto"/>
        </w:rPr>
        <w:t>assessments.</w:t>
      </w:r>
    </w:p>
    <w:p>
      <w:pPr>
        <w:spacing w:after="0" w:line="233" w:lineRule="auto"/>
        <w:rPr>
          <w:sz w:val="20"/>
          <w:szCs w:val="20"/>
          <w:color w:val="auto"/>
        </w:rPr>
      </w:pPr>
      <w:r>
        <w:rPr>
          <w:rFonts w:ascii="Times New Roman" w:cs="Times New Roman" w:eastAsia="Times New Roman" w:hAnsi="Times New Roman"/>
          <w:sz w:val="14"/>
          <w:szCs w:val="14"/>
          <w:color w:val="auto"/>
        </w:rPr>
        <w:t>In performing a quantitative impairment test, we compare the</w:t>
      </w:r>
    </w:p>
    <w:p>
      <w:pPr>
        <w:spacing w:after="0" w:line="203" w:lineRule="auto"/>
        <w:rPr>
          <w:sz w:val="20"/>
          <w:szCs w:val="20"/>
          <w:color w:val="auto"/>
        </w:rPr>
      </w:pPr>
      <w:r>
        <w:rPr>
          <w:rFonts w:ascii="Times New Roman" w:cs="Times New Roman" w:eastAsia="Times New Roman" w:hAnsi="Times New Roman"/>
          <w:sz w:val="16"/>
          <w:szCs w:val="16"/>
          <w:color w:val="auto"/>
        </w:rPr>
        <w:t>fair value of each reporting unit and indefinite-lived</w:t>
      </w:r>
    </w:p>
    <w:p>
      <w:pPr>
        <w:spacing w:after="0" w:line="233" w:lineRule="auto"/>
        <w:rPr>
          <w:sz w:val="20"/>
          <w:szCs w:val="20"/>
          <w:color w:val="auto"/>
        </w:rPr>
      </w:pPr>
      <w:r>
        <w:rPr>
          <w:rFonts w:ascii="Times New Roman" w:cs="Times New Roman" w:eastAsia="Times New Roman" w:hAnsi="Times New Roman"/>
          <w:sz w:val="14"/>
          <w:szCs w:val="14"/>
          <w:color w:val="auto"/>
        </w:rPr>
        <w:t>intangible asset with their respective carrying amounts. If the</w:t>
      </w:r>
    </w:p>
    <w:p>
      <w:pPr>
        <w:spacing w:after="0" w:line="233" w:lineRule="auto"/>
        <w:rPr>
          <w:sz w:val="20"/>
          <w:szCs w:val="20"/>
          <w:color w:val="auto"/>
        </w:rPr>
      </w:pPr>
      <w:r>
        <w:rPr>
          <w:rFonts w:ascii="Times New Roman" w:cs="Times New Roman" w:eastAsia="Times New Roman" w:hAnsi="Times New Roman"/>
          <w:sz w:val="14"/>
          <w:szCs w:val="14"/>
          <w:color w:val="auto"/>
        </w:rPr>
        <w:t>carrying amounts of the reporting unit or the indefinite-lived</w:t>
      </w:r>
    </w:p>
    <w:p>
      <w:pPr>
        <w:spacing w:after="0" w:line="203" w:lineRule="auto"/>
        <w:rPr>
          <w:sz w:val="20"/>
          <w:szCs w:val="20"/>
          <w:color w:val="auto"/>
        </w:rPr>
      </w:pPr>
      <w:r>
        <w:rPr>
          <w:rFonts w:ascii="Times New Roman" w:cs="Times New Roman" w:eastAsia="Times New Roman" w:hAnsi="Times New Roman"/>
          <w:sz w:val="16"/>
          <w:szCs w:val="16"/>
          <w:color w:val="auto"/>
        </w:rPr>
        <w:t>intangible asset exceed their respective fair values, an</w:t>
      </w:r>
    </w:p>
    <w:p>
      <w:pPr>
        <w:spacing w:after="0" w:line="204" w:lineRule="auto"/>
        <w:rPr>
          <w:sz w:val="20"/>
          <w:szCs w:val="20"/>
          <w:color w:val="auto"/>
        </w:rPr>
      </w:pPr>
      <w:r>
        <w:rPr>
          <w:rFonts w:ascii="Times New Roman" w:cs="Times New Roman" w:eastAsia="Times New Roman" w:hAnsi="Times New Roman"/>
          <w:sz w:val="16"/>
          <w:szCs w:val="16"/>
          <w:color w:val="auto"/>
        </w:rPr>
        <w:t>impairment charge is recognized in an amount equal to the</w:t>
      </w:r>
    </w:p>
    <w:p>
      <w:pPr>
        <w:spacing w:after="0" w:line="203" w:lineRule="auto"/>
        <w:rPr>
          <w:sz w:val="20"/>
          <w:szCs w:val="20"/>
          <w:color w:val="auto"/>
        </w:rPr>
      </w:pPr>
      <w:r>
        <w:rPr>
          <w:rFonts w:ascii="Times New Roman" w:cs="Times New Roman" w:eastAsia="Times New Roman" w:hAnsi="Times New Roman"/>
          <w:sz w:val="16"/>
          <w:szCs w:val="16"/>
          <w:color w:val="auto"/>
        </w:rPr>
        <w:t>difference, limited to the total amount of goodwill allocated</w:t>
      </w:r>
    </w:p>
    <w:p>
      <w:pPr>
        <w:spacing w:after="0" w:line="204" w:lineRule="auto"/>
        <w:rPr>
          <w:sz w:val="20"/>
          <w:szCs w:val="20"/>
          <w:color w:val="auto"/>
        </w:rPr>
      </w:pPr>
      <w:r>
        <w:rPr>
          <w:rFonts w:ascii="Times New Roman" w:cs="Times New Roman" w:eastAsia="Times New Roman" w:hAnsi="Times New Roman"/>
          <w:sz w:val="16"/>
          <w:szCs w:val="16"/>
          <w:color w:val="auto"/>
        </w:rPr>
        <w:t>to that reporting unit or the total carrying value of the</w:t>
      </w:r>
    </w:p>
    <w:p>
      <w:pPr>
        <w:spacing w:after="0" w:line="203" w:lineRule="auto"/>
        <w:rPr>
          <w:sz w:val="20"/>
          <w:szCs w:val="20"/>
          <w:color w:val="auto"/>
        </w:rPr>
      </w:pPr>
      <w:r>
        <w:rPr>
          <w:rFonts w:ascii="Times New Roman" w:cs="Times New Roman" w:eastAsia="Times New Roman" w:hAnsi="Times New Roman"/>
          <w:sz w:val="16"/>
          <w:szCs w:val="16"/>
          <w:color w:val="auto"/>
        </w:rPr>
        <w:t>indefinite-lived intangible asset.</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Other Long-Lived Assets</w:t>
      </w:r>
    </w:p>
    <w:p>
      <w:pPr>
        <w:spacing w:after="0" w:line="233" w:lineRule="auto"/>
        <w:rPr>
          <w:sz w:val="20"/>
          <w:szCs w:val="20"/>
          <w:color w:val="auto"/>
        </w:rPr>
      </w:pPr>
      <w:r>
        <w:rPr>
          <w:rFonts w:ascii="Times New Roman" w:cs="Times New Roman" w:eastAsia="Times New Roman" w:hAnsi="Times New Roman"/>
          <w:sz w:val="14"/>
          <w:szCs w:val="14"/>
          <w:color w:val="auto"/>
        </w:rPr>
        <w:t>We review our other long-lived assets, including finite-lived</w:t>
      </w:r>
    </w:p>
    <w:p>
      <w:pPr>
        <w:spacing w:after="0" w:line="203" w:lineRule="auto"/>
        <w:rPr>
          <w:sz w:val="20"/>
          <w:szCs w:val="20"/>
          <w:color w:val="auto"/>
        </w:rPr>
      </w:pPr>
      <w:r>
        <w:rPr>
          <w:rFonts w:ascii="Times New Roman" w:cs="Times New Roman" w:eastAsia="Times New Roman" w:hAnsi="Times New Roman"/>
          <w:sz w:val="16"/>
          <w:szCs w:val="16"/>
          <w:color w:val="auto"/>
        </w:rPr>
        <w:t>intangible assets, for potential impairment when there is</w:t>
      </w:r>
    </w:p>
    <w:p>
      <w:pPr>
        <w:spacing w:after="0" w:line="233" w:lineRule="auto"/>
        <w:rPr>
          <w:sz w:val="20"/>
          <w:szCs w:val="20"/>
          <w:color w:val="auto"/>
        </w:rPr>
      </w:pPr>
      <w:r>
        <w:rPr>
          <w:rFonts w:ascii="Times New Roman" w:cs="Times New Roman" w:eastAsia="Times New Roman" w:hAnsi="Times New Roman"/>
          <w:sz w:val="14"/>
          <w:szCs w:val="14"/>
          <w:color w:val="auto"/>
        </w:rPr>
        <w:t>evidence that events or changes in circumstances indicate that</w:t>
      </w:r>
    </w:p>
    <w:p>
      <w:pPr>
        <w:spacing w:after="0" w:line="233" w:lineRule="auto"/>
        <w:rPr>
          <w:sz w:val="20"/>
          <w:szCs w:val="20"/>
          <w:color w:val="auto"/>
        </w:rPr>
      </w:pPr>
      <w:r>
        <w:rPr>
          <w:rFonts w:ascii="Times New Roman" w:cs="Times New Roman" w:eastAsia="Times New Roman" w:hAnsi="Times New Roman"/>
          <w:sz w:val="14"/>
          <w:szCs w:val="14"/>
          <w:color w:val="auto"/>
        </w:rPr>
        <w:t>the carrying amount of an asset may not be recoverable. The</w:t>
      </w:r>
    </w:p>
    <w:p>
      <w:pPr>
        <w:spacing w:after="0" w:line="203" w:lineRule="auto"/>
        <w:rPr>
          <w:sz w:val="20"/>
          <w:szCs w:val="20"/>
          <w:color w:val="auto"/>
        </w:rPr>
      </w:pPr>
      <w:r>
        <w:rPr>
          <w:rFonts w:ascii="Times New Roman" w:cs="Times New Roman" w:eastAsia="Times New Roman" w:hAnsi="Times New Roman"/>
          <w:sz w:val="16"/>
          <w:szCs w:val="16"/>
          <w:color w:val="auto"/>
        </w:rPr>
        <w:t>carrying amount of an asset is not recoverable if it exceeds</w:t>
      </w:r>
    </w:p>
    <w:p>
      <w:pPr>
        <w:spacing w:after="0" w:line="204" w:lineRule="auto"/>
        <w:rPr>
          <w:sz w:val="20"/>
          <w:szCs w:val="20"/>
          <w:color w:val="auto"/>
        </w:rPr>
      </w:pPr>
      <w:r>
        <w:rPr>
          <w:rFonts w:ascii="Times New Roman" w:cs="Times New Roman" w:eastAsia="Times New Roman" w:hAnsi="Times New Roman"/>
          <w:sz w:val="16"/>
          <w:szCs w:val="16"/>
          <w:color w:val="auto"/>
        </w:rPr>
        <w:t>the sum of the undiscounted cash flows expected to result</w:t>
      </w:r>
    </w:p>
    <w:p>
      <w:pPr>
        <w:spacing w:after="0" w:line="203" w:lineRule="auto"/>
        <w:rPr>
          <w:sz w:val="20"/>
          <w:szCs w:val="20"/>
          <w:color w:val="auto"/>
        </w:rPr>
      </w:pPr>
      <w:r>
        <w:rPr>
          <w:rFonts w:ascii="Times New Roman" w:cs="Times New Roman" w:eastAsia="Times New Roman" w:hAnsi="Times New Roman"/>
          <w:sz w:val="16"/>
          <w:szCs w:val="16"/>
          <w:color w:val="auto"/>
        </w:rPr>
        <w:t>from the use and eventual disposition of the asset. If the</w:t>
      </w:r>
    </w:p>
    <w:p>
      <w:pPr>
        <w:spacing w:after="0" w:line="233" w:lineRule="auto"/>
        <w:rPr>
          <w:sz w:val="20"/>
          <w:szCs w:val="20"/>
          <w:color w:val="auto"/>
        </w:rPr>
      </w:pPr>
      <w:r>
        <w:rPr>
          <w:rFonts w:ascii="Times New Roman" w:cs="Times New Roman" w:eastAsia="Times New Roman" w:hAnsi="Times New Roman"/>
          <w:sz w:val="14"/>
          <w:szCs w:val="14"/>
          <w:color w:val="auto"/>
        </w:rPr>
        <w:t>carrying amount of the long-lived asset is not recoverable, we</w:t>
      </w:r>
    </w:p>
    <w:p>
      <w:pPr>
        <w:spacing w:after="0" w:line="203" w:lineRule="auto"/>
        <w:rPr>
          <w:sz w:val="20"/>
          <w:szCs w:val="20"/>
          <w:color w:val="auto"/>
        </w:rPr>
      </w:pPr>
      <w:r>
        <w:rPr>
          <w:rFonts w:ascii="Times New Roman" w:cs="Times New Roman" w:eastAsia="Times New Roman" w:hAnsi="Times New Roman"/>
          <w:sz w:val="16"/>
          <w:szCs w:val="16"/>
          <w:color w:val="auto"/>
        </w:rPr>
        <w:t>would measure the impairment loss as the amount by which</w:t>
      </w:r>
    </w:p>
    <w:p>
      <w:pPr>
        <w:spacing w:after="0" w:line="204" w:lineRule="auto"/>
        <w:rPr>
          <w:sz w:val="20"/>
          <w:szCs w:val="20"/>
          <w:color w:val="auto"/>
        </w:rPr>
      </w:pPr>
      <w:r>
        <w:rPr>
          <w:rFonts w:ascii="Times New Roman" w:cs="Times New Roman" w:eastAsia="Times New Roman" w:hAnsi="Times New Roman"/>
          <w:sz w:val="16"/>
          <w:szCs w:val="16"/>
          <w:color w:val="auto"/>
        </w:rPr>
        <w:t>the carrying amount of the asset exceeds its fair value and is</w:t>
      </w:r>
    </w:p>
    <w:p>
      <w:pPr>
        <w:spacing w:after="0" w:line="233" w:lineRule="auto"/>
        <w:rPr>
          <w:sz w:val="20"/>
          <w:szCs w:val="20"/>
          <w:color w:val="auto"/>
        </w:rPr>
      </w:pPr>
      <w:r>
        <w:rPr>
          <w:rFonts w:ascii="Times New Roman" w:cs="Times New Roman" w:eastAsia="Times New Roman" w:hAnsi="Times New Roman"/>
          <w:sz w:val="14"/>
          <w:szCs w:val="14"/>
          <w:color w:val="auto"/>
        </w:rPr>
        <w:t>recorded as a reduction in the carrying amount of the related</w:t>
      </w:r>
    </w:p>
    <w:p>
      <w:pPr>
        <w:spacing w:after="0" w:line="203" w:lineRule="auto"/>
        <w:rPr>
          <w:sz w:val="20"/>
          <w:szCs w:val="20"/>
          <w:color w:val="auto"/>
        </w:rPr>
      </w:pPr>
      <w:r>
        <w:rPr>
          <w:rFonts w:ascii="Times New Roman" w:cs="Times New Roman" w:eastAsia="Times New Roman" w:hAnsi="Times New Roman"/>
          <w:sz w:val="16"/>
          <w:szCs w:val="16"/>
          <w:color w:val="auto"/>
        </w:rPr>
        <w:t>asset and a charge to operating results. The fair value of</w:t>
      </w:r>
    </w:p>
    <w:p>
      <w:pPr>
        <w:spacing w:after="0" w:line="204" w:lineRule="auto"/>
        <w:rPr>
          <w:sz w:val="20"/>
          <w:szCs w:val="20"/>
          <w:color w:val="auto"/>
        </w:rPr>
      </w:pPr>
      <w:r>
        <w:rPr>
          <w:rFonts w:ascii="Times New Roman" w:cs="Times New Roman" w:eastAsia="Times New Roman" w:hAnsi="Times New Roman"/>
          <w:sz w:val="16"/>
          <w:szCs w:val="16"/>
          <w:color w:val="auto"/>
        </w:rPr>
        <w:t>finite-lived intangible assets is based on various valuation</w:t>
      </w:r>
    </w:p>
    <w:p>
      <w:pPr>
        <w:spacing w:after="0" w:line="203" w:lineRule="auto"/>
        <w:rPr>
          <w:sz w:val="20"/>
          <w:szCs w:val="20"/>
          <w:color w:val="auto"/>
        </w:rPr>
      </w:pPr>
      <w:r>
        <w:rPr>
          <w:rFonts w:ascii="Times New Roman" w:cs="Times New Roman" w:eastAsia="Times New Roman" w:hAnsi="Times New Roman"/>
          <w:sz w:val="16"/>
          <w:szCs w:val="16"/>
          <w:color w:val="auto"/>
        </w:rPr>
        <w:t>techniques, such as discounted cash flow analysis.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Revenue Recognition and Transaction-Based Expenses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Revenue From Contracts With Customers</w:t>
      </w:r>
    </w:p>
    <w:p>
      <w:pPr>
        <w:spacing w:after="0" w:line="204" w:lineRule="auto"/>
        <w:rPr>
          <w:sz w:val="20"/>
          <w:szCs w:val="20"/>
          <w:color w:val="auto"/>
        </w:rPr>
      </w:pPr>
      <w:r>
        <w:rPr>
          <w:rFonts w:ascii="Times New Roman" w:cs="Times New Roman" w:eastAsia="Times New Roman" w:hAnsi="Times New Roman"/>
          <w:sz w:val="16"/>
          <w:szCs w:val="16"/>
          <w:color w:val="auto"/>
        </w:rPr>
        <w:t>Our revenue recognition policies under FASB ASC Topic</w:t>
      </w:r>
    </w:p>
    <w:p>
      <w:pPr>
        <w:spacing w:after="0" w:line="203" w:lineRule="auto"/>
        <w:rPr>
          <w:sz w:val="20"/>
          <w:szCs w:val="20"/>
          <w:color w:val="auto"/>
        </w:rPr>
      </w:pPr>
      <w:r>
        <w:rPr>
          <w:rFonts w:ascii="Times New Roman" w:cs="Times New Roman" w:eastAsia="Times New Roman" w:hAnsi="Times New Roman"/>
          <w:sz w:val="16"/>
          <w:szCs w:val="16"/>
          <w:color w:val="auto"/>
        </w:rPr>
        <w:t>606, “Revenue from Contracts with Customers,” or Topic</w:t>
      </w:r>
    </w:p>
    <w:p>
      <w:pPr>
        <w:spacing w:after="0" w:line="204" w:lineRule="auto"/>
        <w:rPr>
          <w:sz w:val="20"/>
          <w:szCs w:val="20"/>
          <w:color w:val="auto"/>
        </w:rPr>
      </w:pPr>
      <w:r>
        <w:rPr>
          <w:rFonts w:ascii="Times New Roman" w:cs="Times New Roman" w:eastAsia="Times New Roman" w:hAnsi="Times New Roman"/>
          <w:sz w:val="16"/>
          <w:szCs w:val="16"/>
          <w:color w:val="auto"/>
        </w:rPr>
        <w:t>606, are described in the following paragraphs.</w:t>
      </w:r>
    </w:p>
    <w:p>
      <w:pPr>
        <w:spacing w:after="0" w:line="204" w:lineRule="auto"/>
        <w:rPr>
          <w:sz w:val="20"/>
          <w:szCs w:val="20"/>
          <w:color w:val="auto"/>
        </w:rPr>
      </w:pPr>
      <w:r>
        <w:rPr>
          <w:rFonts w:ascii="Times New Roman" w:cs="Times New Roman" w:eastAsia="Times New Roman" w:hAnsi="Times New Roman"/>
          <w:sz w:val="16"/>
          <w:szCs w:val="16"/>
          <w:i w:val="1"/>
          <w:iCs w:val="1"/>
          <w:u w:val="single" w:color="auto"/>
          <w:color w:val="auto"/>
        </w:rPr>
        <w:t>Contract Balances</w:t>
      </w:r>
    </w:p>
    <w:p>
      <w:pPr>
        <w:spacing w:after="0" w:line="203" w:lineRule="auto"/>
        <w:rPr>
          <w:sz w:val="20"/>
          <w:szCs w:val="20"/>
          <w:color w:val="auto"/>
        </w:rPr>
      </w:pPr>
      <w:r>
        <w:rPr>
          <w:rFonts w:ascii="Times New Roman" w:cs="Times New Roman" w:eastAsia="Times New Roman" w:hAnsi="Times New Roman"/>
          <w:sz w:val="16"/>
          <w:szCs w:val="16"/>
          <w:color w:val="auto"/>
        </w:rPr>
        <w:t>Substantially all of our revenues are considered to be</w:t>
      </w:r>
    </w:p>
    <w:p>
      <w:pPr>
        <w:spacing w:after="0" w:line="233" w:lineRule="auto"/>
        <w:rPr>
          <w:sz w:val="20"/>
          <w:szCs w:val="20"/>
          <w:color w:val="auto"/>
        </w:rPr>
      </w:pPr>
      <w:r>
        <w:rPr>
          <w:rFonts w:ascii="Times New Roman" w:cs="Times New Roman" w:eastAsia="Times New Roman" w:hAnsi="Times New Roman"/>
          <w:sz w:val="14"/>
          <w:szCs w:val="14"/>
          <w:color w:val="auto"/>
        </w:rPr>
        <w:t>revenues from contracts with customers. The related accounts</w:t>
      </w:r>
    </w:p>
    <w:p>
      <w:pPr>
        <w:spacing w:after="0" w:line="233" w:lineRule="auto"/>
        <w:rPr>
          <w:sz w:val="20"/>
          <w:szCs w:val="20"/>
          <w:color w:val="auto"/>
        </w:rPr>
      </w:pPr>
      <w:r>
        <w:rPr>
          <w:rFonts w:ascii="Times New Roman" w:cs="Times New Roman" w:eastAsia="Times New Roman" w:hAnsi="Times New Roman"/>
          <w:sz w:val="14"/>
          <w:szCs w:val="14"/>
          <w:color w:val="auto"/>
        </w:rPr>
        <w:t>receivable balances are recorded in the Consolidated Balance</w:t>
      </w:r>
    </w:p>
    <w:p>
      <w:pPr>
        <w:spacing w:after="0" w:line="232" w:lineRule="auto"/>
        <w:rPr>
          <w:sz w:val="20"/>
          <w:szCs w:val="20"/>
          <w:color w:val="auto"/>
        </w:rPr>
      </w:pPr>
      <w:r>
        <w:rPr>
          <w:rFonts w:ascii="Times New Roman" w:cs="Times New Roman" w:eastAsia="Times New Roman" w:hAnsi="Times New Roman"/>
          <w:sz w:val="14"/>
          <w:szCs w:val="14"/>
          <w:color w:val="auto"/>
        </w:rPr>
        <w:t>Sheets as receivables which are net of an allowance for credit</w:t>
      </w:r>
    </w:p>
    <w:p>
      <w:pPr>
        <w:spacing w:after="0" w:line="204" w:lineRule="auto"/>
        <w:rPr>
          <w:sz w:val="20"/>
          <w:szCs w:val="20"/>
          <w:color w:val="auto"/>
        </w:rPr>
      </w:pPr>
      <w:r>
        <w:rPr>
          <w:rFonts w:ascii="Times New Roman" w:cs="Times New Roman" w:eastAsia="Times New Roman" w:hAnsi="Times New Roman"/>
          <w:sz w:val="16"/>
          <w:szCs w:val="16"/>
          <w:color w:val="auto"/>
        </w:rPr>
        <w:t>losses. We do not have obligations for warranties, returns or</w:t>
      </w:r>
    </w:p>
    <w:p>
      <w:pPr>
        <w:spacing w:after="0" w:line="203" w:lineRule="auto"/>
        <w:rPr>
          <w:sz w:val="20"/>
          <w:szCs w:val="20"/>
          <w:color w:val="auto"/>
        </w:rPr>
      </w:pPr>
      <w:r>
        <w:rPr>
          <w:rFonts w:ascii="Times New Roman" w:cs="Times New Roman" w:eastAsia="Times New Roman" w:hAnsi="Times New Roman"/>
          <w:sz w:val="16"/>
          <w:szCs w:val="16"/>
          <w:color w:val="auto"/>
        </w:rPr>
        <w:t>refunds to customers.</w:t>
      </w:r>
    </w:p>
    <w:p>
      <w:pPr>
        <w:spacing w:after="0" w:line="204" w:lineRule="auto"/>
        <w:rPr>
          <w:sz w:val="20"/>
          <w:szCs w:val="20"/>
          <w:color w:val="auto"/>
        </w:rPr>
      </w:pPr>
      <w:r>
        <w:rPr>
          <w:rFonts w:ascii="Times New Roman" w:cs="Times New Roman" w:eastAsia="Times New Roman" w:hAnsi="Times New Roman"/>
          <w:sz w:val="16"/>
          <w:szCs w:val="16"/>
          <w:color w:val="auto"/>
        </w:rPr>
        <w:t>The majority of our contracts with customers do not have</w:t>
      </w:r>
    </w:p>
    <w:p>
      <w:pPr>
        <w:spacing w:after="0" w:line="232" w:lineRule="auto"/>
        <w:rPr>
          <w:sz w:val="20"/>
          <w:szCs w:val="20"/>
          <w:color w:val="auto"/>
        </w:rPr>
      </w:pPr>
      <w:r>
        <w:rPr>
          <w:rFonts w:ascii="Times New Roman" w:cs="Times New Roman" w:eastAsia="Times New Roman" w:hAnsi="Times New Roman"/>
          <w:sz w:val="14"/>
          <w:szCs w:val="14"/>
          <w:color w:val="auto"/>
        </w:rPr>
        <w:t>significant variable consideration. We do not have a material</w:t>
      </w:r>
    </w:p>
    <w:p>
      <w:pPr>
        <w:spacing w:after="0" w:line="233" w:lineRule="auto"/>
        <w:rPr>
          <w:sz w:val="20"/>
          <w:szCs w:val="20"/>
          <w:color w:val="auto"/>
        </w:rPr>
      </w:pPr>
      <w:r>
        <w:rPr>
          <w:rFonts w:ascii="Times New Roman" w:cs="Times New Roman" w:eastAsia="Times New Roman" w:hAnsi="Times New Roman"/>
          <w:sz w:val="14"/>
          <w:szCs w:val="14"/>
          <w:color w:val="auto"/>
        </w:rPr>
        <w:t>amount of revenues recognized from performance obligations</w:t>
      </w:r>
    </w:p>
    <w:p>
      <w:pPr>
        <w:spacing w:after="0" w:line="203" w:lineRule="auto"/>
        <w:rPr>
          <w:sz w:val="20"/>
          <w:szCs w:val="20"/>
          <w:color w:val="auto"/>
        </w:rPr>
      </w:pPr>
      <w:r>
        <w:rPr>
          <w:rFonts w:ascii="Times New Roman" w:cs="Times New Roman" w:eastAsia="Times New Roman" w:hAnsi="Times New Roman"/>
          <w:sz w:val="16"/>
          <w:szCs w:val="16"/>
          <w:color w:val="auto"/>
        </w:rPr>
        <w:t>that were satisfied in prior periods. We do not provide</w:t>
      </w:r>
    </w:p>
    <w:p>
      <w:pPr>
        <w:spacing w:after="0" w:line="204" w:lineRule="auto"/>
        <w:rPr>
          <w:sz w:val="20"/>
          <w:szCs w:val="20"/>
          <w:color w:val="auto"/>
        </w:rPr>
      </w:pPr>
      <w:r>
        <w:rPr>
          <w:rFonts w:ascii="Times New Roman" w:cs="Times New Roman" w:eastAsia="Times New Roman" w:hAnsi="Times New Roman"/>
          <w:sz w:val="16"/>
          <w:szCs w:val="16"/>
          <w:color w:val="auto"/>
        </w:rPr>
        <w:t>disclosures about transaction price allocated to unsatisfied</w:t>
      </w:r>
    </w:p>
    <w:p>
      <w:pPr>
        <w:spacing w:after="0" w:line="204" w:lineRule="auto"/>
        <w:rPr>
          <w:sz w:val="20"/>
          <w:szCs w:val="20"/>
          <w:color w:val="auto"/>
        </w:rPr>
      </w:pPr>
      <w:r>
        <w:rPr>
          <w:rFonts w:ascii="Times New Roman" w:cs="Times New Roman" w:eastAsia="Times New Roman" w:hAnsi="Times New Roman"/>
          <w:sz w:val="16"/>
          <w:szCs w:val="16"/>
          <w:color w:val="auto"/>
        </w:rPr>
        <w:t>performance obligations if contract durations are less than</w:t>
      </w:r>
    </w:p>
    <w:p>
      <w:pPr>
        <w:spacing w:after="0" w:line="203" w:lineRule="auto"/>
        <w:rPr>
          <w:sz w:val="20"/>
          <w:szCs w:val="20"/>
          <w:color w:val="auto"/>
        </w:rPr>
      </w:pPr>
      <w:r>
        <w:rPr>
          <w:rFonts w:ascii="Times New Roman" w:cs="Times New Roman" w:eastAsia="Times New Roman" w:hAnsi="Times New Roman"/>
          <w:sz w:val="16"/>
          <w:szCs w:val="16"/>
          <w:color w:val="auto"/>
        </w:rPr>
        <w:t>one year.</w:t>
      </w:r>
    </w:p>
    <w:p>
      <w:pPr>
        <w:spacing w:after="0" w:line="233" w:lineRule="auto"/>
        <w:rPr>
          <w:sz w:val="20"/>
          <w:szCs w:val="20"/>
          <w:color w:val="auto"/>
        </w:rPr>
      </w:pPr>
      <w:r>
        <w:rPr>
          <w:rFonts w:ascii="Times New Roman" w:cs="Times New Roman" w:eastAsia="Times New Roman" w:hAnsi="Times New Roman"/>
          <w:sz w:val="14"/>
          <w:szCs w:val="14"/>
          <w:color w:val="auto"/>
        </w:rPr>
        <w:t>For contract durations that are one-year or greater, the portion</w:t>
      </w:r>
    </w:p>
    <w:p>
      <w:pPr>
        <w:spacing w:after="0" w:line="203" w:lineRule="auto"/>
        <w:rPr>
          <w:sz w:val="20"/>
          <w:szCs w:val="20"/>
          <w:color w:val="auto"/>
        </w:rPr>
      </w:pPr>
      <w:r>
        <w:rPr>
          <w:rFonts w:ascii="Times New Roman" w:cs="Times New Roman" w:eastAsia="Times New Roman" w:hAnsi="Times New Roman"/>
          <w:sz w:val="16"/>
          <w:szCs w:val="16"/>
          <w:color w:val="auto"/>
        </w:rPr>
        <w:t>of transaction price allocated to unsatisfied performance</w:t>
      </w:r>
    </w:p>
    <w:p>
      <w:pPr>
        <w:spacing w:after="0" w:line="204" w:lineRule="auto"/>
        <w:rPr>
          <w:sz w:val="20"/>
          <w:szCs w:val="20"/>
          <w:color w:val="auto"/>
        </w:rPr>
      </w:pPr>
      <w:r>
        <w:rPr>
          <w:rFonts w:ascii="Times New Roman" w:cs="Times New Roman" w:eastAsia="Times New Roman" w:hAnsi="Times New Roman"/>
          <w:sz w:val="16"/>
          <w:szCs w:val="16"/>
          <w:color w:val="auto"/>
        </w:rPr>
        <w:t>obligations is included in Note 3, “Revenue From Contracts</w:t>
      </w:r>
    </w:p>
    <w:p>
      <w:pPr>
        <w:spacing w:after="0"/>
        <w:rPr>
          <w:sz w:val="20"/>
          <w:szCs w:val="20"/>
          <w:color w:val="auto"/>
        </w:rPr>
      </w:pPr>
      <w:r>
        <w:rPr>
          <w:rFonts w:ascii="Times New Roman" w:cs="Times New Roman" w:eastAsia="Times New Roman" w:hAnsi="Times New Roman"/>
          <w:sz w:val="16"/>
          <w:szCs w:val="16"/>
          <w:color w:val="auto"/>
        </w:rPr>
        <w:t>With Customers.” Deferred revenue primarily arises from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F-15</w:t>
      </w:r>
    </w:p>
    <w:p>
      <w:pPr>
        <w:spacing w:after="0" w:line="203" w:lineRule="auto"/>
        <w:rPr>
          <w:sz w:val="20"/>
          <w:szCs w:val="20"/>
          <w:color w:val="auto"/>
        </w:rPr>
      </w:pPr>
      <w:r>
        <w:rPr>
          <w:rFonts w:ascii="Times New Roman" w:cs="Times New Roman" w:eastAsia="Times New Roman" w:hAnsi="Times New Roman"/>
          <w:sz w:val="16"/>
          <w:szCs w:val="16"/>
          <w:color w:val="auto"/>
        </w:rPr>
        <w:t>Certain judgments and estimates were used in the</w:t>
      </w:r>
    </w:p>
    <w:p>
      <w:pPr>
        <w:spacing w:after="0" w:line="204" w:lineRule="auto"/>
        <w:rPr>
          <w:sz w:val="20"/>
          <w:szCs w:val="20"/>
          <w:color w:val="auto"/>
        </w:rPr>
      </w:pPr>
      <w:r>
        <w:rPr>
          <w:rFonts w:ascii="Times New Roman" w:cs="Times New Roman" w:eastAsia="Times New Roman" w:hAnsi="Times New Roman"/>
          <w:sz w:val="16"/>
          <w:szCs w:val="16"/>
          <w:color w:val="auto"/>
        </w:rPr>
        <w:t>identification and timing of satisfaction of performance</w:t>
      </w:r>
    </w:p>
    <w:p>
      <w:pPr>
        <w:spacing w:after="0" w:line="232" w:lineRule="auto"/>
        <w:rPr>
          <w:sz w:val="20"/>
          <w:szCs w:val="20"/>
          <w:color w:val="auto"/>
        </w:rPr>
      </w:pPr>
      <w:r>
        <w:rPr>
          <w:rFonts w:ascii="Times New Roman" w:cs="Times New Roman" w:eastAsia="Times New Roman" w:hAnsi="Times New Roman"/>
          <w:sz w:val="14"/>
          <w:szCs w:val="14"/>
          <w:color w:val="auto"/>
        </w:rPr>
        <w:t>obligations and the related allocation of transaction price and</w:t>
      </w:r>
    </w:p>
    <w:p>
      <w:pPr>
        <w:spacing w:after="0" w:line="204" w:lineRule="auto"/>
        <w:rPr>
          <w:sz w:val="20"/>
          <w:szCs w:val="20"/>
          <w:color w:val="auto"/>
        </w:rPr>
      </w:pPr>
      <w:r>
        <w:rPr>
          <w:rFonts w:ascii="Times New Roman" w:cs="Times New Roman" w:eastAsia="Times New Roman" w:hAnsi="Times New Roman"/>
          <w:sz w:val="16"/>
          <w:szCs w:val="16"/>
          <w:color w:val="auto"/>
        </w:rPr>
        <w:t>are discussed below. We believe that these represent a</w:t>
      </w:r>
    </w:p>
    <w:p>
      <w:pPr>
        <w:spacing w:after="0" w:line="232" w:lineRule="auto"/>
        <w:rPr>
          <w:sz w:val="20"/>
          <w:szCs w:val="20"/>
          <w:color w:val="auto"/>
        </w:rPr>
      </w:pPr>
      <w:r>
        <w:rPr>
          <w:rFonts w:ascii="Times New Roman" w:cs="Times New Roman" w:eastAsia="Times New Roman" w:hAnsi="Times New Roman"/>
          <w:sz w:val="14"/>
          <w:szCs w:val="14"/>
          <w:color w:val="auto"/>
        </w:rPr>
        <w:t>faithful depiction of the transfer of services to our customers.</w:t>
      </w:r>
    </w:p>
    <w:p>
      <w:pPr>
        <w:spacing w:after="0" w:line="204" w:lineRule="auto"/>
        <w:rPr>
          <w:sz w:val="20"/>
          <w:szCs w:val="20"/>
          <w:color w:val="auto"/>
        </w:rPr>
      </w:pPr>
      <w:r>
        <w:rPr>
          <w:rFonts w:ascii="Times New Roman" w:cs="Times New Roman" w:eastAsia="Times New Roman" w:hAnsi="Times New Roman"/>
          <w:sz w:val="16"/>
          <w:szCs w:val="16"/>
          <w:i w:val="1"/>
          <w:iCs w:val="1"/>
          <w:u w:val="single" w:color="auto"/>
          <w:color w:val="auto"/>
        </w:rPr>
        <w:t>Revenue Recognition</w:t>
      </w:r>
    </w:p>
    <w:p>
      <w:pPr>
        <w:spacing w:after="0" w:line="203" w:lineRule="auto"/>
        <w:rPr>
          <w:sz w:val="20"/>
          <w:szCs w:val="20"/>
          <w:color w:val="auto"/>
        </w:rPr>
      </w:pPr>
      <w:r>
        <w:rPr>
          <w:rFonts w:ascii="Times New Roman" w:cs="Times New Roman" w:eastAsia="Times New Roman" w:hAnsi="Times New Roman"/>
          <w:sz w:val="16"/>
          <w:szCs w:val="16"/>
          <w:color w:val="auto"/>
        </w:rPr>
        <w:t>Our primary revenue contract classifications are described</w:t>
      </w:r>
    </w:p>
    <w:p>
      <w:pPr>
        <w:spacing w:after="0" w:line="204" w:lineRule="auto"/>
        <w:rPr>
          <w:sz w:val="20"/>
          <w:szCs w:val="20"/>
          <w:color w:val="auto"/>
        </w:rPr>
      </w:pPr>
      <w:r>
        <w:rPr>
          <w:rFonts w:ascii="Times New Roman" w:cs="Times New Roman" w:eastAsia="Times New Roman" w:hAnsi="Times New Roman"/>
          <w:sz w:val="16"/>
          <w:szCs w:val="16"/>
          <w:color w:val="auto"/>
        </w:rPr>
        <w:t>below. Revenues are categorized based on similar economic</w:t>
      </w:r>
    </w:p>
    <w:p>
      <w:pPr>
        <w:spacing w:after="0" w:line="203" w:lineRule="auto"/>
        <w:rPr>
          <w:sz w:val="20"/>
          <w:szCs w:val="20"/>
          <w:color w:val="auto"/>
        </w:rPr>
      </w:pPr>
      <w:r>
        <w:rPr>
          <w:rFonts w:ascii="Times New Roman" w:cs="Times New Roman" w:eastAsia="Times New Roman" w:hAnsi="Times New Roman"/>
          <w:sz w:val="16"/>
          <w:szCs w:val="16"/>
          <w:color w:val="auto"/>
        </w:rPr>
        <w:t>characteristics of the nature, amount, timing and uncertainty</w:t>
      </w:r>
    </w:p>
    <w:p>
      <w:pPr>
        <w:spacing w:after="0" w:line="204" w:lineRule="auto"/>
        <w:rPr>
          <w:sz w:val="20"/>
          <w:szCs w:val="20"/>
          <w:color w:val="auto"/>
        </w:rPr>
      </w:pPr>
      <w:r>
        <w:rPr>
          <w:rFonts w:ascii="Times New Roman" w:cs="Times New Roman" w:eastAsia="Times New Roman" w:hAnsi="Times New Roman"/>
          <w:sz w:val="16"/>
          <w:szCs w:val="16"/>
          <w:color w:val="auto"/>
        </w:rPr>
        <w:t>of our revenues and cash flows.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231F20"/>
        </w:rPr>
        <w:t>Capital Access Platforms</w:t>
      </w:r>
    </w:p>
    <w:p>
      <w:pPr>
        <w:spacing w:after="0" w:line="203" w:lineRule="auto"/>
        <w:rPr>
          <w:sz w:val="20"/>
          <w:szCs w:val="20"/>
          <w:color w:val="auto"/>
        </w:rPr>
      </w:pPr>
      <w:r>
        <w:rPr>
          <w:rFonts w:ascii="Times New Roman" w:cs="Times New Roman" w:eastAsia="Times New Roman" w:hAnsi="Times New Roman"/>
          <w:sz w:val="16"/>
          <w:szCs w:val="16"/>
          <w:i w:val="1"/>
          <w:iCs w:val="1"/>
          <w:u w:val="single" w:color="auto"/>
          <w:color w:val="231F20"/>
        </w:rPr>
        <w:t>Data and Listings</w:t>
      </w:r>
    </w:p>
    <w:p>
      <w:pPr>
        <w:spacing w:after="0" w:line="233" w:lineRule="auto"/>
        <w:rPr>
          <w:sz w:val="20"/>
          <w:szCs w:val="20"/>
          <w:color w:val="auto"/>
        </w:rPr>
      </w:pPr>
      <w:r>
        <w:rPr>
          <w:rFonts w:ascii="Times New Roman" w:cs="Times New Roman" w:eastAsia="Times New Roman" w:hAnsi="Times New Roman"/>
          <w:sz w:val="14"/>
          <w:szCs w:val="14"/>
          <w:color w:val="auto"/>
        </w:rPr>
        <w:t>Data revenues are earned from U.S. and European proprietary</w:t>
      </w:r>
    </w:p>
    <w:p>
      <w:pPr>
        <w:spacing w:after="0" w:line="203" w:lineRule="auto"/>
        <w:rPr>
          <w:sz w:val="20"/>
          <w:szCs w:val="20"/>
          <w:color w:val="auto"/>
        </w:rPr>
      </w:pPr>
      <w:r>
        <w:rPr>
          <w:rFonts w:ascii="Times New Roman" w:cs="Times New Roman" w:eastAsia="Times New Roman" w:hAnsi="Times New Roman"/>
          <w:sz w:val="16"/>
          <w:szCs w:val="16"/>
          <w:color w:val="auto"/>
        </w:rPr>
        <w:t>data products. We earn revenues primarily based on data</w:t>
      </w:r>
    </w:p>
    <w:p>
      <w:pPr>
        <w:spacing w:after="0" w:line="204" w:lineRule="auto"/>
        <w:rPr>
          <w:sz w:val="20"/>
          <w:szCs w:val="20"/>
          <w:color w:val="auto"/>
        </w:rPr>
      </w:pPr>
      <w:r>
        <w:rPr>
          <w:rFonts w:ascii="Times New Roman" w:cs="Times New Roman" w:eastAsia="Times New Roman" w:hAnsi="Times New Roman"/>
          <w:sz w:val="16"/>
          <w:szCs w:val="16"/>
          <w:color w:val="auto"/>
        </w:rPr>
        <w:t>subscribers, including usage, and distributors of our data.</w:t>
      </w:r>
    </w:p>
    <w:p>
      <w:pPr>
        <w:spacing w:after="0" w:line="233" w:lineRule="auto"/>
        <w:rPr>
          <w:sz w:val="20"/>
          <w:szCs w:val="20"/>
          <w:color w:val="auto"/>
        </w:rPr>
      </w:pPr>
      <w:r>
        <w:rPr>
          <w:rFonts w:ascii="Times New Roman" w:cs="Times New Roman" w:eastAsia="Times New Roman" w:hAnsi="Times New Roman"/>
          <w:sz w:val="14"/>
          <w:szCs w:val="14"/>
          <w:color w:val="auto"/>
        </w:rPr>
        <w:t>Data revenues are subscription-based and are recognized over</w:t>
      </w:r>
    </w:p>
    <w:p>
      <w:pPr>
        <w:spacing w:after="0" w:line="232" w:lineRule="auto"/>
        <w:rPr>
          <w:sz w:val="20"/>
          <w:szCs w:val="20"/>
          <w:color w:val="auto"/>
        </w:rPr>
      </w:pPr>
      <w:r>
        <w:rPr>
          <w:rFonts w:ascii="Times New Roman" w:cs="Times New Roman" w:eastAsia="Times New Roman" w:hAnsi="Times New Roman"/>
          <w:sz w:val="14"/>
          <w:szCs w:val="14"/>
          <w:color w:val="auto"/>
        </w:rPr>
        <w:t>time and over the contractual period which are generally one-</w:t>
      </w:r>
    </w:p>
    <w:p>
      <w:pPr>
        <w:spacing w:after="0" w:line="204" w:lineRule="auto"/>
        <w:rPr>
          <w:sz w:val="20"/>
          <w:szCs w:val="20"/>
          <w:color w:val="auto"/>
        </w:rPr>
      </w:pPr>
      <w:r>
        <w:rPr>
          <w:rFonts w:ascii="Times New Roman" w:cs="Times New Roman" w:eastAsia="Times New Roman" w:hAnsi="Times New Roman"/>
          <w:sz w:val="16"/>
          <w:szCs w:val="16"/>
          <w:color w:val="auto"/>
        </w:rPr>
        <w:t>year contracts.</w:t>
      </w:r>
    </w:p>
    <w:p>
      <w:pPr>
        <w:spacing w:after="0" w:line="232" w:lineRule="auto"/>
        <w:rPr>
          <w:sz w:val="20"/>
          <w:szCs w:val="20"/>
          <w:color w:val="auto"/>
        </w:rPr>
      </w:pPr>
      <w:r>
        <w:rPr>
          <w:rFonts w:ascii="Times New Roman" w:cs="Times New Roman" w:eastAsia="Times New Roman" w:hAnsi="Times New Roman"/>
          <w:sz w:val="14"/>
          <w:szCs w:val="14"/>
          <w:color w:val="auto"/>
        </w:rPr>
        <w:t>Listing services revenues primarily include initial listing fees</w:t>
      </w:r>
    </w:p>
    <w:p>
      <w:pPr>
        <w:spacing w:after="0" w:line="233" w:lineRule="auto"/>
        <w:rPr>
          <w:sz w:val="20"/>
          <w:szCs w:val="20"/>
          <w:color w:val="auto"/>
        </w:rPr>
      </w:pPr>
      <w:r>
        <w:rPr>
          <w:rFonts w:ascii="Times New Roman" w:cs="Times New Roman" w:eastAsia="Times New Roman" w:hAnsi="Times New Roman"/>
          <w:sz w:val="14"/>
          <w:szCs w:val="14"/>
          <w:color w:val="auto"/>
        </w:rPr>
        <w:t>and annual renewal fees. The initial listing fee is allocated to</w:t>
      </w:r>
    </w:p>
    <w:p>
      <w:pPr>
        <w:spacing w:after="0" w:line="203" w:lineRule="auto"/>
        <w:rPr>
          <w:sz w:val="20"/>
          <w:szCs w:val="20"/>
          <w:color w:val="auto"/>
        </w:rPr>
      </w:pPr>
      <w:r>
        <w:rPr>
          <w:rFonts w:ascii="Times New Roman" w:cs="Times New Roman" w:eastAsia="Times New Roman" w:hAnsi="Times New Roman"/>
          <w:sz w:val="16"/>
          <w:szCs w:val="16"/>
          <w:color w:val="auto"/>
        </w:rPr>
        <w:t>multiple performance obligations including initial and</w:t>
      </w:r>
    </w:p>
    <w:p>
      <w:pPr>
        <w:spacing w:after="0" w:line="204" w:lineRule="auto"/>
        <w:rPr>
          <w:sz w:val="20"/>
          <w:szCs w:val="20"/>
          <w:color w:val="auto"/>
        </w:rPr>
      </w:pPr>
      <w:r>
        <w:rPr>
          <w:rFonts w:ascii="Times New Roman" w:cs="Times New Roman" w:eastAsia="Times New Roman" w:hAnsi="Times New Roman"/>
          <w:sz w:val="16"/>
          <w:szCs w:val="16"/>
          <w:color w:val="auto"/>
        </w:rPr>
        <w:t>subsequent listing services, a customer’s material right to</w:t>
      </w:r>
    </w:p>
    <w:p>
      <w:pPr>
        <w:spacing w:after="0" w:line="204" w:lineRule="auto"/>
        <w:rPr>
          <w:sz w:val="20"/>
          <w:szCs w:val="20"/>
          <w:color w:val="auto"/>
        </w:rPr>
      </w:pPr>
      <w:r>
        <w:rPr>
          <w:rFonts w:ascii="Times New Roman" w:cs="Times New Roman" w:eastAsia="Times New Roman" w:hAnsi="Times New Roman"/>
          <w:sz w:val="16"/>
          <w:szCs w:val="16"/>
          <w:color w:val="auto"/>
        </w:rPr>
        <w:t>renew the option to list on our exchanges and, in certain</w:t>
      </w:r>
    </w:p>
    <w:p>
      <w:pPr>
        <w:spacing w:after="0" w:line="203" w:lineRule="auto"/>
        <w:rPr>
          <w:sz w:val="20"/>
          <w:szCs w:val="20"/>
          <w:color w:val="auto"/>
        </w:rPr>
      </w:pPr>
      <w:r>
        <w:rPr>
          <w:rFonts w:ascii="Times New Roman" w:cs="Times New Roman" w:eastAsia="Times New Roman" w:hAnsi="Times New Roman"/>
          <w:sz w:val="16"/>
          <w:szCs w:val="16"/>
          <w:color w:val="auto"/>
        </w:rPr>
        <w:t>cases, corporate solutions products (when a company</w:t>
      </w:r>
    </w:p>
    <w:p>
      <w:pPr>
        <w:spacing w:after="0" w:line="204" w:lineRule="auto"/>
        <w:rPr>
          <w:sz w:val="20"/>
          <w:szCs w:val="20"/>
          <w:color w:val="auto"/>
        </w:rPr>
      </w:pPr>
      <w:r>
        <w:rPr>
          <w:rFonts w:ascii="Times New Roman" w:cs="Times New Roman" w:eastAsia="Times New Roman" w:hAnsi="Times New Roman"/>
          <w:sz w:val="16"/>
          <w:szCs w:val="16"/>
          <w:color w:val="auto"/>
        </w:rPr>
        <w:t>qualifies to receive certain complimentary IPO products</w:t>
      </w:r>
    </w:p>
    <w:p>
      <w:pPr>
        <w:spacing w:after="0" w:line="203" w:lineRule="auto"/>
        <w:rPr>
          <w:sz w:val="20"/>
          <w:szCs w:val="20"/>
          <w:color w:val="auto"/>
        </w:rPr>
      </w:pPr>
      <w:r>
        <w:rPr>
          <w:rFonts w:ascii="Times New Roman" w:cs="Times New Roman" w:eastAsia="Times New Roman" w:hAnsi="Times New Roman"/>
          <w:sz w:val="16"/>
          <w:szCs w:val="16"/>
          <w:color w:val="auto"/>
        </w:rPr>
        <w:t>under the applicable Nasdaq rule.) In performing this</w:t>
      </w:r>
    </w:p>
    <w:p>
      <w:pPr>
        <w:spacing w:after="0" w:line="204" w:lineRule="auto"/>
        <w:rPr>
          <w:sz w:val="20"/>
          <w:szCs w:val="20"/>
          <w:color w:val="auto"/>
        </w:rPr>
      </w:pPr>
      <w:r>
        <w:rPr>
          <w:rFonts w:ascii="Times New Roman" w:cs="Times New Roman" w:eastAsia="Times New Roman" w:hAnsi="Times New Roman"/>
          <w:sz w:val="16"/>
          <w:szCs w:val="16"/>
          <w:color w:val="auto"/>
        </w:rPr>
        <w:t>allocation, the standalone selling price of the performance</w:t>
      </w:r>
    </w:p>
    <w:p>
      <w:pPr>
        <w:spacing w:after="0" w:line="203" w:lineRule="auto"/>
        <w:rPr>
          <w:sz w:val="20"/>
          <w:szCs w:val="20"/>
          <w:color w:val="auto"/>
        </w:rPr>
      </w:pPr>
      <w:r>
        <w:rPr>
          <w:rFonts w:ascii="Times New Roman" w:cs="Times New Roman" w:eastAsia="Times New Roman" w:hAnsi="Times New Roman"/>
          <w:sz w:val="16"/>
          <w:szCs w:val="16"/>
          <w:color w:val="auto"/>
        </w:rPr>
        <w:t>obligations is based on the initial and annual listing fees and</w:t>
      </w:r>
    </w:p>
    <w:p>
      <w:pPr>
        <w:spacing w:after="0" w:line="204" w:lineRule="auto"/>
        <w:rPr>
          <w:sz w:val="20"/>
          <w:szCs w:val="20"/>
          <w:color w:val="auto"/>
        </w:rPr>
      </w:pPr>
      <w:r>
        <w:rPr>
          <w:rFonts w:ascii="Times New Roman" w:cs="Times New Roman" w:eastAsia="Times New Roman" w:hAnsi="Times New Roman"/>
          <w:sz w:val="16"/>
          <w:szCs w:val="16"/>
          <w:color w:val="auto"/>
        </w:rPr>
        <w:t>the standalone selling price of the IPO complimentary</w:t>
      </w:r>
    </w:p>
    <w:p>
      <w:pPr>
        <w:spacing w:after="0" w:line="203" w:lineRule="auto"/>
        <w:rPr>
          <w:sz w:val="20"/>
          <w:szCs w:val="20"/>
          <w:color w:val="auto"/>
        </w:rPr>
      </w:pPr>
      <w:r>
        <w:rPr>
          <w:rFonts w:ascii="Times New Roman" w:cs="Times New Roman" w:eastAsia="Times New Roman" w:hAnsi="Times New Roman"/>
          <w:sz w:val="16"/>
          <w:szCs w:val="16"/>
          <w:color w:val="auto"/>
        </w:rPr>
        <w:t>services is based on its market value. All listing fees are</w:t>
      </w:r>
    </w:p>
    <w:p>
      <w:pPr>
        <w:spacing w:after="0" w:line="233" w:lineRule="auto"/>
        <w:rPr>
          <w:sz w:val="20"/>
          <w:szCs w:val="20"/>
          <w:color w:val="auto"/>
        </w:rPr>
      </w:pPr>
      <w:r>
        <w:rPr>
          <w:rFonts w:ascii="Times New Roman" w:cs="Times New Roman" w:eastAsia="Times New Roman" w:hAnsi="Times New Roman"/>
          <w:sz w:val="14"/>
          <w:szCs w:val="14"/>
          <w:color w:val="auto"/>
        </w:rPr>
        <w:t>billed upfront and the identified performance obligations are</w:t>
      </w:r>
    </w:p>
    <w:p>
      <w:pPr>
        <w:spacing w:after="0" w:line="233" w:lineRule="auto"/>
        <w:rPr>
          <w:sz w:val="20"/>
          <w:szCs w:val="20"/>
          <w:color w:val="auto"/>
        </w:rPr>
      </w:pPr>
      <w:r>
        <w:rPr>
          <w:rFonts w:ascii="Times New Roman" w:cs="Times New Roman" w:eastAsia="Times New Roman" w:hAnsi="Times New Roman"/>
          <w:sz w:val="14"/>
          <w:szCs w:val="14"/>
          <w:color w:val="auto"/>
        </w:rPr>
        <w:t>satisfied over time since the customer receives and consumes</w:t>
      </w:r>
    </w:p>
    <w:p>
      <w:pPr>
        <w:spacing w:after="0" w:line="203" w:lineRule="auto"/>
        <w:rPr>
          <w:sz w:val="20"/>
          <w:szCs w:val="20"/>
          <w:color w:val="auto"/>
        </w:rPr>
      </w:pPr>
      <w:r>
        <w:rPr>
          <w:rFonts w:ascii="Times New Roman" w:cs="Times New Roman" w:eastAsia="Times New Roman" w:hAnsi="Times New Roman"/>
          <w:sz w:val="16"/>
          <w:szCs w:val="16"/>
          <w:color w:val="auto"/>
        </w:rPr>
        <w:t>the benefit as Nasdaq provides the listing service. Revenue</w:t>
      </w:r>
    </w:p>
    <w:p>
      <w:pPr>
        <w:spacing w:after="0" w:line="204" w:lineRule="auto"/>
        <w:rPr>
          <w:sz w:val="20"/>
          <w:szCs w:val="20"/>
          <w:color w:val="auto"/>
        </w:rPr>
      </w:pPr>
      <w:r>
        <w:rPr>
          <w:rFonts w:ascii="Times New Roman" w:cs="Times New Roman" w:eastAsia="Times New Roman" w:hAnsi="Times New Roman"/>
          <w:sz w:val="16"/>
          <w:szCs w:val="16"/>
          <w:color w:val="auto"/>
        </w:rPr>
        <w:t>related to the IPO complimentary services performance</w:t>
      </w:r>
    </w:p>
    <w:p>
      <w:pPr>
        <w:spacing w:after="0" w:line="203" w:lineRule="auto"/>
        <w:rPr>
          <w:sz w:val="20"/>
          <w:szCs w:val="20"/>
          <w:color w:val="auto"/>
        </w:rPr>
      </w:pPr>
      <w:r>
        <w:rPr>
          <w:rFonts w:ascii="Times New Roman" w:cs="Times New Roman" w:eastAsia="Times New Roman" w:hAnsi="Times New Roman"/>
          <w:sz w:val="16"/>
          <w:szCs w:val="16"/>
          <w:color w:val="auto"/>
        </w:rPr>
        <w:t>obligation is recognized ratably over a three-year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consistent with the contractual terms. The remaining portion</w:t>
      </w:r>
    </w:p>
    <w:p>
      <w:pPr>
        <w:sectPr>
          <w:pgSz w:w="11900" w:h="16840" w:orient="portrait"/>
          <w:cols w:equalWidth="0" w:num="1">
            <w:col w:w="9400"/>
          </w:cols>
          <w:pgMar w:left="1060" w:top="557" w:right="1440" w:bottom="31"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color w:val="auto"/>
        </w:rPr>
        <w:t>of the initial listing fee is recognized ratably over six years,</w:t>
      </w:r>
    </w:p>
    <w:p>
      <w:pPr>
        <w:spacing w:after="0" w:line="232" w:lineRule="auto"/>
        <w:rPr>
          <w:sz w:val="20"/>
          <w:szCs w:val="20"/>
          <w:color w:val="auto"/>
        </w:rPr>
      </w:pPr>
      <w:r>
        <w:rPr>
          <w:rFonts w:ascii="Times New Roman" w:cs="Times New Roman" w:eastAsia="Times New Roman" w:hAnsi="Times New Roman"/>
          <w:sz w:val="14"/>
          <w:szCs w:val="14"/>
          <w:color w:val="auto"/>
        </w:rPr>
        <w:t>which represents the expected period of benefit based on our</w:t>
      </w:r>
    </w:p>
    <w:p>
      <w:pPr>
        <w:spacing w:after="0" w:line="204" w:lineRule="auto"/>
        <w:rPr>
          <w:sz w:val="20"/>
          <w:szCs w:val="20"/>
          <w:color w:val="auto"/>
        </w:rPr>
      </w:pPr>
      <w:r>
        <w:rPr>
          <w:rFonts w:ascii="Times New Roman" w:cs="Times New Roman" w:eastAsia="Times New Roman" w:hAnsi="Times New Roman"/>
          <w:sz w:val="16"/>
          <w:szCs w:val="16"/>
          <w:color w:val="auto"/>
        </w:rPr>
        <w:t>historical listing experience and projected future listing</w:t>
      </w:r>
    </w:p>
    <w:p>
      <w:pPr>
        <w:spacing w:after="0" w:line="203" w:lineRule="auto"/>
        <w:rPr>
          <w:sz w:val="20"/>
          <w:szCs w:val="20"/>
          <w:color w:val="auto"/>
        </w:rPr>
      </w:pPr>
      <w:r>
        <w:rPr>
          <w:rFonts w:ascii="Times New Roman" w:cs="Times New Roman" w:eastAsia="Times New Roman" w:hAnsi="Times New Roman"/>
          <w:sz w:val="16"/>
          <w:szCs w:val="16"/>
          <w:color w:val="auto"/>
        </w:rPr>
        <w:t>duration including the impact of delistings.</w:t>
      </w:r>
    </w:p>
    <w:p>
      <w:pPr>
        <w:spacing w:after="0" w:line="204" w:lineRule="auto"/>
        <w:rPr>
          <w:sz w:val="20"/>
          <w:szCs w:val="20"/>
          <w:color w:val="auto"/>
        </w:rPr>
      </w:pPr>
      <w:r>
        <w:rPr>
          <w:rFonts w:ascii="Times New Roman" w:cs="Times New Roman" w:eastAsia="Times New Roman" w:hAnsi="Times New Roman"/>
          <w:sz w:val="16"/>
          <w:szCs w:val="16"/>
          <w:color w:val="auto"/>
        </w:rPr>
        <w:t>In the U.S., annual renewal fees are charged to listed</w:t>
      </w:r>
    </w:p>
    <w:p>
      <w:pPr>
        <w:spacing w:after="0" w:line="232" w:lineRule="auto"/>
        <w:rPr>
          <w:sz w:val="20"/>
          <w:szCs w:val="20"/>
          <w:color w:val="auto"/>
        </w:rPr>
      </w:pPr>
      <w:r>
        <w:rPr>
          <w:rFonts w:ascii="Times New Roman" w:cs="Times New Roman" w:eastAsia="Times New Roman" w:hAnsi="Times New Roman"/>
          <w:sz w:val="14"/>
          <w:szCs w:val="14"/>
          <w:color w:val="auto"/>
        </w:rPr>
        <w:t>companies based on their number of outstanding shares at the</w:t>
      </w:r>
    </w:p>
    <w:p>
      <w:pPr>
        <w:spacing w:after="0" w:line="204" w:lineRule="auto"/>
        <w:rPr>
          <w:sz w:val="20"/>
          <w:szCs w:val="20"/>
          <w:color w:val="auto"/>
        </w:rPr>
      </w:pPr>
      <w:r>
        <w:rPr>
          <w:rFonts w:ascii="Times New Roman" w:cs="Times New Roman" w:eastAsia="Times New Roman" w:hAnsi="Times New Roman"/>
          <w:sz w:val="16"/>
          <w:szCs w:val="16"/>
          <w:color w:val="auto"/>
        </w:rPr>
        <w:t>end of the prior year and are recognized ratably over the</w:t>
      </w:r>
    </w:p>
    <w:p>
      <w:pPr>
        <w:spacing w:after="0" w:line="203" w:lineRule="auto"/>
        <w:rPr>
          <w:sz w:val="20"/>
          <w:szCs w:val="20"/>
          <w:color w:val="auto"/>
        </w:rPr>
      </w:pPr>
      <w:r>
        <w:rPr>
          <w:rFonts w:ascii="Times New Roman" w:cs="Times New Roman" w:eastAsia="Times New Roman" w:hAnsi="Times New Roman"/>
          <w:sz w:val="16"/>
          <w:szCs w:val="16"/>
          <w:color w:val="auto"/>
        </w:rPr>
        <w:t>following twelve-month period since the customer receives</w:t>
      </w:r>
    </w:p>
    <w:p>
      <w:pPr>
        <w:spacing w:after="0" w:line="204" w:lineRule="auto"/>
        <w:rPr>
          <w:sz w:val="20"/>
          <w:szCs w:val="20"/>
          <w:color w:val="auto"/>
        </w:rPr>
      </w:pPr>
      <w:r>
        <w:rPr>
          <w:rFonts w:ascii="Times New Roman" w:cs="Times New Roman" w:eastAsia="Times New Roman" w:hAnsi="Times New Roman"/>
          <w:sz w:val="16"/>
          <w:szCs w:val="16"/>
          <w:color w:val="auto"/>
        </w:rPr>
        <w:t>and consumes the benefit as Nasdaq provides the service.</w:t>
      </w:r>
    </w:p>
    <w:p>
      <w:pPr>
        <w:spacing w:after="0" w:line="233" w:lineRule="auto"/>
        <w:rPr>
          <w:sz w:val="20"/>
          <w:szCs w:val="20"/>
          <w:color w:val="auto"/>
        </w:rPr>
      </w:pPr>
      <w:r>
        <w:rPr>
          <w:rFonts w:ascii="Times New Roman" w:cs="Times New Roman" w:eastAsia="Times New Roman" w:hAnsi="Times New Roman"/>
          <w:sz w:val="14"/>
          <w:szCs w:val="14"/>
          <w:color w:val="auto"/>
        </w:rPr>
        <w:t>Annual fees are charged to newly listed companies on a pro-</w:t>
      </w:r>
    </w:p>
    <w:p>
      <w:pPr>
        <w:spacing w:after="0" w:line="203" w:lineRule="auto"/>
        <w:rPr>
          <w:sz w:val="20"/>
          <w:szCs w:val="20"/>
          <w:color w:val="auto"/>
        </w:rPr>
      </w:pPr>
      <w:r>
        <w:rPr>
          <w:rFonts w:ascii="Times New Roman" w:cs="Times New Roman" w:eastAsia="Times New Roman" w:hAnsi="Times New Roman"/>
          <w:sz w:val="16"/>
          <w:szCs w:val="16"/>
          <w:color w:val="auto"/>
        </w:rPr>
        <w:t>rata basis, based on outstanding shares at the time of listing</w:t>
      </w:r>
    </w:p>
    <w:p>
      <w:pPr>
        <w:spacing w:after="0" w:line="204" w:lineRule="auto"/>
        <w:rPr>
          <w:sz w:val="20"/>
          <w:szCs w:val="20"/>
          <w:color w:val="auto"/>
        </w:rPr>
      </w:pPr>
      <w:r>
        <w:rPr>
          <w:rFonts w:ascii="Times New Roman" w:cs="Times New Roman" w:eastAsia="Times New Roman" w:hAnsi="Times New Roman"/>
          <w:sz w:val="16"/>
          <w:szCs w:val="16"/>
          <w:color w:val="auto"/>
        </w:rPr>
        <w:t>and recognized over the remainder of the year. European</w:t>
      </w:r>
    </w:p>
    <w:p>
      <w:pPr>
        <w:spacing w:after="0" w:line="203" w:lineRule="auto"/>
        <w:rPr>
          <w:sz w:val="20"/>
          <w:szCs w:val="20"/>
          <w:color w:val="auto"/>
        </w:rPr>
      </w:pPr>
      <w:r>
        <w:rPr>
          <w:rFonts w:ascii="Times New Roman" w:cs="Times New Roman" w:eastAsia="Times New Roman" w:hAnsi="Times New Roman"/>
          <w:sz w:val="16"/>
          <w:szCs w:val="16"/>
          <w:color w:val="auto"/>
        </w:rPr>
        <w:t>annual renewal fees, which are received from companies</w:t>
      </w:r>
    </w:p>
    <w:p>
      <w:pPr>
        <w:spacing w:after="0" w:line="204" w:lineRule="auto"/>
        <w:rPr>
          <w:sz w:val="20"/>
          <w:szCs w:val="20"/>
          <w:color w:val="auto"/>
        </w:rPr>
      </w:pPr>
      <w:r>
        <w:rPr>
          <w:rFonts w:ascii="Times New Roman" w:cs="Times New Roman" w:eastAsia="Times New Roman" w:hAnsi="Times New Roman"/>
          <w:sz w:val="16"/>
          <w:szCs w:val="16"/>
          <w:color w:val="auto"/>
        </w:rPr>
        <w:t>listed on our Nasdaq Nordic and Nasdaq Baltic exchanges</w:t>
      </w:r>
    </w:p>
    <w:p>
      <w:pPr>
        <w:spacing w:after="0" w:line="203" w:lineRule="auto"/>
        <w:rPr>
          <w:sz w:val="20"/>
          <w:szCs w:val="20"/>
          <w:color w:val="auto"/>
        </w:rPr>
      </w:pPr>
      <w:r>
        <w:rPr>
          <w:rFonts w:ascii="Times New Roman" w:cs="Times New Roman" w:eastAsia="Times New Roman" w:hAnsi="Times New Roman"/>
          <w:sz w:val="16"/>
          <w:szCs w:val="16"/>
          <w:color w:val="auto"/>
        </w:rPr>
        <w:t>and Nasdaq First North, are directly related to the listed</w:t>
      </w:r>
    </w:p>
    <w:p>
      <w:pPr>
        <w:spacing w:after="0" w:line="233" w:lineRule="auto"/>
        <w:rPr>
          <w:sz w:val="20"/>
          <w:szCs w:val="20"/>
          <w:color w:val="auto"/>
        </w:rPr>
      </w:pPr>
      <w:r>
        <w:rPr>
          <w:rFonts w:ascii="Times New Roman" w:cs="Times New Roman" w:eastAsia="Times New Roman" w:hAnsi="Times New Roman"/>
          <w:sz w:val="14"/>
          <w:szCs w:val="14"/>
          <w:color w:val="auto"/>
        </w:rPr>
        <w:t>companies’ market capitalization on a trailing twelve-month</w:t>
      </w:r>
    </w:p>
    <w:p>
      <w:pPr>
        <w:spacing w:after="0" w:line="204" w:lineRule="auto"/>
        <w:rPr>
          <w:sz w:val="20"/>
          <w:szCs w:val="20"/>
          <w:color w:val="auto"/>
        </w:rPr>
      </w:pPr>
      <w:r>
        <w:rPr>
          <w:rFonts w:ascii="Times New Roman" w:cs="Times New Roman" w:eastAsia="Times New Roman" w:hAnsi="Times New Roman"/>
          <w:sz w:val="16"/>
          <w:szCs w:val="16"/>
          <w:color w:val="auto"/>
        </w:rPr>
        <w:t>basis and are recognized ratably over the following twelve-</w:t>
      </w:r>
    </w:p>
    <w:p>
      <w:pPr>
        <w:spacing w:after="0" w:line="203" w:lineRule="auto"/>
        <w:rPr>
          <w:sz w:val="20"/>
          <w:szCs w:val="20"/>
          <w:color w:val="auto"/>
        </w:rPr>
      </w:pPr>
      <w:r>
        <w:rPr>
          <w:rFonts w:ascii="Times New Roman" w:cs="Times New Roman" w:eastAsia="Times New Roman" w:hAnsi="Times New Roman"/>
          <w:sz w:val="16"/>
          <w:szCs w:val="16"/>
          <w:color w:val="auto"/>
        </w:rPr>
        <w:t>month period since the customer receives and consumes the</w:t>
      </w:r>
    </w:p>
    <w:p>
      <w:pPr>
        <w:spacing w:after="0" w:line="204" w:lineRule="auto"/>
        <w:rPr>
          <w:sz w:val="20"/>
          <w:szCs w:val="20"/>
          <w:color w:val="auto"/>
        </w:rPr>
      </w:pPr>
      <w:r>
        <w:rPr>
          <w:rFonts w:ascii="Times New Roman" w:cs="Times New Roman" w:eastAsia="Times New Roman" w:hAnsi="Times New Roman"/>
          <w:sz w:val="16"/>
          <w:szCs w:val="16"/>
          <w:color w:val="auto"/>
        </w:rPr>
        <w:t>benefit as Nasdaq provides the service.</w:t>
      </w:r>
    </w:p>
    <w:p>
      <w:pPr>
        <w:spacing w:after="0" w:line="203" w:lineRule="auto"/>
        <w:rPr>
          <w:sz w:val="20"/>
          <w:szCs w:val="20"/>
          <w:color w:val="auto"/>
        </w:rPr>
      </w:pPr>
      <w:r>
        <w:rPr>
          <w:rFonts w:ascii="Times New Roman" w:cs="Times New Roman" w:eastAsia="Times New Roman" w:hAnsi="Times New Roman"/>
          <w:sz w:val="16"/>
          <w:szCs w:val="16"/>
          <w:i w:val="1"/>
          <w:iCs w:val="1"/>
          <w:u w:val="single" w:color="auto"/>
          <w:color w:val="231F20"/>
        </w:rPr>
        <w:t>Index</w:t>
      </w:r>
    </w:p>
    <w:p>
      <w:pPr>
        <w:spacing w:after="0" w:line="204" w:lineRule="auto"/>
        <w:rPr>
          <w:sz w:val="20"/>
          <w:szCs w:val="20"/>
          <w:color w:val="auto"/>
        </w:rPr>
      </w:pPr>
      <w:r>
        <w:rPr>
          <w:rFonts w:ascii="Times New Roman" w:cs="Times New Roman" w:eastAsia="Times New Roman" w:hAnsi="Times New Roman"/>
          <w:sz w:val="16"/>
          <w:szCs w:val="16"/>
          <w:color w:val="auto"/>
        </w:rPr>
        <w:t>We develop and license Nasdaq-branded indices and</w:t>
      </w:r>
    </w:p>
    <w:p>
      <w:pPr>
        <w:spacing w:after="0" w:line="232" w:lineRule="auto"/>
        <w:rPr>
          <w:sz w:val="20"/>
          <w:szCs w:val="20"/>
          <w:color w:val="auto"/>
        </w:rPr>
      </w:pPr>
      <w:r>
        <w:rPr>
          <w:rFonts w:ascii="Times New Roman" w:cs="Times New Roman" w:eastAsia="Times New Roman" w:hAnsi="Times New Roman"/>
          <w:sz w:val="14"/>
          <w:szCs w:val="14"/>
          <w:color w:val="auto"/>
        </w:rPr>
        <w:t>financial products and provide index data products for third-</w:t>
      </w:r>
    </w:p>
    <w:p>
      <w:pPr>
        <w:spacing w:after="0" w:line="204" w:lineRule="auto"/>
        <w:rPr>
          <w:sz w:val="20"/>
          <w:szCs w:val="20"/>
          <w:color w:val="auto"/>
        </w:rPr>
      </w:pPr>
      <w:r>
        <w:rPr>
          <w:rFonts w:ascii="Times New Roman" w:cs="Times New Roman" w:eastAsia="Times New Roman" w:hAnsi="Times New Roman"/>
          <w:sz w:val="16"/>
          <w:szCs w:val="16"/>
          <w:color w:val="auto"/>
        </w:rPr>
        <w:t>party clients. Revenues primarily include license fees from</w:t>
      </w:r>
    </w:p>
    <w:p>
      <w:pPr>
        <w:spacing w:after="0" w:line="203" w:lineRule="auto"/>
        <w:rPr>
          <w:sz w:val="20"/>
          <w:szCs w:val="20"/>
          <w:color w:val="auto"/>
        </w:rPr>
      </w:pPr>
      <w:r>
        <w:rPr>
          <w:rFonts w:ascii="Times New Roman" w:cs="Times New Roman" w:eastAsia="Times New Roman" w:hAnsi="Times New Roman"/>
          <w:sz w:val="16"/>
          <w:szCs w:val="16"/>
          <w:color w:val="auto"/>
        </w:rPr>
        <w:t>these branded indices and financial products in the U.S. and</w:t>
      </w:r>
    </w:p>
    <w:p>
      <w:pPr>
        <w:spacing w:after="0" w:line="233" w:lineRule="auto"/>
        <w:rPr>
          <w:sz w:val="20"/>
          <w:szCs w:val="20"/>
          <w:color w:val="auto"/>
        </w:rPr>
      </w:pPr>
      <w:r>
        <w:rPr>
          <w:rFonts w:ascii="Times New Roman" w:cs="Times New Roman" w:eastAsia="Times New Roman" w:hAnsi="Times New Roman"/>
          <w:sz w:val="14"/>
          <w:szCs w:val="14"/>
          <w:color w:val="auto"/>
        </w:rPr>
        <w:t>abroad. We primarily have two types of license agreements:</w:t>
      </w:r>
    </w:p>
    <w:p>
      <w:pPr>
        <w:spacing w:after="0" w:line="204" w:lineRule="auto"/>
        <w:rPr>
          <w:sz w:val="20"/>
          <w:szCs w:val="20"/>
          <w:color w:val="auto"/>
        </w:rPr>
      </w:pPr>
      <w:r>
        <w:rPr>
          <w:rFonts w:ascii="Times New Roman" w:cs="Times New Roman" w:eastAsia="Times New Roman" w:hAnsi="Times New Roman"/>
          <w:sz w:val="16"/>
          <w:szCs w:val="16"/>
          <w:color w:val="auto"/>
        </w:rPr>
        <w:t>asset-based licenses and transaction-based licenses.</w:t>
      </w:r>
    </w:p>
    <w:p>
      <w:pPr>
        <w:spacing w:after="0" w:line="203" w:lineRule="auto"/>
        <w:rPr>
          <w:sz w:val="20"/>
          <w:szCs w:val="20"/>
          <w:color w:val="auto"/>
        </w:rPr>
      </w:pPr>
      <w:r>
        <w:rPr>
          <w:rFonts w:ascii="Times New Roman" w:cs="Times New Roman" w:eastAsia="Times New Roman" w:hAnsi="Times New Roman"/>
          <w:sz w:val="16"/>
          <w:szCs w:val="16"/>
          <w:color w:val="auto"/>
        </w:rPr>
        <w:t>Customers are charged based on a percentage of AUM for</w:t>
      </w:r>
    </w:p>
    <w:p>
      <w:pPr>
        <w:spacing w:after="0" w:line="204" w:lineRule="auto"/>
        <w:rPr>
          <w:sz w:val="20"/>
          <w:szCs w:val="20"/>
          <w:color w:val="auto"/>
        </w:rPr>
      </w:pPr>
      <w:r>
        <w:rPr>
          <w:rFonts w:ascii="Times New Roman" w:cs="Times New Roman" w:eastAsia="Times New Roman" w:hAnsi="Times New Roman"/>
          <w:sz w:val="16"/>
          <w:szCs w:val="16"/>
          <w:color w:val="auto"/>
        </w:rPr>
        <w:t>licensed products, per the agreement, on a monthly or</w:t>
      </w:r>
    </w:p>
    <w:p>
      <w:pPr>
        <w:spacing w:after="0" w:line="232" w:lineRule="auto"/>
        <w:rPr>
          <w:sz w:val="20"/>
          <w:szCs w:val="20"/>
          <w:color w:val="auto"/>
        </w:rPr>
      </w:pPr>
      <w:r>
        <w:rPr>
          <w:rFonts w:ascii="Times New Roman" w:cs="Times New Roman" w:eastAsia="Times New Roman" w:hAnsi="Times New Roman"/>
          <w:sz w:val="14"/>
          <w:szCs w:val="14"/>
          <w:color w:val="auto"/>
        </w:rPr>
        <w:t>quarterly basis. These revenues are recognized over the term</w:t>
      </w:r>
    </w:p>
    <w:p>
      <w:pPr>
        <w:spacing w:after="0" w:line="204" w:lineRule="auto"/>
        <w:rPr>
          <w:sz w:val="20"/>
          <w:szCs w:val="20"/>
          <w:color w:val="auto"/>
        </w:rPr>
      </w:pPr>
      <w:r>
        <w:rPr>
          <w:rFonts w:ascii="Times New Roman" w:cs="Times New Roman" w:eastAsia="Times New Roman" w:hAnsi="Times New Roman"/>
          <w:sz w:val="16"/>
          <w:szCs w:val="16"/>
          <w:color w:val="auto"/>
        </w:rPr>
        <w:t>of the license agreement since the customer receives and</w:t>
      </w:r>
    </w:p>
    <w:p>
      <w:pPr>
        <w:spacing w:after="0" w:line="203" w:lineRule="auto"/>
        <w:rPr>
          <w:sz w:val="20"/>
          <w:szCs w:val="20"/>
          <w:color w:val="auto"/>
        </w:rPr>
      </w:pPr>
      <w:r>
        <w:rPr>
          <w:rFonts w:ascii="Times New Roman" w:cs="Times New Roman" w:eastAsia="Times New Roman" w:hAnsi="Times New Roman"/>
          <w:sz w:val="16"/>
          <w:szCs w:val="16"/>
          <w:color w:val="auto"/>
        </w:rPr>
        <w:t>consumes the benefit as Nasdaq provides the service.</w:t>
      </w:r>
    </w:p>
    <w:p>
      <w:pPr>
        <w:spacing w:after="0" w:line="204" w:lineRule="auto"/>
        <w:rPr>
          <w:sz w:val="20"/>
          <w:szCs w:val="20"/>
          <w:color w:val="auto"/>
        </w:rPr>
      </w:pPr>
      <w:r>
        <w:rPr>
          <w:rFonts w:ascii="Times New Roman" w:cs="Times New Roman" w:eastAsia="Times New Roman" w:hAnsi="Times New Roman"/>
          <w:sz w:val="16"/>
          <w:szCs w:val="16"/>
          <w:color w:val="auto"/>
        </w:rPr>
        <w:t>Revenue from index data subscriptions are recognized on a</w:t>
      </w:r>
    </w:p>
    <w:p>
      <w:pPr>
        <w:spacing w:after="0" w:line="204" w:lineRule="auto"/>
        <w:rPr>
          <w:sz w:val="20"/>
          <w:szCs w:val="20"/>
          <w:color w:val="auto"/>
        </w:rPr>
      </w:pPr>
      <w:r>
        <w:rPr>
          <w:rFonts w:ascii="Times New Roman" w:cs="Times New Roman" w:eastAsia="Times New Roman" w:hAnsi="Times New Roman"/>
          <w:sz w:val="16"/>
          <w:szCs w:val="16"/>
          <w:color w:val="auto"/>
        </w:rPr>
        <w:t>monthly basis. Customers are charged based on transaction</w:t>
      </w:r>
    </w:p>
    <w:p>
      <w:pPr>
        <w:spacing w:after="0" w:line="203" w:lineRule="auto"/>
        <w:rPr>
          <w:sz w:val="20"/>
          <w:szCs w:val="20"/>
          <w:color w:val="auto"/>
        </w:rPr>
      </w:pPr>
      <w:r>
        <w:rPr>
          <w:rFonts w:ascii="Times New Roman" w:cs="Times New Roman" w:eastAsia="Times New Roman" w:hAnsi="Times New Roman"/>
          <w:sz w:val="16"/>
          <w:szCs w:val="16"/>
          <w:color w:val="auto"/>
        </w:rPr>
        <w:t>volume or a minimum contract amount, or both. If a</w:t>
      </w:r>
    </w:p>
    <w:p>
      <w:pPr>
        <w:spacing w:after="0" w:line="204" w:lineRule="auto"/>
        <w:rPr>
          <w:sz w:val="20"/>
          <w:szCs w:val="20"/>
          <w:color w:val="auto"/>
        </w:rPr>
      </w:pPr>
      <w:r>
        <w:rPr>
          <w:rFonts w:ascii="Times New Roman" w:cs="Times New Roman" w:eastAsia="Times New Roman" w:hAnsi="Times New Roman"/>
          <w:sz w:val="16"/>
          <w:szCs w:val="16"/>
          <w:color w:val="auto"/>
        </w:rPr>
        <w:t>customer is charged based on transaction volume, we</w:t>
      </w:r>
    </w:p>
    <w:p>
      <w:pPr>
        <w:spacing w:after="0" w:line="232" w:lineRule="auto"/>
        <w:rPr>
          <w:sz w:val="20"/>
          <w:szCs w:val="20"/>
          <w:color w:val="auto"/>
        </w:rPr>
      </w:pPr>
      <w:r>
        <w:rPr>
          <w:rFonts w:ascii="Times New Roman" w:cs="Times New Roman" w:eastAsia="Times New Roman" w:hAnsi="Times New Roman"/>
          <w:sz w:val="14"/>
          <w:szCs w:val="14"/>
          <w:color w:val="auto"/>
        </w:rPr>
        <w:t>recognize revenue when the transaction occurs. If a customer</w:t>
      </w:r>
    </w:p>
    <w:p>
      <w:pPr>
        <w:spacing w:after="0" w:line="204" w:lineRule="auto"/>
        <w:rPr>
          <w:sz w:val="20"/>
          <w:szCs w:val="20"/>
          <w:color w:val="auto"/>
        </w:rPr>
      </w:pPr>
      <w:r>
        <w:rPr>
          <w:rFonts w:ascii="Times New Roman" w:cs="Times New Roman" w:eastAsia="Times New Roman" w:hAnsi="Times New Roman"/>
          <w:sz w:val="16"/>
          <w:szCs w:val="16"/>
          <w:color w:val="auto"/>
        </w:rPr>
        <w:t>is charged based on a minimum contract amount, we</w:t>
      </w:r>
    </w:p>
    <w:p>
      <w:pPr>
        <w:spacing w:after="0" w:line="232" w:lineRule="auto"/>
        <w:rPr>
          <w:sz w:val="20"/>
          <w:szCs w:val="20"/>
          <w:color w:val="auto"/>
        </w:rPr>
      </w:pPr>
      <w:r>
        <w:rPr>
          <w:rFonts w:ascii="Times New Roman" w:cs="Times New Roman" w:eastAsia="Times New Roman" w:hAnsi="Times New Roman"/>
          <w:sz w:val="14"/>
          <w:szCs w:val="14"/>
          <w:color w:val="auto"/>
        </w:rPr>
        <w:t>recognize revenue on a pro-rata basis over the licensing term</w:t>
      </w:r>
    </w:p>
    <w:p>
      <w:pPr>
        <w:spacing w:after="0" w:line="204" w:lineRule="auto"/>
        <w:rPr>
          <w:sz w:val="20"/>
          <w:szCs w:val="20"/>
          <w:color w:val="auto"/>
        </w:rPr>
      </w:pPr>
      <w:r>
        <w:rPr>
          <w:rFonts w:ascii="Times New Roman" w:cs="Times New Roman" w:eastAsia="Times New Roman" w:hAnsi="Times New Roman"/>
          <w:sz w:val="16"/>
          <w:szCs w:val="16"/>
          <w:color w:val="auto"/>
        </w:rPr>
        <w:t>since the customer receives and consumes the benefit as</w:t>
      </w:r>
    </w:p>
    <w:p>
      <w:pPr>
        <w:spacing w:after="0" w:line="203" w:lineRule="auto"/>
        <w:rPr>
          <w:sz w:val="20"/>
          <w:szCs w:val="20"/>
          <w:color w:val="auto"/>
        </w:rPr>
      </w:pPr>
      <w:r>
        <w:rPr>
          <w:rFonts w:ascii="Times New Roman" w:cs="Times New Roman" w:eastAsia="Times New Roman" w:hAnsi="Times New Roman"/>
          <w:sz w:val="16"/>
          <w:szCs w:val="16"/>
          <w:color w:val="auto"/>
        </w:rPr>
        <w:t>Nasdaq provides the service.</w:t>
      </w:r>
    </w:p>
    <w:p>
      <w:pPr>
        <w:spacing w:after="0" w:line="204" w:lineRule="auto"/>
        <w:rPr>
          <w:sz w:val="20"/>
          <w:szCs w:val="20"/>
          <w:color w:val="auto"/>
        </w:rPr>
      </w:pPr>
      <w:r>
        <w:rPr>
          <w:rFonts w:ascii="Times New Roman" w:cs="Times New Roman" w:eastAsia="Times New Roman" w:hAnsi="Times New Roman"/>
          <w:sz w:val="16"/>
          <w:szCs w:val="16"/>
          <w:i w:val="1"/>
          <w:iCs w:val="1"/>
          <w:u w:val="single" w:color="auto"/>
          <w:color w:val="231F20"/>
        </w:rPr>
        <w:t>Workflow &amp; Insights</w:t>
      </w:r>
    </w:p>
    <w:p>
      <w:pPr>
        <w:spacing w:after="0" w:line="203" w:lineRule="auto"/>
        <w:rPr>
          <w:sz w:val="20"/>
          <w:szCs w:val="20"/>
          <w:color w:val="auto"/>
        </w:rPr>
      </w:pPr>
      <w:r>
        <w:rPr>
          <w:rFonts w:ascii="Times New Roman" w:cs="Times New Roman" w:eastAsia="Times New Roman" w:hAnsi="Times New Roman"/>
          <w:sz w:val="16"/>
          <w:szCs w:val="16"/>
          <w:color w:val="auto"/>
        </w:rPr>
        <w:t>Workflow &amp; Insights includes our analytics and corporate</w:t>
      </w:r>
    </w:p>
    <w:p>
      <w:pPr>
        <w:spacing w:after="0" w:line="204" w:lineRule="auto"/>
        <w:rPr>
          <w:sz w:val="20"/>
          <w:szCs w:val="20"/>
          <w:color w:val="auto"/>
        </w:rPr>
      </w:pPr>
      <w:r>
        <w:rPr>
          <w:rFonts w:ascii="Times New Roman" w:cs="Times New Roman" w:eastAsia="Times New Roman" w:hAnsi="Times New Roman"/>
          <w:sz w:val="16"/>
          <w:szCs w:val="16"/>
          <w:color w:val="auto"/>
        </w:rPr>
        <w:t>solutions products.</w:t>
      </w:r>
    </w:p>
    <w:p>
      <w:pPr>
        <w:spacing w:after="0"/>
        <w:rPr>
          <w:sz w:val="20"/>
          <w:szCs w:val="20"/>
          <w:color w:val="auto"/>
        </w:rPr>
      </w:pPr>
      <w:r>
        <w:rPr>
          <w:rFonts w:ascii="Times New Roman" w:cs="Times New Roman" w:eastAsia="Times New Roman" w:hAnsi="Times New Roman"/>
          <w:sz w:val="16"/>
          <w:szCs w:val="16"/>
          <w:color w:val="231F20"/>
        </w:rPr>
        <w:t xml:space="preserve">Analytics </w:t>
      </w:r>
      <w:r>
        <w:rPr>
          <w:rFonts w:ascii="Times New Roman" w:cs="Times New Roman" w:eastAsia="Times New Roman" w:hAnsi="Times New Roman"/>
          <w:sz w:val="16"/>
          <w:szCs w:val="16"/>
          <w:color w:val="000000"/>
        </w:rPr>
        <w:t>revenues are earned from investment content 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F-16</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Financial Technology</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Software subscription and ongoing services</w:t>
      </w:r>
    </w:p>
    <w:p>
      <w:pPr>
        <w:spacing w:after="0" w:line="203" w:lineRule="auto"/>
        <w:rPr>
          <w:sz w:val="20"/>
          <w:szCs w:val="20"/>
          <w:color w:val="auto"/>
        </w:rPr>
      </w:pPr>
      <w:r>
        <w:rPr>
          <w:rFonts w:ascii="Times New Roman" w:cs="Times New Roman" w:eastAsia="Times New Roman" w:hAnsi="Times New Roman"/>
          <w:sz w:val="16"/>
          <w:szCs w:val="16"/>
          <w:i w:val="1"/>
          <w:iCs w:val="1"/>
          <w:u w:val="single" w:color="auto"/>
          <w:color w:val="auto"/>
        </w:rPr>
        <w:t>Financial Crime Management Technology</w:t>
      </w:r>
    </w:p>
    <w:p>
      <w:pPr>
        <w:spacing w:after="0" w:line="233" w:lineRule="auto"/>
        <w:rPr>
          <w:sz w:val="20"/>
          <w:szCs w:val="20"/>
          <w:color w:val="auto"/>
        </w:rPr>
      </w:pPr>
      <w:r>
        <w:rPr>
          <w:rFonts w:ascii="Times New Roman" w:cs="Times New Roman" w:eastAsia="Times New Roman" w:hAnsi="Times New Roman"/>
          <w:sz w:val="14"/>
          <w:szCs w:val="14"/>
          <w:color w:val="auto"/>
        </w:rPr>
        <w:t>Our financial crime management technology business, which</w:t>
      </w:r>
    </w:p>
    <w:p>
      <w:pPr>
        <w:spacing w:after="0" w:line="203" w:lineRule="auto"/>
        <w:rPr>
          <w:sz w:val="20"/>
          <w:szCs w:val="20"/>
          <w:color w:val="auto"/>
        </w:rPr>
      </w:pPr>
      <w:r>
        <w:rPr>
          <w:rFonts w:ascii="Times New Roman" w:cs="Times New Roman" w:eastAsia="Times New Roman" w:hAnsi="Times New Roman"/>
          <w:sz w:val="16"/>
          <w:szCs w:val="16"/>
          <w:color w:val="auto"/>
        </w:rPr>
        <w:t>includes our Nasdaq Verafin solution, primarily consists of</w:t>
      </w:r>
    </w:p>
    <w:p>
      <w:pPr>
        <w:spacing w:after="0" w:line="233" w:lineRule="auto"/>
        <w:rPr>
          <w:sz w:val="20"/>
          <w:szCs w:val="20"/>
          <w:color w:val="auto"/>
        </w:rPr>
      </w:pPr>
      <w:r>
        <w:rPr>
          <w:rFonts w:ascii="Times New Roman" w:cs="Times New Roman" w:eastAsia="Times New Roman" w:hAnsi="Times New Roman"/>
          <w:sz w:val="14"/>
          <w:szCs w:val="14"/>
          <w:color w:val="auto"/>
        </w:rPr>
        <w:t>SaaS revenues. We enter into subscription agreements which</w:t>
      </w:r>
    </w:p>
    <w:p>
      <w:pPr>
        <w:spacing w:after="0" w:line="204" w:lineRule="auto"/>
        <w:rPr>
          <w:sz w:val="20"/>
          <w:szCs w:val="20"/>
          <w:color w:val="auto"/>
        </w:rPr>
      </w:pPr>
      <w:r>
        <w:rPr>
          <w:rFonts w:ascii="Times New Roman" w:cs="Times New Roman" w:eastAsia="Times New Roman" w:hAnsi="Times New Roman"/>
          <w:sz w:val="16"/>
          <w:szCs w:val="16"/>
          <w:color w:val="auto"/>
        </w:rPr>
        <w:t>allow customers access to our cloud platform. Subscription</w:t>
      </w:r>
    </w:p>
    <w:p>
      <w:pPr>
        <w:spacing w:after="0" w:line="203" w:lineRule="auto"/>
        <w:rPr>
          <w:sz w:val="20"/>
          <w:szCs w:val="20"/>
          <w:color w:val="auto"/>
        </w:rPr>
      </w:pPr>
      <w:r>
        <w:rPr>
          <w:rFonts w:ascii="Times New Roman" w:cs="Times New Roman" w:eastAsia="Times New Roman" w:hAnsi="Times New Roman"/>
          <w:sz w:val="16"/>
          <w:szCs w:val="16"/>
          <w:color w:val="auto"/>
        </w:rPr>
        <w:t>agreements are generally three years in term, payable in</w:t>
      </w:r>
    </w:p>
    <w:p>
      <w:pPr>
        <w:spacing w:after="0" w:line="204" w:lineRule="auto"/>
        <w:rPr>
          <w:sz w:val="20"/>
          <w:szCs w:val="20"/>
          <w:color w:val="auto"/>
        </w:rPr>
      </w:pPr>
      <w:r>
        <w:rPr>
          <w:rFonts w:ascii="Times New Roman" w:cs="Times New Roman" w:eastAsia="Times New Roman" w:hAnsi="Times New Roman"/>
          <w:sz w:val="16"/>
          <w:szCs w:val="16"/>
          <w:color w:val="auto"/>
        </w:rPr>
        <w:t>advance, with the option of automatic renewal for some</w:t>
      </w:r>
    </w:p>
    <w:p>
      <w:pPr>
        <w:spacing w:after="0" w:line="203" w:lineRule="auto"/>
        <w:rPr>
          <w:sz w:val="20"/>
          <w:szCs w:val="20"/>
          <w:color w:val="auto"/>
        </w:rPr>
      </w:pPr>
      <w:r>
        <w:rPr>
          <w:rFonts w:ascii="Times New Roman" w:cs="Times New Roman" w:eastAsia="Times New Roman" w:hAnsi="Times New Roman"/>
          <w:sz w:val="16"/>
          <w:szCs w:val="16"/>
          <w:color w:val="auto"/>
        </w:rPr>
        <w:t>products. Nasdaq Verafin is offered as a cloud service</w:t>
      </w:r>
    </w:p>
    <w:p>
      <w:pPr>
        <w:spacing w:after="0" w:line="204" w:lineRule="auto"/>
        <w:rPr>
          <w:sz w:val="20"/>
          <w:szCs w:val="20"/>
          <w:color w:val="auto"/>
        </w:rPr>
      </w:pPr>
      <w:r>
        <w:rPr>
          <w:rFonts w:ascii="Times New Roman" w:cs="Times New Roman" w:eastAsia="Times New Roman" w:hAnsi="Times New Roman"/>
          <w:sz w:val="16"/>
          <w:szCs w:val="16"/>
          <w:color w:val="auto"/>
        </w:rPr>
        <w:t>whereby the software is hosted and managed for customers.</w:t>
      </w:r>
    </w:p>
    <w:p>
      <w:pPr>
        <w:spacing w:after="0" w:line="232" w:lineRule="auto"/>
        <w:rPr>
          <w:sz w:val="20"/>
          <w:szCs w:val="20"/>
          <w:color w:val="auto"/>
        </w:rPr>
      </w:pPr>
      <w:r>
        <w:rPr>
          <w:rFonts w:ascii="Times New Roman" w:cs="Times New Roman" w:eastAsia="Times New Roman" w:hAnsi="Times New Roman"/>
          <w:sz w:val="14"/>
          <w:szCs w:val="14"/>
          <w:color w:val="auto"/>
        </w:rPr>
        <w:t>These hosted agreements generally include a license, hosting</w:t>
      </w:r>
    </w:p>
    <w:p>
      <w:pPr>
        <w:spacing w:after="0" w:line="233" w:lineRule="auto"/>
        <w:rPr>
          <w:sz w:val="20"/>
          <w:szCs w:val="20"/>
          <w:color w:val="auto"/>
        </w:rPr>
      </w:pPr>
      <w:r>
        <w:rPr>
          <w:rFonts w:ascii="Times New Roman" w:cs="Times New Roman" w:eastAsia="Times New Roman" w:hAnsi="Times New Roman"/>
          <w:sz w:val="14"/>
          <w:szCs w:val="14"/>
          <w:color w:val="auto"/>
        </w:rPr>
        <w:t>services and maintenance services. We have determined that</w:t>
      </w:r>
    </w:p>
    <w:p>
      <w:pPr>
        <w:spacing w:after="0" w:line="204" w:lineRule="auto"/>
        <w:rPr>
          <w:sz w:val="20"/>
          <w:szCs w:val="20"/>
          <w:color w:val="auto"/>
        </w:rPr>
      </w:pPr>
      <w:r>
        <w:rPr>
          <w:rFonts w:ascii="Times New Roman" w:cs="Times New Roman" w:eastAsia="Times New Roman" w:hAnsi="Times New Roman"/>
          <w:sz w:val="16"/>
          <w:szCs w:val="16"/>
          <w:color w:val="auto"/>
        </w:rPr>
        <w:t>these services are not distinct in the context of the hosting</w:t>
      </w:r>
    </w:p>
    <w:p>
      <w:pPr>
        <w:spacing w:after="0" w:line="232" w:lineRule="auto"/>
        <w:rPr>
          <w:sz w:val="20"/>
          <w:szCs w:val="20"/>
          <w:color w:val="auto"/>
        </w:rPr>
      </w:pPr>
      <w:r>
        <w:rPr>
          <w:rFonts w:ascii="Times New Roman" w:cs="Times New Roman" w:eastAsia="Times New Roman" w:hAnsi="Times New Roman"/>
          <w:sz w:val="14"/>
          <w:szCs w:val="14"/>
          <w:color w:val="auto"/>
        </w:rPr>
        <w:t>arrangement as the customer cannot benefit from the license</w:t>
      </w:r>
    </w:p>
    <w:p>
      <w:pPr>
        <w:spacing w:after="0" w:line="233" w:lineRule="auto"/>
        <w:rPr>
          <w:sz w:val="20"/>
          <w:szCs w:val="20"/>
          <w:color w:val="auto"/>
        </w:rPr>
      </w:pPr>
      <w:r>
        <w:rPr>
          <w:rFonts w:ascii="Times New Roman" w:cs="Times New Roman" w:eastAsia="Times New Roman" w:hAnsi="Times New Roman"/>
          <w:sz w:val="14"/>
          <w:szCs w:val="14"/>
          <w:color w:val="auto"/>
        </w:rPr>
        <w:t>or maintenance without the hosting services. Cloud revenues</w:t>
      </w:r>
    </w:p>
    <w:p>
      <w:pPr>
        <w:spacing w:after="0" w:line="233" w:lineRule="auto"/>
        <w:rPr>
          <w:sz w:val="20"/>
          <w:szCs w:val="20"/>
          <w:color w:val="auto"/>
        </w:rPr>
      </w:pPr>
      <w:r>
        <w:rPr>
          <w:rFonts w:ascii="Times New Roman" w:cs="Times New Roman" w:eastAsia="Times New Roman" w:hAnsi="Times New Roman"/>
          <w:sz w:val="14"/>
          <w:szCs w:val="14"/>
          <w:color w:val="auto"/>
        </w:rPr>
        <w:t>are recognized over time on a ratable basis over the contract</w:t>
      </w:r>
    </w:p>
    <w:p>
      <w:pPr>
        <w:spacing w:after="0" w:line="203" w:lineRule="auto"/>
        <w:rPr>
          <w:sz w:val="20"/>
          <w:szCs w:val="20"/>
          <w:color w:val="auto"/>
        </w:rPr>
      </w:pPr>
      <w:r>
        <w:rPr>
          <w:rFonts w:ascii="Times New Roman" w:cs="Times New Roman" w:eastAsia="Times New Roman" w:hAnsi="Times New Roman"/>
          <w:sz w:val="16"/>
          <w:szCs w:val="16"/>
          <w:color w:val="auto"/>
        </w:rPr>
        <w:t>period beginning on the date that our service is made</w:t>
      </w:r>
    </w:p>
    <w:p>
      <w:pPr>
        <w:spacing w:after="0" w:line="204" w:lineRule="auto"/>
        <w:rPr>
          <w:sz w:val="20"/>
          <w:szCs w:val="20"/>
          <w:color w:val="auto"/>
        </w:rPr>
      </w:pPr>
      <w:r>
        <w:rPr>
          <w:rFonts w:ascii="Times New Roman" w:cs="Times New Roman" w:eastAsia="Times New Roman" w:hAnsi="Times New Roman"/>
          <w:sz w:val="16"/>
          <w:szCs w:val="16"/>
          <w:color w:val="auto"/>
        </w:rPr>
        <w:t>available to the customer since the customer receives and</w:t>
      </w:r>
    </w:p>
    <w:p>
      <w:pPr>
        <w:spacing w:after="0" w:line="203" w:lineRule="auto"/>
        <w:rPr>
          <w:sz w:val="20"/>
          <w:szCs w:val="20"/>
          <w:color w:val="auto"/>
        </w:rPr>
      </w:pPr>
      <w:r>
        <w:rPr>
          <w:rFonts w:ascii="Times New Roman" w:cs="Times New Roman" w:eastAsia="Times New Roman" w:hAnsi="Times New Roman"/>
          <w:sz w:val="16"/>
          <w:szCs w:val="16"/>
          <w:color w:val="auto"/>
        </w:rPr>
        <w:t>consumes the benefit as Nasdaq provides the service.</w:t>
      </w:r>
    </w:p>
    <w:p>
      <w:pPr>
        <w:spacing w:after="0" w:line="204" w:lineRule="auto"/>
        <w:rPr>
          <w:sz w:val="20"/>
          <w:szCs w:val="20"/>
          <w:color w:val="auto"/>
        </w:rPr>
      </w:pPr>
      <w:r>
        <w:rPr>
          <w:rFonts w:ascii="Times New Roman" w:cs="Times New Roman" w:eastAsia="Times New Roman" w:hAnsi="Times New Roman"/>
          <w:sz w:val="16"/>
          <w:szCs w:val="16"/>
          <w:i w:val="1"/>
          <w:iCs w:val="1"/>
          <w:u w:val="single" w:color="auto"/>
          <w:color w:val="auto"/>
        </w:rPr>
        <w:t>Regulatory Technology</w:t>
      </w:r>
    </w:p>
    <w:p>
      <w:pPr>
        <w:spacing w:after="0" w:line="232" w:lineRule="auto"/>
        <w:rPr>
          <w:sz w:val="20"/>
          <w:szCs w:val="20"/>
          <w:color w:val="auto"/>
        </w:rPr>
      </w:pPr>
      <w:r>
        <w:rPr>
          <w:rFonts w:ascii="Times New Roman" w:cs="Times New Roman" w:eastAsia="Times New Roman" w:hAnsi="Times New Roman"/>
          <w:sz w:val="14"/>
          <w:szCs w:val="14"/>
          <w:color w:val="auto"/>
        </w:rPr>
        <w:t>Regulatory Technology includes AxiomSL and surveillance</w:t>
      </w:r>
    </w:p>
    <w:p>
      <w:pPr>
        <w:spacing w:after="0" w:line="204" w:lineRule="auto"/>
        <w:rPr>
          <w:sz w:val="20"/>
          <w:szCs w:val="20"/>
          <w:color w:val="auto"/>
        </w:rPr>
      </w:pPr>
      <w:r>
        <w:rPr>
          <w:rFonts w:ascii="Times New Roman" w:cs="Times New Roman" w:eastAsia="Times New Roman" w:hAnsi="Times New Roman"/>
          <w:sz w:val="16"/>
          <w:szCs w:val="16"/>
          <w:color w:val="auto"/>
        </w:rPr>
        <w:t>solutions.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AxiomSL solutions</w:t>
      </w:r>
    </w:p>
    <w:p>
      <w:pPr>
        <w:spacing w:after="0" w:line="233" w:lineRule="auto"/>
        <w:rPr>
          <w:sz w:val="20"/>
          <w:szCs w:val="20"/>
          <w:color w:val="auto"/>
        </w:rPr>
      </w:pPr>
      <w:r>
        <w:rPr>
          <w:rFonts w:ascii="Times New Roman" w:cs="Times New Roman" w:eastAsia="Times New Roman" w:hAnsi="Times New Roman"/>
          <w:sz w:val="14"/>
          <w:szCs w:val="14"/>
          <w:color w:val="auto"/>
        </w:rPr>
        <w:t>AxiomSL provides financial institutions with risk &amp; financial</w:t>
      </w:r>
    </w:p>
    <w:p>
      <w:pPr>
        <w:spacing w:after="0" w:line="204" w:lineRule="auto"/>
        <w:rPr>
          <w:sz w:val="20"/>
          <w:szCs w:val="20"/>
          <w:color w:val="auto"/>
        </w:rPr>
      </w:pPr>
      <w:r>
        <w:rPr>
          <w:rFonts w:ascii="Times New Roman" w:cs="Times New Roman" w:eastAsia="Times New Roman" w:hAnsi="Times New Roman"/>
          <w:sz w:val="16"/>
          <w:szCs w:val="16"/>
          <w:color w:val="auto"/>
        </w:rPr>
        <w:t>regulatory reporting and risk management solutions. The</w:t>
      </w:r>
    </w:p>
    <w:p>
      <w:pPr>
        <w:spacing w:after="0" w:line="203" w:lineRule="auto"/>
        <w:rPr>
          <w:sz w:val="20"/>
          <w:szCs w:val="20"/>
          <w:color w:val="auto"/>
        </w:rPr>
      </w:pPr>
      <w:r>
        <w:rPr>
          <w:rFonts w:ascii="Times New Roman" w:cs="Times New Roman" w:eastAsia="Times New Roman" w:hAnsi="Times New Roman"/>
          <w:sz w:val="16"/>
          <w:szCs w:val="16"/>
          <w:color w:val="auto"/>
        </w:rPr>
        <w:t>products can be offered as an on-premises or as a cloud</w:t>
      </w:r>
    </w:p>
    <w:p>
      <w:pPr>
        <w:spacing w:after="0" w:line="204" w:lineRule="auto"/>
        <w:rPr>
          <w:sz w:val="20"/>
          <w:szCs w:val="20"/>
          <w:color w:val="auto"/>
        </w:rPr>
      </w:pPr>
      <w:r>
        <w:rPr>
          <w:rFonts w:ascii="Times New Roman" w:cs="Times New Roman" w:eastAsia="Times New Roman" w:hAnsi="Times New Roman"/>
          <w:sz w:val="16"/>
          <w:szCs w:val="16"/>
          <w:color w:val="auto"/>
        </w:rPr>
        <w:t>service agreement. Agreements are generally three to five</w:t>
      </w:r>
    </w:p>
    <w:p>
      <w:pPr>
        <w:spacing w:after="0" w:line="203" w:lineRule="auto"/>
        <w:rPr>
          <w:sz w:val="20"/>
          <w:szCs w:val="20"/>
          <w:color w:val="auto"/>
        </w:rPr>
      </w:pPr>
      <w:r>
        <w:rPr>
          <w:rFonts w:ascii="Times New Roman" w:cs="Times New Roman" w:eastAsia="Times New Roman" w:hAnsi="Times New Roman"/>
          <w:sz w:val="16"/>
          <w:szCs w:val="16"/>
          <w:color w:val="auto"/>
        </w:rPr>
        <w:t>years in term.</w:t>
      </w:r>
    </w:p>
    <w:p>
      <w:pPr>
        <w:spacing w:after="0" w:line="204" w:lineRule="auto"/>
        <w:rPr>
          <w:sz w:val="20"/>
          <w:szCs w:val="20"/>
          <w:color w:val="auto"/>
        </w:rPr>
      </w:pPr>
      <w:r>
        <w:rPr>
          <w:rFonts w:ascii="Times New Roman" w:cs="Times New Roman" w:eastAsia="Times New Roman" w:hAnsi="Times New Roman"/>
          <w:sz w:val="16"/>
          <w:szCs w:val="16"/>
          <w:color w:val="auto"/>
        </w:rPr>
        <w:t>The AxiomSL on-premises offering includes software</w:t>
      </w:r>
    </w:p>
    <w:p>
      <w:pPr>
        <w:spacing w:after="0" w:line="203" w:lineRule="auto"/>
        <w:rPr>
          <w:sz w:val="20"/>
          <w:szCs w:val="20"/>
          <w:color w:val="auto"/>
        </w:rPr>
      </w:pPr>
      <w:r>
        <w:rPr>
          <w:rFonts w:ascii="Times New Roman" w:cs="Times New Roman" w:eastAsia="Times New Roman" w:hAnsi="Times New Roman"/>
          <w:sz w:val="16"/>
          <w:szCs w:val="16"/>
          <w:color w:val="auto"/>
        </w:rPr>
        <w:t>licenses and PCS, which includes frequent and ongoing</w:t>
      </w:r>
    </w:p>
    <w:p>
      <w:pPr>
        <w:spacing w:after="0" w:line="204" w:lineRule="auto"/>
        <w:rPr>
          <w:sz w:val="20"/>
          <w:szCs w:val="20"/>
          <w:color w:val="auto"/>
        </w:rPr>
      </w:pPr>
      <w:r>
        <w:rPr>
          <w:rFonts w:ascii="Times New Roman" w:cs="Times New Roman" w:eastAsia="Times New Roman" w:hAnsi="Times New Roman"/>
          <w:sz w:val="16"/>
          <w:szCs w:val="16"/>
          <w:color w:val="auto"/>
        </w:rPr>
        <w:t>mandatory regulatory updates. Historically, the licenses and</w:t>
      </w:r>
    </w:p>
    <w:p>
      <w:pPr>
        <w:spacing w:after="0" w:line="203" w:lineRule="auto"/>
        <w:rPr>
          <w:sz w:val="20"/>
          <w:szCs w:val="20"/>
          <w:color w:val="auto"/>
        </w:rPr>
      </w:pPr>
      <w:r>
        <w:rPr>
          <w:rFonts w:ascii="Times New Roman" w:cs="Times New Roman" w:eastAsia="Times New Roman" w:hAnsi="Times New Roman"/>
          <w:sz w:val="16"/>
          <w:szCs w:val="16"/>
          <w:color w:val="auto"/>
        </w:rPr>
        <w:t>the PCS were considered distinct performance obligations,</w:t>
      </w:r>
    </w:p>
    <w:p>
      <w:pPr>
        <w:spacing w:after="0" w:line="204" w:lineRule="auto"/>
        <w:rPr>
          <w:sz w:val="20"/>
          <w:szCs w:val="20"/>
          <w:color w:val="auto"/>
        </w:rPr>
      </w:pPr>
      <w:r>
        <w:rPr>
          <w:rFonts w:ascii="Times New Roman" w:cs="Times New Roman" w:eastAsia="Times New Roman" w:hAnsi="Times New Roman"/>
          <w:sz w:val="16"/>
          <w:szCs w:val="16"/>
          <w:color w:val="auto"/>
        </w:rPr>
        <w:t>with license revenue recognized upfront at the point in time</w:t>
      </w:r>
    </w:p>
    <w:p>
      <w:pPr>
        <w:spacing w:after="0" w:line="204" w:lineRule="auto"/>
        <w:rPr>
          <w:sz w:val="20"/>
          <w:szCs w:val="20"/>
          <w:color w:val="auto"/>
        </w:rPr>
      </w:pPr>
      <w:r>
        <w:rPr>
          <w:rFonts w:ascii="Times New Roman" w:cs="Times New Roman" w:eastAsia="Times New Roman" w:hAnsi="Times New Roman"/>
          <w:sz w:val="16"/>
          <w:szCs w:val="16"/>
          <w:color w:val="auto"/>
        </w:rPr>
        <w:t>when the software is made available to the customer, and</w:t>
      </w:r>
    </w:p>
    <w:p>
      <w:pPr>
        <w:spacing w:after="0" w:line="203" w:lineRule="auto"/>
        <w:rPr>
          <w:sz w:val="20"/>
          <w:szCs w:val="20"/>
          <w:color w:val="auto"/>
        </w:rPr>
      </w:pPr>
      <w:r>
        <w:rPr>
          <w:rFonts w:ascii="Times New Roman" w:cs="Times New Roman" w:eastAsia="Times New Roman" w:hAnsi="Times New Roman"/>
          <w:sz w:val="16"/>
          <w:szCs w:val="16"/>
          <w:color w:val="auto"/>
        </w:rPr>
        <w:t>support is recognized over time on a ratable basis over the</w:t>
      </w:r>
    </w:p>
    <w:p>
      <w:pPr>
        <w:spacing w:after="0" w:line="233" w:lineRule="auto"/>
        <w:rPr>
          <w:sz w:val="20"/>
          <w:szCs w:val="20"/>
          <w:color w:val="auto"/>
        </w:rPr>
      </w:pPr>
      <w:r>
        <w:rPr>
          <w:rFonts w:ascii="Times New Roman" w:cs="Times New Roman" w:eastAsia="Times New Roman" w:hAnsi="Times New Roman"/>
          <w:sz w:val="14"/>
          <w:szCs w:val="14"/>
          <w:color w:val="auto"/>
        </w:rPr>
        <w:t>contract period beginning on the date that our service is made</w:t>
      </w:r>
    </w:p>
    <w:p>
      <w:pPr>
        <w:spacing w:after="0" w:line="203" w:lineRule="auto"/>
        <w:rPr>
          <w:sz w:val="20"/>
          <w:szCs w:val="20"/>
          <w:color w:val="auto"/>
        </w:rPr>
      </w:pPr>
      <w:r>
        <w:rPr>
          <w:rFonts w:ascii="Times New Roman" w:cs="Times New Roman" w:eastAsia="Times New Roman" w:hAnsi="Times New Roman"/>
          <w:sz w:val="16"/>
          <w:szCs w:val="16"/>
          <w:color w:val="auto"/>
        </w:rPr>
        <w:t>available to the customer.</w:t>
      </w:r>
    </w:p>
    <w:p>
      <w:pPr>
        <w:spacing w:after="0" w:line="233" w:lineRule="auto"/>
        <w:rPr>
          <w:sz w:val="20"/>
          <w:szCs w:val="20"/>
          <w:color w:val="auto"/>
        </w:rPr>
      </w:pPr>
      <w:r>
        <w:rPr>
          <w:rFonts w:ascii="Times New Roman" w:cs="Times New Roman" w:eastAsia="Times New Roman" w:hAnsi="Times New Roman"/>
          <w:sz w:val="14"/>
          <w:szCs w:val="14"/>
          <w:color w:val="auto"/>
        </w:rPr>
        <w:t>AxiomSL can also be offered as a cloud service and primarily</w:t>
      </w:r>
    </w:p>
    <w:p>
      <w:pPr>
        <w:spacing w:after="0" w:line="204" w:lineRule="auto"/>
        <w:rPr>
          <w:sz w:val="20"/>
          <w:szCs w:val="20"/>
          <w:color w:val="auto"/>
        </w:rPr>
      </w:pPr>
      <w:r>
        <w:rPr>
          <w:rFonts w:ascii="Times New Roman" w:cs="Times New Roman" w:eastAsia="Times New Roman" w:hAnsi="Times New Roman"/>
          <w:sz w:val="16"/>
          <w:szCs w:val="16"/>
          <w:color w:val="auto"/>
        </w:rPr>
        <w:t>consists of SaaS revenues. AxiomSL SaaS revenues are</w:t>
      </w:r>
    </w:p>
    <w:p>
      <w:pPr>
        <w:spacing w:after="0" w:line="203" w:lineRule="auto"/>
        <w:rPr>
          <w:sz w:val="20"/>
          <w:szCs w:val="20"/>
          <w:color w:val="auto"/>
        </w:rPr>
      </w:pPr>
      <w:r>
        <w:rPr>
          <w:rFonts w:ascii="Times New Roman" w:cs="Times New Roman" w:eastAsia="Times New Roman" w:hAnsi="Times New Roman"/>
          <w:sz w:val="16"/>
          <w:szCs w:val="16"/>
          <w:color w:val="auto"/>
        </w:rPr>
        <w:t>recognized similar to our Nasdaq Verafin solution.</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Surveillance</w:t>
      </w:r>
    </w:p>
    <w:p>
      <w:pPr>
        <w:spacing w:after="0" w:line="203" w:lineRule="auto"/>
        <w:rPr>
          <w:sz w:val="20"/>
          <w:szCs w:val="20"/>
          <w:color w:val="auto"/>
        </w:rPr>
      </w:pPr>
      <w:r>
        <w:rPr>
          <w:rFonts w:ascii="Times New Roman" w:cs="Times New Roman" w:eastAsia="Times New Roman" w:hAnsi="Times New Roman"/>
          <w:sz w:val="16"/>
          <w:szCs w:val="16"/>
          <w:color w:val="auto"/>
        </w:rPr>
        <w:t>Our surveillance solutions are primarily offered as a cloud</w:t>
      </w:r>
    </w:p>
    <w:p>
      <w:pPr>
        <w:spacing w:after="0" w:line="204" w:lineRule="auto"/>
        <w:rPr>
          <w:sz w:val="20"/>
          <w:szCs w:val="20"/>
          <w:color w:val="auto"/>
        </w:rPr>
      </w:pPr>
      <w:r>
        <w:rPr>
          <w:rFonts w:ascii="Times New Roman" w:cs="Times New Roman" w:eastAsia="Times New Roman" w:hAnsi="Times New Roman"/>
          <w:sz w:val="16"/>
          <w:szCs w:val="16"/>
          <w:color w:val="auto"/>
        </w:rPr>
        <w:t>service, consisting of SaaS revenues. We enter into</w:t>
      </w:r>
    </w:p>
    <w:p>
      <w:pPr>
        <w:spacing w:after="0" w:line="232" w:lineRule="auto"/>
        <w:rPr>
          <w:sz w:val="20"/>
          <w:szCs w:val="20"/>
          <w:color w:val="auto"/>
        </w:rPr>
      </w:pPr>
      <w:r>
        <w:rPr>
          <w:rFonts w:ascii="Times New Roman" w:cs="Times New Roman" w:eastAsia="Times New Roman" w:hAnsi="Times New Roman"/>
          <w:sz w:val="14"/>
          <w:szCs w:val="14"/>
          <w:color w:val="auto"/>
        </w:rPr>
        <w:t>subscription agreements which allow customers access to our</w:t>
      </w:r>
    </w:p>
    <w:p>
      <w:pPr>
        <w:spacing w:after="0" w:line="204" w:lineRule="auto"/>
        <w:rPr>
          <w:sz w:val="20"/>
          <w:szCs w:val="20"/>
          <w:color w:val="auto"/>
        </w:rPr>
      </w:pPr>
      <w:r>
        <w:rPr>
          <w:rFonts w:ascii="Times New Roman" w:cs="Times New Roman" w:eastAsia="Times New Roman" w:hAnsi="Times New Roman"/>
          <w:sz w:val="16"/>
          <w:szCs w:val="16"/>
          <w:color w:val="auto"/>
        </w:rPr>
        <w:t>cloud platform or a connection to our servers to access the</w:t>
      </w:r>
    </w:p>
    <w:p>
      <w:pPr>
        <w:spacing w:after="0" w:line="203" w:lineRule="auto"/>
        <w:rPr>
          <w:sz w:val="20"/>
          <w:szCs w:val="20"/>
          <w:color w:val="auto"/>
        </w:rPr>
      </w:pPr>
      <w:r>
        <w:rPr>
          <w:rFonts w:ascii="Times New Roman" w:cs="Times New Roman" w:eastAsia="Times New Roman" w:hAnsi="Times New Roman"/>
          <w:sz w:val="16"/>
          <w:szCs w:val="16"/>
          <w:color w:val="auto"/>
        </w:rPr>
        <w:t>software. Subscription agreements are generally three years</w:t>
      </w:r>
    </w:p>
    <w:p>
      <w:pPr>
        <w:spacing w:after="0" w:line="204" w:lineRule="auto"/>
        <w:rPr>
          <w:sz w:val="20"/>
          <w:szCs w:val="20"/>
          <w:color w:val="auto"/>
        </w:rPr>
      </w:pPr>
      <w:r>
        <w:rPr>
          <w:rFonts w:ascii="Times New Roman" w:cs="Times New Roman" w:eastAsia="Times New Roman" w:hAnsi="Times New Roman"/>
          <w:sz w:val="16"/>
          <w:szCs w:val="16"/>
          <w:color w:val="auto"/>
        </w:rPr>
        <w:t>in term, payable in advance, with the option of automatic</w:t>
      </w:r>
    </w:p>
    <w:p>
      <w:pPr>
        <w:spacing w:after="0" w:line="204" w:lineRule="auto"/>
        <w:rPr>
          <w:sz w:val="20"/>
          <w:szCs w:val="20"/>
          <w:color w:val="auto"/>
        </w:rPr>
      </w:pPr>
      <w:r>
        <w:rPr>
          <w:rFonts w:ascii="Times New Roman" w:cs="Times New Roman" w:eastAsia="Times New Roman" w:hAnsi="Times New Roman"/>
          <w:sz w:val="16"/>
          <w:szCs w:val="16"/>
          <w:color w:val="auto"/>
        </w:rPr>
        <w:t>renewal for some products. Surveillance SaaS revenues are</w:t>
      </w:r>
    </w:p>
    <w:p>
      <w:pPr>
        <w:spacing w:after="0" w:line="203" w:lineRule="auto"/>
        <w:rPr>
          <w:sz w:val="20"/>
          <w:szCs w:val="20"/>
          <w:color w:val="auto"/>
        </w:rPr>
      </w:pPr>
      <w:r>
        <w:rPr>
          <w:rFonts w:ascii="Times New Roman" w:cs="Times New Roman" w:eastAsia="Times New Roman" w:hAnsi="Times New Roman"/>
          <w:sz w:val="16"/>
          <w:szCs w:val="16"/>
          <w:color w:val="auto"/>
        </w:rPr>
        <w:t>recognized similar to our Nasdaq Verafin solution.</w:t>
      </w:r>
    </w:p>
    <w:p>
      <w:pPr>
        <w:spacing w:after="0" w:line="204" w:lineRule="auto"/>
        <w:rPr>
          <w:sz w:val="20"/>
          <w:szCs w:val="20"/>
          <w:color w:val="auto"/>
        </w:rPr>
      </w:pPr>
      <w:r>
        <w:rPr>
          <w:rFonts w:ascii="Times New Roman" w:cs="Times New Roman" w:eastAsia="Times New Roman" w:hAnsi="Times New Roman"/>
          <w:sz w:val="16"/>
          <w:szCs w:val="16"/>
          <w:i w:val="1"/>
          <w:iCs w:val="1"/>
          <w:u w:val="single" w:color="auto"/>
          <w:color w:val="auto"/>
        </w:rPr>
        <w:t>Capital Markets Technology</w:t>
      </w:r>
    </w:p>
    <w:p>
      <w:pPr>
        <w:spacing w:after="0" w:line="203" w:lineRule="auto"/>
        <w:rPr>
          <w:sz w:val="20"/>
          <w:szCs w:val="20"/>
          <w:color w:val="auto"/>
        </w:rPr>
      </w:pPr>
      <w:r>
        <w:rPr>
          <w:rFonts w:ascii="Times New Roman" w:cs="Times New Roman" w:eastAsia="Times New Roman" w:hAnsi="Times New Roman"/>
          <w:sz w:val="16"/>
          <w:szCs w:val="16"/>
          <w:color w:val="auto"/>
        </w:rPr>
        <w:t>Capital Markets Technology includes our Calypso and</w:t>
      </w:r>
    </w:p>
    <w:p>
      <w:pPr>
        <w:spacing w:after="0" w:line="204" w:lineRule="auto"/>
        <w:rPr>
          <w:sz w:val="20"/>
          <w:szCs w:val="20"/>
          <w:color w:val="auto"/>
        </w:rPr>
      </w:pPr>
      <w:r>
        <w:rPr>
          <w:rFonts w:ascii="Times New Roman" w:cs="Times New Roman" w:eastAsia="Times New Roman" w:hAnsi="Times New Roman"/>
          <w:sz w:val="16"/>
          <w:szCs w:val="16"/>
          <w:color w:val="auto"/>
        </w:rPr>
        <w:t>market technology solutions as well as trade management</w:t>
      </w:r>
    </w:p>
    <w:p>
      <w:pPr>
        <w:spacing w:after="0"/>
        <w:rPr>
          <w:sz w:val="20"/>
          <w:szCs w:val="20"/>
          <w:color w:val="auto"/>
        </w:rPr>
      </w:pPr>
      <w:r>
        <w:rPr>
          <w:rFonts w:ascii="Times New Roman" w:cs="Times New Roman" w:eastAsia="Times New Roman" w:hAnsi="Times New Roman"/>
          <w:sz w:val="16"/>
          <w:szCs w:val="16"/>
          <w:color w:val="auto"/>
        </w:rPr>
        <w:t>services.</w:t>
      </w:r>
    </w:p>
    <w:p>
      <w:pPr>
        <w:sectPr>
          <w:pgSz w:w="11900" w:h="16840" w:orient="portrait"/>
          <w:cols w:equalWidth="0" w:num="1">
            <w:col w:w="9400"/>
          </w:cols>
          <w:pgMar w:left="1060" w:top="547" w:right="1440" w:bottom="104"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i w:val="1"/>
          <w:iCs w:val="1"/>
          <w:color w:val="auto"/>
        </w:rPr>
        <w:t>Calypso solutions</w:t>
      </w:r>
    </w:p>
    <w:p>
      <w:pPr>
        <w:spacing w:after="0" w:line="232" w:lineRule="auto"/>
        <w:rPr>
          <w:sz w:val="20"/>
          <w:szCs w:val="20"/>
          <w:color w:val="auto"/>
        </w:rPr>
      </w:pPr>
      <w:r>
        <w:rPr>
          <w:rFonts w:ascii="Times New Roman" w:cs="Times New Roman" w:eastAsia="Times New Roman" w:hAnsi="Times New Roman"/>
          <w:sz w:val="14"/>
          <w:szCs w:val="14"/>
          <w:color w:val="auto"/>
        </w:rPr>
        <w:t>Our Calypso product offering includes on-premises and cloud</w:t>
      </w:r>
    </w:p>
    <w:p>
      <w:pPr>
        <w:spacing w:after="0" w:line="204" w:lineRule="auto"/>
        <w:rPr>
          <w:sz w:val="20"/>
          <w:szCs w:val="20"/>
          <w:color w:val="auto"/>
        </w:rPr>
      </w:pPr>
      <w:r>
        <w:rPr>
          <w:rFonts w:ascii="Times New Roman" w:cs="Times New Roman" w:eastAsia="Times New Roman" w:hAnsi="Times New Roman"/>
          <w:sz w:val="16"/>
          <w:szCs w:val="16"/>
          <w:color w:val="auto"/>
        </w:rPr>
        <w:t>service agreements. Agreements are generally three to five</w:t>
      </w:r>
    </w:p>
    <w:p>
      <w:pPr>
        <w:spacing w:after="0" w:line="203" w:lineRule="auto"/>
        <w:rPr>
          <w:sz w:val="20"/>
          <w:szCs w:val="20"/>
          <w:color w:val="auto"/>
        </w:rPr>
      </w:pPr>
      <w:r>
        <w:rPr>
          <w:rFonts w:ascii="Times New Roman" w:cs="Times New Roman" w:eastAsia="Times New Roman" w:hAnsi="Times New Roman"/>
          <w:sz w:val="16"/>
          <w:szCs w:val="16"/>
          <w:color w:val="auto"/>
        </w:rPr>
        <w:t>years in term.</w:t>
      </w:r>
    </w:p>
    <w:p>
      <w:pPr>
        <w:spacing w:after="0" w:line="204" w:lineRule="auto"/>
        <w:rPr>
          <w:sz w:val="20"/>
          <w:szCs w:val="20"/>
          <w:color w:val="auto"/>
        </w:rPr>
      </w:pPr>
      <w:r>
        <w:rPr>
          <w:rFonts w:ascii="Times New Roman" w:cs="Times New Roman" w:eastAsia="Times New Roman" w:hAnsi="Times New Roman"/>
          <w:sz w:val="16"/>
          <w:szCs w:val="16"/>
          <w:color w:val="auto"/>
        </w:rPr>
        <w:t>For our on-premises offering, a license provides customers</w:t>
      </w:r>
    </w:p>
    <w:p>
      <w:pPr>
        <w:spacing w:after="0" w:line="203" w:lineRule="auto"/>
        <w:rPr>
          <w:sz w:val="20"/>
          <w:szCs w:val="20"/>
          <w:color w:val="auto"/>
        </w:rPr>
      </w:pPr>
      <w:r>
        <w:rPr>
          <w:rFonts w:ascii="Times New Roman" w:cs="Times New Roman" w:eastAsia="Times New Roman" w:hAnsi="Times New Roman"/>
          <w:sz w:val="16"/>
          <w:szCs w:val="16"/>
          <w:color w:val="auto"/>
        </w:rPr>
        <w:t>with the right to use the software at its current state at the</w:t>
      </w:r>
    </w:p>
    <w:p>
      <w:pPr>
        <w:spacing w:after="0" w:line="204" w:lineRule="auto"/>
        <w:rPr>
          <w:sz w:val="20"/>
          <w:szCs w:val="20"/>
          <w:color w:val="auto"/>
        </w:rPr>
      </w:pPr>
      <w:r>
        <w:rPr>
          <w:rFonts w:ascii="Times New Roman" w:cs="Times New Roman" w:eastAsia="Times New Roman" w:hAnsi="Times New Roman"/>
          <w:sz w:val="16"/>
          <w:szCs w:val="16"/>
          <w:color w:val="auto"/>
        </w:rPr>
        <w:t>time it is made available to the customer. These contracts</w:t>
      </w:r>
    </w:p>
    <w:p>
      <w:pPr>
        <w:spacing w:after="0" w:line="203" w:lineRule="auto"/>
        <w:rPr>
          <w:sz w:val="20"/>
          <w:szCs w:val="20"/>
          <w:color w:val="auto"/>
        </w:rPr>
      </w:pPr>
      <w:r>
        <w:rPr>
          <w:rFonts w:ascii="Times New Roman" w:cs="Times New Roman" w:eastAsia="Times New Roman" w:hAnsi="Times New Roman"/>
          <w:sz w:val="16"/>
          <w:szCs w:val="16"/>
          <w:color w:val="auto"/>
        </w:rPr>
        <w:t>generally consist of the following distinct performance</w:t>
      </w:r>
    </w:p>
    <w:p>
      <w:pPr>
        <w:spacing w:after="0" w:line="204" w:lineRule="auto"/>
        <w:rPr>
          <w:sz w:val="20"/>
          <w:szCs w:val="20"/>
          <w:color w:val="auto"/>
        </w:rPr>
      </w:pPr>
      <w:r>
        <w:rPr>
          <w:rFonts w:ascii="Times New Roman" w:cs="Times New Roman" w:eastAsia="Times New Roman" w:hAnsi="Times New Roman"/>
          <w:sz w:val="16"/>
          <w:szCs w:val="16"/>
          <w:color w:val="auto"/>
        </w:rPr>
        <w:t>obligations: license and PCS. In allocating the contractual</w:t>
      </w:r>
    </w:p>
    <w:p>
      <w:pPr>
        <w:spacing w:after="0" w:line="233" w:lineRule="auto"/>
        <w:rPr>
          <w:sz w:val="20"/>
          <w:szCs w:val="20"/>
          <w:color w:val="auto"/>
        </w:rPr>
      </w:pPr>
      <w:r>
        <w:rPr>
          <w:rFonts w:ascii="Times New Roman" w:cs="Times New Roman" w:eastAsia="Times New Roman" w:hAnsi="Times New Roman"/>
          <w:sz w:val="14"/>
          <w:szCs w:val="14"/>
          <w:color w:val="auto"/>
        </w:rPr>
        <w:t>price to each performance obligation, we have used our best</w:t>
      </w:r>
    </w:p>
    <w:p>
      <w:pPr>
        <w:spacing w:after="0" w:line="203" w:lineRule="auto"/>
        <w:rPr>
          <w:sz w:val="20"/>
          <w:szCs w:val="20"/>
          <w:color w:val="auto"/>
        </w:rPr>
      </w:pPr>
      <w:r>
        <w:rPr>
          <w:rFonts w:ascii="Times New Roman" w:cs="Times New Roman" w:eastAsia="Times New Roman" w:hAnsi="Times New Roman"/>
          <w:sz w:val="16"/>
          <w:szCs w:val="16"/>
          <w:color w:val="auto"/>
        </w:rPr>
        <w:t>estimate of the stand-alone selling price. Consideration is</w:t>
      </w:r>
    </w:p>
    <w:p>
      <w:pPr>
        <w:spacing w:after="0" w:line="204" w:lineRule="auto"/>
        <w:rPr>
          <w:sz w:val="20"/>
          <w:szCs w:val="20"/>
          <w:color w:val="auto"/>
        </w:rPr>
      </w:pPr>
      <w:r>
        <w:rPr>
          <w:rFonts w:ascii="Times New Roman" w:cs="Times New Roman" w:eastAsia="Times New Roman" w:hAnsi="Times New Roman"/>
          <w:sz w:val="16"/>
          <w:szCs w:val="16"/>
          <w:color w:val="auto"/>
        </w:rPr>
        <w:t>first allocated to performance obligations with established</w:t>
      </w:r>
    </w:p>
    <w:p>
      <w:pPr>
        <w:spacing w:after="0" w:line="203" w:lineRule="auto"/>
        <w:rPr>
          <w:sz w:val="20"/>
          <w:szCs w:val="20"/>
          <w:color w:val="auto"/>
        </w:rPr>
      </w:pPr>
      <w:r>
        <w:rPr>
          <w:rFonts w:ascii="Times New Roman" w:cs="Times New Roman" w:eastAsia="Times New Roman" w:hAnsi="Times New Roman"/>
          <w:sz w:val="16"/>
          <w:szCs w:val="16"/>
          <w:color w:val="auto"/>
        </w:rPr>
        <w:t>stand-alone selling prices based on observable evidence.</w:t>
      </w:r>
    </w:p>
    <w:p>
      <w:pPr>
        <w:spacing w:after="0" w:line="204" w:lineRule="auto"/>
        <w:rPr>
          <w:sz w:val="20"/>
          <w:szCs w:val="20"/>
          <w:color w:val="auto"/>
        </w:rPr>
      </w:pPr>
      <w:r>
        <w:rPr>
          <w:rFonts w:ascii="Times New Roman" w:cs="Times New Roman" w:eastAsia="Times New Roman" w:hAnsi="Times New Roman"/>
          <w:sz w:val="16"/>
          <w:szCs w:val="16"/>
          <w:color w:val="auto"/>
        </w:rPr>
        <w:t>License revenue is recognized upfront at the point in time</w:t>
      </w:r>
    </w:p>
    <w:p>
      <w:pPr>
        <w:spacing w:after="0" w:line="232" w:lineRule="auto"/>
        <w:rPr>
          <w:sz w:val="20"/>
          <w:szCs w:val="20"/>
          <w:color w:val="auto"/>
        </w:rPr>
      </w:pPr>
      <w:r>
        <w:rPr>
          <w:rFonts w:ascii="Times New Roman" w:cs="Times New Roman" w:eastAsia="Times New Roman" w:hAnsi="Times New Roman"/>
          <w:sz w:val="14"/>
          <w:szCs w:val="14"/>
          <w:color w:val="auto"/>
        </w:rPr>
        <w:t>when the software is made available to the customer as this is</w:t>
      </w:r>
    </w:p>
    <w:p>
      <w:pPr>
        <w:spacing w:after="0" w:line="204" w:lineRule="auto"/>
        <w:rPr>
          <w:sz w:val="20"/>
          <w:szCs w:val="20"/>
          <w:color w:val="auto"/>
        </w:rPr>
      </w:pPr>
      <w:r>
        <w:rPr>
          <w:rFonts w:ascii="Times New Roman" w:cs="Times New Roman" w:eastAsia="Times New Roman" w:hAnsi="Times New Roman"/>
          <w:sz w:val="16"/>
          <w:szCs w:val="16"/>
          <w:color w:val="auto"/>
        </w:rPr>
        <w:t>the point the user of the software can direct the use of and</w:t>
      </w:r>
    </w:p>
    <w:p>
      <w:pPr>
        <w:spacing w:after="0" w:line="203" w:lineRule="auto"/>
        <w:rPr>
          <w:sz w:val="20"/>
          <w:szCs w:val="20"/>
          <w:color w:val="auto"/>
        </w:rPr>
      </w:pPr>
      <w:r>
        <w:rPr>
          <w:rFonts w:ascii="Times New Roman" w:cs="Times New Roman" w:eastAsia="Times New Roman" w:hAnsi="Times New Roman"/>
          <w:sz w:val="16"/>
          <w:szCs w:val="16"/>
          <w:color w:val="auto"/>
        </w:rPr>
        <w:t>obtain substantially all of the remaining benefits from the</w:t>
      </w:r>
    </w:p>
    <w:p>
      <w:pPr>
        <w:spacing w:after="0" w:line="204" w:lineRule="auto"/>
        <w:rPr>
          <w:sz w:val="20"/>
          <w:szCs w:val="20"/>
          <w:color w:val="auto"/>
        </w:rPr>
      </w:pPr>
      <w:r>
        <w:rPr>
          <w:rFonts w:ascii="Times New Roman" w:cs="Times New Roman" w:eastAsia="Times New Roman" w:hAnsi="Times New Roman"/>
          <w:sz w:val="16"/>
          <w:szCs w:val="16"/>
          <w:color w:val="auto"/>
        </w:rPr>
        <w:t>software license. PCS revenue is recognized over time on a</w:t>
      </w:r>
    </w:p>
    <w:p>
      <w:pPr>
        <w:spacing w:after="0" w:line="204" w:lineRule="auto"/>
        <w:rPr>
          <w:sz w:val="20"/>
          <w:szCs w:val="20"/>
          <w:color w:val="auto"/>
        </w:rPr>
      </w:pPr>
      <w:r>
        <w:rPr>
          <w:rFonts w:ascii="Times New Roman" w:cs="Times New Roman" w:eastAsia="Times New Roman" w:hAnsi="Times New Roman"/>
          <w:sz w:val="16"/>
          <w:szCs w:val="16"/>
          <w:color w:val="auto"/>
        </w:rPr>
        <w:t>ratable basis over the contract period beginning on the date</w:t>
      </w:r>
    </w:p>
    <w:p>
      <w:pPr>
        <w:spacing w:after="0" w:line="203" w:lineRule="auto"/>
        <w:rPr>
          <w:sz w:val="20"/>
          <w:szCs w:val="20"/>
          <w:color w:val="auto"/>
        </w:rPr>
      </w:pPr>
      <w:r>
        <w:rPr>
          <w:rFonts w:ascii="Times New Roman" w:cs="Times New Roman" w:eastAsia="Times New Roman" w:hAnsi="Times New Roman"/>
          <w:sz w:val="16"/>
          <w:szCs w:val="16"/>
          <w:color w:val="auto"/>
        </w:rPr>
        <w:t>that our service is made available to the customer since the</w:t>
      </w:r>
    </w:p>
    <w:p>
      <w:pPr>
        <w:spacing w:after="0" w:line="204" w:lineRule="auto"/>
        <w:rPr>
          <w:sz w:val="20"/>
          <w:szCs w:val="20"/>
          <w:color w:val="auto"/>
        </w:rPr>
      </w:pPr>
      <w:r>
        <w:rPr>
          <w:rFonts w:ascii="Times New Roman" w:cs="Times New Roman" w:eastAsia="Times New Roman" w:hAnsi="Times New Roman"/>
          <w:sz w:val="16"/>
          <w:szCs w:val="16"/>
          <w:color w:val="auto"/>
        </w:rPr>
        <w:t>customer receives and consumes the benefit as Nasdaq</w:t>
      </w:r>
    </w:p>
    <w:p>
      <w:pPr>
        <w:spacing w:after="0" w:line="203" w:lineRule="auto"/>
        <w:rPr>
          <w:sz w:val="20"/>
          <w:szCs w:val="20"/>
          <w:color w:val="auto"/>
        </w:rPr>
      </w:pPr>
      <w:r>
        <w:rPr>
          <w:rFonts w:ascii="Times New Roman" w:cs="Times New Roman" w:eastAsia="Times New Roman" w:hAnsi="Times New Roman"/>
          <w:sz w:val="16"/>
          <w:szCs w:val="16"/>
          <w:color w:val="auto"/>
        </w:rPr>
        <w:t>provides the service.</w:t>
      </w:r>
    </w:p>
    <w:p>
      <w:pPr>
        <w:spacing w:after="0" w:line="204" w:lineRule="auto"/>
        <w:rPr>
          <w:sz w:val="20"/>
          <w:szCs w:val="20"/>
          <w:color w:val="auto"/>
        </w:rPr>
      </w:pPr>
      <w:r>
        <w:rPr>
          <w:rFonts w:ascii="Times New Roman" w:cs="Times New Roman" w:eastAsia="Times New Roman" w:hAnsi="Times New Roman"/>
          <w:sz w:val="16"/>
          <w:szCs w:val="16"/>
          <w:color w:val="auto"/>
        </w:rPr>
        <w:t>We recognize Calypso SaaS revenues from cloud service</w:t>
      </w:r>
    </w:p>
    <w:p>
      <w:pPr>
        <w:spacing w:after="0" w:line="203" w:lineRule="auto"/>
        <w:rPr>
          <w:sz w:val="20"/>
          <w:szCs w:val="20"/>
          <w:color w:val="auto"/>
        </w:rPr>
      </w:pPr>
      <w:r>
        <w:rPr>
          <w:rFonts w:ascii="Times New Roman" w:cs="Times New Roman" w:eastAsia="Times New Roman" w:hAnsi="Times New Roman"/>
          <w:sz w:val="16"/>
          <w:szCs w:val="16"/>
          <w:color w:val="auto"/>
        </w:rPr>
        <w:t>agreements similar to our Nasdaq Verafin solution.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technology solutions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F-17</w:t>
      </w:r>
    </w:p>
    <w:p>
      <w:pPr>
        <w:spacing w:after="0" w:line="203" w:lineRule="auto"/>
        <w:rPr>
          <w:sz w:val="20"/>
          <w:szCs w:val="20"/>
          <w:color w:val="auto"/>
        </w:rPr>
      </w:pPr>
      <w:r>
        <w:rPr>
          <w:rFonts w:ascii="Times New Roman" w:cs="Times New Roman" w:eastAsia="Times New Roman" w:hAnsi="Times New Roman"/>
          <w:sz w:val="16"/>
          <w:szCs w:val="16"/>
          <w:color w:val="auto"/>
        </w:rPr>
        <w:t>For our long-term contracts, payments are generally made</w:t>
      </w:r>
    </w:p>
    <w:p>
      <w:pPr>
        <w:spacing w:after="0" w:line="204" w:lineRule="auto"/>
        <w:rPr>
          <w:sz w:val="20"/>
          <w:szCs w:val="20"/>
          <w:color w:val="auto"/>
        </w:rPr>
      </w:pPr>
      <w:r>
        <w:rPr>
          <w:rFonts w:ascii="Times New Roman" w:cs="Times New Roman" w:eastAsia="Times New Roman" w:hAnsi="Times New Roman"/>
          <w:sz w:val="16"/>
          <w:szCs w:val="16"/>
          <w:color w:val="auto"/>
        </w:rPr>
        <w:t>throughout the contract life and can be dependent on either</w:t>
      </w:r>
    </w:p>
    <w:p>
      <w:pPr>
        <w:spacing w:after="0" w:line="232" w:lineRule="auto"/>
        <w:rPr>
          <w:sz w:val="20"/>
          <w:szCs w:val="20"/>
          <w:color w:val="auto"/>
        </w:rPr>
      </w:pPr>
      <w:r>
        <w:rPr>
          <w:rFonts w:ascii="Times New Roman" w:cs="Times New Roman" w:eastAsia="Times New Roman" w:hAnsi="Times New Roman"/>
          <w:sz w:val="14"/>
          <w:szCs w:val="14"/>
          <w:color w:val="auto"/>
        </w:rPr>
        <w:t>reaching certain milestones or paid upfront in advance of the</w:t>
      </w:r>
    </w:p>
    <w:p>
      <w:pPr>
        <w:spacing w:after="0" w:line="204" w:lineRule="auto"/>
        <w:rPr>
          <w:sz w:val="20"/>
          <w:szCs w:val="20"/>
          <w:color w:val="auto"/>
        </w:rPr>
      </w:pPr>
      <w:r>
        <w:rPr>
          <w:rFonts w:ascii="Times New Roman" w:cs="Times New Roman" w:eastAsia="Times New Roman" w:hAnsi="Times New Roman"/>
          <w:sz w:val="16"/>
          <w:szCs w:val="16"/>
          <w:color w:val="auto"/>
        </w:rPr>
        <w:t>service period depending on the stage of the contract. For</w:t>
      </w:r>
    </w:p>
    <w:p>
      <w:pPr>
        <w:spacing w:after="0" w:line="203" w:lineRule="auto"/>
        <w:rPr>
          <w:sz w:val="20"/>
          <w:szCs w:val="20"/>
          <w:color w:val="auto"/>
        </w:rPr>
      </w:pPr>
      <w:r>
        <w:rPr>
          <w:rFonts w:ascii="Times New Roman" w:cs="Times New Roman" w:eastAsia="Times New Roman" w:hAnsi="Times New Roman"/>
          <w:sz w:val="16"/>
          <w:szCs w:val="16"/>
          <w:color w:val="auto"/>
        </w:rPr>
        <w:t>subscription agreements, contract payment terms can be</w:t>
      </w:r>
    </w:p>
    <w:p>
      <w:pPr>
        <w:spacing w:after="0" w:line="204" w:lineRule="auto"/>
        <w:rPr>
          <w:sz w:val="20"/>
          <w:szCs w:val="20"/>
          <w:color w:val="auto"/>
        </w:rPr>
      </w:pPr>
      <w:r>
        <w:rPr>
          <w:rFonts w:ascii="Times New Roman" w:cs="Times New Roman" w:eastAsia="Times New Roman" w:hAnsi="Times New Roman"/>
          <w:sz w:val="16"/>
          <w:szCs w:val="16"/>
          <w:color w:val="auto"/>
        </w:rPr>
        <w:t>quarterly, annually or monthly, in advance. For all other</w:t>
      </w:r>
    </w:p>
    <w:p>
      <w:pPr>
        <w:spacing w:after="0" w:line="203" w:lineRule="auto"/>
        <w:rPr>
          <w:sz w:val="20"/>
          <w:szCs w:val="20"/>
          <w:color w:val="auto"/>
        </w:rPr>
      </w:pPr>
      <w:r>
        <w:rPr>
          <w:rFonts w:ascii="Times New Roman" w:cs="Times New Roman" w:eastAsia="Times New Roman" w:hAnsi="Times New Roman"/>
          <w:sz w:val="16"/>
          <w:szCs w:val="16"/>
          <w:color w:val="auto"/>
        </w:rPr>
        <w:t>contracts, payment terms vary.</w:t>
      </w:r>
    </w:p>
    <w:p>
      <w:pPr>
        <w:spacing w:after="0" w:line="204" w:lineRule="auto"/>
        <w:rPr>
          <w:sz w:val="20"/>
          <w:szCs w:val="20"/>
          <w:color w:val="auto"/>
        </w:rPr>
      </w:pPr>
      <w:r>
        <w:rPr>
          <w:rFonts w:ascii="Times New Roman" w:cs="Times New Roman" w:eastAsia="Times New Roman" w:hAnsi="Times New Roman"/>
          <w:sz w:val="16"/>
          <w:szCs w:val="16"/>
          <w:color w:val="auto"/>
        </w:rPr>
        <w:t>We generally recognize revenue over time as our customers</w:t>
      </w:r>
    </w:p>
    <w:p>
      <w:pPr>
        <w:spacing w:after="0" w:line="233" w:lineRule="auto"/>
        <w:rPr>
          <w:sz w:val="20"/>
          <w:szCs w:val="20"/>
          <w:color w:val="auto"/>
        </w:rPr>
      </w:pPr>
      <w:r>
        <w:rPr>
          <w:rFonts w:ascii="Times New Roman" w:cs="Times New Roman" w:eastAsia="Times New Roman" w:hAnsi="Times New Roman"/>
          <w:sz w:val="14"/>
          <w:szCs w:val="14"/>
          <w:color w:val="auto"/>
        </w:rPr>
        <w:t>simultaneously receive and consume the benefits provided by</w:t>
      </w:r>
    </w:p>
    <w:p>
      <w:pPr>
        <w:spacing w:after="0" w:line="232" w:lineRule="auto"/>
        <w:rPr>
          <w:sz w:val="20"/>
          <w:szCs w:val="20"/>
          <w:color w:val="auto"/>
        </w:rPr>
      </w:pPr>
      <w:r>
        <w:rPr>
          <w:rFonts w:ascii="Times New Roman" w:cs="Times New Roman" w:eastAsia="Times New Roman" w:hAnsi="Times New Roman"/>
          <w:sz w:val="14"/>
          <w:szCs w:val="14"/>
          <w:color w:val="auto"/>
        </w:rPr>
        <w:t>our performance because our customer controls the asset for</w:t>
      </w:r>
    </w:p>
    <w:p>
      <w:pPr>
        <w:spacing w:after="0" w:line="204" w:lineRule="auto"/>
        <w:rPr>
          <w:sz w:val="20"/>
          <w:szCs w:val="20"/>
          <w:color w:val="auto"/>
        </w:rPr>
      </w:pPr>
      <w:r>
        <w:rPr>
          <w:rFonts w:ascii="Times New Roman" w:cs="Times New Roman" w:eastAsia="Times New Roman" w:hAnsi="Times New Roman"/>
          <w:sz w:val="16"/>
          <w:szCs w:val="16"/>
          <w:color w:val="auto"/>
        </w:rPr>
        <w:t>which we are creating, our performance does not create an</w:t>
      </w:r>
    </w:p>
    <w:p>
      <w:pPr>
        <w:spacing w:after="0" w:line="232" w:lineRule="auto"/>
        <w:rPr>
          <w:sz w:val="20"/>
          <w:szCs w:val="20"/>
          <w:color w:val="auto"/>
        </w:rPr>
      </w:pPr>
      <w:r>
        <w:rPr>
          <w:rFonts w:ascii="Times New Roman" w:cs="Times New Roman" w:eastAsia="Times New Roman" w:hAnsi="Times New Roman"/>
          <w:sz w:val="14"/>
          <w:szCs w:val="14"/>
          <w:color w:val="auto"/>
        </w:rPr>
        <w:t>asset with alternative use, and we have a right to payment for</w:t>
      </w:r>
    </w:p>
    <w:p>
      <w:pPr>
        <w:spacing w:after="0" w:line="204" w:lineRule="auto"/>
        <w:rPr>
          <w:sz w:val="20"/>
          <w:szCs w:val="20"/>
          <w:color w:val="auto"/>
        </w:rPr>
      </w:pPr>
      <w:r>
        <w:rPr>
          <w:rFonts w:ascii="Times New Roman" w:cs="Times New Roman" w:eastAsia="Times New Roman" w:hAnsi="Times New Roman"/>
          <w:sz w:val="16"/>
          <w:szCs w:val="16"/>
          <w:color w:val="auto"/>
        </w:rPr>
        <w:t>performance completed to date. For these services, we</w:t>
      </w:r>
    </w:p>
    <w:p>
      <w:pPr>
        <w:spacing w:after="0" w:line="203" w:lineRule="auto"/>
        <w:rPr>
          <w:sz w:val="20"/>
          <w:szCs w:val="20"/>
          <w:color w:val="auto"/>
        </w:rPr>
      </w:pPr>
      <w:r>
        <w:rPr>
          <w:rFonts w:ascii="Times New Roman" w:cs="Times New Roman" w:eastAsia="Times New Roman" w:hAnsi="Times New Roman"/>
          <w:sz w:val="16"/>
          <w:szCs w:val="16"/>
          <w:color w:val="auto"/>
        </w:rPr>
        <w:t>recognize revenue over time using costs incurred to date</w:t>
      </w:r>
    </w:p>
    <w:p>
      <w:pPr>
        <w:spacing w:after="0" w:line="204" w:lineRule="auto"/>
        <w:rPr>
          <w:sz w:val="20"/>
          <w:szCs w:val="20"/>
          <w:color w:val="auto"/>
        </w:rPr>
      </w:pPr>
      <w:r>
        <w:rPr>
          <w:rFonts w:ascii="Times New Roman" w:cs="Times New Roman" w:eastAsia="Times New Roman" w:hAnsi="Times New Roman"/>
          <w:sz w:val="16"/>
          <w:szCs w:val="16"/>
          <w:color w:val="auto"/>
        </w:rPr>
        <w:t>relative to total estimated costs at completion to measure</w:t>
      </w:r>
    </w:p>
    <w:p>
      <w:pPr>
        <w:spacing w:after="0" w:line="203" w:lineRule="auto"/>
        <w:rPr>
          <w:sz w:val="20"/>
          <w:szCs w:val="20"/>
          <w:color w:val="auto"/>
        </w:rPr>
      </w:pPr>
      <w:r>
        <w:rPr>
          <w:rFonts w:ascii="Times New Roman" w:cs="Times New Roman" w:eastAsia="Times New Roman" w:hAnsi="Times New Roman"/>
          <w:sz w:val="16"/>
          <w:szCs w:val="16"/>
          <w:color w:val="auto"/>
        </w:rPr>
        <w:t>progress toward satisfying our performance obligation.</w:t>
      </w:r>
    </w:p>
    <w:p>
      <w:pPr>
        <w:spacing w:after="0" w:line="233" w:lineRule="auto"/>
        <w:rPr>
          <w:sz w:val="20"/>
          <w:szCs w:val="20"/>
          <w:color w:val="auto"/>
        </w:rPr>
      </w:pPr>
      <w:r>
        <w:rPr>
          <w:rFonts w:ascii="Times New Roman" w:cs="Times New Roman" w:eastAsia="Times New Roman" w:hAnsi="Times New Roman"/>
          <w:sz w:val="14"/>
          <w:szCs w:val="14"/>
          <w:color w:val="auto"/>
        </w:rPr>
        <w:t>Incurred costs represent work performed, which corresponds</w:t>
      </w:r>
    </w:p>
    <w:p>
      <w:pPr>
        <w:spacing w:after="0" w:line="204" w:lineRule="auto"/>
        <w:rPr>
          <w:sz w:val="20"/>
          <w:szCs w:val="20"/>
          <w:color w:val="auto"/>
        </w:rPr>
      </w:pPr>
      <w:r>
        <w:rPr>
          <w:rFonts w:ascii="Times New Roman" w:cs="Times New Roman" w:eastAsia="Times New Roman" w:hAnsi="Times New Roman"/>
          <w:sz w:val="16"/>
          <w:szCs w:val="16"/>
          <w:color w:val="auto"/>
        </w:rPr>
        <w:t>with, and thereby depicts, the transfer of control to the</w:t>
      </w:r>
    </w:p>
    <w:p>
      <w:pPr>
        <w:spacing w:after="0" w:line="203" w:lineRule="auto"/>
        <w:rPr>
          <w:sz w:val="20"/>
          <w:szCs w:val="20"/>
          <w:color w:val="auto"/>
        </w:rPr>
      </w:pPr>
      <w:r>
        <w:rPr>
          <w:rFonts w:ascii="Times New Roman" w:cs="Times New Roman" w:eastAsia="Times New Roman" w:hAnsi="Times New Roman"/>
          <w:sz w:val="16"/>
          <w:szCs w:val="16"/>
          <w:color w:val="auto"/>
        </w:rPr>
        <w:t>customer. Contract costs generally include labor and direct</w:t>
      </w:r>
    </w:p>
    <w:p>
      <w:pPr>
        <w:spacing w:after="0" w:line="204" w:lineRule="auto"/>
        <w:rPr>
          <w:sz w:val="20"/>
          <w:szCs w:val="20"/>
          <w:color w:val="auto"/>
        </w:rPr>
      </w:pPr>
      <w:r>
        <w:rPr>
          <w:rFonts w:ascii="Times New Roman" w:cs="Times New Roman" w:eastAsia="Times New Roman" w:hAnsi="Times New Roman"/>
          <w:sz w:val="16"/>
          <w:szCs w:val="16"/>
          <w:color w:val="auto"/>
        </w:rPr>
        <w:t>overhead. For PCS services, we recognize revenue ratably</w:t>
      </w:r>
    </w:p>
    <w:p>
      <w:pPr>
        <w:spacing w:after="0" w:line="203" w:lineRule="auto"/>
        <w:rPr>
          <w:sz w:val="20"/>
          <w:szCs w:val="20"/>
          <w:color w:val="auto"/>
        </w:rPr>
      </w:pPr>
      <w:r>
        <w:rPr>
          <w:rFonts w:ascii="Times New Roman" w:cs="Times New Roman" w:eastAsia="Times New Roman" w:hAnsi="Times New Roman"/>
          <w:sz w:val="16"/>
          <w:szCs w:val="16"/>
          <w:color w:val="auto"/>
        </w:rPr>
        <w:t>over the service period beginning on the date our service is</w:t>
      </w:r>
    </w:p>
    <w:p>
      <w:pPr>
        <w:spacing w:after="0" w:line="204" w:lineRule="auto"/>
        <w:rPr>
          <w:sz w:val="20"/>
          <w:szCs w:val="20"/>
          <w:color w:val="auto"/>
        </w:rPr>
      </w:pPr>
      <w:r>
        <w:rPr>
          <w:rFonts w:ascii="Times New Roman" w:cs="Times New Roman" w:eastAsia="Times New Roman" w:hAnsi="Times New Roman"/>
          <w:sz w:val="16"/>
          <w:szCs w:val="16"/>
          <w:color w:val="auto"/>
        </w:rPr>
        <w:t>made available to the customer since the customer receives</w:t>
      </w:r>
    </w:p>
    <w:p>
      <w:pPr>
        <w:spacing w:after="0" w:line="203" w:lineRule="auto"/>
        <w:rPr>
          <w:sz w:val="20"/>
          <w:szCs w:val="20"/>
          <w:color w:val="auto"/>
        </w:rPr>
      </w:pPr>
      <w:r>
        <w:rPr>
          <w:rFonts w:ascii="Times New Roman" w:cs="Times New Roman" w:eastAsia="Times New Roman" w:hAnsi="Times New Roman"/>
          <w:sz w:val="16"/>
          <w:szCs w:val="16"/>
          <w:color w:val="auto"/>
        </w:rPr>
        <w:t>and consumes the benefit consistently over the period as</w:t>
      </w:r>
    </w:p>
    <w:p>
      <w:pPr>
        <w:spacing w:after="0" w:line="204" w:lineRule="auto"/>
        <w:rPr>
          <w:sz w:val="20"/>
          <w:szCs w:val="20"/>
          <w:color w:val="auto"/>
        </w:rPr>
      </w:pPr>
      <w:r>
        <w:rPr>
          <w:rFonts w:ascii="Times New Roman" w:cs="Times New Roman" w:eastAsia="Times New Roman" w:hAnsi="Times New Roman"/>
          <w:sz w:val="16"/>
          <w:szCs w:val="16"/>
          <w:color w:val="auto"/>
        </w:rPr>
        <w:t>Nasdaq provides the services.</w:t>
      </w:r>
    </w:p>
    <w:p>
      <w:pPr>
        <w:spacing w:after="0" w:line="204" w:lineRule="auto"/>
        <w:rPr>
          <w:sz w:val="20"/>
          <w:szCs w:val="20"/>
          <w:color w:val="auto"/>
        </w:rPr>
      </w:pPr>
      <w:r>
        <w:rPr>
          <w:rFonts w:ascii="Times New Roman" w:cs="Times New Roman" w:eastAsia="Times New Roman" w:hAnsi="Times New Roman"/>
          <w:sz w:val="16"/>
          <w:szCs w:val="16"/>
          <w:color w:val="auto"/>
        </w:rPr>
        <w:t>Accounting for our long-term contracts requires judgment</w:t>
      </w:r>
    </w:p>
    <w:p>
      <w:pPr>
        <w:spacing w:after="0" w:line="232" w:lineRule="auto"/>
        <w:rPr>
          <w:sz w:val="20"/>
          <w:szCs w:val="20"/>
          <w:color w:val="auto"/>
        </w:rPr>
      </w:pPr>
      <w:r>
        <w:rPr>
          <w:rFonts w:ascii="Times New Roman" w:cs="Times New Roman" w:eastAsia="Times New Roman" w:hAnsi="Times New Roman"/>
          <w:sz w:val="14"/>
          <w:szCs w:val="14"/>
          <w:color w:val="auto"/>
        </w:rPr>
        <w:t>relative to assessing risks and their impact on the estimate of</w:t>
      </w:r>
    </w:p>
    <w:p>
      <w:pPr>
        <w:spacing w:after="0" w:line="204" w:lineRule="auto"/>
        <w:rPr>
          <w:sz w:val="20"/>
          <w:szCs w:val="20"/>
          <w:color w:val="auto"/>
        </w:rPr>
      </w:pPr>
      <w:r>
        <w:rPr>
          <w:rFonts w:ascii="Times New Roman" w:cs="Times New Roman" w:eastAsia="Times New Roman" w:hAnsi="Times New Roman"/>
          <w:sz w:val="16"/>
          <w:szCs w:val="16"/>
          <w:color w:val="auto"/>
        </w:rPr>
        <w:t>revenues and costs. Our estimates are impacted by factors</w:t>
      </w:r>
    </w:p>
    <w:p>
      <w:pPr>
        <w:spacing w:after="0" w:line="203" w:lineRule="auto"/>
        <w:rPr>
          <w:sz w:val="20"/>
          <w:szCs w:val="20"/>
          <w:color w:val="auto"/>
        </w:rPr>
      </w:pPr>
      <w:r>
        <w:rPr>
          <w:rFonts w:ascii="Times New Roman" w:cs="Times New Roman" w:eastAsia="Times New Roman" w:hAnsi="Times New Roman"/>
          <w:sz w:val="16"/>
          <w:szCs w:val="16"/>
          <w:color w:val="auto"/>
        </w:rPr>
        <w:t>such as the potential for schedule and technical issues,</w:t>
      </w:r>
    </w:p>
    <w:p>
      <w:pPr>
        <w:spacing w:after="0" w:line="204" w:lineRule="auto"/>
        <w:rPr>
          <w:sz w:val="20"/>
          <w:szCs w:val="20"/>
          <w:color w:val="auto"/>
        </w:rPr>
      </w:pPr>
      <w:r>
        <w:rPr>
          <w:rFonts w:ascii="Times New Roman" w:cs="Times New Roman" w:eastAsia="Times New Roman" w:hAnsi="Times New Roman"/>
          <w:sz w:val="16"/>
          <w:szCs w:val="16"/>
          <w:color w:val="auto"/>
        </w:rPr>
        <w:t>productivity, and the complexity of work performed. When</w:t>
      </w:r>
    </w:p>
    <w:p>
      <w:pPr>
        <w:spacing w:after="0" w:line="232" w:lineRule="auto"/>
        <w:rPr>
          <w:sz w:val="20"/>
          <w:szCs w:val="20"/>
          <w:color w:val="auto"/>
        </w:rPr>
      </w:pPr>
      <w:r>
        <w:rPr>
          <w:rFonts w:ascii="Times New Roman" w:cs="Times New Roman" w:eastAsia="Times New Roman" w:hAnsi="Times New Roman"/>
          <w:sz w:val="14"/>
          <w:szCs w:val="14"/>
          <w:color w:val="auto"/>
        </w:rPr>
        <w:t>adjustments in estimated total contract costs are required, any</w:t>
      </w:r>
    </w:p>
    <w:p>
      <w:pPr>
        <w:spacing w:after="0" w:line="204" w:lineRule="auto"/>
        <w:rPr>
          <w:sz w:val="20"/>
          <w:szCs w:val="20"/>
          <w:color w:val="auto"/>
        </w:rPr>
      </w:pPr>
      <w:r>
        <w:rPr>
          <w:rFonts w:ascii="Times New Roman" w:cs="Times New Roman" w:eastAsia="Times New Roman" w:hAnsi="Times New Roman"/>
          <w:sz w:val="16"/>
          <w:szCs w:val="16"/>
          <w:color w:val="auto"/>
        </w:rPr>
        <w:t>changes in the estimated revenues from prior estimates are</w:t>
      </w:r>
    </w:p>
    <w:p>
      <w:pPr>
        <w:spacing w:after="0" w:line="233" w:lineRule="auto"/>
        <w:rPr>
          <w:sz w:val="20"/>
          <w:szCs w:val="20"/>
          <w:color w:val="auto"/>
        </w:rPr>
      </w:pPr>
      <w:r>
        <w:rPr>
          <w:rFonts w:ascii="Times New Roman" w:cs="Times New Roman" w:eastAsia="Times New Roman" w:hAnsi="Times New Roman"/>
          <w:sz w:val="14"/>
          <w:szCs w:val="14"/>
          <w:color w:val="auto"/>
        </w:rPr>
        <w:t>recognized in the current period for the effect of such change.</w:t>
      </w:r>
    </w:p>
    <w:p>
      <w:pPr>
        <w:spacing w:after="0" w:line="232" w:lineRule="auto"/>
        <w:rPr>
          <w:sz w:val="20"/>
          <w:szCs w:val="20"/>
          <w:color w:val="auto"/>
        </w:rPr>
      </w:pPr>
      <w:r>
        <w:rPr>
          <w:rFonts w:ascii="Times New Roman" w:cs="Times New Roman" w:eastAsia="Times New Roman" w:hAnsi="Times New Roman"/>
          <w:sz w:val="14"/>
          <w:szCs w:val="14"/>
          <w:color w:val="auto"/>
        </w:rPr>
        <w:t>If estimates of total costs to be incurred on a contract exceed</w:t>
      </w:r>
    </w:p>
    <w:p>
      <w:pPr>
        <w:spacing w:after="0" w:line="204" w:lineRule="auto"/>
        <w:rPr>
          <w:sz w:val="20"/>
          <w:szCs w:val="20"/>
          <w:color w:val="auto"/>
        </w:rPr>
      </w:pPr>
      <w:r>
        <w:rPr>
          <w:rFonts w:ascii="Times New Roman" w:cs="Times New Roman" w:eastAsia="Times New Roman" w:hAnsi="Times New Roman"/>
          <w:sz w:val="16"/>
          <w:szCs w:val="16"/>
          <w:color w:val="auto"/>
        </w:rPr>
        <w:t>estimates of total revenues, a provision for the entire</w:t>
      </w:r>
    </w:p>
    <w:p>
      <w:pPr>
        <w:spacing w:after="0" w:line="203" w:lineRule="auto"/>
        <w:rPr>
          <w:sz w:val="20"/>
          <w:szCs w:val="20"/>
          <w:color w:val="auto"/>
        </w:rPr>
      </w:pPr>
      <w:r>
        <w:rPr>
          <w:rFonts w:ascii="Times New Roman" w:cs="Times New Roman" w:eastAsia="Times New Roman" w:hAnsi="Times New Roman"/>
          <w:sz w:val="16"/>
          <w:szCs w:val="16"/>
          <w:color w:val="auto"/>
        </w:rPr>
        <w:t>estimated loss on the contract is recorded in the period in</w:t>
      </w:r>
    </w:p>
    <w:p>
      <w:pPr>
        <w:spacing w:after="0" w:line="204" w:lineRule="auto"/>
        <w:rPr>
          <w:sz w:val="20"/>
          <w:szCs w:val="20"/>
          <w:color w:val="auto"/>
        </w:rPr>
      </w:pPr>
      <w:r>
        <w:rPr>
          <w:rFonts w:ascii="Times New Roman" w:cs="Times New Roman" w:eastAsia="Times New Roman" w:hAnsi="Times New Roman"/>
          <w:sz w:val="16"/>
          <w:szCs w:val="16"/>
          <w:color w:val="auto"/>
        </w:rPr>
        <w:t>which the loss is determined.</w:t>
      </w:r>
    </w:p>
    <w:p>
      <w:pPr>
        <w:spacing w:after="0" w:line="232" w:lineRule="auto"/>
        <w:rPr>
          <w:sz w:val="20"/>
          <w:szCs w:val="20"/>
          <w:color w:val="auto"/>
        </w:rPr>
      </w:pPr>
      <w:r>
        <w:rPr>
          <w:rFonts w:ascii="Times New Roman" w:cs="Times New Roman" w:eastAsia="Times New Roman" w:hAnsi="Times New Roman"/>
          <w:sz w:val="14"/>
          <w:szCs w:val="14"/>
          <w:color w:val="auto"/>
        </w:rPr>
        <w:t>Market Technology SaaS revenues are recognized similar to</w:t>
      </w:r>
    </w:p>
    <w:p>
      <w:pPr>
        <w:spacing w:after="0" w:line="204" w:lineRule="auto"/>
        <w:rPr>
          <w:sz w:val="20"/>
          <w:szCs w:val="20"/>
          <w:color w:val="auto"/>
        </w:rPr>
      </w:pPr>
      <w:r>
        <w:rPr>
          <w:rFonts w:ascii="Times New Roman" w:cs="Times New Roman" w:eastAsia="Times New Roman" w:hAnsi="Times New Roman"/>
          <w:sz w:val="16"/>
          <w:szCs w:val="16"/>
          <w:color w:val="auto"/>
        </w:rPr>
        <w:t>our Nasdaq Verafin solution.</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Software Professional Services</w:t>
      </w:r>
    </w:p>
    <w:p>
      <w:pPr>
        <w:spacing w:after="0" w:line="204" w:lineRule="auto"/>
        <w:rPr>
          <w:sz w:val="20"/>
          <w:szCs w:val="20"/>
          <w:color w:val="auto"/>
        </w:rPr>
      </w:pPr>
      <w:r>
        <w:rPr>
          <w:rFonts w:ascii="Times New Roman" w:cs="Times New Roman" w:eastAsia="Times New Roman" w:hAnsi="Times New Roman"/>
          <w:sz w:val="16"/>
          <w:szCs w:val="16"/>
          <w:color w:val="auto"/>
        </w:rPr>
        <w:t>As part of Nasdaq's Financial Technology on-premise and</w:t>
      </w:r>
    </w:p>
    <w:p>
      <w:pPr>
        <w:spacing w:after="0" w:line="233" w:lineRule="auto"/>
        <w:rPr>
          <w:sz w:val="20"/>
          <w:szCs w:val="20"/>
          <w:color w:val="auto"/>
        </w:rPr>
      </w:pPr>
      <w:r>
        <w:rPr>
          <w:rFonts w:ascii="Times New Roman" w:cs="Times New Roman" w:eastAsia="Times New Roman" w:hAnsi="Times New Roman"/>
          <w:sz w:val="14"/>
          <w:szCs w:val="14"/>
          <w:color w:val="auto"/>
        </w:rPr>
        <w:t>cloud-based offerings, Nasdaq provides professional services</w:t>
      </w:r>
    </w:p>
    <w:p>
      <w:pPr>
        <w:spacing w:after="0" w:line="203" w:lineRule="auto"/>
        <w:rPr>
          <w:sz w:val="20"/>
          <w:szCs w:val="20"/>
          <w:color w:val="auto"/>
        </w:rPr>
      </w:pPr>
      <w:r>
        <w:rPr>
          <w:rFonts w:ascii="Times New Roman" w:cs="Times New Roman" w:eastAsia="Times New Roman" w:hAnsi="Times New Roman"/>
          <w:sz w:val="16"/>
          <w:szCs w:val="16"/>
          <w:color w:val="auto"/>
        </w:rPr>
        <w:t>primarily as part of up-front non-complex implementations.</w:t>
      </w:r>
    </w:p>
    <w:p>
      <w:pPr>
        <w:spacing w:after="0" w:line="204" w:lineRule="auto"/>
        <w:rPr>
          <w:sz w:val="20"/>
          <w:szCs w:val="20"/>
          <w:color w:val="auto"/>
        </w:rPr>
      </w:pPr>
      <w:r>
        <w:rPr>
          <w:rFonts w:ascii="Times New Roman" w:cs="Times New Roman" w:eastAsia="Times New Roman" w:hAnsi="Times New Roman"/>
          <w:sz w:val="16"/>
          <w:szCs w:val="16"/>
          <w:color w:val="auto"/>
        </w:rPr>
        <w:t>These services can include multiple activities such as initial</w:t>
      </w:r>
    </w:p>
    <w:p>
      <w:pPr>
        <w:spacing w:after="0" w:line="203" w:lineRule="auto"/>
        <w:rPr>
          <w:sz w:val="20"/>
          <w:szCs w:val="20"/>
          <w:color w:val="auto"/>
        </w:rPr>
      </w:pPr>
      <w:r>
        <w:rPr>
          <w:rFonts w:ascii="Times New Roman" w:cs="Times New Roman" w:eastAsia="Times New Roman" w:hAnsi="Times New Roman"/>
          <w:sz w:val="16"/>
          <w:szCs w:val="16"/>
          <w:color w:val="auto"/>
        </w:rPr>
        <w:t>software installation, software configuration, data</w:t>
      </w:r>
    </w:p>
    <w:p>
      <w:pPr>
        <w:spacing w:after="0" w:line="233" w:lineRule="auto"/>
        <w:rPr>
          <w:sz w:val="20"/>
          <w:szCs w:val="20"/>
          <w:color w:val="auto"/>
        </w:rPr>
      </w:pPr>
      <w:r>
        <w:rPr>
          <w:rFonts w:ascii="Times New Roman" w:cs="Times New Roman" w:eastAsia="Times New Roman" w:hAnsi="Times New Roman"/>
          <w:sz w:val="14"/>
          <w:szCs w:val="14"/>
          <w:color w:val="auto"/>
        </w:rPr>
        <w:t>conversion/migration, non-complex interfacing and end-user</w:t>
      </w:r>
    </w:p>
    <w:p>
      <w:pPr>
        <w:spacing w:after="0" w:line="233" w:lineRule="auto"/>
        <w:rPr>
          <w:sz w:val="20"/>
          <w:szCs w:val="20"/>
          <w:color w:val="auto"/>
        </w:rPr>
      </w:pPr>
      <w:r>
        <w:rPr>
          <w:rFonts w:ascii="Times New Roman" w:cs="Times New Roman" w:eastAsia="Times New Roman" w:hAnsi="Times New Roman"/>
          <w:sz w:val="14"/>
          <w:szCs w:val="14"/>
          <w:color w:val="auto"/>
        </w:rPr>
        <w:t>acceptance testing. The professional services activities are all</w:t>
      </w:r>
    </w:p>
    <w:p>
      <w:pPr>
        <w:spacing w:after="0" w:line="232" w:lineRule="auto"/>
        <w:rPr>
          <w:sz w:val="20"/>
          <w:szCs w:val="20"/>
          <w:color w:val="auto"/>
        </w:rPr>
      </w:pPr>
      <w:r>
        <w:rPr>
          <w:rFonts w:ascii="Times New Roman" w:cs="Times New Roman" w:eastAsia="Times New Roman" w:hAnsi="Times New Roman"/>
          <w:sz w:val="14"/>
          <w:szCs w:val="14"/>
          <w:color w:val="auto"/>
        </w:rPr>
        <w:t>combined into a single distinct performance obligation, with</w:t>
      </w:r>
    </w:p>
    <w:p>
      <w:pPr>
        <w:spacing w:after="0" w:line="204" w:lineRule="auto"/>
        <w:rPr>
          <w:sz w:val="20"/>
          <w:szCs w:val="20"/>
          <w:color w:val="auto"/>
        </w:rPr>
      </w:pPr>
      <w:r>
        <w:rPr>
          <w:rFonts w:ascii="Times New Roman" w:cs="Times New Roman" w:eastAsia="Times New Roman" w:hAnsi="Times New Roman"/>
          <w:sz w:val="16"/>
          <w:szCs w:val="16"/>
          <w:color w:val="auto"/>
        </w:rPr>
        <w:t>the exception of our market technology professional</w:t>
      </w:r>
    </w:p>
    <w:p>
      <w:pPr>
        <w:spacing w:after="0" w:line="203" w:lineRule="auto"/>
        <w:rPr>
          <w:sz w:val="20"/>
          <w:szCs w:val="20"/>
          <w:color w:val="auto"/>
        </w:rPr>
      </w:pPr>
      <w:r>
        <w:rPr>
          <w:rFonts w:ascii="Times New Roman" w:cs="Times New Roman" w:eastAsia="Times New Roman" w:hAnsi="Times New Roman"/>
          <w:sz w:val="16"/>
          <w:szCs w:val="16"/>
          <w:color w:val="auto"/>
        </w:rPr>
        <w:t>installation services for our on-premise offering discussed</w:t>
      </w:r>
    </w:p>
    <w:p>
      <w:pPr>
        <w:spacing w:after="0" w:line="204" w:lineRule="auto"/>
        <w:rPr>
          <w:sz w:val="20"/>
          <w:szCs w:val="20"/>
          <w:color w:val="auto"/>
        </w:rPr>
      </w:pPr>
      <w:r>
        <w:rPr>
          <w:rFonts w:ascii="Times New Roman" w:cs="Times New Roman" w:eastAsia="Times New Roman" w:hAnsi="Times New Roman"/>
          <w:sz w:val="16"/>
          <w:szCs w:val="16"/>
          <w:color w:val="auto"/>
        </w:rPr>
        <w:t>above. Professional services are generally provided to</w:t>
      </w:r>
    </w:p>
    <w:p>
      <w:pPr>
        <w:spacing w:after="0" w:line="203" w:lineRule="auto"/>
        <w:rPr>
          <w:sz w:val="20"/>
          <w:szCs w:val="20"/>
          <w:color w:val="auto"/>
        </w:rPr>
      </w:pPr>
      <w:r>
        <w:rPr>
          <w:rFonts w:ascii="Times New Roman" w:cs="Times New Roman" w:eastAsia="Times New Roman" w:hAnsi="Times New Roman"/>
          <w:sz w:val="16"/>
          <w:szCs w:val="16"/>
          <w:color w:val="auto"/>
        </w:rPr>
        <w:t>customers at a fixed price, which are billed pursuant to</w:t>
      </w:r>
    </w:p>
    <w:p>
      <w:pPr>
        <w:spacing w:after="0" w:line="204" w:lineRule="auto"/>
        <w:rPr>
          <w:sz w:val="20"/>
          <w:szCs w:val="20"/>
          <w:color w:val="auto"/>
        </w:rPr>
      </w:pPr>
      <w:r>
        <w:rPr>
          <w:rFonts w:ascii="Times New Roman" w:cs="Times New Roman" w:eastAsia="Times New Roman" w:hAnsi="Times New Roman"/>
          <w:sz w:val="16"/>
          <w:szCs w:val="16"/>
          <w:color w:val="auto"/>
        </w:rPr>
        <w:t>contractual or invoicing milestones agreed upon with the</w:t>
      </w:r>
    </w:p>
    <w:p>
      <w:pPr>
        <w:spacing w:after="0" w:line="203" w:lineRule="auto"/>
        <w:rPr>
          <w:sz w:val="20"/>
          <w:szCs w:val="20"/>
          <w:color w:val="auto"/>
        </w:rPr>
      </w:pPr>
      <w:r>
        <w:rPr>
          <w:rFonts w:ascii="Times New Roman" w:cs="Times New Roman" w:eastAsia="Times New Roman" w:hAnsi="Times New Roman"/>
          <w:sz w:val="16"/>
          <w:szCs w:val="16"/>
          <w:color w:val="auto"/>
        </w:rPr>
        <w:t>customer in the contract. Professional services revenue is</w:t>
      </w:r>
    </w:p>
    <w:p>
      <w:pPr>
        <w:spacing w:after="0" w:line="204" w:lineRule="auto"/>
        <w:rPr>
          <w:sz w:val="20"/>
          <w:szCs w:val="20"/>
          <w:color w:val="auto"/>
        </w:rPr>
      </w:pPr>
      <w:r>
        <w:rPr>
          <w:rFonts w:ascii="Times New Roman" w:cs="Times New Roman" w:eastAsia="Times New Roman" w:hAnsi="Times New Roman"/>
          <w:sz w:val="16"/>
          <w:szCs w:val="16"/>
          <w:color w:val="auto"/>
        </w:rPr>
        <w:t>recognized over time as our customers simultaneously</w:t>
      </w:r>
    </w:p>
    <w:p>
      <w:pPr>
        <w:spacing w:after="0" w:line="204" w:lineRule="auto"/>
        <w:rPr>
          <w:sz w:val="20"/>
          <w:szCs w:val="20"/>
          <w:color w:val="auto"/>
        </w:rPr>
      </w:pPr>
      <w:r>
        <w:rPr>
          <w:rFonts w:ascii="Times New Roman" w:cs="Times New Roman" w:eastAsia="Times New Roman" w:hAnsi="Times New Roman"/>
          <w:sz w:val="16"/>
          <w:szCs w:val="16"/>
          <w:color w:val="auto"/>
        </w:rPr>
        <w:t>receive and consume the benefits provided by our</w:t>
      </w:r>
    </w:p>
    <w:p>
      <w:pPr>
        <w:spacing w:after="0" w:line="232" w:lineRule="auto"/>
        <w:rPr>
          <w:sz w:val="20"/>
          <w:szCs w:val="20"/>
          <w:color w:val="auto"/>
        </w:rPr>
      </w:pPr>
      <w:r>
        <w:rPr>
          <w:rFonts w:ascii="Times New Roman" w:cs="Times New Roman" w:eastAsia="Times New Roman" w:hAnsi="Times New Roman"/>
          <w:sz w:val="14"/>
          <w:szCs w:val="14"/>
          <w:color w:val="auto"/>
        </w:rPr>
        <w:t>performance. Professional services revenue offered at a fixed</w:t>
      </w:r>
    </w:p>
    <w:p>
      <w:pPr>
        <w:spacing w:after="0" w:line="204" w:lineRule="auto"/>
        <w:rPr>
          <w:sz w:val="20"/>
          <w:szCs w:val="20"/>
          <w:color w:val="auto"/>
        </w:rPr>
      </w:pPr>
      <w:r>
        <w:rPr>
          <w:rFonts w:ascii="Times New Roman" w:cs="Times New Roman" w:eastAsia="Times New Roman" w:hAnsi="Times New Roman"/>
          <w:sz w:val="16"/>
          <w:szCs w:val="16"/>
          <w:color w:val="auto"/>
        </w:rPr>
        <w:t>price is recognized using the input method to measure</w:t>
      </w:r>
    </w:p>
    <w:p>
      <w:pPr>
        <w:spacing w:after="0" w:line="203" w:lineRule="auto"/>
        <w:rPr>
          <w:sz w:val="20"/>
          <w:szCs w:val="20"/>
          <w:color w:val="auto"/>
        </w:rPr>
      </w:pPr>
      <w:r>
        <w:rPr>
          <w:rFonts w:ascii="Times New Roman" w:cs="Times New Roman" w:eastAsia="Times New Roman" w:hAnsi="Times New Roman"/>
          <w:sz w:val="16"/>
          <w:szCs w:val="16"/>
          <w:color w:val="auto"/>
        </w:rPr>
        <w:t>progress towards complete satisfaction of the services,</w:t>
      </w:r>
    </w:p>
    <w:p>
      <w:pPr>
        <w:spacing w:after="0" w:line="233" w:lineRule="auto"/>
        <w:rPr>
          <w:sz w:val="20"/>
          <w:szCs w:val="20"/>
          <w:color w:val="auto"/>
        </w:rPr>
      </w:pPr>
      <w:r>
        <w:rPr>
          <w:rFonts w:ascii="Times New Roman" w:cs="Times New Roman" w:eastAsia="Times New Roman" w:hAnsi="Times New Roman"/>
          <w:sz w:val="14"/>
          <w:szCs w:val="14"/>
          <w:color w:val="auto"/>
        </w:rPr>
        <w:t>Professional services are also offered to customers on a time</w:t>
      </w:r>
    </w:p>
    <w:p>
      <w:pPr>
        <w:spacing w:after="0" w:line="203" w:lineRule="auto"/>
        <w:rPr>
          <w:sz w:val="20"/>
          <w:szCs w:val="20"/>
          <w:color w:val="auto"/>
        </w:rPr>
      </w:pPr>
      <w:r>
        <w:rPr>
          <w:rFonts w:ascii="Times New Roman" w:cs="Times New Roman" w:eastAsia="Times New Roman" w:hAnsi="Times New Roman"/>
          <w:sz w:val="16"/>
          <w:szCs w:val="16"/>
          <w:color w:val="auto"/>
        </w:rPr>
        <w:t>and expense basis, with revenue recognized based on the</w:t>
      </w:r>
    </w:p>
    <w:p>
      <w:pPr>
        <w:spacing w:after="0" w:line="204" w:lineRule="auto"/>
        <w:rPr>
          <w:sz w:val="20"/>
          <w:szCs w:val="20"/>
          <w:color w:val="auto"/>
        </w:rPr>
      </w:pPr>
      <w:r>
        <w:rPr>
          <w:rFonts w:ascii="Times New Roman" w:cs="Times New Roman" w:eastAsia="Times New Roman" w:hAnsi="Times New Roman"/>
          <w:sz w:val="16"/>
          <w:szCs w:val="16"/>
          <w:color w:val="auto"/>
        </w:rPr>
        <w:t>actual hours incurred.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Trade management services</w:t>
      </w:r>
    </w:p>
    <w:p>
      <w:pPr>
        <w:spacing w:after="0" w:line="232" w:lineRule="auto"/>
        <w:rPr>
          <w:sz w:val="20"/>
          <w:szCs w:val="20"/>
          <w:color w:val="auto"/>
        </w:rPr>
      </w:pPr>
      <w:r>
        <w:rPr>
          <w:rFonts w:ascii="Times New Roman" w:cs="Times New Roman" w:eastAsia="Times New Roman" w:hAnsi="Times New Roman"/>
          <w:sz w:val="14"/>
          <w:szCs w:val="14"/>
          <w:color w:val="auto"/>
        </w:rPr>
        <w:t>Through our trade management services, we provide market</w:t>
      </w:r>
    </w:p>
    <w:p>
      <w:pPr>
        <w:spacing w:after="0" w:line="233" w:lineRule="auto"/>
        <w:rPr>
          <w:sz w:val="20"/>
          <w:szCs w:val="20"/>
          <w:color w:val="auto"/>
        </w:rPr>
      </w:pPr>
      <w:r>
        <w:rPr>
          <w:rFonts w:ascii="Times New Roman" w:cs="Times New Roman" w:eastAsia="Times New Roman" w:hAnsi="Times New Roman"/>
          <w:sz w:val="14"/>
          <w:szCs w:val="14"/>
          <w:color w:val="auto"/>
        </w:rPr>
        <w:t>participants with a wide variety of alternatives for connecting</w:t>
      </w:r>
    </w:p>
    <w:p>
      <w:pPr>
        <w:spacing w:after="0" w:line="232" w:lineRule="auto"/>
        <w:rPr>
          <w:sz w:val="20"/>
          <w:szCs w:val="20"/>
          <w:color w:val="auto"/>
        </w:rPr>
      </w:pPr>
      <w:r>
        <w:rPr>
          <w:rFonts w:ascii="Times New Roman" w:cs="Times New Roman" w:eastAsia="Times New Roman" w:hAnsi="Times New Roman"/>
          <w:sz w:val="14"/>
          <w:szCs w:val="14"/>
          <w:color w:val="auto"/>
        </w:rPr>
        <w:t>to and accessing our markets for a fee. We also offer market</w:t>
      </w:r>
    </w:p>
    <w:p>
      <w:pPr>
        <w:spacing w:after="0" w:line="233" w:lineRule="auto"/>
        <w:rPr>
          <w:sz w:val="20"/>
          <w:szCs w:val="20"/>
          <w:color w:val="auto"/>
        </w:rPr>
      </w:pPr>
      <w:r>
        <w:rPr>
          <w:rFonts w:ascii="Times New Roman" w:cs="Times New Roman" w:eastAsia="Times New Roman" w:hAnsi="Times New Roman"/>
          <w:sz w:val="14"/>
          <w:szCs w:val="14"/>
          <w:color w:val="auto"/>
        </w:rPr>
        <w:t>participants colocation services, whereby we charge firms for</w:t>
      </w:r>
    </w:p>
    <w:p>
      <w:pPr>
        <w:spacing w:after="0" w:line="204" w:lineRule="auto"/>
        <w:rPr>
          <w:sz w:val="20"/>
          <w:szCs w:val="20"/>
          <w:color w:val="auto"/>
        </w:rPr>
      </w:pPr>
      <w:r>
        <w:rPr>
          <w:rFonts w:ascii="Times New Roman" w:cs="Times New Roman" w:eastAsia="Times New Roman" w:hAnsi="Times New Roman"/>
          <w:sz w:val="16"/>
          <w:szCs w:val="16"/>
          <w:color w:val="auto"/>
        </w:rPr>
        <w:t>cabinet space and power to house their own equipment and</w:t>
      </w:r>
    </w:p>
    <w:p>
      <w:pPr>
        <w:spacing w:after="0" w:line="203" w:lineRule="auto"/>
        <w:rPr>
          <w:sz w:val="20"/>
          <w:szCs w:val="20"/>
          <w:color w:val="auto"/>
        </w:rPr>
      </w:pPr>
      <w:r>
        <w:rPr>
          <w:rFonts w:ascii="Times New Roman" w:cs="Times New Roman" w:eastAsia="Times New Roman" w:hAnsi="Times New Roman"/>
          <w:sz w:val="16"/>
          <w:szCs w:val="16"/>
          <w:color w:val="auto"/>
        </w:rPr>
        <w:t>servers within our data centers. These participants are</w:t>
      </w:r>
    </w:p>
    <w:p>
      <w:pPr>
        <w:spacing w:after="0" w:line="204" w:lineRule="auto"/>
        <w:rPr>
          <w:sz w:val="20"/>
          <w:szCs w:val="20"/>
          <w:color w:val="auto"/>
        </w:rPr>
      </w:pPr>
      <w:r>
        <w:rPr>
          <w:rFonts w:ascii="Times New Roman" w:cs="Times New Roman" w:eastAsia="Times New Roman" w:hAnsi="Times New Roman"/>
          <w:sz w:val="16"/>
          <w:szCs w:val="16"/>
          <w:color w:val="auto"/>
        </w:rPr>
        <w:t>charged monthly fees for cabinet space, connectivity and</w:t>
      </w:r>
    </w:p>
    <w:p>
      <w:pPr>
        <w:spacing w:after="0" w:line="203" w:lineRule="auto"/>
        <w:rPr>
          <w:sz w:val="20"/>
          <w:szCs w:val="20"/>
          <w:color w:val="auto"/>
        </w:rPr>
      </w:pPr>
      <w:r>
        <w:rPr>
          <w:rFonts w:ascii="Times New Roman" w:cs="Times New Roman" w:eastAsia="Times New Roman" w:hAnsi="Times New Roman"/>
          <w:sz w:val="16"/>
          <w:szCs w:val="16"/>
          <w:color w:val="auto"/>
        </w:rPr>
        <w:t>support in accordance with our published fee schedules.</w:t>
      </w:r>
    </w:p>
    <w:p>
      <w:pPr>
        <w:spacing w:after="0" w:line="204" w:lineRule="auto"/>
        <w:rPr>
          <w:sz w:val="20"/>
          <w:szCs w:val="20"/>
          <w:color w:val="auto"/>
        </w:rPr>
      </w:pPr>
      <w:r>
        <w:rPr>
          <w:rFonts w:ascii="Times New Roman" w:cs="Times New Roman" w:eastAsia="Times New Roman" w:hAnsi="Times New Roman"/>
          <w:sz w:val="16"/>
          <w:szCs w:val="16"/>
          <w:color w:val="auto"/>
        </w:rPr>
        <w:t>These fees are recognized on a monthly basis when the</w:t>
      </w:r>
    </w:p>
    <w:p>
      <w:pPr>
        <w:spacing w:after="0" w:line="203" w:lineRule="auto"/>
        <w:rPr>
          <w:sz w:val="20"/>
          <w:szCs w:val="20"/>
          <w:color w:val="auto"/>
        </w:rPr>
      </w:pPr>
      <w:r>
        <w:rPr>
          <w:rFonts w:ascii="Times New Roman" w:cs="Times New Roman" w:eastAsia="Times New Roman" w:hAnsi="Times New Roman"/>
          <w:sz w:val="16"/>
          <w:szCs w:val="16"/>
          <w:color w:val="auto"/>
        </w:rPr>
        <w:t>performance obligation is met. We also earn revenues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and monthly exchange membership and registration</w:t>
      </w:r>
    </w:p>
    <w:p>
      <w:pPr>
        <w:sectPr>
          <w:pgSz w:w="11900" w:h="16840" w:orient="portrait"/>
          <w:cols w:equalWidth="0" w:num="1">
            <w:col w:w="9400"/>
          </w:cols>
          <w:pgMar w:left="1060" w:top="547" w:right="1440" w:bottom="44"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fees. Revenues for monthly exchange membership and</w:t>
      </w:r>
    </w:p>
    <w:p>
      <w:pPr>
        <w:spacing w:after="0" w:line="203" w:lineRule="auto"/>
        <w:rPr>
          <w:sz w:val="20"/>
          <w:szCs w:val="20"/>
          <w:color w:val="auto"/>
        </w:rPr>
      </w:pPr>
      <w:r>
        <w:rPr>
          <w:rFonts w:ascii="Times New Roman" w:cs="Times New Roman" w:eastAsia="Times New Roman" w:hAnsi="Times New Roman"/>
          <w:sz w:val="16"/>
          <w:szCs w:val="16"/>
          <w:color w:val="auto"/>
        </w:rPr>
        <w:t>registration fees are recognized on a monthly basis as the</w:t>
      </w:r>
    </w:p>
    <w:p>
      <w:pPr>
        <w:spacing w:after="0" w:line="233" w:lineRule="auto"/>
        <w:rPr>
          <w:sz w:val="20"/>
          <w:szCs w:val="20"/>
          <w:color w:val="auto"/>
        </w:rPr>
      </w:pPr>
      <w:r>
        <w:rPr>
          <w:rFonts w:ascii="Times New Roman" w:cs="Times New Roman" w:eastAsia="Times New Roman" w:hAnsi="Times New Roman"/>
          <w:sz w:val="14"/>
          <w:szCs w:val="14"/>
          <w:color w:val="auto"/>
        </w:rPr>
        <w:t>service is provided. Revenues from annual fees for exchange</w:t>
      </w:r>
    </w:p>
    <w:p>
      <w:pPr>
        <w:spacing w:after="0" w:line="232" w:lineRule="auto"/>
        <w:rPr>
          <w:sz w:val="20"/>
          <w:szCs w:val="20"/>
          <w:color w:val="auto"/>
        </w:rPr>
      </w:pPr>
      <w:r>
        <w:rPr>
          <w:rFonts w:ascii="Times New Roman" w:cs="Times New Roman" w:eastAsia="Times New Roman" w:hAnsi="Times New Roman"/>
          <w:sz w:val="14"/>
          <w:szCs w:val="14"/>
          <w:color w:val="auto"/>
        </w:rPr>
        <w:t>membership and registration fees are recognized ratably over</w:t>
      </w:r>
    </w:p>
    <w:p>
      <w:pPr>
        <w:spacing w:after="0" w:line="204" w:lineRule="auto"/>
        <w:rPr>
          <w:sz w:val="20"/>
          <w:szCs w:val="20"/>
          <w:color w:val="auto"/>
        </w:rPr>
      </w:pPr>
      <w:r>
        <w:rPr>
          <w:rFonts w:ascii="Times New Roman" w:cs="Times New Roman" w:eastAsia="Times New Roman" w:hAnsi="Times New Roman"/>
          <w:sz w:val="16"/>
          <w:szCs w:val="16"/>
          <w:color w:val="auto"/>
        </w:rPr>
        <w:t>the following twelve-month period since the customer</w:t>
      </w:r>
    </w:p>
    <w:p>
      <w:pPr>
        <w:spacing w:after="0" w:line="203" w:lineRule="auto"/>
        <w:rPr>
          <w:sz w:val="20"/>
          <w:szCs w:val="20"/>
          <w:color w:val="auto"/>
        </w:rPr>
      </w:pPr>
      <w:r>
        <w:rPr>
          <w:rFonts w:ascii="Times New Roman" w:cs="Times New Roman" w:eastAsia="Times New Roman" w:hAnsi="Times New Roman"/>
          <w:sz w:val="16"/>
          <w:szCs w:val="16"/>
          <w:color w:val="auto"/>
        </w:rPr>
        <w:t>receives and consumes the benefit as Nasdaq provides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F-18</w:t>
      </w:r>
    </w:p>
    <w:p>
      <w:pPr>
        <w:spacing w:after="0" w:line="203" w:lineRule="auto"/>
        <w:rPr>
          <w:sz w:val="20"/>
          <w:szCs w:val="20"/>
          <w:color w:val="auto"/>
        </w:rPr>
      </w:pPr>
      <w:r>
        <w:rPr>
          <w:rFonts w:ascii="Times New Roman" w:cs="Times New Roman" w:eastAsia="Times New Roman" w:hAnsi="Times New Roman"/>
          <w:sz w:val="16"/>
          <w:szCs w:val="16"/>
          <w:color w:val="auto"/>
        </w:rPr>
        <w:t>PSX and Nasdaq CXC, we credit a portion of the per share</w:t>
      </w:r>
    </w:p>
    <w:p>
      <w:pPr>
        <w:spacing w:after="0" w:line="204" w:lineRule="auto"/>
        <w:rPr>
          <w:sz w:val="20"/>
          <w:szCs w:val="20"/>
          <w:color w:val="auto"/>
        </w:rPr>
      </w:pPr>
      <w:r>
        <w:rPr>
          <w:rFonts w:ascii="Times New Roman" w:cs="Times New Roman" w:eastAsia="Times New Roman" w:hAnsi="Times New Roman"/>
          <w:sz w:val="16"/>
          <w:szCs w:val="16"/>
          <w:color w:val="auto"/>
        </w:rPr>
        <w:t>execution charge to the market participant that provides the</w:t>
      </w:r>
    </w:p>
    <w:p>
      <w:pPr>
        <w:spacing w:after="0" w:line="203" w:lineRule="auto"/>
        <w:rPr>
          <w:sz w:val="20"/>
          <w:szCs w:val="20"/>
          <w:color w:val="auto"/>
        </w:rPr>
      </w:pPr>
      <w:r>
        <w:rPr>
          <w:rFonts w:ascii="Times New Roman" w:cs="Times New Roman" w:eastAsia="Times New Roman" w:hAnsi="Times New Roman"/>
          <w:sz w:val="16"/>
          <w:szCs w:val="16"/>
          <w:color w:val="auto"/>
        </w:rPr>
        <w:t>liquidity, and for Nasdaq BX and Nasdaq CX2, we credit a</w:t>
      </w:r>
    </w:p>
    <w:p>
      <w:pPr>
        <w:spacing w:after="0" w:line="204" w:lineRule="auto"/>
        <w:rPr>
          <w:sz w:val="20"/>
          <w:szCs w:val="20"/>
          <w:color w:val="auto"/>
        </w:rPr>
      </w:pPr>
      <w:r>
        <w:rPr>
          <w:rFonts w:ascii="Times New Roman" w:cs="Times New Roman" w:eastAsia="Times New Roman" w:hAnsi="Times New Roman"/>
          <w:sz w:val="16"/>
          <w:szCs w:val="16"/>
          <w:color w:val="auto"/>
        </w:rPr>
        <w:t>portion of the per share execution charge to the market</w:t>
      </w:r>
    </w:p>
    <w:p>
      <w:pPr>
        <w:spacing w:after="0" w:line="232" w:lineRule="auto"/>
        <w:rPr>
          <w:sz w:val="20"/>
          <w:szCs w:val="20"/>
          <w:color w:val="auto"/>
        </w:rPr>
      </w:pPr>
      <w:r>
        <w:rPr>
          <w:rFonts w:ascii="Times New Roman" w:cs="Times New Roman" w:eastAsia="Times New Roman" w:hAnsi="Times New Roman"/>
          <w:sz w:val="14"/>
          <w:szCs w:val="14"/>
          <w:color w:val="auto"/>
        </w:rPr>
        <w:t>participant that takes the liquidity. We record these credits as</w:t>
      </w:r>
    </w:p>
    <w:p>
      <w:pPr>
        <w:spacing w:after="0" w:line="204" w:lineRule="auto"/>
        <w:rPr>
          <w:sz w:val="20"/>
          <w:szCs w:val="20"/>
          <w:color w:val="auto"/>
        </w:rPr>
      </w:pPr>
      <w:r>
        <w:rPr>
          <w:rFonts w:ascii="Times New Roman" w:cs="Times New Roman" w:eastAsia="Times New Roman" w:hAnsi="Times New Roman"/>
          <w:sz w:val="16"/>
          <w:szCs w:val="16"/>
          <w:color w:val="auto"/>
        </w:rPr>
        <w:t>transaction rebates that are included in transaction-based</w:t>
      </w:r>
    </w:p>
    <w:p>
      <w:pPr>
        <w:spacing w:after="0" w:line="203" w:lineRule="auto"/>
        <w:rPr>
          <w:sz w:val="20"/>
          <w:szCs w:val="20"/>
          <w:color w:val="auto"/>
        </w:rPr>
      </w:pPr>
      <w:r>
        <w:rPr>
          <w:rFonts w:ascii="Times New Roman" w:cs="Times New Roman" w:eastAsia="Times New Roman" w:hAnsi="Times New Roman"/>
          <w:sz w:val="16"/>
          <w:szCs w:val="16"/>
          <w:color w:val="auto"/>
        </w:rPr>
        <w:t>expenses in the Consolidated Statements of Income. These</w:t>
      </w:r>
    </w:p>
    <w:p>
      <w:pPr>
        <w:spacing w:after="0" w:line="204" w:lineRule="auto"/>
        <w:rPr>
          <w:sz w:val="20"/>
          <w:szCs w:val="20"/>
          <w:color w:val="auto"/>
        </w:rPr>
      </w:pPr>
      <w:r>
        <w:rPr>
          <w:rFonts w:ascii="Times New Roman" w:cs="Times New Roman" w:eastAsia="Times New Roman" w:hAnsi="Times New Roman"/>
          <w:sz w:val="16"/>
          <w:szCs w:val="16"/>
          <w:color w:val="auto"/>
        </w:rPr>
        <w:t>transaction rebates are paid on a monthly basis and the</w:t>
      </w:r>
    </w:p>
    <w:p>
      <w:pPr>
        <w:spacing w:after="0" w:line="203" w:lineRule="auto"/>
        <w:rPr>
          <w:sz w:val="20"/>
          <w:szCs w:val="20"/>
          <w:color w:val="auto"/>
        </w:rPr>
      </w:pPr>
      <w:r>
        <w:rPr>
          <w:rFonts w:ascii="Times New Roman" w:cs="Times New Roman" w:eastAsia="Times New Roman" w:hAnsi="Times New Roman"/>
          <w:sz w:val="16"/>
          <w:szCs w:val="16"/>
          <w:color w:val="auto"/>
        </w:rPr>
        <w:t>amounts due are included in accounts payable and accrued</w:t>
      </w:r>
    </w:p>
    <w:p>
      <w:pPr>
        <w:spacing w:after="0" w:line="204" w:lineRule="auto"/>
        <w:rPr>
          <w:sz w:val="20"/>
          <w:szCs w:val="20"/>
          <w:color w:val="auto"/>
        </w:rPr>
      </w:pPr>
      <w:r>
        <w:rPr>
          <w:rFonts w:ascii="Times New Roman" w:cs="Times New Roman" w:eastAsia="Times New Roman" w:hAnsi="Times New Roman"/>
          <w:sz w:val="16"/>
          <w:szCs w:val="16"/>
          <w:color w:val="auto"/>
        </w:rPr>
        <w:t>expenses in the Consolidated Balance Sheets.</w:t>
      </w:r>
    </w:p>
    <w:p>
      <w:pPr>
        <w:spacing w:after="0" w:line="204" w:lineRule="auto"/>
        <w:rPr>
          <w:sz w:val="20"/>
          <w:szCs w:val="20"/>
          <w:color w:val="auto"/>
        </w:rPr>
      </w:pPr>
      <w:r>
        <w:rPr>
          <w:rFonts w:ascii="Times New Roman" w:cs="Times New Roman" w:eastAsia="Times New Roman" w:hAnsi="Times New Roman"/>
          <w:sz w:val="16"/>
          <w:szCs w:val="16"/>
          <w:color w:val="auto"/>
        </w:rPr>
        <w:t>In the U.S., we pay Section 31 fees to the SEC for</w:t>
      </w:r>
    </w:p>
    <w:p>
      <w:pPr>
        <w:spacing w:after="0" w:line="203" w:lineRule="auto"/>
        <w:rPr>
          <w:sz w:val="20"/>
          <w:szCs w:val="20"/>
          <w:color w:val="auto"/>
        </w:rPr>
      </w:pPr>
      <w:r>
        <w:rPr>
          <w:rFonts w:ascii="Times New Roman" w:cs="Times New Roman" w:eastAsia="Times New Roman" w:hAnsi="Times New Roman"/>
          <w:sz w:val="16"/>
          <w:szCs w:val="16"/>
          <w:color w:val="auto"/>
        </w:rPr>
        <w:t>supervision and regulation of securities markets. We pass</w:t>
      </w:r>
    </w:p>
    <w:p>
      <w:pPr>
        <w:spacing w:after="0" w:line="204" w:lineRule="auto"/>
        <w:rPr>
          <w:sz w:val="20"/>
          <w:szCs w:val="20"/>
          <w:color w:val="auto"/>
        </w:rPr>
      </w:pPr>
      <w:r>
        <w:rPr>
          <w:rFonts w:ascii="Times New Roman" w:cs="Times New Roman" w:eastAsia="Times New Roman" w:hAnsi="Times New Roman"/>
          <w:sz w:val="16"/>
          <w:szCs w:val="16"/>
          <w:color w:val="auto"/>
        </w:rPr>
        <w:t>these costs along to our customers through our equity</w:t>
      </w:r>
    </w:p>
    <w:p>
      <w:pPr>
        <w:spacing w:after="0" w:line="203" w:lineRule="auto"/>
        <w:rPr>
          <w:sz w:val="20"/>
          <w:szCs w:val="20"/>
          <w:color w:val="auto"/>
        </w:rPr>
      </w:pPr>
      <w:r>
        <w:rPr>
          <w:rFonts w:ascii="Times New Roman" w:cs="Times New Roman" w:eastAsia="Times New Roman" w:hAnsi="Times New Roman"/>
          <w:sz w:val="16"/>
          <w:szCs w:val="16"/>
          <w:color w:val="auto"/>
        </w:rPr>
        <w:t>derivative trading and clearing fees and our cash equity</w:t>
      </w:r>
    </w:p>
    <w:p>
      <w:pPr>
        <w:spacing w:after="0" w:line="204" w:lineRule="auto"/>
        <w:rPr>
          <w:sz w:val="20"/>
          <w:szCs w:val="20"/>
          <w:color w:val="auto"/>
        </w:rPr>
      </w:pPr>
      <w:r>
        <w:rPr>
          <w:rFonts w:ascii="Times New Roman" w:cs="Times New Roman" w:eastAsia="Times New Roman" w:hAnsi="Times New Roman"/>
          <w:sz w:val="16"/>
          <w:szCs w:val="16"/>
          <w:color w:val="auto"/>
        </w:rPr>
        <w:t>trading fees. We collect the fees as a pass-through charge</w:t>
      </w:r>
    </w:p>
    <w:p>
      <w:pPr>
        <w:spacing w:after="0" w:line="203" w:lineRule="auto"/>
        <w:rPr>
          <w:sz w:val="20"/>
          <w:szCs w:val="20"/>
          <w:color w:val="auto"/>
        </w:rPr>
      </w:pPr>
      <w:r>
        <w:rPr>
          <w:rFonts w:ascii="Times New Roman" w:cs="Times New Roman" w:eastAsia="Times New Roman" w:hAnsi="Times New Roman"/>
          <w:sz w:val="16"/>
          <w:szCs w:val="16"/>
          <w:color w:val="auto"/>
        </w:rPr>
        <w:t>from organizations executing eligible trades on our options</w:t>
      </w:r>
    </w:p>
    <w:p>
      <w:pPr>
        <w:spacing w:after="0" w:line="204" w:lineRule="auto"/>
        <w:rPr>
          <w:sz w:val="20"/>
          <w:szCs w:val="20"/>
          <w:color w:val="auto"/>
        </w:rPr>
      </w:pPr>
      <w:r>
        <w:rPr>
          <w:rFonts w:ascii="Times New Roman" w:cs="Times New Roman" w:eastAsia="Times New Roman" w:hAnsi="Times New Roman"/>
          <w:sz w:val="16"/>
          <w:szCs w:val="16"/>
          <w:color w:val="auto"/>
        </w:rPr>
        <w:t>exchanges and our cash equity platforms and we recognize</w:t>
      </w:r>
    </w:p>
    <w:p>
      <w:pPr>
        <w:spacing w:after="0" w:line="203" w:lineRule="auto"/>
        <w:rPr>
          <w:sz w:val="20"/>
          <w:szCs w:val="20"/>
          <w:color w:val="auto"/>
        </w:rPr>
      </w:pPr>
      <w:r>
        <w:rPr>
          <w:rFonts w:ascii="Times New Roman" w:cs="Times New Roman" w:eastAsia="Times New Roman" w:hAnsi="Times New Roman"/>
          <w:sz w:val="16"/>
          <w:szCs w:val="16"/>
          <w:color w:val="auto"/>
        </w:rPr>
        <w:t>these amounts in transaction-based expenses when incurred.</w:t>
      </w:r>
    </w:p>
    <w:p>
      <w:pPr>
        <w:spacing w:after="0" w:line="204" w:lineRule="auto"/>
        <w:rPr>
          <w:sz w:val="20"/>
          <w:szCs w:val="20"/>
          <w:color w:val="auto"/>
        </w:rPr>
      </w:pPr>
      <w:r>
        <w:rPr>
          <w:rFonts w:ascii="Times New Roman" w:cs="Times New Roman" w:eastAsia="Times New Roman" w:hAnsi="Times New Roman"/>
          <w:sz w:val="16"/>
          <w:szCs w:val="16"/>
          <w:color w:val="auto"/>
        </w:rPr>
        <w:t>Section 31 fees received are included in cash and cash</w:t>
      </w:r>
    </w:p>
    <w:p>
      <w:pPr>
        <w:spacing w:after="0" w:line="233" w:lineRule="auto"/>
        <w:rPr>
          <w:sz w:val="20"/>
          <w:szCs w:val="20"/>
          <w:color w:val="auto"/>
        </w:rPr>
      </w:pPr>
      <w:r>
        <w:rPr>
          <w:rFonts w:ascii="Times New Roman" w:cs="Times New Roman" w:eastAsia="Times New Roman" w:hAnsi="Times New Roman"/>
          <w:sz w:val="14"/>
          <w:szCs w:val="14"/>
          <w:color w:val="auto"/>
        </w:rPr>
        <w:t>equivalents in the Consolidated Balance Sheets at the time of</w:t>
      </w:r>
    </w:p>
    <w:p>
      <w:pPr>
        <w:spacing w:after="0" w:line="232" w:lineRule="auto"/>
        <w:rPr>
          <w:sz w:val="20"/>
          <w:szCs w:val="20"/>
          <w:color w:val="auto"/>
        </w:rPr>
      </w:pPr>
      <w:r>
        <w:rPr>
          <w:rFonts w:ascii="Times New Roman" w:cs="Times New Roman" w:eastAsia="Times New Roman" w:hAnsi="Times New Roman"/>
          <w:sz w:val="14"/>
          <w:szCs w:val="14"/>
          <w:color w:val="auto"/>
        </w:rPr>
        <w:t>receipt and, as required by law, the amount due to the SEC is</w:t>
      </w:r>
    </w:p>
    <w:p>
      <w:pPr>
        <w:spacing w:after="0" w:line="204" w:lineRule="auto"/>
        <w:rPr>
          <w:sz w:val="20"/>
          <w:szCs w:val="20"/>
          <w:color w:val="auto"/>
        </w:rPr>
      </w:pPr>
      <w:r>
        <w:rPr>
          <w:rFonts w:ascii="Times New Roman" w:cs="Times New Roman" w:eastAsia="Times New Roman" w:hAnsi="Times New Roman"/>
          <w:sz w:val="16"/>
          <w:szCs w:val="16"/>
          <w:color w:val="auto"/>
        </w:rPr>
        <w:t>remitted semiannually and recorded as Section 31 fees</w:t>
      </w:r>
    </w:p>
    <w:p>
      <w:pPr>
        <w:spacing w:after="0" w:line="232" w:lineRule="auto"/>
        <w:rPr>
          <w:sz w:val="20"/>
          <w:szCs w:val="20"/>
          <w:color w:val="auto"/>
        </w:rPr>
      </w:pPr>
      <w:r>
        <w:rPr>
          <w:rFonts w:ascii="Times New Roman" w:cs="Times New Roman" w:eastAsia="Times New Roman" w:hAnsi="Times New Roman"/>
          <w:sz w:val="14"/>
          <w:szCs w:val="14"/>
          <w:color w:val="auto"/>
        </w:rPr>
        <w:t>payable to the SEC in the Consolidated Balance Sheets until</w:t>
      </w:r>
    </w:p>
    <w:p>
      <w:pPr>
        <w:spacing w:after="0" w:line="204" w:lineRule="auto"/>
        <w:rPr>
          <w:sz w:val="20"/>
          <w:szCs w:val="20"/>
          <w:color w:val="auto"/>
        </w:rPr>
      </w:pPr>
      <w:r>
        <w:rPr>
          <w:rFonts w:ascii="Times New Roman" w:cs="Times New Roman" w:eastAsia="Times New Roman" w:hAnsi="Times New Roman"/>
          <w:sz w:val="16"/>
          <w:szCs w:val="16"/>
          <w:color w:val="auto"/>
        </w:rPr>
        <w:t>paid. Since the amount recorded as revenues is equal to the</w:t>
      </w:r>
    </w:p>
    <w:p>
      <w:pPr>
        <w:spacing w:after="0" w:line="203" w:lineRule="auto"/>
        <w:rPr>
          <w:sz w:val="20"/>
          <w:szCs w:val="20"/>
          <w:color w:val="auto"/>
        </w:rPr>
      </w:pPr>
      <w:r>
        <w:rPr>
          <w:rFonts w:ascii="Times New Roman" w:cs="Times New Roman" w:eastAsia="Times New Roman" w:hAnsi="Times New Roman"/>
          <w:sz w:val="16"/>
          <w:szCs w:val="16"/>
          <w:color w:val="auto"/>
        </w:rPr>
        <w:t>amount recorded as transaction-based expenses, there is no</w:t>
      </w:r>
    </w:p>
    <w:p>
      <w:pPr>
        <w:spacing w:after="0" w:line="204" w:lineRule="auto"/>
        <w:rPr>
          <w:sz w:val="20"/>
          <w:szCs w:val="20"/>
          <w:color w:val="auto"/>
        </w:rPr>
      </w:pPr>
      <w:r>
        <w:rPr>
          <w:rFonts w:ascii="Times New Roman" w:cs="Times New Roman" w:eastAsia="Times New Roman" w:hAnsi="Times New Roman"/>
          <w:sz w:val="16"/>
          <w:szCs w:val="16"/>
          <w:color w:val="auto"/>
        </w:rPr>
        <w:t>impact on our revenues less transaction-based expenses. As</w:t>
      </w:r>
    </w:p>
    <w:p>
      <w:pPr>
        <w:spacing w:after="0" w:line="233" w:lineRule="auto"/>
        <w:rPr>
          <w:sz w:val="20"/>
          <w:szCs w:val="20"/>
          <w:color w:val="auto"/>
        </w:rPr>
      </w:pPr>
      <w:r>
        <w:rPr>
          <w:rFonts w:ascii="Times New Roman" w:cs="Times New Roman" w:eastAsia="Times New Roman" w:hAnsi="Times New Roman"/>
          <w:sz w:val="14"/>
          <w:szCs w:val="14"/>
          <w:color w:val="auto"/>
        </w:rPr>
        <w:t>we hold the cash received until payment to the SEC, we earn</w:t>
      </w:r>
    </w:p>
    <w:p>
      <w:pPr>
        <w:spacing w:after="0" w:line="203" w:lineRule="auto"/>
        <w:rPr>
          <w:sz w:val="20"/>
          <w:szCs w:val="20"/>
          <w:color w:val="auto"/>
        </w:rPr>
      </w:pPr>
      <w:r>
        <w:rPr>
          <w:rFonts w:ascii="Times New Roman" w:cs="Times New Roman" w:eastAsia="Times New Roman" w:hAnsi="Times New Roman"/>
          <w:sz w:val="16"/>
          <w:szCs w:val="16"/>
          <w:color w:val="auto"/>
        </w:rPr>
        <w:t>interest income on the related cash balances.</w:t>
      </w:r>
    </w:p>
    <w:p>
      <w:pPr>
        <w:spacing w:after="0" w:line="204" w:lineRule="auto"/>
        <w:rPr>
          <w:sz w:val="20"/>
          <w:szCs w:val="20"/>
          <w:color w:val="auto"/>
        </w:rPr>
      </w:pPr>
      <w:r>
        <w:rPr>
          <w:rFonts w:ascii="Times New Roman" w:cs="Times New Roman" w:eastAsia="Times New Roman" w:hAnsi="Times New Roman"/>
          <w:sz w:val="16"/>
          <w:szCs w:val="16"/>
          <w:color w:val="auto"/>
        </w:rPr>
        <w:t>Under our Limitation of Liability Rule and procedures, we</w:t>
      </w:r>
    </w:p>
    <w:p>
      <w:pPr>
        <w:spacing w:after="0" w:line="232" w:lineRule="auto"/>
        <w:rPr>
          <w:sz w:val="20"/>
          <w:szCs w:val="20"/>
          <w:color w:val="auto"/>
        </w:rPr>
      </w:pPr>
      <w:r>
        <w:rPr>
          <w:rFonts w:ascii="Times New Roman" w:cs="Times New Roman" w:eastAsia="Times New Roman" w:hAnsi="Times New Roman"/>
          <w:sz w:val="14"/>
          <w:szCs w:val="14"/>
          <w:color w:val="auto"/>
        </w:rPr>
        <w:t>may, subject to certain caps, provide compensation for losses</w:t>
      </w:r>
    </w:p>
    <w:p>
      <w:pPr>
        <w:spacing w:after="0" w:line="233" w:lineRule="auto"/>
        <w:rPr>
          <w:sz w:val="20"/>
          <w:szCs w:val="20"/>
          <w:color w:val="auto"/>
        </w:rPr>
      </w:pPr>
      <w:r>
        <w:rPr>
          <w:rFonts w:ascii="Times New Roman" w:cs="Times New Roman" w:eastAsia="Times New Roman" w:hAnsi="Times New Roman"/>
          <w:sz w:val="14"/>
          <w:szCs w:val="14"/>
          <w:color w:val="auto"/>
        </w:rPr>
        <w:t>directly resulting from our systems’ actual failure to correctly</w:t>
      </w:r>
    </w:p>
    <w:p>
      <w:pPr>
        <w:spacing w:after="0" w:line="204" w:lineRule="auto"/>
        <w:rPr>
          <w:sz w:val="20"/>
          <w:szCs w:val="20"/>
          <w:color w:val="auto"/>
        </w:rPr>
      </w:pPr>
      <w:r>
        <w:rPr>
          <w:rFonts w:ascii="Times New Roman" w:cs="Times New Roman" w:eastAsia="Times New Roman" w:hAnsi="Times New Roman"/>
          <w:sz w:val="16"/>
          <w:szCs w:val="16"/>
          <w:color w:val="auto"/>
        </w:rPr>
        <w:t>process an order, quote, message or other data into our</w:t>
      </w:r>
    </w:p>
    <w:p>
      <w:pPr>
        <w:spacing w:after="0" w:line="232" w:lineRule="auto"/>
        <w:rPr>
          <w:sz w:val="20"/>
          <w:szCs w:val="20"/>
          <w:color w:val="auto"/>
        </w:rPr>
      </w:pPr>
      <w:r>
        <w:rPr>
          <w:rFonts w:ascii="Times New Roman" w:cs="Times New Roman" w:eastAsia="Times New Roman" w:hAnsi="Times New Roman"/>
          <w:sz w:val="14"/>
          <w:szCs w:val="14"/>
          <w:color w:val="auto"/>
        </w:rPr>
        <w:t>platform. We do not record a liability for any potential claims</w:t>
      </w:r>
    </w:p>
    <w:p>
      <w:pPr>
        <w:spacing w:after="0" w:line="233" w:lineRule="auto"/>
        <w:rPr>
          <w:sz w:val="20"/>
          <w:szCs w:val="20"/>
          <w:color w:val="auto"/>
        </w:rPr>
      </w:pPr>
      <w:r>
        <w:rPr>
          <w:rFonts w:ascii="Times New Roman" w:cs="Times New Roman" w:eastAsia="Times New Roman" w:hAnsi="Times New Roman"/>
          <w:sz w:val="14"/>
          <w:szCs w:val="14"/>
          <w:color w:val="auto"/>
        </w:rPr>
        <w:t>that may be submitted under the Limitation of Liability Rule</w:t>
      </w:r>
    </w:p>
    <w:p>
      <w:pPr>
        <w:spacing w:after="0" w:line="203" w:lineRule="auto"/>
        <w:rPr>
          <w:sz w:val="20"/>
          <w:szCs w:val="20"/>
          <w:color w:val="auto"/>
        </w:rPr>
      </w:pPr>
      <w:r>
        <w:rPr>
          <w:rFonts w:ascii="Times New Roman" w:cs="Times New Roman" w:eastAsia="Times New Roman" w:hAnsi="Times New Roman"/>
          <w:sz w:val="16"/>
          <w:szCs w:val="16"/>
          <w:color w:val="auto"/>
        </w:rPr>
        <w:t>unless they meet the provisions required in accordance with</w:t>
      </w:r>
    </w:p>
    <w:p>
      <w:pPr>
        <w:spacing w:after="0" w:line="233" w:lineRule="auto"/>
        <w:rPr>
          <w:sz w:val="20"/>
          <w:szCs w:val="20"/>
          <w:color w:val="auto"/>
        </w:rPr>
      </w:pPr>
      <w:r>
        <w:rPr>
          <w:rFonts w:ascii="Times New Roman" w:cs="Times New Roman" w:eastAsia="Times New Roman" w:hAnsi="Times New Roman"/>
          <w:sz w:val="14"/>
          <w:szCs w:val="14"/>
          <w:color w:val="auto"/>
        </w:rPr>
        <w:t>U.S. GAAP. As such, losses arising as a result of the rule are</w:t>
      </w:r>
    </w:p>
    <w:p>
      <w:pPr>
        <w:spacing w:after="0" w:line="204" w:lineRule="auto"/>
        <w:rPr>
          <w:sz w:val="20"/>
          <w:szCs w:val="20"/>
          <w:color w:val="auto"/>
        </w:rPr>
      </w:pPr>
      <w:r>
        <w:rPr>
          <w:rFonts w:ascii="Times New Roman" w:cs="Times New Roman" w:eastAsia="Times New Roman" w:hAnsi="Times New Roman"/>
          <w:sz w:val="16"/>
          <w:szCs w:val="16"/>
          <w:color w:val="auto"/>
        </w:rPr>
        <w:t>accrued and charged to expense only if the loss is probable</w:t>
      </w:r>
    </w:p>
    <w:p>
      <w:pPr>
        <w:spacing w:after="0" w:line="203" w:lineRule="auto"/>
        <w:rPr>
          <w:sz w:val="20"/>
          <w:szCs w:val="20"/>
          <w:color w:val="auto"/>
        </w:rPr>
      </w:pPr>
      <w:r>
        <w:rPr>
          <w:rFonts w:ascii="Times New Roman" w:cs="Times New Roman" w:eastAsia="Times New Roman" w:hAnsi="Times New Roman"/>
          <w:sz w:val="16"/>
          <w:szCs w:val="16"/>
          <w:color w:val="auto"/>
        </w:rPr>
        <w:t>and estimable.</w:t>
      </w:r>
    </w:p>
    <w:p>
      <w:pPr>
        <w:spacing w:after="0" w:line="204" w:lineRule="auto"/>
        <w:rPr>
          <w:sz w:val="20"/>
          <w:szCs w:val="20"/>
          <w:color w:val="auto"/>
        </w:rPr>
      </w:pPr>
      <w:r>
        <w:rPr>
          <w:rFonts w:ascii="Times New Roman" w:cs="Times New Roman" w:eastAsia="Times New Roman" w:hAnsi="Times New Roman"/>
          <w:sz w:val="16"/>
          <w:szCs w:val="16"/>
          <w:i w:val="1"/>
          <w:iCs w:val="1"/>
          <w:u w:val="single" w:color="auto"/>
          <w:color w:val="auto"/>
        </w:rPr>
        <w:t>U.S. Tape Plans</w:t>
      </w:r>
    </w:p>
    <w:p>
      <w:pPr>
        <w:spacing w:after="0" w:line="203" w:lineRule="auto"/>
        <w:rPr>
          <w:sz w:val="20"/>
          <w:szCs w:val="20"/>
          <w:color w:val="auto"/>
        </w:rPr>
      </w:pPr>
      <w:r>
        <w:rPr>
          <w:rFonts w:ascii="Times New Roman" w:cs="Times New Roman" w:eastAsia="Times New Roman" w:hAnsi="Times New Roman"/>
          <w:sz w:val="16"/>
          <w:szCs w:val="16"/>
          <w:color w:val="auto"/>
        </w:rPr>
        <w:t>For U.S. Tape plans, revenues are collected monthly based</w:t>
      </w:r>
    </w:p>
    <w:p>
      <w:pPr>
        <w:spacing w:after="0" w:line="204" w:lineRule="auto"/>
        <w:rPr>
          <w:sz w:val="20"/>
          <w:szCs w:val="20"/>
          <w:color w:val="auto"/>
        </w:rPr>
      </w:pPr>
      <w:r>
        <w:rPr>
          <w:rFonts w:ascii="Times New Roman" w:cs="Times New Roman" w:eastAsia="Times New Roman" w:hAnsi="Times New Roman"/>
          <w:sz w:val="16"/>
          <w:szCs w:val="16"/>
          <w:color w:val="auto"/>
        </w:rPr>
        <w:t>on published fee schedules and distributed quarterly to the</w:t>
      </w:r>
    </w:p>
    <w:p>
      <w:pPr>
        <w:spacing w:after="0" w:line="203" w:lineRule="auto"/>
        <w:rPr>
          <w:sz w:val="20"/>
          <w:szCs w:val="20"/>
          <w:color w:val="auto"/>
        </w:rPr>
      </w:pPr>
      <w:r>
        <w:rPr>
          <w:rFonts w:ascii="Times New Roman" w:cs="Times New Roman" w:eastAsia="Times New Roman" w:hAnsi="Times New Roman"/>
          <w:sz w:val="16"/>
          <w:szCs w:val="16"/>
          <w:color w:val="auto"/>
        </w:rPr>
        <w:t>U.S. exchanges based on a formula required by Regulation</w:t>
      </w:r>
    </w:p>
    <w:p>
      <w:pPr>
        <w:spacing w:after="0" w:line="204" w:lineRule="auto"/>
        <w:rPr>
          <w:sz w:val="20"/>
          <w:szCs w:val="20"/>
          <w:color w:val="auto"/>
        </w:rPr>
      </w:pPr>
      <w:r>
        <w:rPr>
          <w:rFonts w:ascii="Times New Roman" w:cs="Times New Roman" w:eastAsia="Times New Roman" w:hAnsi="Times New Roman"/>
          <w:sz w:val="16"/>
          <w:szCs w:val="16"/>
          <w:color w:val="auto"/>
        </w:rPr>
        <w:t>NMS that takes into account both trading and quoting</w:t>
      </w:r>
    </w:p>
    <w:p>
      <w:pPr>
        <w:spacing w:after="0" w:line="203" w:lineRule="auto"/>
        <w:rPr>
          <w:sz w:val="20"/>
          <w:szCs w:val="20"/>
          <w:color w:val="auto"/>
        </w:rPr>
      </w:pPr>
      <w:r>
        <w:rPr>
          <w:rFonts w:ascii="Times New Roman" w:cs="Times New Roman" w:eastAsia="Times New Roman" w:hAnsi="Times New Roman"/>
          <w:sz w:val="16"/>
          <w:szCs w:val="16"/>
          <w:color w:val="auto"/>
        </w:rPr>
        <w:t>activity. These revenues are presented on a net basis as all</w:t>
      </w:r>
    </w:p>
    <w:p>
      <w:pPr>
        <w:spacing w:after="0" w:line="204" w:lineRule="auto"/>
        <w:rPr>
          <w:sz w:val="20"/>
          <w:szCs w:val="20"/>
          <w:color w:val="auto"/>
        </w:rPr>
      </w:pPr>
      <w:r>
        <w:rPr>
          <w:rFonts w:ascii="Times New Roman" w:cs="Times New Roman" w:eastAsia="Times New Roman" w:hAnsi="Times New Roman"/>
          <w:sz w:val="16"/>
          <w:szCs w:val="16"/>
          <w:color w:val="auto"/>
        </w:rPr>
        <w:t>indicators of principal-versus-agent reporting under U.S.</w:t>
      </w:r>
    </w:p>
    <w:p>
      <w:pPr>
        <w:spacing w:after="0" w:line="203" w:lineRule="auto"/>
        <w:rPr>
          <w:sz w:val="20"/>
          <w:szCs w:val="20"/>
          <w:color w:val="auto"/>
        </w:rPr>
      </w:pPr>
      <w:r>
        <w:rPr>
          <w:rFonts w:ascii="Times New Roman" w:cs="Times New Roman" w:eastAsia="Times New Roman" w:hAnsi="Times New Roman"/>
          <w:sz w:val="16"/>
          <w:szCs w:val="16"/>
          <w:color w:val="auto"/>
        </w:rPr>
        <w:t>GAAP have been considered in analyzing the appropriate</w:t>
      </w:r>
    </w:p>
    <w:p>
      <w:pPr>
        <w:spacing w:after="0" w:line="204" w:lineRule="auto"/>
        <w:rPr>
          <w:sz w:val="20"/>
          <w:szCs w:val="20"/>
          <w:color w:val="auto"/>
        </w:rPr>
      </w:pPr>
      <w:r>
        <w:rPr>
          <w:rFonts w:ascii="Times New Roman" w:cs="Times New Roman" w:eastAsia="Times New Roman" w:hAnsi="Times New Roman"/>
          <w:sz w:val="16"/>
          <w:szCs w:val="16"/>
          <w:color w:val="auto"/>
        </w:rPr>
        <w:t>presentation of the revenue sharing. The following are</w:t>
      </w:r>
    </w:p>
    <w:p>
      <w:pPr>
        <w:spacing w:after="0" w:line="204" w:lineRule="auto"/>
        <w:rPr>
          <w:sz w:val="20"/>
          <w:szCs w:val="20"/>
          <w:color w:val="auto"/>
        </w:rPr>
      </w:pPr>
      <w:r>
        <w:rPr>
          <w:rFonts w:ascii="Times New Roman" w:cs="Times New Roman" w:eastAsia="Times New Roman" w:hAnsi="Times New Roman"/>
          <w:sz w:val="16"/>
          <w:szCs w:val="16"/>
          <w:color w:val="auto"/>
        </w:rPr>
        <w:t>primary indicators of net reporting:</w:t>
      </w:r>
    </w:p>
    <w:p>
      <w:pPr>
        <w:spacing w:after="0" w:line="203" w:lineRule="auto"/>
        <w:rPr>
          <w:sz w:val="20"/>
          <w:szCs w:val="20"/>
          <w:color w:val="auto"/>
        </w:rPr>
      </w:pPr>
      <w:r>
        <w:rPr>
          <w:rFonts w:ascii="Times New Roman" w:cs="Times New Roman" w:eastAsia="Times New Roman" w:hAnsi="Times New Roman"/>
          <w:sz w:val="16"/>
          <w:szCs w:val="16"/>
          <w:color w:val="auto"/>
        </w:rPr>
        <w:t>•As administrator of the UTP plan, we facilitate, but do not</w:t>
      </w:r>
    </w:p>
    <w:p>
      <w:pPr>
        <w:spacing w:after="0" w:line="204" w:lineRule="auto"/>
        <w:rPr>
          <w:sz w:val="20"/>
          <w:szCs w:val="20"/>
          <w:color w:val="auto"/>
        </w:rPr>
      </w:pPr>
      <w:r>
        <w:rPr>
          <w:rFonts w:ascii="Times New Roman" w:cs="Times New Roman" w:eastAsia="Times New Roman" w:hAnsi="Times New Roman"/>
          <w:sz w:val="16"/>
          <w:szCs w:val="16"/>
          <w:color w:val="auto"/>
        </w:rPr>
        <w:t>direct, the collection and distribution of fees on behalf of</w:t>
      </w:r>
    </w:p>
    <w:p>
      <w:pPr>
        <w:spacing w:after="0" w:line="203" w:lineRule="auto"/>
        <w:rPr>
          <w:sz w:val="20"/>
          <w:szCs w:val="20"/>
          <w:color w:val="auto"/>
        </w:rPr>
      </w:pPr>
      <w:r>
        <w:rPr>
          <w:rFonts w:ascii="Times New Roman" w:cs="Times New Roman" w:eastAsia="Times New Roman" w:hAnsi="Times New Roman"/>
          <w:sz w:val="16"/>
          <w:szCs w:val="16"/>
          <w:color w:val="auto"/>
        </w:rPr>
        <w:t>plan participants. As a participant, we share in the net</w:t>
      </w:r>
    </w:p>
    <w:p>
      <w:pPr>
        <w:spacing w:after="0" w:line="204" w:lineRule="auto"/>
        <w:rPr>
          <w:sz w:val="20"/>
          <w:szCs w:val="20"/>
          <w:color w:val="auto"/>
        </w:rPr>
      </w:pPr>
      <w:r>
        <w:rPr>
          <w:rFonts w:ascii="Times New Roman" w:cs="Times New Roman" w:eastAsia="Times New Roman" w:hAnsi="Times New Roman"/>
          <w:sz w:val="16"/>
          <w:szCs w:val="16"/>
          <w:color w:val="auto"/>
        </w:rPr>
        <w:t>distribution of revenues according to the plan on the same</w:t>
      </w:r>
    </w:p>
    <w:p>
      <w:pPr>
        <w:spacing w:after="0" w:line="203" w:lineRule="auto"/>
        <w:rPr>
          <w:sz w:val="20"/>
          <w:szCs w:val="20"/>
          <w:color w:val="auto"/>
        </w:rPr>
      </w:pPr>
      <w:r>
        <w:rPr>
          <w:rFonts w:ascii="Times New Roman" w:cs="Times New Roman" w:eastAsia="Times New Roman" w:hAnsi="Times New Roman"/>
          <w:sz w:val="16"/>
          <w:szCs w:val="16"/>
          <w:color w:val="auto"/>
        </w:rPr>
        <w:t>terms as all other plan participants.</w:t>
      </w:r>
    </w:p>
    <w:p>
      <w:pPr>
        <w:spacing w:after="0" w:line="204" w:lineRule="auto"/>
        <w:rPr>
          <w:sz w:val="20"/>
          <w:szCs w:val="20"/>
          <w:color w:val="auto"/>
        </w:rPr>
      </w:pPr>
      <w:r>
        <w:rPr>
          <w:rFonts w:ascii="Times New Roman" w:cs="Times New Roman" w:eastAsia="Times New Roman" w:hAnsi="Times New Roman"/>
          <w:sz w:val="16"/>
          <w:szCs w:val="16"/>
          <w:color w:val="auto"/>
        </w:rPr>
        <w:t>•Key decisions, including fee levels and other plan actions,</w:t>
      </w:r>
    </w:p>
    <w:p>
      <w:pPr>
        <w:spacing w:after="0" w:line="203" w:lineRule="auto"/>
        <w:rPr>
          <w:sz w:val="20"/>
          <w:szCs w:val="20"/>
          <w:color w:val="auto"/>
        </w:rPr>
      </w:pPr>
      <w:r>
        <w:rPr>
          <w:rFonts w:ascii="Times New Roman" w:cs="Times New Roman" w:eastAsia="Times New Roman" w:hAnsi="Times New Roman"/>
          <w:sz w:val="16"/>
          <w:szCs w:val="16"/>
          <w:color w:val="auto"/>
        </w:rPr>
        <w:t>are made by the plan’s operating committee. The</w:t>
      </w:r>
    </w:p>
    <w:p>
      <w:pPr>
        <w:spacing w:after="0" w:line="204" w:lineRule="auto"/>
        <w:rPr>
          <w:sz w:val="20"/>
          <w:szCs w:val="20"/>
          <w:color w:val="auto"/>
        </w:rPr>
      </w:pPr>
      <w:r>
        <w:rPr>
          <w:rFonts w:ascii="Times New Roman" w:cs="Times New Roman" w:eastAsia="Times New Roman" w:hAnsi="Times New Roman"/>
          <w:sz w:val="16"/>
          <w:szCs w:val="16"/>
          <w:color w:val="auto"/>
        </w:rPr>
        <w:t>committee, which includes all participants (including us</w:t>
      </w:r>
    </w:p>
    <w:p>
      <w:pPr>
        <w:spacing w:after="0" w:line="204" w:lineRule="auto"/>
        <w:rPr>
          <w:sz w:val="20"/>
          <w:szCs w:val="20"/>
          <w:color w:val="auto"/>
        </w:rPr>
      </w:pPr>
      <w:r>
        <w:rPr>
          <w:rFonts w:ascii="Times New Roman" w:cs="Times New Roman" w:eastAsia="Times New Roman" w:hAnsi="Times New Roman"/>
          <w:sz w:val="16"/>
          <w:szCs w:val="16"/>
          <w:color w:val="auto"/>
        </w:rPr>
        <w:t>solely in our role as a participant), sets distributor and</w:t>
      </w:r>
    </w:p>
    <w:p>
      <w:pPr>
        <w:spacing w:after="0" w:line="203" w:lineRule="auto"/>
        <w:rPr>
          <w:sz w:val="20"/>
          <w:szCs w:val="20"/>
          <w:color w:val="auto"/>
        </w:rPr>
      </w:pPr>
      <w:r>
        <w:rPr>
          <w:rFonts w:ascii="Times New Roman" w:cs="Times New Roman" w:eastAsia="Times New Roman" w:hAnsi="Times New Roman"/>
          <w:sz w:val="16"/>
          <w:szCs w:val="16"/>
          <w:color w:val="auto"/>
        </w:rPr>
        <w:t>subscriber fees and oversees plan activities, subject to SEC</w:t>
      </w:r>
    </w:p>
    <w:p>
      <w:pPr>
        <w:spacing w:after="0" w:line="204" w:lineRule="auto"/>
        <w:rPr>
          <w:sz w:val="20"/>
          <w:szCs w:val="20"/>
          <w:color w:val="auto"/>
        </w:rPr>
      </w:pPr>
      <w:r>
        <w:rPr>
          <w:rFonts w:ascii="Times New Roman" w:cs="Times New Roman" w:eastAsia="Times New Roman" w:hAnsi="Times New Roman"/>
          <w:sz w:val="16"/>
          <w:szCs w:val="16"/>
          <w:color w:val="auto"/>
        </w:rPr>
        <w:t>approval.</w:t>
      </w:r>
    </w:p>
    <w:p>
      <w:pPr>
        <w:spacing w:after="0" w:line="203" w:lineRule="auto"/>
        <w:rPr>
          <w:sz w:val="20"/>
          <w:szCs w:val="20"/>
          <w:color w:val="auto"/>
        </w:rPr>
      </w:pPr>
      <w:r>
        <w:rPr>
          <w:rFonts w:ascii="Times New Roman" w:cs="Times New Roman" w:eastAsia="Times New Roman" w:hAnsi="Times New Roman"/>
          <w:sz w:val="16"/>
          <w:szCs w:val="16"/>
          <w:color w:val="auto"/>
        </w:rPr>
        <w:t>•The participants collectively share the risks and rewards of</w:t>
      </w:r>
    </w:p>
    <w:p>
      <w:pPr>
        <w:spacing w:after="0" w:line="204" w:lineRule="auto"/>
        <w:rPr>
          <w:sz w:val="20"/>
          <w:szCs w:val="20"/>
          <w:color w:val="auto"/>
        </w:rPr>
      </w:pPr>
      <w:r>
        <w:rPr>
          <w:rFonts w:ascii="Times New Roman" w:cs="Times New Roman" w:eastAsia="Times New Roman" w:hAnsi="Times New Roman"/>
          <w:sz w:val="16"/>
          <w:szCs w:val="16"/>
          <w:color w:val="auto"/>
        </w:rPr>
        <w:t>the plan. Credit risk and variability in distributions are</w:t>
      </w:r>
    </w:p>
    <w:p>
      <w:pPr>
        <w:spacing w:after="0" w:line="203" w:lineRule="auto"/>
        <w:rPr>
          <w:sz w:val="20"/>
          <w:szCs w:val="20"/>
          <w:color w:val="auto"/>
        </w:rPr>
      </w:pPr>
      <w:r>
        <w:rPr>
          <w:rFonts w:ascii="Times New Roman" w:cs="Times New Roman" w:eastAsia="Times New Roman" w:hAnsi="Times New Roman"/>
          <w:sz w:val="16"/>
          <w:szCs w:val="16"/>
          <w:color w:val="auto"/>
        </w:rPr>
        <w:t>shared proportionally under the plan, consistent with an</w:t>
      </w:r>
    </w:p>
    <w:p>
      <w:pPr>
        <w:spacing w:after="0" w:line="204" w:lineRule="auto"/>
        <w:rPr>
          <w:sz w:val="20"/>
          <w:szCs w:val="20"/>
          <w:color w:val="auto"/>
        </w:rPr>
      </w:pPr>
      <w:r>
        <w:rPr>
          <w:rFonts w:ascii="Times New Roman" w:cs="Times New Roman" w:eastAsia="Times New Roman" w:hAnsi="Times New Roman"/>
          <w:sz w:val="16"/>
          <w:szCs w:val="16"/>
          <w:color w:val="auto"/>
        </w:rPr>
        <w:t>agent relationship for the administrator.</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Other Revenues</w:t>
      </w:r>
    </w:p>
    <w:p>
      <w:pPr>
        <w:spacing w:after="0" w:line="204" w:lineRule="auto"/>
        <w:rPr>
          <w:sz w:val="20"/>
          <w:szCs w:val="20"/>
          <w:color w:val="auto"/>
        </w:rPr>
      </w:pPr>
      <w:r>
        <w:rPr>
          <w:rFonts w:ascii="Times New Roman" w:cs="Times New Roman" w:eastAsia="Times New Roman" w:hAnsi="Times New Roman"/>
          <w:sz w:val="16"/>
          <w:szCs w:val="16"/>
          <w:color w:val="auto"/>
        </w:rPr>
        <w:t>For the years ended December 31, 2025, 2024 and 2023,</w:t>
      </w:r>
    </w:p>
    <w:p>
      <w:pPr>
        <w:spacing w:after="0" w:line="233" w:lineRule="auto"/>
        <w:rPr>
          <w:sz w:val="20"/>
          <w:szCs w:val="20"/>
          <w:color w:val="auto"/>
        </w:rPr>
      </w:pPr>
      <w:r>
        <w:rPr>
          <w:rFonts w:ascii="Times New Roman" w:cs="Times New Roman" w:eastAsia="Times New Roman" w:hAnsi="Times New Roman"/>
          <w:sz w:val="14"/>
          <w:szCs w:val="14"/>
          <w:color w:val="auto"/>
        </w:rPr>
        <w:t>Other revenues include revenues related to our Nordic power</w:t>
      </w:r>
    </w:p>
    <w:p>
      <w:pPr>
        <w:spacing w:after="0" w:line="203" w:lineRule="auto"/>
        <w:rPr>
          <w:sz w:val="20"/>
          <w:szCs w:val="20"/>
          <w:color w:val="auto"/>
        </w:rPr>
      </w:pPr>
      <w:r>
        <w:rPr>
          <w:rFonts w:ascii="Times New Roman" w:cs="Times New Roman" w:eastAsia="Times New Roman" w:hAnsi="Times New Roman"/>
          <w:sz w:val="16"/>
          <w:szCs w:val="16"/>
          <w:color w:val="auto"/>
        </w:rPr>
        <w:t>futures business. See “Market Services” of Note 1,</w:t>
      </w:r>
    </w:p>
    <w:p>
      <w:pPr>
        <w:spacing w:after="0" w:line="204" w:lineRule="auto"/>
        <w:rPr>
          <w:sz w:val="20"/>
          <w:szCs w:val="20"/>
          <w:color w:val="auto"/>
        </w:rPr>
      </w:pPr>
      <w:r>
        <w:rPr>
          <w:rFonts w:ascii="Times New Roman" w:cs="Times New Roman" w:eastAsia="Times New Roman" w:hAnsi="Times New Roman"/>
          <w:sz w:val="16"/>
          <w:szCs w:val="16"/>
          <w:color w:val="auto"/>
        </w:rPr>
        <w:t>“Organization and Nature of Operations,” and Note 4,</w:t>
      </w:r>
    </w:p>
    <w:p>
      <w:pPr>
        <w:spacing w:after="0" w:line="203" w:lineRule="auto"/>
        <w:rPr>
          <w:sz w:val="20"/>
          <w:szCs w:val="20"/>
          <w:color w:val="auto"/>
        </w:rPr>
      </w:pPr>
      <w:r>
        <w:rPr>
          <w:rFonts w:ascii="Times New Roman" w:cs="Times New Roman" w:eastAsia="Times New Roman" w:hAnsi="Times New Roman"/>
          <w:sz w:val="16"/>
          <w:szCs w:val="16"/>
          <w:color w:val="auto"/>
        </w:rPr>
        <w:t>“Acquisition and Divestitures,” for further discussion.</w:t>
      </w:r>
    </w:p>
    <w:p>
      <w:pPr>
        <w:spacing w:after="0" w:line="204" w:lineRule="auto"/>
        <w:rPr>
          <w:sz w:val="20"/>
          <w:szCs w:val="20"/>
          <w:color w:val="auto"/>
        </w:rPr>
      </w:pPr>
      <w:r>
        <w:rPr>
          <w:rFonts w:ascii="Times New Roman" w:cs="Times New Roman" w:eastAsia="Times New Roman" w:hAnsi="Times New Roman"/>
          <w:sz w:val="16"/>
          <w:szCs w:val="16"/>
          <w:color w:val="auto"/>
        </w:rPr>
        <w:t>Revenues from this business are reflected in Other revenues</w:t>
      </w:r>
    </w:p>
    <w:p>
      <w:pPr>
        <w:spacing w:after="0" w:line="203" w:lineRule="auto"/>
        <w:rPr>
          <w:sz w:val="20"/>
          <w:szCs w:val="20"/>
          <w:color w:val="auto"/>
        </w:rPr>
      </w:pPr>
      <w:r>
        <w:rPr>
          <w:rFonts w:ascii="Times New Roman" w:cs="Times New Roman" w:eastAsia="Times New Roman" w:hAnsi="Times New Roman"/>
          <w:sz w:val="16"/>
          <w:szCs w:val="16"/>
          <w:color w:val="auto"/>
        </w:rPr>
        <w:t>for all periods presented. Previously these revenues were</w:t>
      </w:r>
    </w:p>
    <w:p>
      <w:pPr>
        <w:spacing w:after="0" w:line="204" w:lineRule="auto"/>
        <w:rPr>
          <w:sz w:val="20"/>
          <w:szCs w:val="20"/>
          <w:color w:val="auto"/>
        </w:rPr>
      </w:pPr>
      <w:r>
        <w:rPr>
          <w:rFonts w:ascii="Times New Roman" w:cs="Times New Roman" w:eastAsia="Times New Roman" w:hAnsi="Times New Roman"/>
          <w:sz w:val="16"/>
          <w:szCs w:val="16"/>
          <w:color w:val="auto"/>
        </w:rPr>
        <w:t>included in our Market Services and Capital Access</w:t>
      </w:r>
    </w:p>
    <w:p>
      <w:pPr>
        <w:spacing w:after="0" w:line="203" w:lineRule="auto"/>
        <w:rPr>
          <w:sz w:val="20"/>
          <w:szCs w:val="20"/>
          <w:color w:val="auto"/>
        </w:rPr>
      </w:pPr>
      <w:r>
        <w:rPr>
          <w:rFonts w:ascii="Times New Roman" w:cs="Times New Roman" w:eastAsia="Times New Roman" w:hAnsi="Times New Roman"/>
          <w:sz w:val="16"/>
          <w:szCs w:val="16"/>
          <w:color w:val="auto"/>
        </w:rPr>
        <w:t>Platforms segments.</w:t>
      </w:r>
    </w:p>
    <w:p>
      <w:pPr>
        <w:spacing w:after="0" w:line="233" w:lineRule="auto"/>
        <w:rPr>
          <w:sz w:val="20"/>
          <w:szCs w:val="20"/>
          <w:color w:val="auto"/>
        </w:rPr>
      </w:pPr>
      <w:r>
        <w:rPr>
          <w:rFonts w:ascii="Times New Roman" w:cs="Times New Roman" w:eastAsia="Times New Roman" w:hAnsi="Times New Roman"/>
          <w:sz w:val="14"/>
          <w:szCs w:val="14"/>
          <w:color w:val="auto"/>
        </w:rPr>
        <w:t>Other revenues also includes revenues related to our Solovis</w:t>
      </w:r>
    </w:p>
    <w:p>
      <w:pPr>
        <w:spacing w:after="0" w:line="204" w:lineRule="auto"/>
        <w:rPr>
          <w:sz w:val="20"/>
          <w:szCs w:val="20"/>
          <w:color w:val="auto"/>
        </w:rPr>
      </w:pPr>
      <w:r>
        <w:rPr>
          <w:rFonts w:ascii="Times New Roman" w:cs="Times New Roman" w:eastAsia="Times New Roman" w:hAnsi="Times New Roman"/>
          <w:sz w:val="16"/>
          <w:szCs w:val="16"/>
          <w:color w:val="auto"/>
        </w:rPr>
        <w:t>business which was sold in October 2025. See “Capital</w:t>
      </w:r>
    </w:p>
    <w:p>
      <w:pPr>
        <w:spacing w:after="0" w:line="203" w:lineRule="auto"/>
        <w:rPr>
          <w:sz w:val="20"/>
          <w:szCs w:val="20"/>
          <w:color w:val="auto"/>
        </w:rPr>
      </w:pPr>
      <w:r>
        <w:rPr>
          <w:rFonts w:ascii="Times New Roman" w:cs="Times New Roman" w:eastAsia="Times New Roman" w:hAnsi="Times New Roman"/>
          <w:sz w:val="16"/>
          <w:szCs w:val="16"/>
          <w:color w:val="auto"/>
        </w:rPr>
        <w:t>Access Platforms” of Note 1, “Organization and Nature of</w:t>
      </w:r>
    </w:p>
    <w:p>
      <w:pPr>
        <w:spacing w:after="0" w:line="233" w:lineRule="auto"/>
        <w:rPr>
          <w:sz w:val="20"/>
          <w:szCs w:val="20"/>
          <w:color w:val="auto"/>
        </w:rPr>
      </w:pPr>
      <w:r>
        <w:rPr>
          <w:rFonts w:ascii="Times New Roman" w:cs="Times New Roman" w:eastAsia="Times New Roman" w:hAnsi="Times New Roman"/>
          <w:sz w:val="14"/>
          <w:szCs w:val="14"/>
          <w:color w:val="auto"/>
        </w:rPr>
        <w:t>Operations,” and Note 4, “Acquisition and Divestitures,” for</w:t>
      </w:r>
    </w:p>
    <w:p>
      <w:pPr>
        <w:spacing w:after="0" w:line="233" w:lineRule="auto"/>
        <w:rPr>
          <w:sz w:val="20"/>
          <w:szCs w:val="20"/>
          <w:color w:val="auto"/>
        </w:rPr>
      </w:pPr>
      <w:r>
        <w:rPr>
          <w:rFonts w:ascii="Times New Roman" w:cs="Times New Roman" w:eastAsia="Times New Roman" w:hAnsi="Times New Roman"/>
          <w:sz w:val="14"/>
          <w:szCs w:val="14"/>
          <w:color w:val="auto"/>
        </w:rPr>
        <w:t>further discussion. Revenues from this business are reflected</w:t>
      </w:r>
    </w:p>
    <w:p>
      <w:pPr>
        <w:spacing w:after="0" w:line="203" w:lineRule="auto"/>
        <w:rPr>
          <w:sz w:val="20"/>
          <w:szCs w:val="20"/>
          <w:color w:val="auto"/>
        </w:rPr>
      </w:pPr>
      <w:r>
        <w:rPr>
          <w:rFonts w:ascii="Times New Roman" w:cs="Times New Roman" w:eastAsia="Times New Roman" w:hAnsi="Times New Roman"/>
          <w:sz w:val="16"/>
          <w:szCs w:val="16"/>
          <w:color w:val="auto"/>
        </w:rPr>
        <w:t>in other revenues in the Consolidated Statements of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all periods presented. Prior to the sale, these revenues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F-19</w:t>
      </w:r>
    </w:p>
    <w:p>
      <w:pPr>
        <w:spacing w:after="0" w:line="232" w:lineRule="auto"/>
        <w:rPr>
          <w:sz w:val="20"/>
          <w:szCs w:val="20"/>
          <w:color w:val="auto"/>
        </w:rPr>
      </w:pPr>
      <w:r>
        <w:rPr>
          <w:rFonts w:ascii="Times New Roman" w:cs="Times New Roman" w:eastAsia="Times New Roman" w:hAnsi="Times New Roman"/>
          <w:sz w:val="14"/>
          <w:szCs w:val="14"/>
          <w:b w:val="1"/>
          <w:bCs w:val="1"/>
          <w:color w:val="auto"/>
        </w:rPr>
        <w:t>Pension, SERP and Other Post-Retirement Benefit Plans</w:t>
      </w:r>
    </w:p>
    <w:p>
      <w:pPr>
        <w:spacing w:after="0" w:line="204" w:lineRule="auto"/>
        <w:rPr>
          <w:sz w:val="20"/>
          <w:szCs w:val="20"/>
          <w:color w:val="auto"/>
        </w:rPr>
      </w:pPr>
      <w:r>
        <w:rPr>
          <w:rFonts w:ascii="Times New Roman" w:cs="Times New Roman" w:eastAsia="Times New Roman" w:hAnsi="Times New Roman"/>
          <w:sz w:val="16"/>
          <w:szCs w:val="16"/>
          <w:color w:val="auto"/>
        </w:rPr>
        <w:t>We maintain nonqualified SERPs for certain senior</w:t>
      </w:r>
    </w:p>
    <w:p>
      <w:pPr>
        <w:spacing w:after="0" w:line="232" w:lineRule="auto"/>
        <w:rPr>
          <w:sz w:val="20"/>
          <w:szCs w:val="20"/>
          <w:color w:val="auto"/>
        </w:rPr>
      </w:pPr>
      <w:r>
        <w:rPr>
          <w:rFonts w:ascii="Times New Roman" w:cs="Times New Roman" w:eastAsia="Times New Roman" w:hAnsi="Times New Roman"/>
          <w:sz w:val="14"/>
          <w:szCs w:val="14"/>
          <w:color w:val="auto"/>
        </w:rPr>
        <w:t>executives and other post-retirement benefit plans for eligible</w:t>
      </w:r>
    </w:p>
    <w:p>
      <w:pPr>
        <w:spacing w:after="0" w:line="204" w:lineRule="auto"/>
        <w:rPr>
          <w:sz w:val="20"/>
          <w:szCs w:val="20"/>
          <w:color w:val="auto"/>
        </w:rPr>
      </w:pPr>
      <w:r>
        <w:rPr>
          <w:rFonts w:ascii="Times New Roman" w:cs="Times New Roman" w:eastAsia="Times New Roman" w:hAnsi="Times New Roman"/>
          <w:sz w:val="16"/>
          <w:szCs w:val="16"/>
          <w:color w:val="auto"/>
        </w:rPr>
        <w:t>employees in the U.S. Most employees outside the U.S. are</w:t>
      </w:r>
    </w:p>
    <w:p>
      <w:pPr>
        <w:spacing w:after="0" w:line="203" w:lineRule="auto"/>
        <w:rPr>
          <w:sz w:val="20"/>
          <w:szCs w:val="20"/>
          <w:color w:val="auto"/>
        </w:rPr>
      </w:pPr>
      <w:r>
        <w:rPr>
          <w:rFonts w:ascii="Times New Roman" w:cs="Times New Roman" w:eastAsia="Times New Roman" w:hAnsi="Times New Roman"/>
          <w:sz w:val="16"/>
          <w:szCs w:val="16"/>
          <w:color w:val="auto"/>
        </w:rPr>
        <w:t>covered by local retirement plans or by applicable social</w:t>
      </w:r>
    </w:p>
    <w:p>
      <w:pPr>
        <w:spacing w:after="0" w:line="233" w:lineRule="auto"/>
        <w:rPr>
          <w:sz w:val="20"/>
          <w:szCs w:val="20"/>
          <w:color w:val="auto"/>
        </w:rPr>
      </w:pPr>
      <w:r>
        <w:rPr>
          <w:rFonts w:ascii="Times New Roman" w:cs="Times New Roman" w:eastAsia="Times New Roman" w:hAnsi="Times New Roman"/>
          <w:sz w:val="14"/>
          <w:szCs w:val="14"/>
          <w:color w:val="auto"/>
        </w:rPr>
        <w:t>laws. Benefits under social laws are generally expensed in the</w:t>
      </w:r>
    </w:p>
    <w:p>
      <w:pPr>
        <w:spacing w:after="0" w:line="203" w:lineRule="auto"/>
        <w:rPr>
          <w:sz w:val="20"/>
          <w:szCs w:val="20"/>
          <w:color w:val="auto"/>
        </w:rPr>
      </w:pPr>
      <w:r>
        <w:rPr>
          <w:rFonts w:ascii="Times New Roman" w:cs="Times New Roman" w:eastAsia="Times New Roman" w:hAnsi="Times New Roman"/>
          <w:sz w:val="16"/>
          <w:szCs w:val="16"/>
          <w:color w:val="auto"/>
        </w:rPr>
        <w:t>periods in which the costs are incurred.</w:t>
      </w:r>
    </w:p>
    <w:p>
      <w:pPr>
        <w:spacing w:after="0" w:line="204" w:lineRule="auto"/>
        <w:rPr>
          <w:sz w:val="20"/>
          <w:szCs w:val="20"/>
          <w:color w:val="auto"/>
        </w:rPr>
      </w:pPr>
      <w:r>
        <w:rPr>
          <w:rFonts w:ascii="Times New Roman" w:cs="Times New Roman" w:eastAsia="Times New Roman" w:hAnsi="Times New Roman"/>
          <w:sz w:val="16"/>
          <w:szCs w:val="16"/>
          <w:color w:val="auto"/>
        </w:rPr>
        <w:t>The nonqualified SERPs and other post-retirement benefit</w:t>
      </w:r>
    </w:p>
    <w:p>
      <w:pPr>
        <w:spacing w:after="0"/>
        <w:rPr>
          <w:sz w:val="20"/>
          <w:szCs w:val="20"/>
          <w:color w:val="auto"/>
        </w:rPr>
      </w:pPr>
      <w:r>
        <w:rPr>
          <w:rFonts w:ascii="Times New Roman" w:cs="Times New Roman" w:eastAsia="Times New Roman" w:hAnsi="Times New Roman"/>
          <w:sz w:val="14"/>
          <w:szCs w:val="14"/>
          <w:color w:val="auto"/>
        </w:rPr>
        <w:t>plans are measured using actuarial valuations. Actuarial gains</w:t>
      </w:r>
    </w:p>
    <w:p>
      <w:pPr>
        <w:sectPr>
          <w:pgSz w:w="11900" w:h="16840" w:orient="portrait"/>
          <w:cols w:equalWidth="0" w:num="1">
            <w:col w:w="9400"/>
          </w:cols>
          <w:pgMar w:left="1060" w:top="547" w:right="1440" w:bottom="163"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and losses are recorded in accumulated other comprehensive</w:t>
      </w:r>
    </w:p>
    <w:p>
      <w:pPr>
        <w:spacing w:after="0" w:line="220" w:lineRule="auto"/>
        <w:rPr>
          <w:sz w:val="20"/>
          <w:szCs w:val="20"/>
          <w:color w:val="auto"/>
        </w:rPr>
      </w:pPr>
      <w:r>
        <w:rPr>
          <w:rFonts w:ascii="Times New Roman" w:cs="Times New Roman" w:eastAsia="Times New Roman" w:hAnsi="Times New Roman"/>
          <w:sz w:val="16"/>
          <w:szCs w:val="16"/>
          <w:color w:val="auto"/>
        </w:rPr>
        <w:t>loss in the Consolidated Balance Sheets. We assess our</w:t>
      </w:r>
    </w:p>
    <w:p>
      <w:pPr>
        <w:spacing w:after="0" w:line="204" w:lineRule="auto"/>
        <w:rPr>
          <w:sz w:val="20"/>
          <w:szCs w:val="20"/>
          <w:color w:val="auto"/>
        </w:rPr>
      </w:pPr>
      <w:r>
        <w:rPr>
          <w:rFonts w:ascii="Times New Roman" w:cs="Times New Roman" w:eastAsia="Times New Roman" w:hAnsi="Times New Roman"/>
          <w:sz w:val="16"/>
          <w:szCs w:val="16"/>
          <w:color w:val="auto"/>
        </w:rPr>
        <w:t>nonqualified SERPs and other post-retirement benefit plan</w:t>
      </w:r>
    </w:p>
    <w:p>
      <w:pPr>
        <w:spacing w:after="0" w:line="203" w:lineRule="auto"/>
        <w:rPr>
          <w:sz w:val="20"/>
          <w:szCs w:val="20"/>
          <w:color w:val="auto"/>
        </w:rPr>
      </w:pPr>
      <w:r>
        <w:rPr>
          <w:rFonts w:ascii="Times New Roman" w:cs="Times New Roman" w:eastAsia="Times New Roman" w:hAnsi="Times New Roman"/>
          <w:sz w:val="16"/>
          <w:szCs w:val="16"/>
          <w:color w:val="auto"/>
        </w:rPr>
        <w:t>assumptions on an annual basis. In evaluating these</w:t>
      </w:r>
    </w:p>
    <w:p>
      <w:pPr>
        <w:spacing w:after="0" w:line="233" w:lineRule="auto"/>
        <w:rPr>
          <w:sz w:val="20"/>
          <w:szCs w:val="20"/>
          <w:color w:val="auto"/>
        </w:rPr>
      </w:pPr>
      <w:r>
        <w:rPr>
          <w:rFonts w:ascii="Times New Roman" w:cs="Times New Roman" w:eastAsia="Times New Roman" w:hAnsi="Times New Roman"/>
          <w:sz w:val="14"/>
          <w:szCs w:val="14"/>
          <w:color w:val="auto"/>
        </w:rPr>
        <w:t>assumptions, we consider many factors, including evaluation</w:t>
      </w:r>
    </w:p>
    <w:p>
      <w:pPr>
        <w:spacing w:after="0" w:line="203" w:lineRule="auto"/>
        <w:rPr>
          <w:sz w:val="20"/>
          <w:szCs w:val="20"/>
          <w:color w:val="auto"/>
        </w:rPr>
      </w:pPr>
      <w:r>
        <w:rPr>
          <w:rFonts w:ascii="Times New Roman" w:cs="Times New Roman" w:eastAsia="Times New Roman" w:hAnsi="Times New Roman"/>
          <w:sz w:val="16"/>
          <w:szCs w:val="16"/>
          <w:color w:val="auto"/>
        </w:rPr>
        <w:t>of the discount rate, which is modified to reflect the</w:t>
      </w:r>
    </w:p>
    <w:p>
      <w:pPr>
        <w:spacing w:after="0" w:line="204" w:lineRule="auto"/>
        <w:rPr>
          <w:sz w:val="20"/>
          <w:szCs w:val="20"/>
          <w:color w:val="auto"/>
        </w:rPr>
      </w:pPr>
      <w:r>
        <w:rPr>
          <w:rFonts w:ascii="Times New Roman" w:cs="Times New Roman" w:eastAsia="Times New Roman" w:hAnsi="Times New Roman"/>
          <w:sz w:val="16"/>
          <w:szCs w:val="16"/>
          <w:color w:val="auto"/>
        </w:rPr>
        <w:t>prevailing market rates at the measurement date of a high-</w:t>
      </w:r>
    </w:p>
    <w:p>
      <w:pPr>
        <w:spacing w:after="0" w:line="204" w:lineRule="auto"/>
        <w:rPr>
          <w:sz w:val="20"/>
          <w:szCs w:val="20"/>
          <w:color w:val="auto"/>
        </w:rPr>
      </w:pPr>
      <w:r>
        <w:rPr>
          <w:rFonts w:ascii="Times New Roman" w:cs="Times New Roman" w:eastAsia="Times New Roman" w:hAnsi="Times New Roman"/>
          <w:sz w:val="16"/>
          <w:szCs w:val="16"/>
          <w:color w:val="auto"/>
        </w:rPr>
        <w:t>quality fixed-income debt instrument portfolio that would</w:t>
      </w:r>
    </w:p>
    <w:p>
      <w:pPr>
        <w:spacing w:after="0" w:line="203" w:lineRule="auto"/>
        <w:rPr>
          <w:sz w:val="20"/>
          <w:szCs w:val="20"/>
          <w:color w:val="auto"/>
        </w:rPr>
      </w:pPr>
      <w:r>
        <w:rPr>
          <w:rFonts w:ascii="Times New Roman" w:cs="Times New Roman" w:eastAsia="Times New Roman" w:hAnsi="Times New Roman"/>
          <w:sz w:val="16"/>
          <w:szCs w:val="16"/>
          <w:color w:val="auto"/>
        </w:rPr>
        <w:t>provide the future cash flows needed to pay the benefit</w:t>
      </w:r>
    </w:p>
    <w:p>
      <w:pPr>
        <w:spacing w:after="0" w:line="204" w:lineRule="auto"/>
        <w:rPr>
          <w:sz w:val="20"/>
          <w:szCs w:val="20"/>
          <w:color w:val="auto"/>
        </w:rPr>
      </w:pPr>
      <w:r>
        <w:rPr>
          <w:rFonts w:ascii="Times New Roman" w:cs="Times New Roman" w:eastAsia="Times New Roman" w:hAnsi="Times New Roman"/>
          <w:sz w:val="16"/>
          <w:szCs w:val="16"/>
          <w:color w:val="auto"/>
        </w:rPr>
        <w:t>obligations as they come due. Actuarial assumptions are</w:t>
      </w:r>
    </w:p>
    <w:p>
      <w:pPr>
        <w:spacing w:after="0" w:line="232" w:lineRule="auto"/>
        <w:rPr>
          <w:sz w:val="20"/>
          <w:szCs w:val="20"/>
          <w:color w:val="auto"/>
        </w:rPr>
      </w:pPr>
      <w:r>
        <w:rPr>
          <w:rFonts w:ascii="Times New Roman" w:cs="Times New Roman" w:eastAsia="Times New Roman" w:hAnsi="Times New Roman"/>
          <w:sz w:val="14"/>
          <w:szCs w:val="14"/>
          <w:color w:val="auto"/>
        </w:rPr>
        <w:t>based upon management’s best estimates and judgment. See</w:t>
      </w:r>
    </w:p>
    <w:p>
      <w:pPr>
        <w:spacing w:after="0" w:line="204" w:lineRule="auto"/>
        <w:rPr>
          <w:sz w:val="20"/>
          <w:szCs w:val="20"/>
          <w:color w:val="auto"/>
        </w:rPr>
      </w:pPr>
      <w:r>
        <w:rPr>
          <w:rFonts w:ascii="Times New Roman" w:cs="Times New Roman" w:eastAsia="Times New Roman" w:hAnsi="Times New Roman"/>
          <w:sz w:val="16"/>
          <w:szCs w:val="16"/>
          <w:color w:val="auto"/>
        </w:rPr>
        <w:t>Note 10, “Retirement Plans,” for further discussion.</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Share-Based Compensation</w:t>
      </w:r>
    </w:p>
    <w:p>
      <w:pPr>
        <w:spacing w:after="0" w:line="204" w:lineRule="auto"/>
        <w:rPr>
          <w:sz w:val="20"/>
          <w:szCs w:val="20"/>
          <w:color w:val="auto"/>
        </w:rPr>
      </w:pPr>
      <w:r>
        <w:rPr>
          <w:rFonts w:ascii="Times New Roman" w:cs="Times New Roman" w:eastAsia="Times New Roman" w:hAnsi="Times New Roman"/>
          <w:sz w:val="16"/>
          <w:szCs w:val="16"/>
          <w:color w:val="auto"/>
        </w:rPr>
        <w:t>Nasdaq uses the fair value method of accounting for share-</w:t>
      </w:r>
    </w:p>
    <w:p>
      <w:pPr>
        <w:spacing w:after="0" w:line="233" w:lineRule="auto"/>
        <w:rPr>
          <w:sz w:val="20"/>
          <w:szCs w:val="20"/>
          <w:color w:val="auto"/>
        </w:rPr>
      </w:pPr>
      <w:r>
        <w:rPr>
          <w:rFonts w:ascii="Times New Roman" w:cs="Times New Roman" w:eastAsia="Times New Roman" w:hAnsi="Times New Roman"/>
          <w:sz w:val="14"/>
          <w:szCs w:val="14"/>
          <w:color w:val="auto"/>
        </w:rPr>
        <w:t>based awards. Share-based awards, or equity awards, include</w:t>
      </w:r>
    </w:p>
    <w:p>
      <w:pPr>
        <w:spacing w:after="0" w:line="203" w:lineRule="auto"/>
        <w:rPr>
          <w:sz w:val="20"/>
          <w:szCs w:val="20"/>
          <w:color w:val="auto"/>
        </w:rPr>
      </w:pPr>
      <w:r>
        <w:rPr>
          <w:rFonts w:ascii="Times New Roman" w:cs="Times New Roman" w:eastAsia="Times New Roman" w:hAnsi="Times New Roman"/>
          <w:sz w:val="16"/>
          <w:szCs w:val="16"/>
          <w:color w:val="auto"/>
        </w:rPr>
        <w:t>restricted stock, PSUs, and stock options. The fair value of</w:t>
      </w:r>
    </w:p>
    <w:p>
      <w:pPr>
        <w:spacing w:after="0" w:line="204" w:lineRule="auto"/>
        <w:rPr>
          <w:sz w:val="20"/>
          <w:szCs w:val="20"/>
          <w:color w:val="auto"/>
        </w:rPr>
      </w:pPr>
      <w:r>
        <w:rPr>
          <w:rFonts w:ascii="Times New Roman" w:cs="Times New Roman" w:eastAsia="Times New Roman" w:hAnsi="Times New Roman"/>
          <w:sz w:val="16"/>
          <w:szCs w:val="16"/>
          <w:color w:val="auto"/>
        </w:rPr>
        <w:t>restricted stock units awarded and PSUs, other than PSUs</w:t>
      </w:r>
    </w:p>
    <w:p>
      <w:pPr>
        <w:spacing w:after="0" w:line="203" w:lineRule="auto"/>
        <w:rPr>
          <w:sz w:val="20"/>
          <w:szCs w:val="20"/>
          <w:color w:val="auto"/>
        </w:rPr>
      </w:pPr>
      <w:r>
        <w:rPr>
          <w:rFonts w:ascii="Times New Roman" w:cs="Times New Roman" w:eastAsia="Times New Roman" w:hAnsi="Times New Roman"/>
          <w:sz w:val="16"/>
          <w:szCs w:val="16"/>
          <w:color w:val="auto"/>
        </w:rPr>
        <w:t>granted with market conditions, is determined based on the</w:t>
      </w:r>
    </w:p>
    <w:p>
      <w:pPr>
        <w:spacing w:after="0" w:line="233" w:lineRule="auto"/>
        <w:rPr>
          <w:sz w:val="20"/>
          <w:szCs w:val="20"/>
          <w:color w:val="auto"/>
        </w:rPr>
      </w:pPr>
      <w:r>
        <w:rPr>
          <w:rFonts w:ascii="Times New Roman" w:cs="Times New Roman" w:eastAsia="Times New Roman" w:hAnsi="Times New Roman"/>
          <w:sz w:val="14"/>
          <w:szCs w:val="14"/>
          <w:color w:val="auto"/>
        </w:rPr>
        <w:t>grant date closing stock price less the present value of future</w:t>
      </w:r>
    </w:p>
    <w:p>
      <w:pPr>
        <w:spacing w:after="0" w:line="203" w:lineRule="auto"/>
        <w:rPr>
          <w:sz w:val="20"/>
          <w:szCs w:val="20"/>
          <w:color w:val="auto"/>
        </w:rPr>
      </w:pPr>
      <w:r>
        <w:rPr>
          <w:rFonts w:ascii="Times New Roman" w:cs="Times New Roman" w:eastAsia="Times New Roman" w:hAnsi="Times New Roman"/>
          <w:sz w:val="16"/>
          <w:szCs w:val="16"/>
          <w:color w:val="auto"/>
        </w:rPr>
        <w:t>cash dividends. We estimate the fair value of PSUs granted</w:t>
      </w:r>
    </w:p>
    <w:p>
      <w:pPr>
        <w:spacing w:after="0" w:line="204" w:lineRule="auto"/>
        <w:rPr>
          <w:sz w:val="20"/>
          <w:szCs w:val="20"/>
          <w:color w:val="auto"/>
        </w:rPr>
      </w:pPr>
      <w:r>
        <w:rPr>
          <w:rFonts w:ascii="Times New Roman" w:cs="Times New Roman" w:eastAsia="Times New Roman" w:hAnsi="Times New Roman"/>
          <w:sz w:val="16"/>
          <w:szCs w:val="16"/>
          <w:color w:val="auto"/>
        </w:rPr>
        <w:t>with market conditions using a Monte Carlo simulation</w:t>
      </w:r>
    </w:p>
    <w:p>
      <w:pPr>
        <w:spacing w:after="0" w:line="233" w:lineRule="auto"/>
        <w:rPr>
          <w:sz w:val="20"/>
          <w:szCs w:val="20"/>
          <w:color w:val="auto"/>
        </w:rPr>
      </w:pPr>
      <w:r>
        <w:rPr>
          <w:rFonts w:ascii="Times New Roman" w:cs="Times New Roman" w:eastAsia="Times New Roman" w:hAnsi="Times New Roman"/>
          <w:sz w:val="14"/>
          <w:szCs w:val="14"/>
          <w:color w:val="auto"/>
        </w:rPr>
        <w:t>model at the date of grant. The fair value of stock options are</w:t>
      </w:r>
    </w:p>
    <w:p>
      <w:pPr>
        <w:spacing w:after="0" w:line="203" w:lineRule="auto"/>
        <w:rPr>
          <w:sz w:val="20"/>
          <w:szCs w:val="20"/>
          <w:color w:val="auto"/>
        </w:rPr>
      </w:pPr>
      <w:r>
        <w:rPr>
          <w:rFonts w:ascii="Times New Roman" w:cs="Times New Roman" w:eastAsia="Times New Roman" w:hAnsi="Times New Roman"/>
          <w:sz w:val="16"/>
          <w:szCs w:val="16"/>
          <w:color w:val="auto"/>
        </w:rPr>
        <w:t>estimated using the Black-Scholes option-pricing model.</w:t>
      </w:r>
    </w:p>
    <w:p>
      <w:pPr>
        <w:spacing w:after="0" w:line="204" w:lineRule="auto"/>
        <w:rPr>
          <w:sz w:val="20"/>
          <w:szCs w:val="20"/>
          <w:color w:val="auto"/>
        </w:rPr>
      </w:pPr>
      <w:r>
        <w:rPr>
          <w:rFonts w:ascii="Times New Roman" w:cs="Times New Roman" w:eastAsia="Times New Roman" w:hAnsi="Times New Roman"/>
          <w:sz w:val="16"/>
          <w:szCs w:val="16"/>
          <w:color w:val="auto"/>
        </w:rPr>
        <w:t>We generally recognize compensation expense for equity</w:t>
      </w:r>
    </w:p>
    <w:p>
      <w:pPr>
        <w:spacing w:after="0" w:line="203" w:lineRule="auto"/>
        <w:rPr>
          <w:sz w:val="20"/>
          <w:szCs w:val="20"/>
          <w:color w:val="auto"/>
        </w:rPr>
      </w:pPr>
      <w:r>
        <w:rPr>
          <w:rFonts w:ascii="Times New Roman" w:cs="Times New Roman" w:eastAsia="Times New Roman" w:hAnsi="Times New Roman"/>
          <w:sz w:val="16"/>
          <w:szCs w:val="16"/>
          <w:color w:val="auto"/>
        </w:rPr>
        <w:t>awards on a straight-line basis over the requisite service</w:t>
      </w:r>
    </w:p>
    <w:p>
      <w:pPr>
        <w:spacing w:after="0" w:line="204" w:lineRule="auto"/>
        <w:rPr>
          <w:sz w:val="20"/>
          <w:szCs w:val="20"/>
          <w:color w:val="auto"/>
        </w:rPr>
      </w:pPr>
      <w:r>
        <w:rPr>
          <w:rFonts w:ascii="Times New Roman" w:cs="Times New Roman" w:eastAsia="Times New Roman" w:hAnsi="Times New Roman"/>
          <w:sz w:val="16"/>
          <w:szCs w:val="16"/>
          <w:color w:val="auto"/>
        </w:rPr>
        <w:t>period of the award, taking into account an estimated</w:t>
      </w:r>
    </w:p>
    <w:p>
      <w:pPr>
        <w:spacing w:after="0" w:line="203" w:lineRule="auto"/>
        <w:rPr>
          <w:sz w:val="20"/>
          <w:szCs w:val="20"/>
          <w:color w:val="auto"/>
        </w:rPr>
      </w:pPr>
      <w:r>
        <w:rPr>
          <w:rFonts w:ascii="Times New Roman" w:cs="Times New Roman" w:eastAsia="Times New Roman" w:hAnsi="Times New Roman"/>
          <w:sz w:val="16"/>
          <w:szCs w:val="16"/>
          <w:color w:val="auto"/>
        </w:rPr>
        <w:t>forfeiture rate. Granted but unvested shares are generally</w:t>
      </w:r>
    </w:p>
    <w:p>
      <w:pPr>
        <w:spacing w:after="0" w:line="204" w:lineRule="auto"/>
        <w:rPr>
          <w:sz w:val="20"/>
          <w:szCs w:val="20"/>
          <w:color w:val="auto"/>
        </w:rPr>
      </w:pPr>
      <w:r>
        <w:rPr>
          <w:rFonts w:ascii="Times New Roman" w:cs="Times New Roman" w:eastAsia="Times New Roman" w:hAnsi="Times New Roman"/>
          <w:sz w:val="16"/>
          <w:szCs w:val="16"/>
          <w:color w:val="auto"/>
        </w:rPr>
        <w:t>forfeited upon termination of employment.</w:t>
      </w:r>
    </w:p>
    <w:p>
      <w:pPr>
        <w:spacing w:after="0" w:line="203" w:lineRule="auto"/>
        <w:rPr>
          <w:sz w:val="20"/>
          <w:szCs w:val="20"/>
          <w:color w:val="auto"/>
        </w:rPr>
      </w:pPr>
      <w:r>
        <w:rPr>
          <w:rFonts w:ascii="Times New Roman" w:cs="Times New Roman" w:eastAsia="Times New Roman" w:hAnsi="Times New Roman"/>
          <w:sz w:val="16"/>
          <w:szCs w:val="16"/>
          <w:color w:val="auto"/>
        </w:rPr>
        <w:t>Excess tax benefits or expense related to employee share-</w:t>
      </w:r>
    </w:p>
    <w:p>
      <w:pPr>
        <w:spacing w:after="0" w:line="233" w:lineRule="auto"/>
        <w:rPr>
          <w:sz w:val="20"/>
          <w:szCs w:val="20"/>
          <w:color w:val="auto"/>
        </w:rPr>
      </w:pPr>
      <w:r>
        <w:rPr>
          <w:rFonts w:ascii="Times New Roman" w:cs="Times New Roman" w:eastAsia="Times New Roman" w:hAnsi="Times New Roman"/>
          <w:sz w:val="14"/>
          <w:szCs w:val="14"/>
          <w:color w:val="auto"/>
        </w:rPr>
        <w:t>based payments, if any, are recognized as income tax benefit</w:t>
      </w:r>
    </w:p>
    <w:p>
      <w:pPr>
        <w:spacing w:after="0" w:line="204" w:lineRule="auto"/>
        <w:rPr>
          <w:sz w:val="20"/>
          <w:szCs w:val="20"/>
          <w:color w:val="auto"/>
        </w:rPr>
      </w:pPr>
      <w:r>
        <w:rPr>
          <w:rFonts w:ascii="Times New Roman" w:cs="Times New Roman" w:eastAsia="Times New Roman" w:hAnsi="Times New Roman"/>
          <w:sz w:val="16"/>
          <w:szCs w:val="16"/>
          <w:color w:val="auto"/>
        </w:rPr>
        <w:t>or expense in the Consolidated Statements of Income when</w:t>
      </w:r>
    </w:p>
    <w:p>
      <w:pPr>
        <w:spacing w:after="0" w:line="203" w:lineRule="auto"/>
        <w:rPr>
          <w:sz w:val="20"/>
          <w:szCs w:val="20"/>
          <w:color w:val="auto"/>
        </w:rPr>
      </w:pPr>
      <w:r>
        <w:rPr>
          <w:rFonts w:ascii="Times New Roman" w:cs="Times New Roman" w:eastAsia="Times New Roman" w:hAnsi="Times New Roman"/>
          <w:sz w:val="16"/>
          <w:szCs w:val="16"/>
          <w:color w:val="auto"/>
        </w:rPr>
        <w:t>the awards vest or are settled.</w:t>
      </w:r>
    </w:p>
    <w:p>
      <w:pPr>
        <w:spacing w:after="0" w:line="204" w:lineRule="auto"/>
        <w:rPr>
          <w:sz w:val="20"/>
          <w:szCs w:val="20"/>
          <w:color w:val="auto"/>
        </w:rPr>
      </w:pPr>
      <w:r>
        <w:rPr>
          <w:rFonts w:ascii="Times New Roman" w:cs="Times New Roman" w:eastAsia="Times New Roman" w:hAnsi="Times New Roman"/>
          <w:sz w:val="16"/>
          <w:szCs w:val="16"/>
          <w:color w:val="auto"/>
        </w:rPr>
        <w:t>Nasdaq also has an ESPP that allows eligible employees to</w:t>
      </w:r>
    </w:p>
    <w:p>
      <w:pPr>
        <w:spacing w:after="0" w:line="232" w:lineRule="auto"/>
        <w:rPr>
          <w:sz w:val="20"/>
          <w:szCs w:val="20"/>
          <w:color w:val="auto"/>
        </w:rPr>
      </w:pPr>
      <w:r>
        <w:rPr>
          <w:rFonts w:ascii="Times New Roman" w:cs="Times New Roman" w:eastAsia="Times New Roman" w:hAnsi="Times New Roman"/>
          <w:sz w:val="14"/>
          <w:szCs w:val="14"/>
          <w:color w:val="auto"/>
        </w:rPr>
        <w:t>purchase a limited number of shares of our common stock at</w:t>
      </w:r>
    </w:p>
    <w:p>
      <w:pPr>
        <w:spacing w:after="0" w:line="204" w:lineRule="auto"/>
        <w:rPr>
          <w:sz w:val="20"/>
          <w:szCs w:val="20"/>
          <w:color w:val="auto"/>
        </w:rPr>
      </w:pPr>
      <w:r>
        <w:rPr>
          <w:rFonts w:ascii="Times New Roman" w:cs="Times New Roman" w:eastAsia="Times New Roman" w:hAnsi="Times New Roman"/>
          <w:sz w:val="16"/>
          <w:szCs w:val="16"/>
          <w:color w:val="auto"/>
        </w:rPr>
        <w:t>six-month intervals, called offering periods, at 85.0% of the</w:t>
      </w:r>
    </w:p>
    <w:p>
      <w:pPr>
        <w:spacing w:after="0" w:line="203" w:lineRule="auto"/>
        <w:rPr>
          <w:sz w:val="20"/>
          <w:szCs w:val="20"/>
          <w:color w:val="auto"/>
        </w:rPr>
      </w:pPr>
      <w:r>
        <w:rPr>
          <w:rFonts w:ascii="Times New Roman" w:cs="Times New Roman" w:eastAsia="Times New Roman" w:hAnsi="Times New Roman"/>
          <w:sz w:val="16"/>
          <w:szCs w:val="16"/>
          <w:color w:val="auto"/>
        </w:rPr>
        <w:t>lower of the fair market value on the first or the last day of</w:t>
      </w:r>
    </w:p>
    <w:p>
      <w:pPr>
        <w:spacing w:after="0" w:line="204" w:lineRule="auto"/>
        <w:rPr>
          <w:sz w:val="20"/>
          <w:szCs w:val="20"/>
          <w:color w:val="auto"/>
        </w:rPr>
      </w:pPr>
      <w:r>
        <w:rPr>
          <w:rFonts w:ascii="Times New Roman" w:cs="Times New Roman" w:eastAsia="Times New Roman" w:hAnsi="Times New Roman"/>
          <w:sz w:val="16"/>
          <w:szCs w:val="16"/>
          <w:color w:val="auto"/>
        </w:rPr>
        <w:t>each offering period. The 15.0% discount given to our</w:t>
      </w:r>
    </w:p>
    <w:p>
      <w:pPr>
        <w:spacing w:after="0" w:line="233" w:lineRule="auto"/>
        <w:rPr>
          <w:sz w:val="20"/>
          <w:szCs w:val="20"/>
          <w:color w:val="auto"/>
        </w:rPr>
      </w:pPr>
      <w:r>
        <w:rPr>
          <w:rFonts w:ascii="Times New Roman" w:cs="Times New Roman" w:eastAsia="Times New Roman" w:hAnsi="Times New Roman"/>
          <w:sz w:val="14"/>
          <w:szCs w:val="14"/>
          <w:color w:val="auto"/>
        </w:rPr>
        <w:t>employees is included in compensation and benefits expense</w:t>
      </w:r>
    </w:p>
    <w:p>
      <w:pPr>
        <w:spacing w:after="0" w:line="203" w:lineRule="auto"/>
        <w:rPr>
          <w:sz w:val="20"/>
          <w:szCs w:val="20"/>
          <w:color w:val="auto"/>
        </w:rPr>
      </w:pPr>
      <w:r>
        <w:rPr>
          <w:rFonts w:ascii="Times New Roman" w:cs="Times New Roman" w:eastAsia="Times New Roman" w:hAnsi="Times New Roman"/>
          <w:sz w:val="16"/>
          <w:szCs w:val="16"/>
          <w:color w:val="auto"/>
        </w:rPr>
        <w:t>in the Consolidated Statements of Income.</w:t>
      </w:r>
    </w:p>
    <w:p>
      <w:pPr>
        <w:spacing w:after="0" w:line="204" w:lineRule="auto"/>
        <w:rPr>
          <w:sz w:val="20"/>
          <w:szCs w:val="20"/>
          <w:color w:val="auto"/>
        </w:rPr>
      </w:pPr>
      <w:r>
        <w:rPr>
          <w:rFonts w:ascii="Times New Roman" w:cs="Times New Roman" w:eastAsia="Times New Roman" w:hAnsi="Times New Roman"/>
          <w:sz w:val="16"/>
          <w:szCs w:val="16"/>
          <w:color w:val="auto"/>
        </w:rPr>
        <w:t>See Note 11, “Share-Based Compensation,” for further</w:t>
      </w:r>
    </w:p>
    <w:p>
      <w:pPr>
        <w:spacing w:after="0" w:line="203" w:lineRule="auto"/>
        <w:rPr>
          <w:sz w:val="20"/>
          <w:szCs w:val="20"/>
          <w:color w:val="auto"/>
        </w:rPr>
      </w:pPr>
      <w:r>
        <w:rPr>
          <w:rFonts w:ascii="Times New Roman" w:cs="Times New Roman" w:eastAsia="Times New Roman" w:hAnsi="Times New Roman"/>
          <w:sz w:val="16"/>
          <w:szCs w:val="16"/>
          <w:color w:val="auto"/>
        </w:rPr>
        <w:t>discussion.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Merger and Strategic Initiatives</w:t>
      </w:r>
    </w:p>
    <w:p>
      <w:pPr>
        <w:spacing w:after="0" w:line="203" w:lineRule="auto"/>
        <w:rPr>
          <w:sz w:val="20"/>
          <w:szCs w:val="20"/>
          <w:color w:val="auto"/>
        </w:rPr>
      </w:pPr>
      <w:r>
        <w:rPr>
          <w:rFonts w:ascii="Times New Roman" w:cs="Times New Roman" w:eastAsia="Times New Roman" w:hAnsi="Times New Roman"/>
          <w:sz w:val="16"/>
          <w:szCs w:val="16"/>
          <w:color w:val="auto"/>
        </w:rPr>
        <w:t>We incur incremental direct merger and strategic initiative</w:t>
      </w:r>
    </w:p>
    <w:p>
      <w:pPr>
        <w:spacing w:after="0" w:line="233" w:lineRule="auto"/>
        <w:rPr>
          <w:sz w:val="20"/>
          <w:szCs w:val="20"/>
          <w:color w:val="auto"/>
        </w:rPr>
      </w:pPr>
      <w:r>
        <w:rPr>
          <w:rFonts w:ascii="Times New Roman" w:cs="Times New Roman" w:eastAsia="Times New Roman" w:hAnsi="Times New Roman"/>
          <w:sz w:val="14"/>
          <w:szCs w:val="14"/>
          <w:color w:val="auto"/>
        </w:rPr>
        <w:t>costs relating to various completed and potential acquisitions,</w:t>
      </w:r>
    </w:p>
    <w:p>
      <w:pPr>
        <w:spacing w:after="0" w:line="204" w:lineRule="auto"/>
        <w:rPr>
          <w:sz w:val="20"/>
          <w:szCs w:val="20"/>
          <w:color w:val="auto"/>
        </w:rPr>
      </w:pPr>
      <w:r>
        <w:rPr>
          <w:rFonts w:ascii="Times New Roman" w:cs="Times New Roman" w:eastAsia="Times New Roman" w:hAnsi="Times New Roman"/>
          <w:sz w:val="16"/>
          <w:szCs w:val="16"/>
          <w:color w:val="auto"/>
        </w:rPr>
        <w:t>divestitures, and other strategic opportunities. These costs</w:t>
      </w:r>
    </w:p>
    <w:p>
      <w:pPr>
        <w:spacing w:after="0" w:line="203" w:lineRule="auto"/>
        <w:rPr>
          <w:sz w:val="20"/>
          <w:szCs w:val="20"/>
          <w:color w:val="auto"/>
        </w:rPr>
      </w:pPr>
      <w:r>
        <w:rPr>
          <w:rFonts w:ascii="Times New Roman" w:cs="Times New Roman" w:eastAsia="Times New Roman" w:hAnsi="Times New Roman"/>
          <w:sz w:val="16"/>
          <w:szCs w:val="16"/>
          <w:color w:val="auto"/>
        </w:rPr>
        <w:t>generally include integration costs, as well as legal, due</w:t>
      </w:r>
    </w:p>
    <w:p>
      <w:pPr>
        <w:spacing w:after="0" w:line="204" w:lineRule="auto"/>
        <w:rPr>
          <w:sz w:val="20"/>
          <w:szCs w:val="20"/>
          <w:color w:val="auto"/>
        </w:rPr>
      </w:pPr>
      <w:r>
        <w:rPr>
          <w:rFonts w:ascii="Times New Roman" w:cs="Times New Roman" w:eastAsia="Times New Roman" w:hAnsi="Times New Roman"/>
          <w:sz w:val="16"/>
          <w:szCs w:val="16"/>
          <w:color w:val="auto"/>
        </w:rPr>
        <w:t>diligence and other third-party transaction costs and are</w:t>
      </w:r>
    </w:p>
    <w:p>
      <w:pPr>
        <w:spacing w:after="0" w:line="203" w:lineRule="auto"/>
        <w:rPr>
          <w:sz w:val="20"/>
          <w:szCs w:val="20"/>
          <w:color w:val="auto"/>
        </w:rPr>
      </w:pPr>
      <w:r>
        <w:rPr>
          <w:rFonts w:ascii="Times New Roman" w:cs="Times New Roman" w:eastAsia="Times New Roman" w:hAnsi="Times New Roman"/>
          <w:sz w:val="16"/>
          <w:szCs w:val="16"/>
          <w:color w:val="auto"/>
        </w:rPr>
        <w:t>expensed as incurred.</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233" w:lineRule="auto"/>
        <w:rPr>
          <w:sz w:val="20"/>
          <w:szCs w:val="20"/>
          <w:color w:val="auto"/>
        </w:rPr>
      </w:pPr>
      <w:r>
        <w:rPr>
          <w:rFonts w:ascii="Times New Roman" w:cs="Times New Roman" w:eastAsia="Times New Roman" w:hAnsi="Times New Roman"/>
          <w:sz w:val="14"/>
          <w:szCs w:val="14"/>
          <w:color w:val="auto"/>
        </w:rPr>
        <w:t>Fair value is defined as the price that would be received from</w:t>
      </w:r>
    </w:p>
    <w:p>
      <w:pPr>
        <w:spacing w:after="0" w:line="232" w:lineRule="auto"/>
        <w:rPr>
          <w:sz w:val="20"/>
          <w:szCs w:val="20"/>
          <w:color w:val="auto"/>
        </w:rPr>
      </w:pPr>
      <w:r>
        <w:rPr>
          <w:rFonts w:ascii="Times New Roman" w:cs="Times New Roman" w:eastAsia="Times New Roman" w:hAnsi="Times New Roman"/>
          <w:sz w:val="14"/>
          <w:szCs w:val="14"/>
          <w:color w:val="auto"/>
        </w:rPr>
        <w:t>selling an asset or paid to transfer a liability, or the exit price,</w:t>
      </w:r>
    </w:p>
    <w:p>
      <w:pPr>
        <w:spacing w:after="0" w:line="204" w:lineRule="auto"/>
        <w:rPr>
          <w:sz w:val="20"/>
          <w:szCs w:val="20"/>
          <w:color w:val="auto"/>
        </w:rPr>
      </w:pPr>
      <w:r>
        <w:rPr>
          <w:rFonts w:ascii="Times New Roman" w:cs="Times New Roman" w:eastAsia="Times New Roman" w:hAnsi="Times New Roman"/>
          <w:sz w:val="16"/>
          <w:szCs w:val="16"/>
          <w:color w:val="auto"/>
        </w:rPr>
        <w:t>in an orderly transaction between market participants at the</w:t>
      </w:r>
    </w:p>
    <w:p>
      <w:pPr>
        <w:spacing w:after="0" w:line="203" w:lineRule="auto"/>
        <w:rPr>
          <w:sz w:val="20"/>
          <w:szCs w:val="20"/>
          <w:color w:val="auto"/>
        </w:rPr>
      </w:pPr>
      <w:r>
        <w:rPr>
          <w:rFonts w:ascii="Times New Roman" w:cs="Times New Roman" w:eastAsia="Times New Roman" w:hAnsi="Times New Roman"/>
          <w:sz w:val="16"/>
          <w:szCs w:val="16"/>
          <w:color w:val="auto"/>
        </w:rPr>
        <w:t>measurement date. When determining the fair value</w:t>
      </w:r>
    </w:p>
    <w:p>
      <w:pPr>
        <w:spacing w:after="0" w:line="233" w:lineRule="auto"/>
        <w:rPr>
          <w:sz w:val="20"/>
          <w:szCs w:val="20"/>
          <w:color w:val="auto"/>
        </w:rPr>
      </w:pPr>
      <w:r>
        <w:rPr>
          <w:rFonts w:ascii="Times New Roman" w:cs="Times New Roman" w:eastAsia="Times New Roman" w:hAnsi="Times New Roman"/>
          <w:sz w:val="14"/>
          <w:szCs w:val="14"/>
          <w:color w:val="auto"/>
        </w:rPr>
        <w:t>measurements for assets and liabilities required or permitted</w:t>
      </w:r>
    </w:p>
    <w:p>
      <w:pPr>
        <w:spacing w:after="0" w:line="203" w:lineRule="auto"/>
        <w:rPr>
          <w:sz w:val="20"/>
          <w:szCs w:val="20"/>
          <w:color w:val="auto"/>
        </w:rPr>
      </w:pPr>
      <w:r>
        <w:rPr>
          <w:rFonts w:ascii="Times New Roman" w:cs="Times New Roman" w:eastAsia="Times New Roman" w:hAnsi="Times New Roman"/>
          <w:sz w:val="16"/>
          <w:szCs w:val="16"/>
          <w:color w:val="auto"/>
        </w:rPr>
        <w:t>to be either recorded or disclosed at fair value, we consider</w:t>
      </w:r>
    </w:p>
    <w:p>
      <w:pPr>
        <w:spacing w:after="0" w:line="204" w:lineRule="auto"/>
        <w:rPr>
          <w:sz w:val="20"/>
          <w:szCs w:val="20"/>
          <w:color w:val="auto"/>
        </w:rPr>
      </w:pPr>
      <w:r>
        <w:rPr>
          <w:rFonts w:ascii="Times New Roman" w:cs="Times New Roman" w:eastAsia="Times New Roman" w:hAnsi="Times New Roman"/>
          <w:sz w:val="16"/>
          <w:szCs w:val="16"/>
          <w:color w:val="auto"/>
        </w:rPr>
        <w:t>the principal or most advantageous market in which we</w:t>
      </w:r>
    </w:p>
    <w:p>
      <w:pPr>
        <w:spacing w:after="0" w:line="233" w:lineRule="auto"/>
        <w:rPr>
          <w:sz w:val="20"/>
          <w:szCs w:val="20"/>
          <w:color w:val="auto"/>
        </w:rPr>
      </w:pPr>
      <w:r>
        <w:rPr>
          <w:rFonts w:ascii="Times New Roman" w:cs="Times New Roman" w:eastAsia="Times New Roman" w:hAnsi="Times New Roman"/>
          <w:sz w:val="14"/>
          <w:szCs w:val="14"/>
          <w:color w:val="auto"/>
        </w:rPr>
        <w:t>would transact, and we also consider assumptions that market</w:t>
      </w:r>
    </w:p>
    <w:p>
      <w:pPr>
        <w:spacing w:after="0" w:line="232" w:lineRule="auto"/>
        <w:rPr>
          <w:sz w:val="20"/>
          <w:szCs w:val="20"/>
          <w:color w:val="auto"/>
        </w:rPr>
      </w:pPr>
      <w:r>
        <w:rPr>
          <w:rFonts w:ascii="Times New Roman" w:cs="Times New Roman" w:eastAsia="Times New Roman" w:hAnsi="Times New Roman"/>
          <w:sz w:val="14"/>
          <w:szCs w:val="14"/>
          <w:color w:val="auto"/>
        </w:rPr>
        <w:t>participants would use when pricing the asset or liability. Fair</w:t>
      </w:r>
    </w:p>
    <w:p>
      <w:pPr>
        <w:spacing w:after="0" w:line="204" w:lineRule="auto"/>
        <w:rPr>
          <w:sz w:val="20"/>
          <w:szCs w:val="20"/>
          <w:color w:val="auto"/>
        </w:rPr>
      </w:pPr>
      <w:r>
        <w:rPr>
          <w:rFonts w:ascii="Times New Roman" w:cs="Times New Roman" w:eastAsia="Times New Roman" w:hAnsi="Times New Roman"/>
          <w:sz w:val="16"/>
          <w:szCs w:val="16"/>
          <w:color w:val="auto"/>
        </w:rPr>
        <w:t>value measurement establishes a hierarchy of valuation</w:t>
      </w:r>
    </w:p>
    <w:p>
      <w:pPr>
        <w:spacing w:after="0" w:line="203" w:lineRule="auto"/>
        <w:rPr>
          <w:sz w:val="20"/>
          <w:szCs w:val="20"/>
          <w:color w:val="auto"/>
        </w:rPr>
      </w:pPr>
      <w:r>
        <w:rPr>
          <w:rFonts w:ascii="Times New Roman" w:cs="Times New Roman" w:eastAsia="Times New Roman" w:hAnsi="Times New Roman"/>
          <w:sz w:val="16"/>
          <w:szCs w:val="16"/>
          <w:color w:val="auto"/>
        </w:rPr>
        <w:t>techniques based on whether the inputs to those valuation</w:t>
      </w:r>
    </w:p>
    <w:p>
      <w:pPr>
        <w:spacing w:after="0" w:line="233" w:lineRule="auto"/>
        <w:rPr>
          <w:sz w:val="20"/>
          <w:szCs w:val="20"/>
          <w:color w:val="auto"/>
        </w:rPr>
      </w:pPr>
      <w:r>
        <w:rPr>
          <w:rFonts w:ascii="Times New Roman" w:cs="Times New Roman" w:eastAsia="Times New Roman" w:hAnsi="Times New Roman"/>
          <w:sz w:val="14"/>
          <w:szCs w:val="14"/>
          <w:color w:val="auto"/>
        </w:rPr>
        <w:t>techniques are observable or unobservable. Observable inputs</w:t>
      </w:r>
    </w:p>
    <w:p>
      <w:pPr>
        <w:spacing w:after="0" w:line="233" w:lineRule="auto"/>
        <w:rPr>
          <w:sz w:val="20"/>
          <w:szCs w:val="20"/>
          <w:color w:val="auto"/>
        </w:rPr>
      </w:pPr>
      <w:r>
        <w:rPr>
          <w:rFonts w:ascii="Times New Roman" w:cs="Times New Roman" w:eastAsia="Times New Roman" w:hAnsi="Times New Roman"/>
          <w:sz w:val="14"/>
          <w:szCs w:val="14"/>
          <w:color w:val="auto"/>
        </w:rPr>
        <w:t>reflect market data obtained from independent sources, while</w:t>
      </w:r>
    </w:p>
    <w:p>
      <w:pPr>
        <w:spacing w:after="0" w:line="203" w:lineRule="auto"/>
        <w:rPr>
          <w:sz w:val="20"/>
          <w:szCs w:val="20"/>
          <w:color w:val="auto"/>
        </w:rPr>
      </w:pPr>
      <w:r>
        <w:rPr>
          <w:rFonts w:ascii="Times New Roman" w:cs="Times New Roman" w:eastAsia="Times New Roman" w:hAnsi="Times New Roman"/>
          <w:sz w:val="16"/>
          <w:szCs w:val="16"/>
          <w:color w:val="auto"/>
        </w:rPr>
        <w:t>unobservable inputs reflect Nasdaq’s market assumptions.</w:t>
      </w:r>
    </w:p>
    <w:p>
      <w:pPr>
        <w:spacing w:after="0" w:line="204" w:lineRule="auto"/>
        <w:rPr>
          <w:sz w:val="20"/>
          <w:szCs w:val="20"/>
          <w:color w:val="auto"/>
        </w:rPr>
      </w:pPr>
      <w:r>
        <w:rPr>
          <w:rFonts w:ascii="Times New Roman" w:cs="Times New Roman" w:eastAsia="Times New Roman" w:hAnsi="Times New Roman"/>
          <w:sz w:val="16"/>
          <w:szCs w:val="16"/>
          <w:color w:val="auto"/>
        </w:rPr>
        <w:t>These two types of inputs create the following fair value</w:t>
      </w:r>
    </w:p>
    <w:p>
      <w:pPr>
        <w:spacing w:after="0" w:line="203" w:lineRule="auto"/>
        <w:rPr>
          <w:sz w:val="20"/>
          <w:szCs w:val="20"/>
          <w:color w:val="auto"/>
        </w:rPr>
      </w:pPr>
      <w:r>
        <w:rPr>
          <w:rFonts w:ascii="Times New Roman" w:cs="Times New Roman" w:eastAsia="Times New Roman" w:hAnsi="Times New Roman"/>
          <w:sz w:val="16"/>
          <w:szCs w:val="16"/>
          <w:color w:val="auto"/>
        </w:rPr>
        <w:t>hierarchy:</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 xml:space="preserve"> Quoted prices for identical instruments in active</w:t>
      </w:r>
    </w:p>
    <w:p>
      <w:pPr>
        <w:spacing w:after="0" w:line="203" w:lineRule="auto"/>
        <w:rPr>
          <w:sz w:val="20"/>
          <w:szCs w:val="20"/>
          <w:color w:val="auto"/>
        </w:rPr>
      </w:pPr>
      <w:r>
        <w:rPr>
          <w:rFonts w:ascii="Times New Roman" w:cs="Times New Roman" w:eastAsia="Times New Roman" w:hAnsi="Times New Roman"/>
          <w:sz w:val="16"/>
          <w:szCs w:val="16"/>
          <w:color w:val="auto"/>
        </w:rPr>
        <w:t>markets.</w:t>
      </w:r>
    </w:p>
    <w:p>
      <w:pPr>
        <w:spacing w:after="0" w:line="2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 xml:space="preserve"> Quoted prices for similar instruments in active</w:t>
      </w:r>
    </w:p>
    <w:p>
      <w:pPr>
        <w:spacing w:after="0" w:line="204" w:lineRule="auto"/>
        <w:rPr>
          <w:sz w:val="20"/>
          <w:szCs w:val="20"/>
          <w:color w:val="auto"/>
        </w:rPr>
      </w:pPr>
      <w:r>
        <w:rPr>
          <w:rFonts w:ascii="Times New Roman" w:cs="Times New Roman" w:eastAsia="Times New Roman" w:hAnsi="Times New Roman"/>
          <w:sz w:val="16"/>
          <w:szCs w:val="16"/>
          <w:color w:val="auto"/>
        </w:rPr>
        <w:t>markets; quoted prices for identical or similar instruments</w:t>
      </w:r>
    </w:p>
    <w:p>
      <w:pPr>
        <w:spacing w:after="0"/>
        <w:rPr>
          <w:sz w:val="20"/>
          <w:szCs w:val="20"/>
          <w:color w:val="auto"/>
        </w:rPr>
      </w:pPr>
      <w:r>
        <w:rPr>
          <w:rFonts w:ascii="Times New Roman" w:cs="Times New Roman" w:eastAsia="Times New Roman" w:hAnsi="Times New Roman"/>
          <w:sz w:val="16"/>
          <w:szCs w:val="16"/>
          <w:color w:val="auto"/>
        </w:rPr>
        <w:t>in markets that are not active; and model-derived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F-20</w:t>
      </w:r>
    </w:p>
    <w:p>
      <w:pPr>
        <w:spacing w:after="0" w:line="232" w:lineRule="auto"/>
        <w:rPr>
          <w:sz w:val="20"/>
          <w:szCs w:val="20"/>
          <w:color w:val="auto"/>
        </w:rPr>
      </w:pPr>
      <w:r>
        <w:rPr>
          <w:rFonts w:ascii="Times New Roman" w:cs="Times New Roman" w:eastAsia="Times New Roman" w:hAnsi="Times New Roman"/>
          <w:sz w:val="14"/>
          <w:szCs w:val="14"/>
          <w:color w:val="auto"/>
        </w:rPr>
        <w:t>processes, based on the technical merits of the position. Once</w:t>
      </w:r>
    </w:p>
    <w:p>
      <w:pPr>
        <w:spacing w:after="0" w:line="204" w:lineRule="auto"/>
        <w:rPr>
          <w:sz w:val="20"/>
          <w:szCs w:val="20"/>
          <w:color w:val="auto"/>
        </w:rPr>
      </w:pPr>
      <w:r>
        <w:rPr>
          <w:rFonts w:ascii="Times New Roman" w:cs="Times New Roman" w:eastAsia="Times New Roman" w:hAnsi="Times New Roman"/>
          <w:sz w:val="16"/>
          <w:szCs w:val="16"/>
          <w:color w:val="auto"/>
        </w:rPr>
        <w:t>it is determined that a position meets the recognition</w:t>
      </w:r>
    </w:p>
    <w:p>
      <w:pPr>
        <w:spacing w:after="0" w:line="232" w:lineRule="auto"/>
        <w:rPr>
          <w:sz w:val="20"/>
          <w:szCs w:val="20"/>
          <w:color w:val="auto"/>
        </w:rPr>
      </w:pPr>
      <w:r>
        <w:rPr>
          <w:rFonts w:ascii="Times New Roman" w:cs="Times New Roman" w:eastAsia="Times New Roman" w:hAnsi="Times New Roman"/>
          <w:sz w:val="14"/>
          <w:szCs w:val="14"/>
          <w:color w:val="auto"/>
        </w:rPr>
        <w:t>thresholds, the position is measured to determine the amount</w:t>
      </w:r>
    </w:p>
    <w:p>
      <w:pPr>
        <w:spacing w:after="0" w:line="204" w:lineRule="auto"/>
        <w:rPr>
          <w:sz w:val="20"/>
          <w:szCs w:val="20"/>
          <w:color w:val="auto"/>
        </w:rPr>
      </w:pPr>
      <w:r>
        <w:rPr>
          <w:rFonts w:ascii="Times New Roman" w:cs="Times New Roman" w:eastAsia="Times New Roman" w:hAnsi="Times New Roman"/>
          <w:sz w:val="16"/>
          <w:szCs w:val="16"/>
          <w:color w:val="auto"/>
        </w:rPr>
        <w:t>of benefit to be recognized in the consolidated financial</w:t>
      </w:r>
    </w:p>
    <w:p>
      <w:pPr>
        <w:spacing w:after="0" w:line="203" w:lineRule="auto"/>
        <w:rPr>
          <w:sz w:val="20"/>
          <w:szCs w:val="20"/>
          <w:color w:val="auto"/>
        </w:rPr>
      </w:pPr>
      <w:r>
        <w:rPr>
          <w:rFonts w:ascii="Times New Roman" w:cs="Times New Roman" w:eastAsia="Times New Roman" w:hAnsi="Times New Roman"/>
          <w:sz w:val="16"/>
          <w:szCs w:val="16"/>
          <w:color w:val="auto"/>
        </w:rPr>
        <w:t>statements. Interest and/or penalties related to income tax</w:t>
      </w:r>
    </w:p>
    <w:p>
      <w:pPr>
        <w:spacing w:after="0" w:line="204" w:lineRule="auto"/>
        <w:rPr>
          <w:sz w:val="20"/>
          <w:szCs w:val="20"/>
          <w:color w:val="auto"/>
        </w:rPr>
      </w:pPr>
      <w:r>
        <w:rPr>
          <w:rFonts w:ascii="Times New Roman" w:cs="Times New Roman" w:eastAsia="Times New Roman" w:hAnsi="Times New Roman"/>
          <w:sz w:val="16"/>
          <w:szCs w:val="16"/>
          <w:color w:val="auto"/>
        </w:rPr>
        <w:t>matters are recognized in income tax expense.</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Subsequent Events</w:t>
      </w:r>
    </w:p>
    <w:p>
      <w:pPr>
        <w:spacing w:after="0" w:line="204" w:lineRule="auto"/>
        <w:rPr>
          <w:sz w:val="20"/>
          <w:szCs w:val="20"/>
          <w:color w:val="auto"/>
        </w:rPr>
      </w:pPr>
      <w:r>
        <w:rPr>
          <w:rFonts w:ascii="Times New Roman" w:cs="Times New Roman" w:eastAsia="Times New Roman" w:hAnsi="Times New Roman"/>
          <w:sz w:val="16"/>
          <w:szCs w:val="16"/>
          <w:color w:val="auto"/>
        </w:rPr>
        <w:t>We have evaluated subsequent events through the issuance</w:t>
      </w:r>
    </w:p>
    <w:p>
      <w:pPr>
        <w:spacing w:after="0" w:line="203" w:lineRule="auto"/>
        <w:rPr>
          <w:sz w:val="20"/>
          <w:szCs w:val="20"/>
          <w:color w:val="auto"/>
        </w:rPr>
      </w:pPr>
      <w:r>
        <w:rPr>
          <w:rFonts w:ascii="Times New Roman" w:cs="Times New Roman" w:eastAsia="Times New Roman" w:hAnsi="Times New Roman"/>
          <w:sz w:val="16"/>
          <w:szCs w:val="16"/>
          <w:color w:val="auto"/>
        </w:rPr>
        <w:t>date of this Annual Report on Form 10-K.</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04" w:lineRule="auto"/>
        <w:rPr>
          <w:sz w:val="20"/>
          <w:szCs w:val="20"/>
          <w:color w:val="auto"/>
        </w:rPr>
      </w:pPr>
      <w:r>
        <w:rPr>
          <w:rFonts w:ascii="Times New Roman" w:cs="Times New Roman" w:eastAsia="Times New Roman" w:hAnsi="Times New Roman"/>
          <w:sz w:val="16"/>
          <w:szCs w:val="16"/>
          <w:color w:val="auto"/>
        </w:rPr>
        <w:t>•In December 2023, the FASB issued ASU 2023-09,</w:t>
      </w:r>
    </w:p>
    <w:p>
      <w:pPr>
        <w:spacing w:after="0" w:line="203" w:lineRule="auto"/>
        <w:rPr>
          <w:sz w:val="20"/>
          <w:szCs w:val="20"/>
          <w:color w:val="auto"/>
        </w:rPr>
      </w:pPr>
      <w:r>
        <w:rPr>
          <w:rFonts w:ascii="Times New Roman" w:cs="Times New Roman" w:eastAsia="Times New Roman" w:hAnsi="Times New Roman"/>
          <w:sz w:val="16"/>
          <w:szCs w:val="16"/>
          <w:color w:val="auto"/>
        </w:rPr>
        <w:t>“Income Taxes (Topic 740): Improvements to Income Tax</w:t>
      </w:r>
    </w:p>
    <w:p>
      <w:pPr>
        <w:spacing w:after="0" w:line="204" w:lineRule="auto"/>
        <w:rPr>
          <w:sz w:val="20"/>
          <w:szCs w:val="20"/>
          <w:color w:val="auto"/>
        </w:rPr>
      </w:pPr>
      <w:r>
        <w:rPr>
          <w:rFonts w:ascii="Times New Roman" w:cs="Times New Roman" w:eastAsia="Times New Roman" w:hAnsi="Times New Roman"/>
          <w:sz w:val="16"/>
          <w:szCs w:val="16"/>
          <w:color w:val="auto"/>
        </w:rPr>
        <w:t>Disclosures.” The guidance enhances income tax</w:t>
      </w:r>
    </w:p>
    <w:p>
      <w:pPr>
        <w:spacing w:after="0" w:line="203" w:lineRule="auto"/>
        <w:rPr>
          <w:sz w:val="20"/>
          <w:szCs w:val="20"/>
          <w:color w:val="auto"/>
        </w:rPr>
      </w:pPr>
      <w:r>
        <w:rPr>
          <w:rFonts w:ascii="Times New Roman" w:cs="Times New Roman" w:eastAsia="Times New Roman" w:hAnsi="Times New Roman"/>
          <w:sz w:val="16"/>
          <w:szCs w:val="16"/>
          <w:color w:val="auto"/>
        </w:rPr>
        <w:t>disclosure requirements by requiring public entities to</w:t>
      </w:r>
    </w:p>
    <w:p>
      <w:pPr>
        <w:spacing w:after="0" w:line="204" w:lineRule="auto"/>
        <w:rPr>
          <w:sz w:val="20"/>
          <w:szCs w:val="20"/>
          <w:color w:val="auto"/>
        </w:rPr>
      </w:pPr>
      <w:r>
        <w:rPr>
          <w:rFonts w:ascii="Times New Roman" w:cs="Times New Roman" w:eastAsia="Times New Roman" w:hAnsi="Times New Roman"/>
          <w:sz w:val="16"/>
          <w:szCs w:val="16"/>
          <w:color w:val="auto"/>
        </w:rPr>
        <w:t>provide additional information in its tax rate reconciliation</w:t>
      </w:r>
    </w:p>
    <w:p>
      <w:pPr>
        <w:spacing w:after="0" w:line="203" w:lineRule="auto"/>
        <w:rPr>
          <w:sz w:val="20"/>
          <w:szCs w:val="20"/>
          <w:color w:val="auto"/>
        </w:rPr>
      </w:pPr>
      <w:r>
        <w:rPr>
          <w:rFonts w:ascii="Times New Roman" w:cs="Times New Roman" w:eastAsia="Times New Roman" w:hAnsi="Times New Roman"/>
          <w:sz w:val="16"/>
          <w:szCs w:val="16"/>
          <w:color w:val="auto"/>
        </w:rPr>
        <w:t>and additional disclosures about income taxes paid. We</w:t>
      </w:r>
    </w:p>
    <w:p>
      <w:pPr>
        <w:spacing w:after="0" w:line="204" w:lineRule="auto"/>
        <w:rPr>
          <w:sz w:val="20"/>
          <w:szCs w:val="20"/>
          <w:color w:val="auto"/>
        </w:rPr>
      </w:pPr>
      <w:r>
        <w:rPr>
          <w:rFonts w:ascii="Times New Roman" w:cs="Times New Roman" w:eastAsia="Times New Roman" w:hAnsi="Times New Roman"/>
          <w:sz w:val="16"/>
          <w:szCs w:val="16"/>
          <w:color w:val="auto"/>
        </w:rPr>
        <w:t>adopted this update on a prospective basis during the</w:t>
      </w:r>
    </w:p>
    <w:p>
      <w:pPr>
        <w:spacing w:after="0" w:line="203" w:lineRule="auto"/>
        <w:rPr>
          <w:sz w:val="20"/>
          <w:szCs w:val="20"/>
          <w:color w:val="auto"/>
        </w:rPr>
      </w:pPr>
      <w:r>
        <w:rPr>
          <w:rFonts w:ascii="Times New Roman" w:cs="Times New Roman" w:eastAsia="Times New Roman" w:hAnsi="Times New Roman"/>
          <w:sz w:val="16"/>
          <w:szCs w:val="16"/>
          <w:color w:val="auto"/>
        </w:rPr>
        <w:t>current period. See Note 17, “Income Taxes,” for the</w:t>
      </w:r>
    </w:p>
    <w:p>
      <w:pPr>
        <w:spacing w:after="0" w:line="204" w:lineRule="auto"/>
        <w:rPr>
          <w:sz w:val="20"/>
          <w:szCs w:val="20"/>
          <w:color w:val="auto"/>
        </w:rPr>
      </w:pPr>
      <w:r>
        <w:rPr>
          <w:rFonts w:ascii="Times New Roman" w:cs="Times New Roman" w:eastAsia="Times New Roman" w:hAnsi="Times New Roman"/>
          <w:sz w:val="16"/>
          <w:szCs w:val="16"/>
          <w:color w:val="auto"/>
        </w:rPr>
        <w:t>expanded disclosures.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Accounting Pronouncements Not Yet Adopted</w:t>
      </w:r>
    </w:p>
    <w:p>
      <w:pPr>
        <w:spacing w:after="0" w:line="203" w:lineRule="auto"/>
        <w:rPr>
          <w:sz w:val="20"/>
          <w:szCs w:val="20"/>
          <w:color w:val="auto"/>
        </w:rPr>
      </w:pPr>
      <w:r>
        <w:rPr>
          <w:rFonts w:ascii="Times New Roman" w:cs="Times New Roman" w:eastAsia="Times New Roman" w:hAnsi="Times New Roman"/>
          <w:sz w:val="16"/>
          <w:szCs w:val="16"/>
          <w:color w:val="auto"/>
        </w:rPr>
        <w:t>•In November 2024, the FASB issued ASU 2024-03,</w:t>
      </w:r>
    </w:p>
    <w:p>
      <w:pPr>
        <w:spacing w:after="0" w:line="204" w:lineRule="auto"/>
        <w:rPr>
          <w:sz w:val="20"/>
          <w:szCs w:val="20"/>
          <w:color w:val="auto"/>
        </w:rPr>
      </w:pPr>
      <w:r>
        <w:rPr>
          <w:rFonts w:ascii="Times New Roman" w:cs="Times New Roman" w:eastAsia="Times New Roman" w:hAnsi="Times New Roman"/>
          <w:sz w:val="16"/>
          <w:szCs w:val="16"/>
          <w:color w:val="auto"/>
        </w:rPr>
        <w:t>“Income Statement—Reporting Comprehensive Income—</w:t>
      </w:r>
    </w:p>
    <w:p>
      <w:pPr>
        <w:spacing w:after="0" w:line="203" w:lineRule="auto"/>
        <w:rPr>
          <w:sz w:val="20"/>
          <w:szCs w:val="20"/>
          <w:color w:val="auto"/>
        </w:rPr>
      </w:pPr>
      <w:r>
        <w:rPr>
          <w:rFonts w:ascii="Times New Roman" w:cs="Times New Roman" w:eastAsia="Times New Roman" w:hAnsi="Times New Roman"/>
          <w:sz w:val="16"/>
          <w:szCs w:val="16"/>
          <w:color w:val="auto"/>
        </w:rPr>
        <w:t>Expense Disaggregation Disclosures (Subtopic 220-40):</w:t>
      </w:r>
    </w:p>
    <w:p>
      <w:pPr>
        <w:spacing w:after="0" w:line="204" w:lineRule="auto"/>
        <w:rPr>
          <w:sz w:val="20"/>
          <w:szCs w:val="20"/>
          <w:color w:val="auto"/>
        </w:rPr>
      </w:pPr>
      <w:r>
        <w:rPr>
          <w:rFonts w:ascii="Times New Roman" w:cs="Times New Roman" w:eastAsia="Times New Roman" w:hAnsi="Times New Roman"/>
          <w:sz w:val="16"/>
          <w:szCs w:val="16"/>
          <w:color w:val="auto"/>
        </w:rPr>
        <w:t>Disaggregation of Income Statement Expenses.” This</w:t>
      </w:r>
    </w:p>
    <w:p>
      <w:pPr>
        <w:spacing w:after="0" w:line="203" w:lineRule="auto"/>
        <w:rPr>
          <w:sz w:val="20"/>
          <w:szCs w:val="20"/>
          <w:color w:val="auto"/>
        </w:rPr>
      </w:pPr>
      <w:r>
        <w:rPr>
          <w:rFonts w:ascii="Times New Roman" w:cs="Times New Roman" w:eastAsia="Times New Roman" w:hAnsi="Times New Roman"/>
          <w:sz w:val="16"/>
          <w:szCs w:val="16"/>
          <w:color w:val="auto"/>
        </w:rPr>
        <w:t>guidance will require disclosures about specific types of</w:t>
      </w:r>
    </w:p>
    <w:p>
      <w:pPr>
        <w:spacing w:after="0" w:line="204" w:lineRule="auto"/>
        <w:rPr>
          <w:sz w:val="20"/>
          <w:szCs w:val="20"/>
          <w:color w:val="auto"/>
        </w:rPr>
      </w:pPr>
      <w:r>
        <w:rPr>
          <w:rFonts w:ascii="Times New Roman" w:cs="Times New Roman" w:eastAsia="Times New Roman" w:hAnsi="Times New Roman"/>
          <w:sz w:val="16"/>
          <w:szCs w:val="16"/>
          <w:color w:val="auto"/>
        </w:rPr>
        <w:t>expenses included in the expense captions presented on the</w:t>
      </w:r>
    </w:p>
    <w:p>
      <w:pPr>
        <w:spacing w:after="0" w:line="203" w:lineRule="auto"/>
        <w:rPr>
          <w:sz w:val="20"/>
          <w:szCs w:val="20"/>
          <w:color w:val="auto"/>
        </w:rPr>
      </w:pPr>
      <w:r>
        <w:rPr>
          <w:rFonts w:ascii="Times New Roman" w:cs="Times New Roman" w:eastAsia="Times New Roman" w:hAnsi="Times New Roman"/>
          <w:sz w:val="16"/>
          <w:szCs w:val="16"/>
          <w:color w:val="auto"/>
        </w:rPr>
        <w:t>face of the income statement. The update is effective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periods beginning after December 15, 2026, and</w:t>
      </w:r>
    </w:p>
    <w:p>
      <w:pPr>
        <w:sectPr>
          <w:pgSz w:w="11900" w:h="16840" w:orient="portrait"/>
          <w:cols w:equalWidth="0" w:num="1">
            <w:col w:w="9400"/>
          </w:cols>
          <w:pgMar w:left="1060" w:top="557" w:right="1440" w:bottom="80" w:gutter="0" w:footer="0" w:header="0"/>
        </w:sectPr>
      </w:pPr>
    </w:p>
    <w:bookmarkStart w:id="72" w:name="page73"/>
    <w:bookmarkEnd w:id="72"/>
    <w:p>
      <w:pPr>
        <w:ind w:left="10"/>
        <w:spacing w:after="0"/>
        <w:rPr>
          <w:sz w:val="20"/>
          <w:szCs w:val="20"/>
          <w:color w:val="auto"/>
        </w:rPr>
      </w:pPr>
      <w:r>
        <w:rPr>
          <w:rFonts w:ascii="Times New Roman" w:cs="Times New Roman" w:eastAsia="Times New Roman" w:hAnsi="Times New Roman"/>
          <w:sz w:val="16"/>
          <w:szCs w:val="16"/>
          <w:color w:val="auto"/>
        </w:rPr>
        <w:t>interim periods beginning after December 15, 2027, with</w:t>
      </w:r>
    </w:p>
    <w:p>
      <w:pPr>
        <w:ind w:left="10"/>
        <w:spacing w:after="0" w:line="203" w:lineRule="auto"/>
        <w:rPr>
          <w:sz w:val="20"/>
          <w:szCs w:val="20"/>
          <w:color w:val="auto"/>
        </w:rPr>
      </w:pPr>
      <w:r>
        <w:rPr>
          <w:rFonts w:ascii="Times New Roman" w:cs="Times New Roman" w:eastAsia="Times New Roman" w:hAnsi="Times New Roman"/>
          <w:sz w:val="16"/>
          <w:szCs w:val="16"/>
          <w:color w:val="auto"/>
        </w:rPr>
        <w:t>early adoption permitted. Prospective application is</w:t>
      </w:r>
    </w:p>
    <w:p>
      <w:pPr>
        <w:ind w:left="10"/>
        <w:spacing w:after="0" w:line="204" w:lineRule="auto"/>
        <w:rPr>
          <w:sz w:val="20"/>
          <w:szCs w:val="20"/>
          <w:color w:val="auto"/>
        </w:rPr>
      </w:pPr>
      <w:r>
        <w:rPr>
          <w:rFonts w:ascii="Times New Roman" w:cs="Times New Roman" w:eastAsia="Times New Roman" w:hAnsi="Times New Roman"/>
          <w:sz w:val="16"/>
          <w:szCs w:val="16"/>
          <w:color w:val="auto"/>
        </w:rPr>
        <w:t>required and retrospective application is permitted. We are</w:t>
      </w:r>
    </w:p>
    <w:p>
      <w:pPr>
        <w:ind w:left="10"/>
        <w:spacing w:after="0" w:line="203" w:lineRule="auto"/>
        <w:rPr>
          <w:sz w:val="20"/>
          <w:szCs w:val="20"/>
          <w:color w:val="auto"/>
        </w:rPr>
      </w:pPr>
      <w:r>
        <w:rPr>
          <w:rFonts w:ascii="Times New Roman" w:cs="Times New Roman" w:eastAsia="Times New Roman" w:hAnsi="Times New Roman"/>
          <w:sz w:val="16"/>
          <w:szCs w:val="16"/>
          <w:color w:val="auto"/>
        </w:rPr>
        <w:t>currently evaluating the impact of adopting this ASU on</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income statement disaggregation disclosures. We do</w:t>
      </w:r>
    </w:p>
    <w:p>
      <w:pPr>
        <w:ind w:left="10"/>
        <w:spacing w:after="0" w:line="203" w:lineRule="auto"/>
        <w:rPr>
          <w:sz w:val="20"/>
          <w:szCs w:val="20"/>
          <w:color w:val="auto"/>
        </w:rPr>
      </w:pPr>
      <w:r>
        <w:rPr>
          <w:rFonts w:ascii="Times New Roman" w:cs="Times New Roman" w:eastAsia="Times New Roman" w:hAnsi="Times New Roman"/>
          <w:sz w:val="16"/>
          <w:szCs w:val="16"/>
          <w:color w:val="auto"/>
        </w:rPr>
        <w:t>not believe this update will have a material impact on our</w:t>
      </w:r>
    </w:p>
    <w:p>
      <w:pPr>
        <w:ind w:left="10"/>
        <w:spacing w:after="0" w:line="204" w:lineRule="auto"/>
        <w:rPr>
          <w:sz w:val="20"/>
          <w:szCs w:val="20"/>
          <w:color w:val="auto"/>
        </w:rPr>
      </w:pPr>
      <w:r>
        <w:rPr>
          <w:rFonts w:ascii="Times New Roman" w:cs="Times New Roman" w:eastAsia="Times New Roman" w:hAnsi="Times New Roman"/>
          <w:sz w:val="16"/>
          <w:szCs w:val="16"/>
          <w:color w:val="auto"/>
        </w:rPr>
        <w:t>consolidated financial statement disclosures.</w:t>
      </w:r>
    </w:p>
    <w:p>
      <w:pPr>
        <w:ind w:left="10"/>
        <w:spacing w:after="0" w:line="203" w:lineRule="auto"/>
        <w:rPr>
          <w:sz w:val="20"/>
          <w:szCs w:val="20"/>
          <w:color w:val="auto"/>
        </w:rPr>
      </w:pPr>
      <w:r>
        <w:rPr>
          <w:rFonts w:ascii="Times New Roman" w:cs="Times New Roman" w:eastAsia="Times New Roman" w:hAnsi="Times New Roman"/>
          <w:sz w:val="16"/>
          <w:szCs w:val="16"/>
          <w:color w:val="auto"/>
        </w:rPr>
        <w:t>•In September 2025, the FASB issued ASU 2025-06,</w:t>
      </w:r>
    </w:p>
    <w:p>
      <w:pPr>
        <w:ind w:left="10"/>
        <w:spacing w:after="0" w:line="204" w:lineRule="auto"/>
        <w:rPr>
          <w:sz w:val="20"/>
          <w:szCs w:val="20"/>
          <w:color w:val="auto"/>
        </w:rPr>
      </w:pPr>
      <w:r>
        <w:rPr>
          <w:rFonts w:ascii="Times New Roman" w:cs="Times New Roman" w:eastAsia="Times New Roman" w:hAnsi="Times New Roman"/>
          <w:sz w:val="16"/>
          <w:szCs w:val="16"/>
          <w:color w:val="auto"/>
        </w:rPr>
        <w:t>“Intangibles – Goodwill and Other – Internal-Use Software</w:t>
      </w:r>
    </w:p>
    <w:p>
      <w:pPr>
        <w:ind w:left="10"/>
        <w:spacing w:after="0" w:line="203" w:lineRule="auto"/>
        <w:rPr>
          <w:sz w:val="20"/>
          <w:szCs w:val="20"/>
          <w:color w:val="auto"/>
        </w:rPr>
      </w:pPr>
      <w:r>
        <w:rPr>
          <w:rFonts w:ascii="Times New Roman" w:cs="Times New Roman" w:eastAsia="Times New Roman" w:hAnsi="Times New Roman"/>
          <w:sz w:val="16"/>
          <w:szCs w:val="16"/>
          <w:color w:val="auto"/>
        </w:rPr>
        <w:t>(Subtopic 350-40): Targeted Improvements to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Accounting for Internal-Use Software.” The new guidance</w:t>
      </w:r>
    </w:p>
    <w:p>
      <w:pPr>
        <w:ind w:left="10"/>
        <w:spacing w:after="0" w:line="204" w:lineRule="auto"/>
        <w:rPr>
          <w:sz w:val="20"/>
          <w:szCs w:val="20"/>
          <w:color w:val="auto"/>
        </w:rPr>
      </w:pPr>
      <w:r>
        <w:rPr>
          <w:rFonts w:ascii="Times New Roman" w:cs="Times New Roman" w:eastAsia="Times New Roman" w:hAnsi="Times New Roman"/>
          <w:sz w:val="16"/>
          <w:szCs w:val="16"/>
          <w:color w:val="auto"/>
        </w:rPr>
        <w:t>removes references to various stages of a software</w:t>
      </w:r>
    </w:p>
    <w:p>
      <w:pPr>
        <w:ind w:left="10"/>
        <w:spacing w:after="0" w:line="203" w:lineRule="auto"/>
        <w:rPr>
          <w:sz w:val="20"/>
          <w:szCs w:val="20"/>
          <w:color w:val="auto"/>
        </w:rPr>
      </w:pPr>
      <w:r>
        <w:rPr>
          <w:rFonts w:ascii="Times New Roman" w:cs="Times New Roman" w:eastAsia="Times New Roman" w:hAnsi="Times New Roman"/>
          <w:sz w:val="16"/>
          <w:szCs w:val="16"/>
          <w:color w:val="auto"/>
        </w:rPr>
        <w:t>development project to align better with current software</w:t>
      </w:r>
    </w:p>
    <w:p>
      <w:pPr>
        <w:ind w:left="10"/>
        <w:spacing w:after="0" w:line="204" w:lineRule="auto"/>
        <w:rPr>
          <w:sz w:val="20"/>
          <w:szCs w:val="20"/>
          <w:color w:val="auto"/>
        </w:rPr>
      </w:pPr>
      <w:r>
        <w:rPr>
          <w:rFonts w:ascii="Times New Roman" w:cs="Times New Roman" w:eastAsia="Times New Roman" w:hAnsi="Times New Roman"/>
          <w:sz w:val="16"/>
          <w:szCs w:val="16"/>
          <w:color w:val="auto"/>
        </w:rPr>
        <w:t>development methods, such as agile programming. Under</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new standard, entities will start capitalizing eligible</w:t>
      </w:r>
    </w:p>
    <w:p>
      <w:pPr>
        <w:ind w:left="10"/>
        <w:spacing w:after="0" w:line="204" w:lineRule="auto"/>
        <w:rPr>
          <w:sz w:val="20"/>
          <w:szCs w:val="20"/>
          <w:color w:val="auto"/>
        </w:rPr>
      </w:pPr>
      <w:r>
        <w:rPr>
          <w:rFonts w:ascii="Times New Roman" w:cs="Times New Roman" w:eastAsia="Times New Roman" w:hAnsi="Times New Roman"/>
          <w:sz w:val="16"/>
          <w:szCs w:val="16"/>
          <w:color w:val="auto"/>
        </w:rPr>
        <w:t>costs when (1) management has authorized and committed</w:t>
      </w:r>
    </w:p>
    <w:p>
      <w:pPr>
        <w:ind w:left="10"/>
        <w:spacing w:after="0" w:line="203" w:lineRule="auto"/>
        <w:rPr>
          <w:sz w:val="20"/>
          <w:szCs w:val="20"/>
          <w:color w:val="auto"/>
        </w:rPr>
      </w:pPr>
      <w:r>
        <w:rPr>
          <w:rFonts w:ascii="Times New Roman" w:cs="Times New Roman" w:eastAsia="Times New Roman" w:hAnsi="Times New Roman"/>
          <w:sz w:val="16"/>
          <w:szCs w:val="16"/>
          <w:color w:val="auto"/>
        </w:rPr>
        <w:t>to funding the software project, and (2) it is probable that</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project will be completed and the software will be used</w:t>
      </w:r>
    </w:p>
    <w:p>
      <w:pPr>
        <w:ind w:left="10"/>
        <w:spacing w:after="0" w:line="203" w:lineRule="auto"/>
        <w:rPr>
          <w:sz w:val="20"/>
          <w:szCs w:val="20"/>
          <w:color w:val="auto"/>
        </w:rPr>
      </w:pPr>
      <w:r>
        <w:rPr>
          <w:rFonts w:ascii="Times New Roman" w:cs="Times New Roman" w:eastAsia="Times New Roman" w:hAnsi="Times New Roman"/>
          <w:sz w:val="16"/>
          <w:szCs w:val="16"/>
          <w:color w:val="auto"/>
        </w:rPr>
        <w:t>to perform the function intended. The update is effective</w:t>
      </w:r>
    </w:p>
    <w:p>
      <w:pPr>
        <w:ind w:left="10"/>
        <w:spacing w:after="0" w:line="204" w:lineRule="auto"/>
        <w:rPr>
          <w:sz w:val="20"/>
          <w:szCs w:val="20"/>
          <w:color w:val="auto"/>
        </w:rPr>
      </w:pPr>
      <w:r>
        <w:rPr>
          <w:rFonts w:ascii="Times New Roman" w:cs="Times New Roman" w:eastAsia="Times New Roman" w:hAnsi="Times New Roman"/>
          <w:sz w:val="16"/>
          <w:szCs w:val="16"/>
          <w:color w:val="auto"/>
        </w:rPr>
        <w:t>for interim and annual periods beginning after December</w:t>
      </w:r>
    </w:p>
    <w:p>
      <w:pPr>
        <w:ind w:left="10"/>
        <w:spacing w:after="0" w:line="204" w:lineRule="auto"/>
        <w:rPr>
          <w:sz w:val="20"/>
          <w:szCs w:val="20"/>
          <w:color w:val="auto"/>
        </w:rPr>
      </w:pPr>
      <w:r>
        <w:rPr>
          <w:rFonts w:ascii="Times New Roman" w:cs="Times New Roman" w:eastAsia="Times New Roman" w:hAnsi="Times New Roman"/>
          <w:sz w:val="16"/>
          <w:szCs w:val="16"/>
          <w:color w:val="auto"/>
        </w:rPr>
        <w:t>15, 2027, with early adoption permitted. The guidance can</w:t>
      </w:r>
    </w:p>
    <w:p>
      <w:pPr>
        <w:ind w:left="10"/>
        <w:spacing w:after="0" w:line="203" w:lineRule="auto"/>
        <w:rPr>
          <w:sz w:val="20"/>
          <w:szCs w:val="20"/>
          <w:color w:val="auto"/>
        </w:rPr>
      </w:pPr>
      <w:r>
        <w:rPr>
          <w:rFonts w:ascii="Times New Roman" w:cs="Times New Roman" w:eastAsia="Times New Roman" w:hAnsi="Times New Roman"/>
          <w:sz w:val="16"/>
          <w:szCs w:val="16"/>
          <w:color w:val="auto"/>
        </w:rPr>
        <w:t>be applied on a prospective basis, a modified basis for in-</w:t>
      </w:r>
    </w:p>
    <w:p>
      <w:pPr>
        <w:ind w:left="10"/>
        <w:spacing w:after="0" w:line="204" w:lineRule="auto"/>
        <w:rPr>
          <w:sz w:val="20"/>
          <w:szCs w:val="20"/>
          <w:color w:val="auto"/>
        </w:rPr>
      </w:pPr>
      <w:r>
        <w:rPr>
          <w:rFonts w:ascii="Times New Roman" w:cs="Times New Roman" w:eastAsia="Times New Roman" w:hAnsi="Times New Roman"/>
          <w:sz w:val="16"/>
          <w:szCs w:val="16"/>
          <w:color w:val="auto"/>
        </w:rPr>
        <w:t>process projects, or a retrospective basis. We are</w:t>
      </w:r>
    </w:p>
    <w:p>
      <w:pPr>
        <w:ind w:left="10"/>
        <w:spacing w:after="0" w:line="203" w:lineRule="auto"/>
        <w:rPr>
          <w:sz w:val="20"/>
          <w:szCs w:val="20"/>
          <w:color w:val="auto"/>
        </w:rPr>
      </w:pPr>
      <w:r>
        <w:rPr>
          <w:rFonts w:ascii="Times New Roman" w:cs="Times New Roman" w:eastAsia="Times New Roman" w:hAnsi="Times New Roman"/>
          <w:sz w:val="16"/>
          <w:szCs w:val="16"/>
          <w:color w:val="auto"/>
        </w:rPr>
        <w:t>evaluating the impact this amended guidance may have on</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consolidated financial statements.</w:t>
      </w:r>
    </w:p>
    <w:p>
      <w:pPr>
        <w:ind w:left="10" w:right="6480" w:hanging="10"/>
        <w:spacing w:after="0" w:line="203" w:lineRule="auto"/>
        <w:tabs>
          <w:tab w:leader="none" w:pos="166"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FROM CONTRACTS WITH CUSTOMERS</w:t>
      </w: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Disaggregation of Revenue</w:t>
      </w:r>
    </w:p>
    <w:p>
      <w:pPr>
        <w:ind w:left="10" w:right="5580"/>
        <w:spacing w:after="0" w:line="21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summarizes the disaggregation of revenue by major product and service and by segment for the years ended December 31, 2025, 2024 and 2023:</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100" w:type="dxa"/>
            <w:vAlign w:val="bottom"/>
          </w:tcPr>
          <w:p>
            <w:pPr>
              <w:spacing w:after="0"/>
              <w:rPr>
                <w:sz w:val="12"/>
                <w:szCs w:val="12"/>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w w:val="98"/>
              </w:rPr>
              <w:t>Year Ended 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38"/>
        </w:trPr>
        <w:tc>
          <w:tcPr>
            <w:tcW w:w="2100" w:type="dxa"/>
            <w:vAlign w:val="bottom"/>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r>
      <w:tr>
        <w:trPr>
          <w:trHeight w:val="134"/>
        </w:trPr>
        <w:tc>
          <w:tcPr>
            <w:tcW w:w="21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2100" w:type="dxa"/>
            <w:vAlign w:val="bottom"/>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34"/>
        </w:trPr>
        <w:tc>
          <w:tcPr>
            <w:tcW w:w="21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8"/>
        </w:trPr>
        <w:tc>
          <w:tcPr>
            <w:tcW w:w="2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Capital Access Platforms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Data &amp; Listing Services</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804</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749</w:t>
            </w:r>
          </w:p>
        </w:tc>
      </w:tr>
      <w:tr>
        <w:trPr>
          <w:trHeight w:val="205"/>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Index</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827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528</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Workflow &amp; Insights</w:t>
            </w:r>
          </w:p>
        </w:tc>
        <w:tc>
          <w:tcPr>
            <w:tcW w:w="80" w:type="dxa"/>
            <w:vAlign w:val="bottom"/>
          </w:tcPr>
          <w:p>
            <w:pPr>
              <w:spacing w:after="0"/>
              <w:rPr>
                <w:sz w:val="17"/>
                <w:szCs w:val="17"/>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467</w:t>
            </w:r>
          </w:p>
        </w:tc>
      </w:tr>
      <w:tr>
        <w:trPr>
          <w:trHeight w:val="209"/>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Technology</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144"/>
        </w:trPr>
        <w:tc>
          <w:tcPr>
            <w:tcW w:w="210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Financial Crime Management</w:t>
            </w:r>
          </w:p>
        </w:tc>
        <w:tc>
          <w:tcPr>
            <w:tcW w:w="80" w:type="dxa"/>
            <w:vAlign w:val="bottom"/>
          </w:tcPr>
          <w:p>
            <w:pPr>
              <w:spacing w:after="0"/>
              <w:rPr>
                <w:sz w:val="12"/>
                <w:szCs w:val="12"/>
                <w:color w:val="auto"/>
              </w:rPr>
            </w:pPr>
          </w:p>
        </w:tc>
        <w:tc>
          <w:tcPr>
            <w:tcW w:w="500" w:type="dxa"/>
            <w:vAlign w:val="bottom"/>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331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273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223</w:t>
            </w: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Technology</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9"/>
        </w:trPr>
        <w:tc>
          <w:tcPr>
            <w:tcW w:w="2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Regulatory Technology</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428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212</w:t>
            </w: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Capital Markets Technology</w:t>
            </w:r>
          </w:p>
        </w:tc>
        <w:tc>
          <w:tcPr>
            <w:tcW w:w="8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4"/>
              </w:rPr>
              <w:t>1,091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664</w:t>
            </w:r>
          </w:p>
        </w:tc>
      </w:tr>
      <w:tr>
        <w:trPr>
          <w:trHeight w:val="37"/>
        </w:trPr>
        <w:tc>
          <w:tcPr>
            <w:tcW w:w="2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20"/>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Market Services, net</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4"/>
              </w:rPr>
              <w:t>1,201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1,020</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987</w:t>
            </w:r>
          </w:p>
        </w:tc>
      </w:tr>
      <w:tr>
        <w:trPr>
          <w:trHeight w:val="205"/>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revenues</w:t>
            </w:r>
          </w:p>
        </w:tc>
        <w:tc>
          <w:tcPr>
            <w:tcW w:w="80" w:type="dxa"/>
            <w:vAlign w:val="bottom"/>
          </w:tcPr>
          <w:p>
            <w:pPr>
              <w:spacing w:after="0"/>
              <w:rPr>
                <w:sz w:val="17"/>
                <w:szCs w:val="17"/>
                <w:color w:val="auto"/>
              </w:rPr>
            </w:pPr>
          </w:p>
        </w:tc>
        <w:tc>
          <w:tcPr>
            <w:tcW w:w="5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65</w:t>
            </w:r>
          </w:p>
        </w:tc>
      </w:tr>
      <w:tr>
        <w:trPr>
          <w:trHeight w:val="35"/>
        </w:trPr>
        <w:tc>
          <w:tcPr>
            <w:tcW w:w="2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08"/>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 less transaction-</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4"/>
              </w:rPr>
              <w:t>5,249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4,649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3,895</w:t>
            </w:r>
          </w:p>
        </w:tc>
      </w:tr>
    </w:tbl>
    <w:p>
      <w:pPr>
        <w:spacing w:after="0" w:line="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F-21</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231F20"/>
        </w:rPr>
        <w:t>Contract Balances</w:t>
      </w:r>
    </w:p>
    <w:p>
      <w:pPr>
        <w:ind w:left="10"/>
        <w:spacing w:after="0" w:line="204" w:lineRule="auto"/>
        <w:rPr>
          <w:sz w:val="20"/>
          <w:szCs w:val="20"/>
          <w:color w:val="auto"/>
        </w:rPr>
      </w:pPr>
      <w:r>
        <w:rPr>
          <w:rFonts w:ascii="Times New Roman" w:cs="Times New Roman" w:eastAsia="Times New Roman" w:hAnsi="Times New Roman"/>
          <w:sz w:val="16"/>
          <w:szCs w:val="16"/>
          <w:color w:val="231F20"/>
        </w:rPr>
        <w:t>S</w:t>
      </w:r>
      <w:r>
        <w:rPr>
          <w:rFonts w:ascii="Times New Roman" w:cs="Times New Roman" w:eastAsia="Times New Roman" w:hAnsi="Times New Roman"/>
          <w:sz w:val="16"/>
          <w:szCs w:val="16"/>
          <w:color w:val="000000"/>
        </w:rPr>
        <w:t>ubstantially all of our revenues are considered to be</w:t>
      </w:r>
    </w:p>
    <w:p>
      <w:pPr>
        <w:ind w:left="10"/>
        <w:spacing w:after="0" w:line="203" w:lineRule="auto"/>
        <w:rPr>
          <w:sz w:val="20"/>
          <w:szCs w:val="20"/>
          <w:color w:val="auto"/>
        </w:rPr>
      </w:pPr>
      <w:r>
        <w:rPr>
          <w:rFonts w:ascii="Times New Roman" w:cs="Times New Roman" w:eastAsia="Times New Roman" w:hAnsi="Times New Roman"/>
          <w:sz w:val="16"/>
          <w:szCs w:val="16"/>
          <w:color w:val="auto"/>
        </w:rPr>
        <w:t>revenues from contracts with customers. The related accounts</w:t>
      </w:r>
    </w:p>
    <w:p>
      <w:pPr>
        <w:ind w:left="10"/>
        <w:spacing w:after="0" w:line="204" w:lineRule="auto"/>
        <w:rPr>
          <w:sz w:val="20"/>
          <w:szCs w:val="20"/>
          <w:color w:val="auto"/>
        </w:rPr>
      </w:pPr>
      <w:r>
        <w:rPr>
          <w:rFonts w:ascii="Times New Roman" w:cs="Times New Roman" w:eastAsia="Times New Roman" w:hAnsi="Times New Roman"/>
          <w:sz w:val="16"/>
          <w:szCs w:val="16"/>
          <w:color w:val="auto"/>
        </w:rPr>
        <w:t>receivable balances are recorded in the Consolidated Balance</w:t>
      </w:r>
    </w:p>
    <w:p>
      <w:pPr>
        <w:ind w:left="10"/>
        <w:spacing w:after="0" w:line="203" w:lineRule="auto"/>
        <w:rPr>
          <w:sz w:val="20"/>
          <w:szCs w:val="20"/>
          <w:color w:val="auto"/>
        </w:rPr>
      </w:pPr>
      <w:r>
        <w:rPr>
          <w:rFonts w:ascii="Times New Roman" w:cs="Times New Roman" w:eastAsia="Times New Roman" w:hAnsi="Times New Roman"/>
          <w:sz w:val="16"/>
          <w:szCs w:val="16"/>
          <w:color w:val="auto"/>
        </w:rPr>
        <w:t>Sheets as receivables, which are net of allowance for doubtful</w:t>
      </w:r>
    </w:p>
    <w:p>
      <w:pPr>
        <w:ind w:left="10"/>
        <w:spacing w:after="0" w:line="204" w:lineRule="auto"/>
        <w:rPr>
          <w:sz w:val="20"/>
          <w:szCs w:val="20"/>
          <w:color w:val="auto"/>
        </w:rPr>
      </w:pPr>
      <w:r>
        <w:rPr>
          <w:rFonts w:ascii="Times New Roman" w:cs="Times New Roman" w:eastAsia="Times New Roman" w:hAnsi="Times New Roman"/>
          <w:sz w:val="16"/>
          <w:szCs w:val="16"/>
          <w:color w:val="auto"/>
        </w:rPr>
        <w:t>accounts of $11 million as of December 31, 2025 and $10</w:t>
      </w:r>
    </w:p>
    <w:p>
      <w:pPr>
        <w:ind w:left="10"/>
        <w:spacing w:after="0" w:line="203" w:lineRule="auto"/>
        <w:rPr>
          <w:sz w:val="20"/>
          <w:szCs w:val="20"/>
          <w:color w:val="auto"/>
        </w:rPr>
      </w:pPr>
      <w:r>
        <w:rPr>
          <w:rFonts w:ascii="Times New Roman" w:cs="Times New Roman" w:eastAsia="Times New Roman" w:hAnsi="Times New Roman"/>
          <w:sz w:val="16"/>
          <w:szCs w:val="16"/>
          <w:color w:val="auto"/>
        </w:rPr>
        <w:t>million as of December 31, 2024. Changes to the allowance</w:t>
      </w:r>
    </w:p>
    <w:p>
      <w:pPr>
        <w:ind w:left="10"/>
        <w:spacing w:after="0" w:line="204" w:lineRule="auto"/>
        <w:rPr>
          <w:sz w:val="20"/>
          <w:szCs w:val="20"/>
          <w:color w:val="auto"/>
        </w:rPr>
      </w:pPr>
      <w:r>
        <w:rPr>
          <w:rFonts w:ascii="Times New Roman" w:cs="Times New Roman" w:eastAsia="Times New Roman" w:hAnsi="Times New Roman"/>
          <w:sz w:val="16"/>
          <w:szCs w:val="16"/>
          <w:color w:val="auto"/>
        </w:rPr>
        <w:t>for doubtful accounts during the year ended December 31,</w:t>
      </w:r>
    </w:p>
    <w:p>
      <w:pPr>
        <w:ind w:left="10"/>
        <w:spacing w:after="0" w:line="203" w:lineRule="auto"/>
        <w:rPr>
          <w:sz w:val="20"/>
          <w:szCs w:val="20"/>
          <w:color w:val="auto"/>
        </w:rPr>
      </w:pPr>
      <w:r>
        <w:rPr>
          <w:rFonts w:ascii="Times New Roman" w:cs="Times New Roman" w:eastAsia="Times New Roman" w:hAnsi="Times New Roman"/>
          <w:sz w:val="16"/>
          <w:szCs w:val="16"/>
          <w:color w:val="auto"/>
        </w:rPr>
        <w:t>2025 were not material to our consolidated financial</w:t>
      </w:r>
    </w:p>
    <w:p>
      <w:pPr>
        <w:ind w:left="10"/>
        <w:spacing w:after="0" w:line="204" w:lineRule="auto"/>
        <w:rPr>
          <w:sz w:val="20"/>
          <w:szCs w:val="20"/>
          <w:color w:val="auto"/>
        </w:rPr>
      </w:pPr>
      <w:r>
        <w:rPr>
          <w:rFonts w:ascii="Times New Roman" w:cs="Times New Roman" w:eastAsia="Times New Roman" w:hAnsi="Times New Roman"/>
          <w:sz w:val="16"/>
          <w:szCs w:val="16"/>
          <w:color w:val="auto"/>
        </w:rPr>
        <w:t>statements. We do not have obligations for warranties,</w:t>
      </w:r>
    </w:p>
    <w:p>
      <w:pPr>
        <w:ind w:left="10"/>
        <w:spacing w:after="0" w:line="204" w:lineRule="auto"/>
        <w:rPr>
          <w:sz w:val="20"/>
          <w:szCs w:val="20"/>
          <w:color w:val="auto"/>
        </w:rPr>
      </w:pPr>
      <w:r>
        <w:rPr>
          <w:rFonts w:ascii="Times New Roman" w:cs="Times New Roman" w:eastAsia="Times New Roman" w:hAnsi="Times New Roman"/>
          <w:sz w:val="16"/>
          <w:szCs w:val="16"/>
          <w:color w:val="auto"/>
        </w:rPr>
        <w:t>returns or refunds to customers.</w:t>
      </w:r>
    </w:p>
    <w:p>
      <w:pPr>
        <w:ind w:left="10"/>
        <w:spacing w:after="0" w:line="203" w:lineRule="auto"/>
        <w:rPr>
          <w:sz w:val="20"/>
          <w:szCs w:val="20"/>
          <w:color w:val="auto"/>
        </w:rPr>
      </w:pPr>
      <w:r>
        <w:rPr>
          <w:rFonts w:ascii="Times New Roman" w:cs="Times New Roman" w:eastAsia="Times New Roman" w:hAnsi="Times New Roman"/>
          <w:sz w:val="16"/>
          <w:szCs w:val="16"/>
          <w:color w:val="auto"/>
        </w:rPr>
        <w:t>Deferred revenue represents consideration received that is yet</w:t>
      </w:r>
    </w:p>
    <w:p>
      <w:pPr>
        <w:ind w:left="10"/>
        <w:spacing w:after="0" w:line="204" w:lineRule="auto"/>
        <w:rPr>
          <w:sz w:val="20"/>
          <w:szCs w:val="20"/>
          <w:color w:val="auto"/>
        </w:rPr>
      </w:pPr>
      <w:r>
        <w:rPr>
          <w:rFonts w:ascii="Times New Roman" w:cs="Times New Roman" w:eastAsia="Times New Roman" w:hAnsi="Times New Roman"/>
          <w:sz w:val="16"/>
          <w:szCs w:val="16"/>
          <w:color w:val="auto"/>
        </w:rPr>
        <w:t>to be recognized as revenue for unsatisfied performance</w:t>
      </w:r>
    </w:p>
    <w:p>
      <w:pPr>
        <w:ind w:left="10"/>
        <w:spacing w:after="0" w:line="203" w:lineRule="auto"/>
        <w:rPr>
          <w:sz w:val="20"/>
          <w:szCs w:val="20"/>
          <w:color w:val="auto"/>
        </w:rPr>
      </w:pPr>
      <w:r>
        <w:rPr>
          <w:rFonts w:ascii="Times New Roman" w:cs="Times New Roman" w:eastAsia="Times New Roman" w:hAnsi="Times New Roman"/>
          <w:sz w:val="16"/>
          <w:szCs w:val="16"/>
          <w:color w:val="auto"/>
        </w:rPr>
        <w:t>obligations and is the only significant contract asset or</w:t>
      </w:r>
    </w:p>
    <w:p>
      <w:pPr>
        <w:ind w:left="10"/>
        <w:spacing w:after="0" w:line="204" w:lineRule="auto"/>
        <w:rPr>
          <w:sz w:val="20"/>
          <w:szCs w:val="20"/>
          <w:color w:val="auto"/>
        </w:rPr>
      </w:pPr>
      <w:r>
        <w:rPr>
          <w:rFonts w:ascii="Times New Roman" w:cs="Times New Roman" w:eastAsia="Times New Roman" w:hAnsi="Times New Roman"/>
          <w:sz w:val="16"/>
          <w:szCs w:val="16"/>
          <w:color w:val="auto"/>
        </w:rPr>
        <w:t>liability as of December 31, 2025. See Note 8, “Deferred</w:t>
      </w:r>
    </w:p>
    <w:p>
      <w:pPr>
        <w:ind w:left="10"/>
        <w:spacing w:after="0" w:line="203" w:lineRule="auto"/>
        <w:rPr>
          <w:sz w:val="20"/>
          <w:szCs w:val="20"/>
          <w:color w:val="auto"/>
        </w:rPr>
      </w:pPr>
      <w:r>
        <w:rPr>
          <w:rFonts w:ascii="Times New Roman" w:cs="Times New Roman" w:eastAsia="Times New Roman" w:hAnsi="Times New Roman"/>
          <w:sz w:val="16"/>
          <w:szCs w:val="16"/>
          <w:color w:val="auto"/>
        </w:rPr>
        <w:t>Revenue,” for our discussion on deferred revenue balances,</w:t>
      </w:r>
    </w:p>
    <w:p>
      <w:pPr>
        <w:ind w:left="10"/>
        <w:spacing w:after="0" w:line="204" w:lineRule="auto"/>
        <w:rPr>
          <w:sz w:val="20"/>
          <w:szCs w:val="20"/>
          <w:color w:val="auto"/>
        </w:rPr>
      </w:pPr>
      <w:r>
        <w:rPr>
          <w:rFonts w:ascii="Times New Roman" w:cs="Times New Roman" w:eastAsia="Times New Roman" w:hAnsi="Times New Roman"/>
          <w:sz w:val="16"/>
          <w:szCs w:val="16"/>
          <w:color w:val="auto"/>
        </w:rPr>
        <w:t>activity, and expected timing of recognition.</w:t>
      </w:r>
    </w:p>
    <w:p>
      <w:pPr>
        <w:ind w:left="10"/>
        <w:spacing w:after="0" w:line="203" w:lineRule="auto"/>
        <w:rPr>
          <w:sz w:val="20"/>
          <w:szCs w:val="20"/>
          <w:color w:val="auto"/>
        </w:rPr>
      </w:pPr>
      <w:r>
        <w:rPr>
          <w:rFonts w:ascii="Times New Roman" w:cs="Times New Roman" w:eastAsia="Times New Roman" w:hAnsi="Times New Roman"/>
          <w:sz w:val="16"/>
          <w:szCs w:val="16"/>
          <w:color w:val="auto"/>
        </w:rPr>
        <w:t>We do not provide disclosures about the transaction price</w:t>
      </w:r>
    </w:p>
    <w:p>
      <w:pPr>
        <w:ind w:left="10"/>
        <w:spacing w:after="0" w:line="204" w:lineRule="auto"/>
        <w:rPr>
          <w:sz w:val="20"/>
          <w:szCs w:val="20"/>
          <w:color w:val="auto"/>
        </w:rPr>
      </w:pPr>
      <w:r>
        <w:rPr>
          <w:rFonts w:ascii="Times New Roman" w:cs="Times New Roman" w:eastAsia="Times New Roman" w:hAnsi="Times New Roman"/>
          <w:sz w:val="16"/>
          <w:szCs w:val="16"/>
          <w:color w:val="auto"/>
        </w:rPr>
        <w:t>allocated to unsatisfied performance obligations if contract</w:t>
      </w:r>
    </w:p>
    <w:p>
      <w:pPr>
        <w:ind w:left="10"/>
        <w:spacing w:after="0" w:line="204" w:lineRule="auto"/>
        <w:rPr>
          <w:sz w:val="20"/>
          <w:szCs w:val="20"/>
          <w:color w:val="auto"/>
        </w:rPr>
      </w:pPr>
      <w:r>
        <w:rPr>
          <w:rFonts w:ascii="Times New Roman" w:cs="Times New Roman" w:eastAsia="Times New Roman" w:hAnsi="Times New Roman"/>
          <w:sz w:val="16"/>
          <w:szCs w:val="16"/>
          <w:color w:val="auto"/>
        </w:rPr>
        <w:t>durations are less than one year. For our initial listings,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transaction price allocated to remaining performance</w:t>
      </w:r>
    </w:p>
    <w:p>
      <w:pPr>
        <w:ind w:left="10"/>
        <w:spacing w:after="0" w:line="204" w:lineRule="auto"/>
        <w:rPr>
          <w:sz w:val="20"/>
          <w:szCs w:val="20"/>
          <w:color w:val="auto"/>
        </w:rPr>
      </w:pPr>
      <w:r>
        <w:rPr>
          <w:rFonts w:ascii="Times New Roman" w:cs="Times New Roman" w:eastAsia="Times New Roman" w:hAnsi="Times New Roman"/>
          <w:sz w:val="16"/>
          <w:szCs w:val="16"/>
          <w:color w:val="auto"/>
        </w:rPr>
        <w:t>obligations is included in deferred revenue, and therefore not</w:t>
      </w:r>
    </w:p>
    <w:p>
      <w:pPr>
        <w:ind w:left="10"/>
        <w:spacing w:after="0" w:line="203" w:lineRule="auto"/>
        <w:rPr>
          <w:sz w:val="20"/>
          <w:szCs w:val="20"/>
          <w:color w:val="auto"/>
        </w:rPr>
      </w:pPr>
      <w:r>
        <w:rPr>
          <w:rFonts w:ascii="Times New Roman" w:cs="Times New Roman" w:eastAsia="Times New Roman" w:hAnsi="Times New Roman"/>
          <w:sz w:val="16"/>
          <w:szCs w:val="16"/>
          <w:color w:val="auto"/>
        </w:rPr>
        <w:t>included below. For our Financial Crime Management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Technology, Regulatory Technology, Capital Markets</w:t>
      </w:r>
    </w:p>
    <w:p>
      <w:pPr>
        <w:ind w:left="10"/>
        <w:spacing w:after="0" w:line="203" w:lineRule="auto"/>
        <w:rPr>
          <w:sz w:val="20"/>
          <w:szCs w:val="20"/>
          <w:color w:val="auto"/>
        </w:rPr>
      </w:pPr>
      <w:r>
        <w:rPr>
          <w:rFonts w:ascii="Times New Roman" w:cs="Times New Roman" w:eastAsia="Times New Roman" w:hAnsi="Times New Roman"/>
          <w:sz w:val="16"/>
          <w:szCs w:val="16"/>
          <w:color w:val="auto"/>
        </w:rPr>
        <w:t>Technology and Workflow &amp; Insights contracts, the portion</w:t>
      </w:r>
    </w:p>
    <w:p>
      <w:pPr>
        <w:ind w:left="10"/>
        <w:spacing w:after="0" w:line="204" w:lineRule="auto"/>
        <w:rPr>
          <w:sz w:val="20"/>
          <w:szCs w:val="20"/>
          <w:color w:val="auto"/>
        </w:rPr>
      </w:pPr>
      <w:r>
        <w:rPr>
          <w:rFonts w:ascii="Times New Roman" w:cs="Times New Roman" w:eastAsia="Times New Roman" w:hAnsi="Times New Roman"/>
          <w:sz w:val="16"/>
          <w:szCs w:val="16"/>
          <w:color w:val="auto"/>
        </w:rPr>
        <w:t>of transaction price allocated to unsatisfied performance</w:t>
      </w:r>
    </w:p>
    <w:p>
      <w:pPr>
        <w:ind w:left="10"/>
        <w:spacing w:after="0" w:line="203" w:lineRule="auto"/>
        <w:rPr>
          <w:sz w:val="20"/>
          <w:szCs w:val="20"/>
          <w:color w:val="auto"/>
        </w:rPr>
      </w:pPr>
      <w:r>
        <w:rPr>
          <w:rFonts w:ascii="Times New Roman" w:cs="Times New Roman" w:eastAsia="Times New Roman" w:hAnsi="Times New Roman"/>
          <w:sz w:val="16"/>
          <w:szCs w:val="16"/>
          <w:color w:val="auto"/>
        </w:rPr>
        <w:t>obligations is presented in the table below. The timing in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table below is based on our best estimates as, for certain</w:t>
      </w:r>
    </w:p>
    <w:p>
      <w:pPr>
        <w:ind w:left="10"/>
        <w:spacing w:after="0" w:line="203" w:lineRule="auto"/>
        <w:rPr>
          <w:sz w:val="20"/>
          <w:szCs w:val="20"/>
          <w:color w:val="auto"/>
        </w:rPr>
      </w:pPr>
      <w:r>
        <w:rPr>
          <w:rFonts w:ascii="Times New Roman" w:cs="Times New Roman" w:eastAsia="Times New Roman" w:hAnsi="Times New Roman"/>
          <w:sz w:val="16"/>
          <w:szCs w:val="16"/>
          <w:color w:val="auto"/>
        </w:rPr>
        <w:t>contracts, the recognition is primarily dependent upon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completion of customization and any significant</w:t>
      </w:r>
    </w:p>
    <w:p>
      <w:pPr>
        <w:ind w:left="10"/>
        <w:spacing w:after="0" w:line="204" w:lineRule="auto"/>
        <w:rPr>
          <w:sz w:val="20"/>
          <w:szCs w:val="20"/>
          <w:color w:val="auto"/>
        </w:rPr>
      </w:pPr>
      <w:r>
        <w:rPr>
          <w:rFonts w:ascii="Times New Roman" w:cs="Times New Roman" w:eastAsia="Times New Roman" w:hAnsi="Times New Roman"/>
          <w:sz w:val="16"/>
          <w:szCs w:val="16"/>
          <w:color w:val="auto"/>
        </w:rPr>
        <w:t>modifications made pursuant to existing contracts. To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extent consideration has been received, unsatisfied</w:t>
      </w:r>
    </w:p>
    <w:p>
      <w:pPr>
        <w:ind w:left="10"/>
        <w:spacing w:after="0" w:line="204" w:lineRule="auto"/>
        <w:rPr>
          <w:sz w:val="20"/>
          <w:szCs w:val="20"/>
          <w:color w:val="auto"/>
        </w:rPr>
      </w:pPr>
      <w:r>
        <w:rPr>
          <w:rFonts w:ascii="Times New Roman" w:cs="Times New Roman" w:eastAsia="Times New Roman" w:hAnsi="Times New Roman"/>
          <w:sz w:val="16"/>
          <w:szCs w:val="16"/>
          <w:color w:val="auto"/>
        </w:rPr>
        <w:t>performance obligations would be included in the table below</w:t>
      </w:r>
    </w:p>
    <w:p>
      <w:pPr>
        <w:ind w:left="10"/>
        <w:spacing w:after="0" w:line="203" w:lineRule="auto"/>
        <w:rPr>
          <w:sz w:val="20"/>
          <w:szCs w:val="20"/>
          <w:color w:val="auto"/>
        </w:rPr>
      </w:pPr>
      <w:r>
        <w:rPr>
          <w:rFonts w:ascii="Times New Roman" w:cs="Times New Roman" w:eastAsia="Times New Roman" w:hAnsi="Times New Roman"/>
          <w:sz w:val="16"/>
          <w:szCs w:val="16"/>
          <w:color w:val="auto"/>
        </w:rPr>
        <w:t>as well as deferred revenue.</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following table summarizes the amount of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transaction price allocated to performance obligations that are</w:t>
      </w:r>
    </w:p>
    <w:p>
      <w:pPr>
        <w:ind w:left="10"/>
        <w:spacing w:after="0" w:line="204" w:lineRule="auto"/>
        <w:rPr>
          <w:sz w:val="20"/>
          <w:szCs w:val="20"/>
          <w:color w:val="auto"/>
        </w:rPr>
      </w:pPr>
      <w:r>
        <w:rPr>
          <w:rFonts w:ascii="Times New Roman" w:cs="Times New Roman" w:eastAsia="Times New Roman" w:hAnsi="Times New Roman"/>
          <w:sz w:val="16"/>
          <w:szCs w:val="16"/>
          <w:color w:val="auto"/>
        </w:rPr>
        <w:t>unsatisfied, for contract durations greater than one year, as of</w:t>
      </w:r>
    </w:p>
    <w:p>
      <w:pPr>
        <w:ind w:left="10"/>
        <w:spacing w:after="0"/>
        <w:rPr>
          <w:sz w:val="20"/>
          <w:szCs w:val="20"/>
          <w:color w:val="auto"/>
        </w:rPr>
      </w:pPr>
      <w:r>
        <w:rPr>
          <w:rFonts w:ascii="Times New Roman" w:cs="Times New Roman" w:eastAsia="Times New Roman" w:hAnsi="Times New Roman"/>
          <w:sz w:val="16"/>
          <w:szCs w:val="16"/>
          <w:color w:val="auto"/>
        </w:rPr>
        <w:t>December 31, 2025:</w:t>
      </w:r>
    </w:p>
    <w:p>
      <w:pPr>
        <w:sectPr>
          <w:pgSz w:w="11900" w:h="16840" w:orient="portrait"/>
          <w:cols w:equalWidth="0" w:num="1">
            <w:col w:w="9410"/>
          </w:cols>
          <w:pgMar w:left="1050" w:top="547" w:right="1440"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126"/>
        </w:trPr>
        <w:tc>
          <w:tcPr>
            <w:tcW w:w="5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w:t>
            </w:r>
          </w:p>
        </w:tc>
        <w:tc>
          <w:tcPr>
            <w:tcW w:w="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Regulatory</w:t>
            </w:r>
          </w:p>
        </w:tc>
        <w:tc>
          <w:tcPr>
            <w:tcW w:w="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 w:type="dxa"/>
            <w:vAlign w:val="bottom"/>
          </w:tcPr>
          <w:p>
            <w:pPr>
              <w:spacing w:after="0"/>
              <w:rPr>
                <w:sz w:val="11"/>
                <w:szCs w:val="11"/>
                <w:color w:val="auto"/>
              </w:rPr>
            </w:pPr>
          </w:p>
        </w:tc>
        <w:tc>
          <w:tcPr>
            <w:tcW w:w="60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96"/>
              </w:rPr>
              <w:t>Workflow</w:t>
            </w:r>
          </w:p>
        </w:tc>
        <w:tc>
          <w:tcPr>
            <w:tcW w:w="20" w:type="dxa"/>
            <w:vAlign w:val="bottom"/>
          </w:tcPr>
          <w:p>
            <w:pPr>
              <w:spacing w:after="0"/>
              <w:rPr>
                <w:sz w:val="11"/>
                <w:szCs w:val="11"/>
                <w:color w:val="auto"/>
              </w:rPr>
            </w:pPr>
          </w:p>
        </w:tc>
        <w:tc>
          <w:tcPr>
            <w:tcW w:w="62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08"/>
        </w:trPr>
        <w:tc>
          <w:tcPr>
            <w:tcW w:w="540" w:type="dxa"/>
            <w:vAlign w:val="bottom"/>
          </w:tcPr>
          <w:p>
            <w:pPr>
              <w:spacing w:after="0"/>
              <w:rPr>
                <w:sz w:val="9"/>
                <w:szCs w:val="9"/>
                <w:color w:val="auto"/>
              </w:rPr>
            </w:pPr>
          </w:p>
        </w:tc>
        <w:tc>
          <w:tcPr>
            <w:tcW w:w="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Crime</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Technology</w:t>
            </w:r>
          </w:p>
        </w:tc>
        <w:tc>
          <w:tcPr>
            <w:tcW w:w="20" w:type="dxa"/>
            <w:vAlign w:val="bottom"/>
          </w:tcPr>
          <w:p>
            <w:pPr>
              <w:spacing w:after="0"/>
              <w:rPr>
                <w:sz w:val="9"/>
                <w:szCs w:val="9"/>
                <w:color w:val="auto"/>
              </w:rPr>
            </w:pPr>
          </w:p>
        </w:tc>
        <w:tc>
          <w:tcPr>
            <w:tcW w:w="72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Markets</w:t>
            </w:r>
          </w:p>
        </w:tc>
        <w:tc>
          <w:tcPr>
            <w:tcW w:w="200" w:type="dxa"/>
            <w:vAlign w:val="bottom"/>
            <w:gridSpan w:val="2"/>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&amp;</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540" w:type="dxa"/>
            <w:vAlign w:val="bottom"/>
          </w:tcPr>
          <w:p>
            <w:pPr>
              <w:spacing w:after="0"/>
              <w:rPr>
                <w:sz w:val="9"/>
                <w:szCs w:val="9"/>
                <w:color w:val="auto"/>
              </w:rPr>
            </w:pPr>
          </w:p>
        </w:tc>
        <w:tc>
          <w:tcPr>
            <w:tcW w:w="7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Management</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Technology</w:t>
            </w:r>
          </w:p>
        </w:tc>
        <w:tc>
          <w:tcPr>
            <w:tcW w:w="20" w:type="dxa"/>
            <w:vAlign w:val="bottom"/>
          </w:tcPr>
          <w:p>
            <w:pPr>
              <w:spacing w:after="0"/>
              <w:rPr>
                <w:sz w:val="9"/>
                <w:szCs w:val="9"/>
                <w:color w:val="auto"/>
              </w:rPr>
            </w:pPr>
          </w:p>
        </w:tc>
        <w:tc>
          <w:tcPr>
            <w:tcW w:w="600" w:type="dxa"/>
            <w:vAlign w:val="bottom"/>
            <w:gridSpan w:val="2"/>
          </w:tcPr>
          <w:p>
            <w:pPr>
              <w:jc w:val="right"/>
              <w:ind w:right="142"/>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Insights</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42"/>
        </w:trPr>
        <w:tc>
          <w:tcPr>
            <w:tcW w:w="5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Technology</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62"/>
        </w:trPr>
        <w:tc>
          <w:tcPr>
            <w:tcW w:w="540" w:type="dxa"/>
            <w:vAlign w:val="bottom"/>
          </w:tcPr>
          <w:p>
            <w:pPr>
              <w:spacing w:after="0"/>
              <w:rPr>
                <w:sz w:val="5"/>
                <w:szCs w:val="5"/>
                <w:color w:val="auto"/>
              </w:rPr>
            </w:pPr>
          </w:p>
        </w:tc>
        <w:tc>
          <w:tcPr>
            <w:tcW w:w="74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r>
      <w:tr>
        <w:trPr>
          <w:trHeight w:val="134"/>
        </w:trPr>
        <w:tc>
          <w:tcPr>
            <w:tcW w:w="5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38"/>
        </w:trPr>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8"/>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341</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328</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359</w:t>
            </w: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168</w:t>
            </w:r>
          </w:p>
        </w:tc>
        <w:tc>
          <w:tcPr>
            <w:tcW w:w="64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w w:val="99"/>
              </w:rPr>
              <w:t>$ 1,196</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tcPr>
          <w:p>
            <w:pPr>
              <w:spacing w:after="0"/>
              <w:rPr>
                <w:sz w:val="17"/>
                <w:szCs w:val="17"/>
                <w:color w:val="auto"/>
              </w:rPr>
            </w:pPr>
          </w:p>
        </w:tc>
        <w:tc>
          <w:tcPr>
            <w:tcW w:w="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103</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954</w:t>
            </w: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8"/>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166</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192</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251</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w:t>
            </w:r>
          </w:p>
        </w:tc>
        <w:tc>
          <w:tcPr>
            <w:tcW w:w="6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color w:val="auto"/>
              </w:rPr>
              <w:t>656</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17"/>
                <w:szCs w:val="17"/>
                <w:color w:val="auto"/>
              </w:rPr>
            </w:pPr>
          </w:p>
        </w:tc>
        <w:tc>
          <w:tcPr>
            <w:tcW w:w="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356</w:t>
            </w:r>
          </w:p>
        </w:tc>
      </w:tr>
      <w:tr>
        <w:trPr>
          <w:trHeight w:val="25"/>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8"/>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3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w:t>
            </w:r>
          </w:p>
        </w:tc>
        <w:tc>
          <w:tcPr>
            <w:tcW w:w="6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color w:val="auto"/>
              </w:rPr>
              <w:t>209</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2031+</w:t>
            </w:r>
          </w:p>
        </w:tc>
        <w:tc>
          <w:tcPr>
            <w:tcW w:w="340" w:type="dxa"/>
            <w:vAlign w:val="bottom"/>
          </w:tcPr>
          <w:p>
            <w:pPr>
              <w:spacing w:after="0"/>
              <w:rPr>
                <w:sz w:val="17"/>
                <w:szCs w:val="17"/>
                <w:color w:val="auto"/>
              </w:rPr>
            </w:pPr>
          </w:p>
        </w:tc>
        <w:tc>
          <w:tcPr>
            <w:tcW w:w="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267</w:t>
            </w:r>
          </w:p>
        </w:tc>
      </w:tr>
      <w:tr>
        <w:trPr>
          <w:trHeight w:val="25"/>
        </w:trPr>
        <w:tc>
          <w:tcPr>
            <w:tcW w:w="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8"/>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866</w:t>
            </w: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988</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1,405</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379</w:t>
            </w:r>
          </w:p>
        </w:tc>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w w:val="95"/>
              </w:rPr>
              <w:t>$ 3,638</w:t>
            </w:r>
          </w:p>
        </w:tc>
      </w:tr>
    </w:tbl>
    <w:p>
      <w:pPr>
        <w:ind w:left="10" w:right="6620" w:hanging="10"/>
        <w:spacing w:after="0" w:line="214" w:lineRule="auto"/>
        <w:tabs>
          <w:tab w:leader="none" w:pos="166"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 AND DIVESTITURES </w:t>
      </w:r>
      <w:r>
        <w:rPr>
          <w:rFonts w:ascii="Times New Roman" w:cs="Times New Roman" w:eastAsia="Times New Roman" w:hAnsi="Times New Roman"/>
          <w:sz w:val="16"/>
          <w:szCs w:val="16"/>
          <w:b w:val="1"/>
          <w:bCs w:val="1"/>
          <w:i w:val="1"/>
          <w:iCs w:val="1"/>
          <w:color w:val="231F20"/>
        </w:rPr>
        <w:t>Divestitures</w:t>
      </w:r>
    </w:p>
    <w:p>
      <w:pPr>
        <w:ind w:left="10" w:right="556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January 2025, we entered into an agreement to transfer existing open positions in our Nordic power futures business to a European exchange. In June 2025, this transaction was completed and consideration was received. Migration of open positions are planned to take place by the end of the first quarter of 2026. We expect to wind down the commodities clearing and trading services in the second half of 2026, and the business to be wound down in the months following. In connection with the successful migration of open positions, Nasdaq may receive additional consideration in 2026 and 2027, and is expected to release regulatory capital in the medium term.</w:t>
      </w:r>
    </w:p>
    <w:p>
      <w:pPr>
        <w:spacing w:after="0" w:line="5" w:lineRule="exact"/>
        <w:rPr>
          <w:rFonts w:ascii="Times New Roman" w:cs="Times New Roman" w:eastAsia="Times New Roman" w:hAnsi="Times New Roman"/>
          <w:sz w:val="16"/>
          <w:szCs w:val="16"/>
          <w:b w:val="1"/>
          <w:bCs w:val="1"/>
          <w:color w:val="auto"/>
        </w:rPr>
      </w:pPr>
    </w:p>
    <w:p>
      <w:pPr>
        <w:ind w:left="10" w:right="5560"/>
        <w:spacing w:after="0" w:line="21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April 2025, Nasdaq completed the sale of our Nasdaq Risk Modelling for Catastrophes business which was previously included in Capital Markets Technology within our Financial Technology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-1804670</wp:posOffset>
            </wp:positionV>
            <wp:extent cx="219519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F-22</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excess purchase price over the net tangible and acquired</w:t>
      </w:r>
    </w:p>
    <w:p>
      <w:pPr>
        <w:ind w:left="10"/>
        <w:spacing w:after="0" w:line="204" w:lineRule="auto"/>
        <w:rPr>
          <w:sz w:val="20"/>
          <w:szCs w:val="20"/>
          <w:color w:val="auto"/>
        </w:rPr>
      </w:pPr>
      <w:r>
        <w:rPr>
          <w:rFonts w:ascii="Times New Roman" w:cs="Times New Roman" w:eastAsia="Times New Roman" w:hAnsi="Times New Roman"/>
          <w:sz w:val="16"/>
          <w:szCs w:val="16"/>
          <w:color w:val="auto"/>
        </w:rPr>
        <w:t>intangible assets has been recorded as goodwill.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goodwill recognized is attributable primarily to expected</w:t>
      </w:r>
    </w:p>
    <w:p>
      <w:pPr>
        <w:ind w:left="10"/>
        <w:spacing w:after="0" w:line="204" w:lineRule="auto"/>
        <w:rPr>
          <w:sz w:val="20"/>
          <w:szCs w:val="20"/>
          <w:color w:val="auto"/>
        </w:rPr>
      </w:pPr>
      <w:r>
        <w:rPr>
          <w:rFonts w:ascii="Times New Roman" w:cs="Times New Roman" w:eastAsia="Times New Roman" w:hAnsi="Times New Roman"/>
          <w:sz w:val="16"/>
          <w:szCs w:val="16"/>
          <w:color w:val="auto"/>
        </w:rPr>
        <w:t>synergies and is assigned to our Financial Technology</w:t>
      </w:r>
    </w:p>
    <w:p>
      <w:pPr>
        <w:ind w:left="10"/>
        <w:spacing w:after="0" w:line="228" w:lineRule="auto"/>
        <w:rPr>
          <w:sz w:val="20"/>
          <w:szCs w:val="20"/>
          <w:color w:val="auto"/>
        </w:rPr>
      </w:pPr>
      <w:r>
        <w:rPr>
          <w:rFonts w:ascii="Times New Roman" w:cs="Times New Roman" w:eastAsia="Times New Roman" w:hAnsi="Times New Roman"/>
          <w:sz w:val="16"/>
          <w:szCs w:val="16"/>
          <w:color w:val="auto"/>
        </w:rPr>
        <w:t>segment.</w:t>
      </w:r>
    </w:p>
    <w:tbl>
      <w:tblPr>
        <w:tblLayout w:type="fixed"/>
        <w:tblInd w:w="10" w:type="dxa"/>
        <w:tblCellMar>
          <w:top w:w="0" w:type="dxa"/>
          <w:left w:w="0" w:type="dxa"/>
          <w:bottom w:w="0" w:type="dxa"/>
          <w:right w:w="0" w:type="dxa"/>
        </w:tblCellMar>
      </w:tblPr>
      <w:tr>
        <w:trPr>
          <w:trHeight w:val="142"/>
        </w:trPr>
        <w:tc>
          <w:tcPr>
            <w:tcW w:w="314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38"/>
        </w:trPr>
        <w:tc>
          <w:tcPr>
            <w:tcW w:w="3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72"/>
        </w:trPr>
        <w:tc>
          <w:tcPr>
            <w:tcW w:w="3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5,933</w:t>
            </w:r>
          </w:p>
        </w:tc>
      </w:tr>
      <w:tr>
        <w:trPr>
          <w:trHeight w:val="192"/>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20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5,050</w:t>
            </w:r>
          </w:p>
        </w:tc>
      </w:tr>
      <w:tr>
        <w:trPr>
          <w:trHeight w:val="19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236</w:t>
            </w:r>
          </w:p>
        </w:tc>
      </w:tr>
      <w:tr>
        <w:trPr>
          <w:trHeight w:val="192"/>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Other net assets acquired</w:t>
            </w:r>
          </w:p>
        </w:tc>
        <w:tc>
          <w:tcPr>
            <w:tcW w:w="200" w:type="dxa"/>
            <w:vAlign w:val="bottom"/>
          </w:tcPr>
          <w:p>
            <w:pPr>
              <w:spacing w:after="0"/>
              <w:rPr>
                <w:sz w:val="16"/>
                <w:szCs w:val="16"/>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153</w:t>
            </w:r>
          </w:p>
        </w:tc>
      </w:tr>
      <w:tr>
        <w:trPr>
          <w:trHeight w:val="19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48</w:t>
            </w:r>
          </w:p>
        </w:tc>
      </w:tr>
      <w:tr>
        <w:trPr>
          <w:trHeight w:val="192"/>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Accrued personnel costs</w:t>
            </w:r>
          </w:p>
        </w:tc>
        <w:tc>
          <w:tcPr>
            <w:tcW w:w="20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r>
      <w:tr>
        <w:trPr>
          <w:trHeight w:val="19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w:t>
            </w:r>
          </w:p>
        </w:tc>
      </w:tr>
      <w:tr>
        <w:trPr>
          <w:trHeight w:val="144"/>
        </w:trPr>
        <w:tc>
          <w:tcPr>
            <w:tcW w:w="314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Deferred tax liability on acquired intangible</w:t>
            </w:r>
          </w:p>
        </w:tc>
        <w:tc>
          <w:tcPr>
            <w:tcW w:w="200" w:type="dxa"/>
            <w:vAlign w:val="bottom"/>
          </w:tcPr>
          <w:p>
            <w:pPr>
              <w:spacing w:after="0"/>
              <w:rPr>
                <w:sz w:val="12"/>
                <w:szCs w:val="12"/>
                <w:color w:val="auto"/>
              </w:rPr>
            </w:pPr>
          </w:p>
        </w:tc>
        <w:tc>
          <w:tcPr>
            <w:tcW w:w="660" w:type="dxa"/>
            <w:vAlign w:val="bottom"/>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rPr>
              <w:t>(1,262)</w:t>
            </w: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9"/>
        </w:trPr>
        <w:tc>
          <w:tcPr>
            <w:tcW w:w="3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176"/>
        </w:trPr>
        <w:tc>
          <w:tcPr>
            <w:tcW w:w="31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purchase consideration</w:t>
            </w:r>
          </w:p>
        </w:tc>
        <w:tc>
          <w:tcPr>
            <w:tcW w:w="200" w:type="dxa"/>
            <w:vAlign w:val="bottom"/>
            <w:tcBorders>
              <w:bottom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9,984</w:t>
            </w:r>
          </w:p>
        </w:tc>
      </w:tr>
    </w:tbl>
    <w:p>
      <w:pPr>
        <w:ind w:left="10"/>
        <w:spacing w:after="0" w:line="225" w:lineRule="auto"/>
        <w:rPr>
          <w:sz w:val="20"/>
          <w:szCs w:val="20"/>
          <w:color w:val="auto"/>
        </w:rPr>
      </w:pPr>
      <w:r>
        <w:rPr>
          <w:rFonts w:ascii="Times New Roman" w:cs="Times New Roman" w:eastAsia="Times New Roman" w:hAnsi="Times New Roman"/>
          <w:sz w:val="16"/>
          <w:szCs w:val="16"/>
          <w:color w:val="auto"/>
        </w:rPr>
        <w:t>In the third quarter of 2024, we recorded a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2004695</wp:posOffset>
            </wp:positionH>
            <wp:positionV relativeFrom="paragraph">
              <wp:posOffset>-100965</wp:posOffset>
            </wp:positionV>
            <wp:extent cx="54102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541020" cy="7620"/>
                    </a:xfrm>
                    <a:prstGeom prst="rect">
                      <a:avLst/>
                    </a:prstGeom>
                    <a:noFill/>
                  </pic:spPr>
                </pic:pic>
              </a:graphicData>
            </a:graphic>
          </wp:anchor>
        </w:drawing>
      </w:r>
    </w:p>
    <w:p>
      <w:pPr>
        <w:ind w:left="10"/>
        <w:spacing w:after="0" w:line="204" w:lineRule="auto"/>
        <w:rPr>
          <w:sz w:val="20"/>
          <w:szCs w:val="20"/>
          <w:color w:val="auto"/>
        </w:rPr>
      </w:pPr>
      <w:r>
        <w:rPr>
          <w:rFonts w:ascii="Times New Roman" w:cs="Times New Roman" w:eastAsia="Times New Roman" w:hAnsi="Times New Roman"/>
          <w:sz w:val="16"/>
          <w:szCs w:val="16"/>
          <w:color w:val="auto"/>
        </w:rPr>
        <w:t>accounting adjustment to the estimated purchase price</w:t>
      </w:r>
    </w:p>
    <w:p>
      <w:pPr>
        <w:ind w:left="10"/>
        <w:spacing w:after="0" w:line="203" w:lineRule="auto"/>
        <w:rPr>
          <w:sz w:val="20"/>
          <w:szCs w:val="20"/>
          <w:color w:val="auto"/>
        </w:rPr>
      </w:pPr>
      <w:r>
        <w:rPr>
          <w:rFonts w:ascii="Times New Roman" w:cs="Times New Roman" w:eastAsia="Times New Roman" w:hAnsi="Times New Roman"/>
          <w:sz w:val="16"/>
          <w:szCs w:val="16"/>
          <w:color w:val="auto"/>
        </w:rPr>
        <w:t>allocation shown above and disclosed as of December 31,</w:t>
      </w:r>
    </w:p>
    <w:p>
      <w:pPr>
        <w:ind w:left="10"/>
        <w:spacing w:after="0" w:line="204" w:lineRule="auto"/>
        <w:rPr>
          <w:sz w:val="20"/>
          <w:szCs w:val="20"/>
          <w:color w:val="auto"/>
        </w:rPr>
      </w:pPr>
      <w:r>
        <w:rPr>
          <w:rFonts w:ascii="Times New Roman" w:cs="Times New Roman" w:eastAsia="Times New Roman" w:hAnsi="Times New Roman"/>
          <w:sz w:val="16"/>
          <w:szCs w:val="16"/>
          <w:color w:val="auto"/>
        </w:rPr>
        <w:t>2023. This adjustment relates to the impact of the change</w:t>
      </w:r>
    </w:p>
    <w:p>
      <w:pPr>
        <w:ind w:left="10"/>
        <w:spacing w:after="0" w:line="203" w:lineRule="auto"/>
        <w:rPr>
          <w:sz w:val="20"/>
          <w:szCs w:val="20"/>
          <w:color w:val="auto"/>
        </w:rPr>
      </w:pPr>
      <w:r>
        <w:rPr>
          <w:rFonts w:ascii="Times New Roman" w:cs="Times New Roman" w:eastAsia="Times New Roman" w:hAnsi="Times New Roman"/>
          <w:sz w:val="16"/>
          <w:szCs w:val="16"/>
          <w:color w:val="auto"/>
        </w:rPr>
        <w:t>from upfront to ratable revenue recognition for AxiomSL on-</w:t>
      </w:r>
    </w:p>
    <w:p>
      <w:pPr>
        <w:ind w:left="10"/>
        <w:spacing w:after="0" w:line="204" w:lineRule="auto"/>
        <w:rPr>
          <w:sz w:val="20"/>
          <w:szCs w:val="20"/>
          <w:color w:val="auto"/>
        </w:rPr>
      </w:pPr>
      <w:r>
        <w:rPr>
          <w:rFonts w:ascii="Times New Roman" w:cs="Times New Roman" w:eastAsia="Times New Roman" w:hAnsi="Times New Roman"/>
          <w:sz w:val="16"/>
          <w:szCs w:val="16"/>
          <w:color w:val="auto"/>
        </w:rPr>
        <w:t>premises contracts entered into prior to the acquisition date,</w:t>
      </w:r>
    </w:p>
    <w:p>
      <w:pPr>
        <w:ind w:left="10"/>
        <w:spacing w:after="0" w:line="204" w:lineRule="auto"/>
        <w:rPr>
          <w:sz w:val="20"/>
          <w:szCs w:val="20"/>
          <w:color w:val="auto"/>
        </w:rPr>
      </w:pPr>
      <w:r>
        <w:rPr>
          <w:rFonts w:ascii="Times New Roman" w:cs="Times New Roman" w:eastAsia="Times New Roman" w:hAnsi="Times New Roman"/>
          <w:sz w:val="16"/>
          <w:szCs w:val="16"/>
          <w:color w:val="auto"/>
        </w:rPr>
        <w:t>as described above, and decreased accrued income (which</w:t>
      </w:r>
    </w:p>
    <w:p>
      <w:pPr>
        <w:ind w:left="10"/>
        <w:spacing w:after="0" w:line="203" w:lineRule="auto"/>
        <w:rPr>
          <w:sz w:val="20"/>
          <w:szCs w:val="20"/>
          <w:color w:val="auto"/>
        </w:rPr>
      </w:pPr>
      <w:r>
        <w:rPr>
          <w:rFonts w:ascii="Times New Roman" w:cs="Times New Roman" w:eastAsia="Times New Roman" w:hAnsi="Times New Roman"/>
          <w:sz w:val="16"/>
          <w:szCs w:val="16"/>
          <w:color w:val="auto"/>
        </w:rPr>
        <w:t>reflects revenue earned but not yet billed and included in</w:t>
      </w:r>
    </w:p>
    <w:p>
      <w:pPr>
        <w:ind w:left="10"/>
        <w:spacing w:after="0" w:line="204" w:lineRule="auto"/>
        <w:rPr>
          <w:sz w:val="20"/>
          <w:szCs w:val="20"/>
          <w:color w:val="auto"/>
        </w:rPr>
      </w:pPr>
      <w:r>
        <w:rPr>
          <w:rFonts w:ascii="Times New Roman" w:cs="Times New Roman" w:eastAsia="Times New Roman" w:hAnsi="Times New Roman"/>
          <w:sz w:val="16"/>
          <w:szCs w:val="16"/>
          <w:color w:val="auto"/>
        </w:rPr>
        <w:t>receivables above) by $46 million, increased deferred</w:t>
      </w:r>
    </w:p>
    <w:p>
      <w:pPr>
        <w:ind w:left="10"/>
        <w:spacing w:after="0" w:line="203" w:lineRule="auto"/>
        <w:rPr>
          <w:sz w:val="20"/>
          <w:szCs w:val="20"/>
          <w:color w:val="auto"/>
        </w:rPr>
      </w:pPr>
      <w:r>
        <w:rPr>
          <w:rFonts w:ascii="Times New Roman" w:cs="Times New Roman" w:eastAsia="Times New Roman" w:hAnsi="Times New Roman"/>
          <w:sz w:val="16"/>
          <w:szCs w:val="16"/>
          <w:color w:val="auto"/>
        </w:rPr>
        <w:t>revenue by $56 million and increased goodwill by $77</w:t>
      </w:r>
    </w:p>
    <w:p>
      <w:pPr>
        <w:ind w:left="10"/>
        <w:spacing w:after="0" w:line="204" w:lineRule="auto"/>
        <w:rPr>
          <w:sz w:val="20"/>
          <w:szCs w:val="20"/>
          <w:color w:val="auto"/>
        </w:rPr>
      </w:pPr>
      <w:r>
        <w:rPr>
          <w:rFonts w:ascii="Times New Roman" w:cs="Times New Roman" w:eastAsia="Times New Roman" w:hAnsi="Times New Roman"/>
          <w:sz w:val="16"/>
          <w:szCs w:val="16"/>
          <w:color w:val="auto"/>
        </w:rPr>
        <w:t>million, net of a deferred tax asset of $25 million. In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fourth quarter of 2024, we finalized the purchase accounting</w:t>
      </w:r>
    </w:p>
    <w:p>
      <w:pPr>
        <w:ind w:left="10"/>
        <w:spacing w:after="0" w:line="204" w:lineRule="auto"/>
        <w:rPr>
          <w:sz w:val="20"/>
          <w:szCs w:val="20"/>
          <w:color w:val="auto"/>
        </w:rPr>
      </w:pPr>
      <w:r>
        <w:rPr>
          <w:rFonts w:ascii="Times New Roman" w:cs="Times New Roman" w:eastAsia="Times New Roman" w:hAnsi="Times New Roman"/>
          <w:sz w:val="16"/>
          <w:szCs w:val="16"/>
          <w:color w:val="auto"/>
        </w:rPr>
        <w:t>for this acquisition.</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Intangible Assets</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following table presents the details of acquired intangible</w:t>
      </w:r>
    </w:p>
    <w:p>
      <w:pPr>
        <w:ind w:left="10"/>
        <w:spacing w:after="0" w:line="203" w:lineRule="auto"/>
        <w:rPr>
          <w:sz w:val="20"/>
          <w:szCs w:val="20"/>
          <w:color w:val="auto"/>
        </w:rPr>
      </w:pPr>
      <w:r>
        <w:rPr>
          <w:rFonts w:ascii="Times New Roman" w:cs="Times New Roman" w:eastAsia="Times New Roman" w:hAnsi="Times New Roman"/>
          <w:sz w:val="16"/>
          <w:szCs w:val="16"/>
          <w:color w:val="auto"/>
        </w:rPr>
        <w:t>assets at the date of acquisition. Acquired intangible assets</w:t>
      </w:r>
    </w:p>
    <w:p>
      <w:pPr>
        <w:ind w:left="10"/>
        <w:spacing w:after="0" w:line="213" w:lineRule="auto"/>
        <w:rPr>
          <w:sz w:val="20"/>
          <w:szCs w:val="20"/>
          <w:color w:val="auto"/>
        </w:rPr>
      </w:pPr>
      <w:r>
        <w:rPr>
          <w:rFonts w:ascii="Times New Roman" w:cs="Times New Roman" w:eastAsia="Times New Roman" w:hAnsi="Times New Roman"/>
          <w:sz w:val="16"/>
          <w:szCs w:val="16"/>
          <w:color w:val="auto"/>
        </w:rPr>
        <w:t>with finite lives are amortized using the straight-line method.</w:t>
      </w:r>
    </w:p>
    <w:tbl>
      <w:tblPr>
        <w:tblLayout w:type="fixed"/>
        <w:tblInd w:w="10" w:type="dxa"/>
        <w:tblCellMar>
          <w:top w:w="0" w:type="dxa"/>
          <w:left w:w="0" w:type="dxa"/>
          <w:bottom w:w="0" w:type="dxa"/>
          <w:right w:w="0" w:type="dxa"/>
        </w:tblCellMar>
      </w:tblPr>
      <w:tr>
        <w:trPr>
          <w:trHeight w:val="113"/>
        </w:trPr>
        <w:tc>
          <w:tcPr>
            <w:tcW w:w="1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Customer</w:t>
            </w: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Technology</w:t>
            </w:r>
          </w:p>
        </w:tc>
        <w:tc>
          <w:tcPr>
            <w:tcW w:w="54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Trade</w:t>
            </w:r>
          </w:p>
        </w:tc>
        <w:tc>
          <w:tcPr>
            <w:tcW w:w="760" w:type="dxa"/>
            <w:vAlign w:val="bottom"/>
            <w:gridSpan w:val="3"/>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88"/>
        </w:trPr>
        <w:tc>
          <w:tcPr>
            <w:tcW w:w="13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line="84" w:lineRule="exact"/>
              <w:rPr>
                <w:sz w:val="20"/>
                <w:szCs w:val="20"/>
                <w:color w:val="auto"/>
              </w:rPr>
            </w:pPr>
            <w:r>
              <w:rPr>
                <w:rFonts w:ascii="Times New Roman" w:cs="Times New Roman" w:eastAsia="Times New Roman" w:hAnsi="Times New Roman"/>
                <w:sz w:val="9"/>
                <w:szCs w:val="9"/>
                <w:b w:val="1"/>
                <w:bCs w:val="1"/>
                <w:color w:val="auto"/>
              </w:rPr>
              <w:t>Relationships</w:t>
            </w:r>
          </w:p>
        </w:tc>
        <w:tc>
          <w:tcPr>
            <w:tcW w:w="1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gridSpan w:val="2"/>
            <w:shd w:val="clear" w:color="auto" w:fill="CCEEFF"/>
          </w:tcPr>
          <w:p>
            <w:pPr>
              <w:spacing w:after="0" w:line="84" w:lineRule="exact"/>
              <w:rPr>
                <w:sz w:val="20"/>
                <w:szCs w:val="20"/>
                <w:color w:val="auto"/>
              </w:rPr>
            </w:pPr>
            <w:r>
              <w:rPr>
                <w:rFonts w:ascii="Times New Roman" w:cs="Times New Roman" w:eastAsia="Times New Roman" w:hAnsi="Times New Roman"/>
                <w:sz w:val="9"/>
                <w:szCs w:val="9"/>
                <w:b w:val="1"/>
                <w:bCs w:val="1"/>
                <w:color w:val="auto"/>
              </w:rPr>
              <w:t>Names</w:t>
            </w:r>
          </w:p>
        </w:tc>
        <w:tc>
          <w:tcPr>
            <w:tcW w:w="760" w:type="dxa"/>
            <w:vAlign w:val="bottom"/>
            <w:tcBorders>
              <w:top w:val="single" w:sz="8" w:color="CCEEFF"/>
            </w:tcBorders>
            <w:gridSpan w:val="3"/>
            <w:shd w:val="clear" w:color="auto" w:fill="CCEEFF"/>
          </w:tcPr>
          <w:p>
            <w:pPr>
              <w:ind w:left="80"/>
              <w:spacing w:after="0" w:line="84" w:lineRule="exact"/>
              <w:rPr>
                <w:sz w:val="20"/>
                <w:szCs w:val="20"/>
                <w:color w:val="auto"/>
              </w:rPr>
            </w:pPr>
            <w:r>
              <w:rPr>
                <w:rFonts w:ascii="Times New Roman" w:cs="Times New Roman" w:eastAsia="Times New Roman" w:hAnsi="Times New Roman"/>
                <w:sz w:val="9"/>
                <w:szCs w:val="9"/>
                <w:b w:val="1"/>
                <w:bCs w:val="1"/>
                <w:color w:val="auto"/>
              </w:rPr>
              <w:t>Acquired</w:t>
            </w:r>
          </w:p>
        </w:tc>
      </w:tr>
      <w:tr>
        <w:trPr>
          <w:trHeight w:val="84"/>
        </w:trPr>
        <w:tc>
          <w:tcPr>
            <w:tcW w:w="13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gridSpan w:val="3"/>
            <w:shd w:val="clear" w:color="auto" w:fill="CCEEFF"/>
          </w:tcPr>
          <w:p>
            <w:pPr>
              <w:ind w:left="80"/>
              <w:spacing w:after="0" w:line="84" w:lineRule="exact"/>
              <w:rPr>
                <w:sz w:val="20"/>
                <w:szCs w:val="20"/>
                <w:color w:val="auto"/>
              </w:rPr>
            </w:pPr>
            <w:r>
              <w:rPr>
                <w:rFonts w:ascii="Times New Roman" w:cs="Times New Roman" w:eastAsia="Times New Roman" w:hAnsi="Times New Roman"/>
                <w:sz w:val="9"/>
                <w:szCs w:val="9"/>
                <w:b w:val="1"/>
                <w:bCs w:val="1"/>
                <w:color w:val="auto"/>
              </w:rPr>
              <w:t>Intangible</w:t>
            </w:r>
          </w:p>
        </w:tc>
      </w:tr>
      <w:tr>
        <w:trPr>
          <w:trHeight w:val="120"/>
        </w:trPr>
        <w:tc>
          <w:tcPr>
            <w:tcW w:w="1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ind w:left="80"/>
              <w:spacing w:after="0" w:line="120" w:lineRule="exact"/>
              <w:rPr>
                <w:sz w:val="20"/>
                <w:szCs w:val="20"/>
                <w:color w:val="auto"/>
              </w:rPr>
            </w:pPr>
            <w:r>
              <w:rPr>
                <w:rFonts w:ascii="Times New Roman" w:cs="Times New Roman" w:eastAsia="Times New Roman" w:hAnsi="Times New Roman"/>
                <w:sz w:val="11"/>
                <w:szCs w:val="11"/>
                <w:b w:val="1"/>
                <w:bCs w:val="1"/>
                <w:color w:val="auto"/>
              </w:rPr>
              <w:t>Assets</w:t>
            </w:r>
          </w:p>
        </w:tc>
      </w:tr>
      <w:tr>
        <w:trPr>
          <w:trHeight w:val="64"/>
        </w:trPr>
        <w:tc>
          <w:tcPr>
            <w:tcW w:w="13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r>
      <w:tr>
        <w:trPr>
          <w:trHeight w:val="132"/>
        </w:trPr>
        <w:tc>
          <w:tcPr>
            <w:tcW w:w="13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Intangible asset</w:t>
            </w:r>
          </w:p>
        </w:tc>
        <w:tc>
          <w:tcPr>
            <w:tcW w:w="6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  3,740</w:t>
            </w:r>
          </w:p>
        </w:tc>
        <w:tc>
          <w:tcPr>
            <w:tcW w:w="66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4"/>
                <w:szCs w:val="14"/>
                <w:color w:val="auto"/>
              </w:rPr>
              <w:t>$  950</w:t>
            </w:r>
          </w:p>
        </w:tc>
        <w:tc>
          <w:tcPr>
            <w:tcW w:w="140" w:type="dxa"/>
            <w:vAlign w:val="bottom"/>
          </w:tcPr>
          <w:p>
            <w:pPr>
              <w:spacing w:after="0"/>
              <w:rPr>
                <w:sz w:val="11"/>
                <w:szCs w:val="11"/>
                <w:color w:val="auto"/>
              </w:rPr>
            </w:pPr>
          </w:p>
        </w:tc>
        <w:tc>
          <w:tcPr>
            <w:tcW w:w="540" w:type="dxa"/>
            <w:vAlign w:val="bottom"/>
            <w:gridSpan w:val="2"/>
          </w:tcPr>
          <w:p>
            <w:pPr>
              <w:spacing w:after="0" w:line="132" w:lineRule="exact"/>
              <w:rPr>
                <w:sz w:val="20"/>
                <w:szCs w:val="20"/>
                <w:color w:val="auto"/>
              </w:rPr>
            </w:pPr>
            <w:r>
              <w:rPr>
                <w:rFonts w:ascii="Times New Roman" w:cs="Times New Roman" w:eastAsia="Times New Roman" w:hAnsi="Times New Roman"/>
                <w:sz w:val="14"/>
                <w:szCs w:val="14"/>
                <w:color w:val="auto"/>
              </w:rPr>
              <w:t>$ 360</w:t>
            </w:r>
          </w:p>
        </w:tc>
        <w:tc>
          <w:tcPr>
            <w:tcW w:w="760" w:type="dxa"/>
            <w:vAlign w:val="bottom"/>
            <w:gridSpan w:val="3"/>
          </w:tcPr>
          <w:p>
            <w:pPr>
              <w:ind w:left="80"/>
              <w:spacing w:after="0" w:line="132" w:lineRule="exact"/>
              <w:rPr>
                <w:sz w:val="20"/>
                <w:szCs w:val="20"/>
                <w:color w:val="auto"/>
              </w:rPr>
            </w:pPr>
            <w:r>
              <w:rPr>
                <w:rFonts w:ascii="Times New Roman" w:cs="Times New Roman" w:eastAsia="Times New Roman" w:hAnsi="Times New Roman"/>
                <w:sz w:val="14"/>
                <w:szCs w:val="14"/>
                <w:color w:val="auto"/>
              </w:rPr>
              <w:t>$  5,050</w:t>
            </w:r>
          </w:p>
        </w:tc>
      </w:tr>
      <w:tr>
        <w:trPr>
          <w:trHeight w:val="18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value (in millions)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52"/>
        </w:trPr>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192"/>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 used</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9.5 %</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8.5 %</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8.5 %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32"/>
        </w:trPr>
        <w:tc>
          <w:tcPr>
            <w:tcW w:w="13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Estimated average</w:t>
            </w:r>
          </w:p>
        </w:tc>
        <w:tc>
          <w:tcPr>
            <w:tcW w:w="6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22 years</w:t>
            </w:r>
          </w:p>
        </w:tc>
        <w:tc>
          <w:tcPr>
            <w:tcW w:w="140" w:type="dxa"/>
            <w:vAlign w:val="bottom"/>
          </w:tcPr>
          <w:p>
            <w:pPr>
              <w:spacing w:after="0"/>
              <w:rPr>
                <w:sz w:val="11"/>
                <w:szCs w:val="11"/>
                <w:color w:val="auto"/>
              </w:rPr>
            </w:pPr>
          </w:p>
        </w:tc>
        <w:tc>
          <w:tcPr>
            <w:tcW w:w="660" w:type="dxa"/>
            <w:vAlign w:val="bottom"/>
            <w:gridSpan w:val="2"/>
          </w:tcPr>
          <w:p>
            <w:pPr>
              <w:spacing w:after="0" w:line="132" w:lineRule="exact"/>
              <w:rPr>
                <w:sz w:val="20"/>
                <w:szCs w:val="20"/>
                <w:color w:val="auto"/>
              </w:rPr>
            </w:pPr>
            <w:r>
              <w:rPr>
                <w:rFonts w:ascii="Times New Roman" w:cs="Times New Roman" w:eastAsia="Times New Roman" w:hAnsi="Times New Roman"/>
                <w:sz w:val="14"/>
                <w:szCs w:val="14"/>
                <w:color w:val="auto"/>
              </w:rPr>
              <w:t>6 years</w:t>
            </w:r>
          </w:p>
        </w:tc>
        <w:tc>
          <w:tcPr>
            <w:tcW w:w="540" w:type="dxa"/>
            <w:vAlign w:val="bottom"/>
            <w:gridSpan w:val="2"/>
          </w:tcPr>
          <w:p>
            <w:pPr>
              <w:spacing w:after="0" w:line="132" w:lineRule="exact"/>
              <w:rPr>
                <w:sz w:val="20"/>
                <w:szCs w:val="20"/>
                <w:color w:val="auto"/>
              </w:rPr>
            </w:pPr>
            <w:r>
              <w:rPr>
                <w:rFonts w:ascii="Times New Roman" w:cs="Times New Roman" w:eastAsia="Times New Roman" w:hAnsi="Times New Roman"/>
                <w:sz w:val="14"/>
                <w:szCs w:val="14"/>
                <w:color w:val="auto"/>
              </w:rPr>
              <w:t>20 years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8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useful life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We valued the customer relationships using an income</w:t>
      </w:r>
    </w:p>
    <w:p>
      <w:pPr>
        <w:ind w:left="10"/>
        <w:spacing w:after="0" w:line="203" w:lineRule="auto"/>
        <w:rPr>
          <w:sz w:val="20"/>
          <w:szCs w:val="20"/>
          <w:color w:val="auto"/>
        </w:rPr>
      </w:pPr>
      <w:r>
        <w:rPr>
          <w:rFonts w:ascii="Times New Roman" w:cs="Times New Roman" w:eastAsia="Times New Roman" w:hAnsi="Times New Roman"/>
          <w:sz w:val="16"/>
          <w:szCs w:val="16"/>
          <w:color w:val="auto"/>
        </w:rPr>
        <w:t>approach, specifically an excess earnings method,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included a discounted tax amortization benefit assuming a</w:t>
      </w:r>
    </w:p>
    <w:p>
      <w:pPr>
        <w:ind w:left="10"/>
        <w:spacing w:after="0" w:line="203" w:lineRule="auto"/>
        <w:rPr>
          <w:sz w:val="20"/>
          <w:szCs w:val="20"/>
          <w:color w:val="auto"/>
        </w:rPr>
      </w:pPr>
      <w:r>
        <w:rPr>
          <w:rFonts w:ascii="Times New Roman" w:cs="Times New Roman" w:eastAsia="Times New Roman" w:hAnsi="Times New Roman"/>
          <w:sz w:val="16"/>
          <w:szCs w:val="16"/>
          <w:color w:val="auto"/>
        </w:rPr>
        <w:t>15-year tax amortization period. Technology, which included</w:t>
      </w:r>
    </w:p>
    <w:p>
      <w:pPr>
        <w:ind w:left="10"/>
        <w:spacing w:after="0" w:line="204" w:lineRule="auto"/>
        <w:rPr>
          <w:sz w:val="20"/>
          <w:szCs w:val="20"/>
          <w:color w:val="auto"/>
        </w:rPr>
      </w:pPr>
      <w:r>
        <w:rPr>
          <w:rFonts w:ascii="Times New Roman" w:cs="Times New Roman" w:eastAsia="Times New Roman" w:hAnsi="Times New Roman"/>
          <w:sz w:val="16"/>
          <w:szCs w:val="16"/>
          <w:color w:val="auto"/>
        </w:rPr>
        <w:t>acquired developed technology relating to AxiomSL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Calypso, and trade names, representing industry recognition</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reputation for the quality of the AxiomSL and Calypso</w:t>
      </w:r>
    </w:p>
    <w:p>
      <w:pPr>
        <w:ind w:left="10"/>
        <w:spacing w:after="0" w:line="203" w:lineRule="auto"/>
        <w:rPr>
          <w:sz w:val="20"/>
          <w:szCs w:val="20"/>
          <w:color w:val="auto"/>
        </w:rPr>
      </w:pPr>
      <w:r>
        <w:rPr>
          <w:rFonts w:ascii="Times New Roman" w:cs="Times New Roman" w:eastAsia="Times New Roman" w:hAnsi="Times New Roman"/>
          <w:sz w:val="16"/>
          <w:szCs w:val="16"/>
          <w:color w:val="auto"/>
        </w:rPr>
        <w:t>platforms, were valued using the income approach,</w:t>
      </w:r>
    </w:p>
    <w:p>
      <w:pPr>
        <w:ind w:left="10"/>
        <w:spacing w:after="0" w:line="204" w:lineRule="auto"/>
        <w:rPr>
          <w:sz w:val="20"/>
          <w:szCs w:val="20"/>
          <w:color w:val="auto"/>
        </w:rPr>
      </w:pPr>
      <w:r>
        <w:rPr>
          <w:rFonts w:ascii="Times New Roman" w:cs="Times New Roman" w:eastAsia="Times New Roman" w:hAnsi="Times New Roman"/>
          <w:sz w:val="16"/>
          <w:szCs w:val="16"/>
          <w:color w:val="auto"/>
        </w:rPr>
        <w:t>specifically the relief-from-royalty method, which estimates</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cost savings from owning these assets rather than paying</w:t>
      </w:r>
    </w:p>
    <w:p>
      <w:pPr>
        <w:ind w:left="10"/>
        <w:spacing w:after="0" w:line="204" w:lineRule="auto"/>
        <w:rPr>
          <w:sz w:val="20"/>
          <w:szCs w:val="20"/>
          <w:color w:val="auto"/>
        </w:rPr>
      </w:pPr>
      <w:r>
        <w:rPr>
          <w:rFonts w:ascii="Times New Roman" w:cs="Times New Roman" w:eastAsia="Times New Roman" w:hAnsi="Times New Roman"/>
          <w:sz w:val="16"/>
          <w:szCs w:val="16"/>
          <w:color w:val="auto"/>
        </w:rPr>
        <w:t>royalties. Discount rates applied reflect risks associated with</w:t>
      </w:r>
    </w:p>
    <w:p>
      <w:pPr>
        <w:ind w:left="10"/>
        <w:spacing w:after="0" w:line="204" w:lineRule="auto"/>
        <w:rPr>
          <w:sz w:val="20"/>
          <w:szCs w:val="20"/>
          <w:color w:val="auto"/>
        </w:rPr>
      </w:pPr>
      <w:r>
        <w:rPr>
          <w:rFonts w:ascii="Times New Roman" w:cs="Times New Roman" w:eastAsia="Times New Roman" w:hAnsi="Times New Roman"/>
          <w:sz w:val="16"/>
          <w:szCs w:val="16"/>
          <w:color w:val="auto"/>
        </w:rPr>
        <w:t>projected cash flows for each asset relative to the overall</w:t>
      </w:r>
    </w:p>
    <w:p>
      <w:pPr>
        <w:ind w:left="10"/>
        <w:spacing w:after="0" w:line="203" w:lineRule="auto"/>
        <w:rPr>
          <w:sz w:val="20"/>
          <w:szCs w:val="20"/>
          <w:color w:val="auto"/>
        </w:rPr>
      </w:pPr>
      <w:r>
        <w:rPr>
          <w:rFonts w:ascii="Times New Roman" w:cs="Times New Roman" w:eastAsia="Times New Roman" w:hAnsi="Times New Roman"/>
          <w:sz w:val="16"/>
          <w:szCs w:val="16"/>
          <w:color w:val="auto"/>
        </w:rPr>
        <w:t>business.</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Pro Forma Results and Acquisition-Related Costs</w:t>
      </w:r>
    </w:p>
    <w:p>
      <w:pPr>
        <w:ind w:left="10"/>
        <w:spacing w:after="0" w:line="203" w:lineRule="auto"/>
        <w:rPr>
          <w:sz w:val="20"/>
          <w:szCs w:val="20"/>
          <w:color w:val="auto"/>
        </w:rPr>
      </w:pPr>
      <w:r>
        <w:rPr>
          <w:rFonts w:ascii="Times New Roman" w:cs="Times New Roman" w:eastAsia="Times New Roman" w:hAnsi="Times New Roman"/>
          <w:sz w:val="16"/>
          <w:szCs w:val="16"/>
          <w:color w:val="auto"/>
        </w:rPr>
        <w:t>From the date of acquisition through December 31, 2023,</w:t>
      </w:r>
    </w:p>
    <w:p>
      <w:pPr>
        <w:ind w:left="10"/>
        <w:spacing w:after="0" w:line="204" w:lineRule="auto"/>
        <w:rPr>
          <w:sz w:val="20"/>
          <w:szCs w:val="20"/>
          <w:color w:val="auto"/>
        </w:rPr>
      </w:pPr>
      <w:r>
        <w:rPr>
          <w:rFonts w:ascii="Times New Roman" w:cs="Times New Roman" w:eastAsia="Times New Roman" w:hAnsi="Times New Roman"/>
          <w:sz w:val="16"/>
          <w:szCs w:val="16"/>
          <w:color w:val="auto"/>
        </w:rPr>
        <w:t>Adenza revenues of $149 million were included in Financial</w:t>
      </w:r>
    </w:p>
    <w:p>
      <w:pPr>
        <w:ind w:left="10"/>
        <w:spacing w:after="0" w:line="203" w:lineRule="auto"/>
        <w:rPr>
          <w:sz w:val="20"/>
          <w:szCs w:val="20"/>
          <w:color w:val="auto"/>
        </w:rPr>
      </w:pPr>
      <w:r>
        <w:rPr>
          <w:rFonts w:ascii="Times New Roman" w:cs="Times New Roman" w:eastAsia="Times New Roman" w:hAnsi="Times New Roman"/>
          <w:sz w:val="16"/>
          <w:szCs w:val="16"/>
          <w:color w:val="auto"/>
        </w:rPr>
        <w:t>Technology revenues in the Consolidated Statement of</w:t>
      </w:r>
    </w:p>
    <w:p>
      <w:pPr>
        <w:ind w:left="10"/>
        <w:spacing w:after="0" w:line="204" w:lineRule="auto"/>
        <w:rPr>
          <w:sz w:val="20"/>
          <w:szCs w:val="20"/>
          <w:color w:val="auto"/>
        </w:rPr>
      </w:pPr>
      <w:r>
        <w:rPr>
          <w:rFonts w:ascii="Times New Roman" w:cs="Times New Roman" w:eastAsia="Times New Roman" w:hAnsi="Times New Roman"/>
          <w:sz w:val="16"/>
          <w:szCs w:val="16"/>
          <w:color w:val="auto"/>
        </w:rPr>
        <w:t>Income and Adenza operating income of $55 million was</w:t>
      </w:r>
    </w:p>
    <w:p>
      <w:pPr>
        <w:ind w:left="10"/>
        <w:spacing w:after="0" w:line="188" w:lineRule="auto"/>
        <w:rPr>
          <w:sz w:val="20"/>
          <w:szCs w:val="20"/>
          <w:color w:val="auto"/>
        </w:rPr>
      </w:pPr>
      <w:r>
        <w:rPr>
          <w:rFonts w:ascii="Times New Roman" w:cs="Times New Roman" w:eastAsia="Times New Roman" w:hAnsi="Times New Roman"/>
          <w:sz w:val="16"/>
          <w:szCs w:val="16"/>
          <w:color w:val="auto"/>
        </w:rPr>
        <w:t>included in our operating income in the Consolidated</w:t>
      </w:r>
    </w:p>
    <w:p>
      <w:pPr>
        <w:ind w:left="10"/>
        <w:spacing w:after="0"/>
        <w:rPr>
          <w:sz w:val="20"/>
          <w:szCs w:val="20"/>
          <w:color w:val="auto"/>
        </w:rPr>
      </w:pPr>
      <w:r>
        <w:rPr>
          <w:rFonts w:ascii="Times New Roman" w:cs="Times New Roman" w:eastAsia="Times New Roman" w:hAnsi="Times New Roman"/>
          <w:sz w:val="16"/>
          <w:szCs w:val="16"/>
          <w:color w:val="auto"/>
        </w:rPr>
        <w:t>Statement of Income</w:t>
      </w:r>
      <w:r>
        <w:rPr>
          <w:rFonts w:ascii="Arial" w:cs="Arial" w:eastAsia="Arial" w:hAnsi="Arial"/>
          <w:sz w:val="18"/>
          <w:szCs w:val="18"/>
          <w:color w:val="auto"/>
        </w:rPr>
        <w:t>.</w:t>
      </w:r>
    </w:p>
    <w:p>
      <w:pPr>
        <w:sectPr>
          <w:pgSz w:w="11900" w:h="16840" w:orient="portrait"/>
          <w:cols w:equalWidth="0" w:num="1">
            <w:col w:w="9410"/>
          </w:cols>
          <w:pgMar w:left="1050" w:top="551" w:right="1440" w:bottom="56" w:gutter="0" w:footer="0" w:header="0"/>
        </w:sectPr>
      </w:pPr>
    </w:p>
    <w:bookmarkStart w:id="74" w:name="page75"/>
    <w:bookmarkEnd w:id="74"/>
    <w:p>
      <w:pPr>
        <w:ind w:left="10"/>
        <w:spacing w:after="0"/>
        <w:rPr>
          <w:sz w:val="20"/>
          <w:szCs w:val="20"/>
          <w:color w:val="auto"/>
        </w:rPr>
      </w:pPr>
      <w:r>
        <w:rPr>
          <w:rFonts w:ascii="Times New Roman" w:cs="Times New Roman" w:eastAsia="Times New Roman" w:hAnsi="Times New Roman"/>
          <w:sz w:val="16"/>
          <w:szCs w:val="16"/>
          <w:color w:val="auto"/>
        </w:rPr>
        <w:t>Acquisition-related costs were expensed as incurred and are</w:t>
      </w:r>
    </w:p>
    <w:p>
      <w:pPr>
        <w:ind w:left="10"/>
        <w:spacing w:after="0" w:line="203" w:lineRule="auto"/>
        <w:rPr>
          <w:sz w:val="20"/>
          <w:szCs w:val="20"/>
          <w:color w:val="auto"/>
        </w:rPr>
      </w:pPr>
      <w:r>
        <w:rPr>
          <w:rFonts w:ascii="Times New Roman" w:cs="Times New Roman" w:eastAsia="Times New Roman" w:hAnsi="Times New Roman"/>
          <w:sz w:val="16"/>
          <w:szCs w:val="16"/>
          <w:color w:val="auto"/>
        </w:rPr>
        <w:t>included in merger and strategic initiatives expense in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Consolidated Statements of Income.</w:t>
      </w:r>
    </w:p>
    <w:p>
      <w:pPr>
        <w:ind w:left="1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Supplemental Pro Forma Information (Unaudited)</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unaudited supplemental pro forma financial information</w:t>
      </w:r>
    </w:p>
    <w:p>
      <w:pPr>
        <w:ind w:left="10"/>
        <w:spacing w:after="0" w:line="203" w:lineRule="auto"/>
        <w:rPr>
          <w:sz w:val="20"/>
          <w:szCs w:val="20"/>
          <w:color w:val="auto"/>
        </w:rPr>
      </w:pPr>
      <w:r>
        <w:rPr>
          <w:rFonts w:ascii="Times New Roman" w:cs="Times New Roman" w:eastAsia="Times New Roman" w:hAnsi="Times New Roman"/>
          <w:sz w:val="16"/>
          <w:szCs w:val="16"/>
          <w:color w:val="auto"/>
        </w:rPr>
        <w:t>presented below is for illustrative purposes only and is not</w:t>
      </w:r>
    </w:p>
    <w:p>
      <w:pPr>
        <w:ind w:left="10"/>
        <w:spacing w:after="0" w:line="204" w:lineRule="auto"/>
        <w:rPr>
          <w:sz w:val="20"/>
          <w:szCs w:val="20"/>
          <w:color w:val="auto"/>
        </w:rPr>
      </w:pPr>
      <w:r>
        <w:rPr>
          <w:rFonts w:ascii="Times New Roman" w:cs="Times New Roman" w:eastAsia="Times New Roman" w:hAnsi="Times New Roman"/>
          <w:sz w:val="16"/>
          <w:szCs w:val="16"/>
          <w:color w:val="auto"/>
        </w:rPr>
        <w:t>necessarily indicative of the financial position or results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operations that would have been realized if the acquisition</w:t>
      </w:r>
    </w:p>
    <w:p>
      <w:pPr>
        <w:ind w:left="10"/>
        <w:spacing w:after="0" w:line="204" w:lineRule="auto"/>
        <w:rPr>
          <w:sz w:val="20"/>
          <w:szCs w:val="20"/>
          <w:color w:val="auto"/>
        </w:rPr>
      </w:pPr>
      <w:r>
        <w:rPr>
          <w:rFonts w:ascii="Times New Roman" w:cs="Times New Roman" w:eastAsia="Times New Roman" w:hAnsi="Times New Roman"/>
          <w:sz w:val="16"/>
          <w:szCs w:val="16"/>
          <w:color w:val="auto"/>
        </w:rPr>
        <w:t>had been completed on the date indicated, does not reflect</w:t>
      </w:r>
    </w:p>
    <w:p>
      <w:pPr>
        <w:ind w:left="10"/>
        <w:spacing w:after="0" w:line="203" w:lineRule="auto"/>
        <w:rPr>
          <w:sz w:val="20"/>
          <w:szCs w:val="20"/>
          <w:color w:val="auto"/>
        </w:rPr>
      </w:pPr>
      <w:r>
        <w:rPr>
          <w:rFonts w:ascii="Times New Roman" w:cs="Times New Roman" w:eastAsia="Times New Roman" w:hAnsi="Times New Roman"/>
          <w:sz w:val="16"/>
          <w:szCs w:val="16"/>
          <w:color w:val="auto"/>
        </w:rPr>
        <w:t>synergies that might have been achieved, nor is it indicative</w:t>
      </w:r>
    </w:p>
    <w:p>
      <w:pPr>
        <w:ind w:left="10"/>
        <w:spacing w:after="0" w:line="204" w:lineRule="auto"/>
        <w:rPr>
          <w:sz w:val="20"/>
          <w:szCs w:val="20"/>
          <w:color w:val="auto"/>
        </w:rPr>
      </w:pPr>
      <w:r>
        <w:rPr>
          <w:rFonts w:ascii="Times New Roman" w:cs="Times New Roman" w:eastAsia="Times New Roman" w:hAnsi="Times New Roman"/>
          <w:sz w:val="16"/>
          <w:szCs w:val="16"/>
          <w:color w:val="auto"/>
        </w:rPr>
        <w:t>of future operating results or financial position.</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following supplemental pro forma financial information</w:t>
      </w:r>
    </w:p>
    <w:p>
      <w:pPr>
        <w:ind w:left="10"/>
        <w:spacing w:after="0" w:line="203" w:lineRule="auto"/>
        <w:rPr>
          <w:sz w:val="20"/>
          <w:szCs w:val="20"/>
          <w:color w:val="auto"/>
        </w:rPr>
      </w:pPr>
      <w:r>
        <w:rPr>
          <w:rFonts w:ascii="Times New Roman" w:cs="Times New Roman" w:eastAsia="Times New Roman" w:hAnsi="Times New Roman"/>
          <w:sz w:val="16"/>
          <w:szCs w:val="16"/>
          <w:color w:val="auto"/>
        </w:rPr>
        <w:t>presents the combined results of operations as if Adenza had</w:t>
      </w:r>
    </w:p>
    <w:p>
      <w:pPr>
        <w:ind w:left="10"/>
        <w:spacing w:after="0"/>
        <w:rPr>
          <w:sz w:val="20"/>
          <w:szCs w:val="20"/>
          <w:color w:val="auto"/>
        </w:rPr>
      </w:pPr>
      <w:r>
        <w:rPr>
          <w:rFonts w:ascii="Times New Roman" w:cs="Times New Roman" w:eastAsia="Times New Roman" w:hAnsi="Times New Roman"/>
          <w:sz w:val="16"/>
          <w:szCs w:val="16"/>
          <w:color w:val="auto"/>
        </w:rPr>
        <w:t>been acquired as of January 1, 2022. The pro forma</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F-23</w:t>
      </w:r>
    </w:p>
    <w:p>
      <w:pPr>
        <w:ind w:left="10" w:right="6060" w:hanging="10"/>
        <w:spacing w:after="0" w:line="203" w:lineRule="auto"/>
        <w:tabs>
          <w:tab w:leader="none" w:pos="166"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 AND ACQUIRED INTANGIBLE ASSETS</w:t>
      </w: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w:t>
      </w:r>
    </w:p>
    <w:p>
      <w:pPr>
        <w:ind w:left="10" w:right="5620"/>
        <w:spacing w:after="0" w:line="24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The following table presents the changes in goodwill by business segment during the year ended December 31, 2025:</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30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73"/>
        </w:trPr>
        <w:tc>
          <w:tcPr>
            <w:tcW w:w="30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Capital Access Platforms</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9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4,127</w:t>
            </w:r>
          </w:p>
        </w:tc>
      </w:tr>
      <w:tr>
        <w:trPr>
          <w:trHeight w:val="19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Divestiture and acquisition of a business</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r>
      <w:tr>
        <w:trPr>
          <w:trHeight w:val="192"/>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177</w:t>
            </w:r>
          </w:p>
        </w:tc>
      </w:tr>
      <w:tr>
        <w:trPr>
          <w:trHeight w:val="172"/>
        </w:trPr>
        <w:tc>
          <w:tcPr>
            <w:tcW w:w="3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December 31, 2025</w:t>
            </w:r>
          </w:p>
        </w:tc>
        <w:tc>
          <w:tcPr>
            <w:tcW w:w="24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4,285</w:t>
            </w:r>
          </w:p>
        </w:tc>
      </w:tr>
      <w:tr>
        <w:trPr>
          <w:trHeight w:val="172"/>
        </w:trPr>
        <w:tc>
          <w:tcPr>
            <w:tcW w:w="30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Financial Technology</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7,925</w:t>
            </w:r>
          </w:p>
        </w:tc>
      </w:tr>
      <w:tr>
        <w:trPr>
          <w:trHeight w:val="19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Divestiture of a business</w:t>
            </w:r>
          </w:p>
        </w:tc>
        <w:tc>
          <w:tcPr>
            <w:tcW w:w="24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r>
      <w:tr>
        <w:trPr>
          <w:trHeight w:val="19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36</w:t>
            </w:r>
          </w:p>
        </w:tc>
      </w:tr>
      <w:tr>
        <w:trPr>
          <w:trHeight w:val="172"/>
        </w:trPr>
        <w:tc>
          <w:tcPr>
            <w:tcW w:w="30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Balance at December 31, 2025</w:t>
            </w:r>
          </w:p>
        </w:tc>
        <w:tc>
          <w:tcPr>
            <w:tcW w:w="2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7,952</w:t>
            </w:r>
          </w:p>
        </w:tc>
      </w:tr>
      <w:tr>
        <w:trPr>
          <w:trHeight w:val="172"/>
        </w:trPr>
        <w:tc>
          <w:tcPr>
            <w:tcW w:w="3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Market Services</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9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1,905</w:t>
            </w:r>
          </w:p>
        </w:tc>
      </w:tr>
      <w:tr>
        <w:trPr>
          <w:trHeight w:val="19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229</w:t>
            </w:r>
          </w:p>
        </w:tc>
      </w:tr>
      <w:tr>
        <w:trPr>
          <w:trHeight w:val="172"/>
        </w:trPr>
        <w:tc>
          <w:tcPr>
            <w:tcW w:w="30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Balance at December 31, 2025</w:t>
            </w:r>
          </w:p>
        </w:tc>
        <w:tc>
          <w:tcPr>
            <w:tcW w:w="2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2,134</w:t>
            </w:r>
          </w:p>
        </w:tc>
      </w:tr>
      <w:tr>
        <w:trPr>
          <w:trHeight w:val="64"/>
        </w:trPr>
        <w:tc>
          <w:tcPr>
            <w:tcW w:w="30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19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13,957</w:t>
            </w:r>
          </w:p>
        </w:tc>
      </w:tr>
      <w:tr>
        <w:trPr>
          <w:trHeight w:val="204"/>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and divestitures of businesses</w:t>
            </w:r>
          </w:p>
        </w:tc>
        <w:tc>
          <w:tcPr>
            <w:tcW w:w="2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r>
      <w:tr>
        <w:trPr>
          <w:trHeight w:val="20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442</w:t>
            </w:r>
          </w:p>
        </w:tc>
      </w:tr>
      <w:tr>
        <w:trPr>
          <w:trHeight w:val="172"/>
        </w:trPr>
        <w:tc>
          <w:tcPr>
            <w:tcW w:w="30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at December 31, 2025</w:t>
            </w:r>
          </w:p>
        </w:tc>
        <w:tc>
          <w:tcPr>
            <w:tcW w:w="2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14,371</w:t>
            </w:r>
          </w:p>
        </w:tc>
      </w:tr>
    </w:tbl>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Goodwill represents the excess of purchase price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-101600</wp:posOffset>
            </wp:positionV>
            <wp:extent cx="62484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624840" cy="7620"/>
                    </a:xfrm>
                    <a:prstGeom prst="rect">
                      <a:avLst/>
                    </a:prstGeom>
                    <a:noFill/>
                  </pic:spPr>
                </pic:pic>
              </a:graphicData>
            </a:graphic>
          </wp:anchor>
        </w:drawing>
      </w:r>
    </w:p>
    <w:p>
      <w:pPr>
        <w:ind w:left="10"/>
        <w:spacing w:after="0" w:line="203" w:lineRule="auto"/>
        <w:rPr>
          <w:sz w:val="20"/>
          <w:szCs w:val="20"/>
          <w:color w:val="auto"/>
        </w:rPr>
      </w:pPr>
      <w:r>
        <w:rPr>
          <w:rFonts w:ascii="Times New Roman" w:cs="Times New Roman" w:eastAsia="Times New Roman" w:hAnsi="Times New Roman"/>
          <w:sz w:val="16"/>
          <w:szCs w:val="16"/>
          <w:color w:val="auto"/>
        </w:rPr>
        <w:t>value assigned to the net assets, including identifiable</w:t>
      </w:r>
    </w:p>
    <w:p>
      <w:pPr>
        <w:ind w:left="10"/>
        <w:spacing w:after="0" w:line="204" w:lineRule="auto"/>
        <w:rPr>
          <w:sz w:val="20"/>
          <w:szCs w:val="20"/>
          <w:color w:val="auto"/>
        </w:rPr>
      </w:pPr>
      <w:r>
        <w:rPr>
          <w:rFonts w:ascii="Times New Roman" w:cs="Times New Roman" w:eastAsia="Times New Roman" w:hAnsi="Times New Roman"/>
          <w:sz w:val="16"/>
          <w:szCs w:val="16"/>
          <w:color w:val="auto"/>
        </w:rPr>
        <w:t>intangible assets, of a business acquired. Goodwill is</w:t>
      </w:r>
    </w:p>
    <w:p>
      <w:pPr>
        <w:ind w:left="10"/>
        <w:spacing w:after="0" w:line="203" w:lineRule="auto"/>
        <w:rPr>
          <w:sz w:val="20"/>
          <w:szCs w:val="20"/>
          <w:color w:val="auto"/>
        </w:rPr>
      </w:pPr>
      <w:r>
        <w:rPr>
          <w:rFonts w:ascii="Times New Roman" w:cs="Times New Roman" w:eastAsia="Times New Roman" w:hAnsi="Times New Roman"/>
          <w:sz w:val="16"/>
          <w:szCs w:val="16"/>
          <w:color w:val="auto"/>
        </w:rPr>
        <w:t>allocated to our reporting units based on the assignment of</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fair values of each reporting unit of the acquired</w:t>
      </w:r>
    </w:p>
    <w:p>
      <w:pPr>
        <w:ind w:left="10"/>
        <w:spacing w:after="0" w:line="203" w:lineRule="auto"/>
        <w:rPr>
          <w:sz w:val="20"/>
          <w:szCs w:val="20"/>
          <w:color w:val="auto"/>
        </w:rPr>
      </w:pPr>
      <w:r>
        <w:rPr>
          <w:rFonts w:ascii="Times New Roman" w:cs="Times New Roman" w:eastAsia="Times New Roman" w:hAnsi="Times New Roman"/>
          <w:sz w:val="16"/>
          <w:szCs w:val="16"/>
          <w:color w:val="auto"/>
        </w:rPr>
        <w:t>company. Upon the sale of a business, we also allocate a</w:t>
      </w:r>
    </w:p>
    <w:p>
      <w:pPr>
        <w:ind w:left="10"/>
        <w:spacing w:after="0" w:line="204" w:lineRule="auto"/>
        <w:rPr>
          <w:sz w:val="20"/>
          <w:szCs w:val="20"/>
          <w:color w:val="auto"/>
        </w:rPr>
      </w:pPr>
      <w:r>
        <w:rPr>
          <w:rFonts w:ascii="Times New Roman" w:cs="Times New Roman" w:eastAsia="Times New Roman" w:hAnsi="Times New Roman"/>
          <w:sz w:val="16"/>
          <w:szCs w:val="16"/>
          <w:color w:val="auto"/>
        </w:rPr>
        <w:t>portion of goodwill to the business being sold, based on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relative fair value of the business and the portion of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reporting unit that we are retaining. We test goodwill for</w:t>
      </w:r>
    </w:p>
    <w:p>
      <w:pPr>
        <w:ind w:left="10"/>
        <w:spacing w:after="0" w:line="203" w:lineRule="auto"/>
        <w:rPr>
          <w:sz w:val="20"/>
          <w:szCs w:val="20"/>
          <w:color w:val="auto"/>
        </w:rPr>
      </w:pPr>
      <w:r>
        <w:rPr>
          <w:rFonts w:ascii="Times New Roman" w:cs="Times New Roman" w:eastAsia="Times New Roman" w:hAnsi="Times New Roman"/>
          <w:sz w:val="16"/>
          <w:szCs w:val="16"/>
          <w:color w:val="auto"/>
        </w:rPr>
        <w:t>impairment at the reporting unit level annually, or in interim</w:t>
      </w:r>
    </w:p>
    <w:p>
      <w:pPr>
        <w:ind w:left="10"/>
        <w:spacing w:after="0" w:line="204" w:lineRule="auto"/>
        <w:rPr>
          <w:sz w:val="20"/>
          <w:szCs w:val="20"/>
          <w:color w:val="auto"/>
        </w:rPr>
      </w:pPr>
      <w:r>
        <w:rPr>
          <w:rFonts w:ascii="Times New Roman" w:cs="Times New Roman" w:eastAsia="Times New Roman" w:hAnsi="Times New Roman"/>
          <w:sz w:val="16"/>
          <w:szCs w:val="16"/>
          <w:color w:val="auto"/>
        </w:rPr>
        <w:t>periods if certain events occur indicating that the carrying</w:t>
      </w:r>
    </w:p>
    <w:p>
      <w:pPr>
        <w:ind w:left="10"/>
        <w:spacing w:after="0" w:line="204" w:lineRule="auto"/>
        <w:rPr>
          <w:sz w:val="20"/>
          <w:szCs w:val="20"/>
          <w:color w:val="auto"/>
        </w:rPr>
      </w:pPr>
      <w:r>
        <w:rPr>
          <w:rFonts w:ascii="Times New Roman" w:cs="Times New Roman" w:eastAsia="Times New Roman" w:hAnsi="Times New Roman"/>
          <w:sz w:val="16"/>
          <w:szCs w:val="16"/>
          <w:color w:val="auto"/>
        </w:rPr>
        <w:t>amount may be impaired, such as changes in the business</w:t>
      </w:r>
    </w:p>
    <w:p>
      <w:pPr>
        <w:ind w:left="10"/>
        <w:spacing w:after="0" w:line="203" w:lineRule="auto"/>
        <w:rPr>
          <w:sz w:val="20"/>
          <w:szCs w:val="20"/>
          <w:color w:val="auto"/>
        </w:rPr>
      </w:pPr>
      <w:r>
        <w:rPr>
          <w:rFonts w:ascii="Times New Roman" w:cs="Times New Roman" w:eastAsia="Times New Roman" w:hAnsi="Times New Roman"/>
          <w:sz w:val="16"/>
          <w:szCs w:val="16"/>
          <w:color w:val="auto"/>
        </w:rPr>
        <w:t>climate, poor indicators of operating performance or the sale</w:t>
      </w:r>
    </w:p>
    <w:p>
      <w:pPr>
        <w:ind w:left="10"/>
        <w:spacing w:after="0" w:line="204" w:lineRule="auto"/>
        <w:rPr>
          <w:sz w:val="20"/>
          <w:szCs w:val="20"/>
          <w:color w:val="auto"/>
        </w:rPr>
      </w:pPr>
      <w:r>
        <w:rPr>
          <w:rFonts w:ascii="Times New Roman" w:cs="Times New Roman" w:eastAsia="Times New Roman" w:hAnsi="Times New Roman"/>
          <w:sz w:val="16"/>
          <w:szCs w:val="16"/>
          <w:color w:val="auto"/>
        </w:rPr>
        <w:t>or disposition of a significant portion of a reporting unit.</w:t>
      </w:r>
    </w:p>
    <w:p>
      <w:pPr>
        <w:ind w:left="10"/>
        <w:spacing w:after="0" w:line="203" w:lineRule="auto"/>
        <w:rPr>
          <w:sz w:val="20"/>
          <w:szCs w:val="20"/>
          <w:color w:val="auto"/>
        </w:rPr>
      </w:pPr>
      <w:r>
        <w:rPr>
          <w:rFonts w:ascii="Times New Roman" w:cs="Times New Roman" w:eastAsia="Times New Roman" w:hAnsi="Times New Roman"/>
          <w:sz w:val="16"/>
          <w:szCs w:val="16"/>
          <w:color w:val="auto"/>
        </w:rPr>
        <w:t>There was no impairment of goodwill or indefinite-lived</w:t>
      </w:r>
    </w:p>
    <w:p>
      <w:pPr>
        <w:ind w:left="10"/>
        <w:spacing w:after="0" w:line="204" w:lineRule="auto"/>
        <w:rPr>
          <w:sz w:val="20"/>
          <w:szCs w:val="20"/>
          <w:color w:val="auto"/>
        </w:rPr>
      </w:pPr>
      <w:r>
        <w:rPr>
          <w:rFonts w:ascii="Times New Roman" w:cs="Times New Roman" w:eastAsia="Times New Roman" w:hAnsi="Times New Roman"/>
          <w:sz w:val="16"/>
          <w:szCs w:val="16"/>
          <w:color w:val="auto"/>
        </w:rPr>
        <w:t>intangibles for the years ended December 31, 2025, 2024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2023; however, events such as prolonged economic weakness</w:t>
      </w:r>
    </w:p>
    <w:p>
      <w:pPr>
        <w:ind w:left="10"/>
        <w:spacing w:after="0" w:line="204" w:lineRule="auto"/>
        <w:rPr>
          <w:sz w:val="20"/>
          <w:szCs w:val="20"/>
          <w:color w:val="auto"/>
        </w:rPr>
      </w:pPr>
      <w:r>
        <w:rPr>
          <w:rFonts w:ascii="Times New Roman" w:cs="Times New Roman" w:eastAsia="Times New Roman" w:hAnsi="Times New Roman"/>
          <w:sz w:val="16"/>
          <w:szCs w:val="16"/>
          <w:color w:val="auto"/>
        </w:rPr>
        <w:t>or unexpected significant declines in operating results of any</w:t>
      </w:r>
    </w:p>
    <w:p>
      <w:pPr>
        <w:ind w:left="10"/>
        <w:spacing w:after="0" w:line="203" w:lineRule="auto"/>
        <w:rPr>
          <w:sz w:val="20"/>
          <w:szCs w:val="20"/>
          <w:color w:val="auto"/>
        </w:rPr>
      </w:pPr>
      <w:r>
        <w:rPr>
          <w:rFonts w:ascii="Times New Roman" w:cs="Times New Roman" w:eastAsia="Times New Roman" w:hAnsi="Times New Roman"/>
          <w:sz w:val="16"/>
          <w:szCs w:val="16"/>
          <w:color w:val="auto"/>
        </w:rPr>
        <w:t>of our reporting units or businesses may result in goodwill</w:t>
      </w:r>
    </w:p>
    <w:p>
      <w:pPr>
        <w:ind w:left="10"/>
        <w:spacing w:after="0" w:line="204" w:lineRule="auto"/>
        <w:rPr>
          <w:sz w:val="20"/>
          <w:szCs w:val="20"/>
          <w:color w:val="auto"/>
        </w:rPr>
      </w:pPr>
      <w:r>
        <w:rPr>
          <w:rFonts w:ascii="Times New Roman" w:cs="Times New Roman" w:eastAsia="Times New Roman" w:hAnsi="Times New Roman"/>
          <w:sz w:val="16"/>
          <w:szCs w:val="16"/>
          <w:color w:val="auto"/>
        </w:rPr>
        <w:t>impairment charges in the future.</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Acquired Intangible Assets</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following table presents details of our total acquired</w:t>
      </w:r>
    </w:p>
    <w:p>
      <w:pPr>
        <w:ind w:left="10"/>
        <w:spacing w:after="0"/>
        <w:rPr>
          <w:sz w:val="20"/>
          <w:szCs w:val="20"/>
          <w:color w:val="auto"/>
        </w:rPr>
      </w:pPr>
      <w:r>
        <w:rPr>
          <w:rFonts w:ascii="Times New Roman" w:cs="Times New Roman" w:eastAsia="Times New Roman" w:hAnsi="Times New Roman"/>
          <w:sz w:val="16"/>
          <w:szCs w:val="16"/>
          <w:color w:val="auto"/>
        </w:rPr>
        <w:t>intangible assets, both finite- and indefinite-lived:</w:t>
      </w:r>
    </w:p>
    <w:p>
      <w:pPr>
        <w:sectPr>
          <w:pgSz w:w="11900" w:h="16840" w:orient="portrait"/>
          <w:cols w:equalWidth="0" w:num="1">
            <w:col w:w="9410"/>
          </w:cols>
          <w:pgMar w:left="1050" w:top="547"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F-24</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table below presents the estimated future amortization</w:t>
      </w:r>
    </w:p>
    <w:p>
      <w:pPr>
        <w:ind w:left="10"/>
        <w:spacing w:after="0"/>
        <w:rPr>
          <w:sz w:val="20"/>
          <w:szCs w:val="20"/>
          <w:color w:val="auto"/>
        </w:rPr>
      </w:pPr>
      <w:r>
        <w:rPr>
          <w:rFonts w:ascii="Times New Roman" w:cs="Times New Roman" w:eastAsia="Times New Roman" w:hAnsi="Times New Roman"/>
          <w:sz w:val="14"/>
          <w:szCs w:val="14"/>
          <w:color w:val="auto"/>
        </w:rPr>
        <w:t>expense (excluding the impact of foreign currency translation</w:t>
      </w:r>
    </w:p>
    <w:p>
      <w:pPr>
        <w:sectPr>
          <w:pgSz w:w="11900" w:h="16840" w:orient="portrait"/>
          <w:cols w:equalWidth="0" w:num="1">
            <w:col w:w="9410"/>
          </w:cols>
          <w:pgMar w:left="1050" w:top="547" w:right="1440" w:bottom="79"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color w:val="auto"/>
        </w:rPr>
        <w:t>adjustments of $50 million as of December 31, 2025) of</w:t>
      </w:r>
    </w:p>
    <w:p>
      <w:pPr>
        <w:spacing w:after="0" w:line="203" w:lineRule="auto"/>
        <w:rPr>
          <w:sz w:val="20"/>
          <w:szCs w:val="20"/>
          <w:color w:val="auto"/>
        </w:rPr>
      </w:pPr>
      <w:r>
        <w:rPr>
          <w:rFonts w:ascii="Times New Roman" w:cs="Times New Roman" w:eastAsia="Times New Roman" w:hAnsi="Times New Roman"/>
          <w:sz w:val="16"/>
          <w:szCs w:val="16"/>
          <w:color w:val="auto"/>
        </w:rPr>
        <w:t>acquired finite-lived intangible assets as of December 31,</w:t>
      </w:r>
    </w:p>
    <w:p>
      <w:pPr>
        <w:spacing w:after="0" w:line="228" w:lineRule="auto"/>
        <w:rPr>
          <w:sz w:val="20"/>
          <w:szCs w:val="20"/>
          <w:color w:val="auto"/>
        </w:rPr>
      </w:pPr>
      <w:r>
        <w:rPr>
          <w:rFonts w:ascii="Times New Roman" w:cs="Times New Roman" w:eastAsia="Times New Roman" w:hAnsi="Times New Roman"/>
          <w:sz w:val="16"/>
          <w:szCs w:val="16"/>
          <w:color w:val="auto"/>
        </w:rPr>
        <w:t>2025:</w:t>
      </w:r>
    </w:p>
    <w:tbl>
      <w:tblPr>
        <w:tblLayout w:type="fixed"/>
        <w:tblInd w:w="0" w:type="dxa"/>
        <w:tblCellMar>
          <w:top w:w="0" w:type="dxa"/>
          <w:left w:w="0" w:type="dxa"/>
          <w:bottom w:w="0" w:type="dxa"/>
          <w:right w:w="0" w:type="dxa"/>
        </w:tblCellMar>
      </w:tblPr>
      <w:tr>
        <w:trPr>
          <w:trHeight w:val="142"/>
        </w:trPr>
        <w:tc>
          <w:tcPr>
            <w:tcW w:w="324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38"/>
        </w:trPr>
        <w:tc>
          <w:tcPr>
            <w:tcW w:w="3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72"/>
        </w:trPr>
        <w:tc>
          <w:tcPr>
            <w:tcW w:w="32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rPr>
              <w:t>504</w:t>
            </w:r>
          </w:p>
        </w:tc>
      </w:tr>
      <w:tr>
        <w:trPr>
          <w:trHeight w:val="192"/>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494</w:t>
            </w:r>
          </w:p>
        </w:tc>
      </w:tr>
      <w:tr>
        <w:trPr>
          <w:trHeight w:val="19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460</w:t>
            </w:r>
          </w:p>
        </w:tc>
      </w:tr>
      <w:tr>
        <w:trPr>
          <w:trHeight w:val="192"/>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433</w:t>
            </w:r>
          </w:p>
        </w:tc>
      </w:tr>
      <w:tr>
        <w:trPr>
          <w:trHeight w:val="19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256</w:t>
            </w:r>
          </w:p>
        </w:tc>
      </w:tr>
      <w:tr>
        <w:trPr>
          <w:trHeight w:val="192"/>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2031+</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3,175</w:t>
            </w:r>
          </w:p>
        </w:tc>
      </w:tr>
      <w:tr>
        <w:trPr>
          <w:trHeight w:val="176"/>
        </w:trPr>
        <w:tc>
          <w:tcPr>
            <w:tcW w:w="32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rPr>
              <w:t>5,322</w:t>
            </w:r>
          </w:p>
        </w:tc>
      </w:tr>
    </w:tbl>
    <w:p>
      <w:pPr>
        <w:spacing w:after="0" w:line="225" w:lineRule="auto"/>
        <w:rPr>
          <w:sz w:val="20"/>
          <w:szCs w:val="20"/>
          <w:color w:val="auto"/>
        </w:rPr>
      </w:pPr>
      <w:r>
        <w:rPr>
          <w:rFonts w:ascii="Times New Roman" w:cs="Times New Roman" w:eastAsia="Times New Roman" w:hAnsi="Times New Roman"/>
          <w:sz w:val="16"/>
          <w:szCs w:val="16"/>
          <w:b w:val="1"/>
          <w:bCs w:val="1"/>
          <w:color w:val="auto"/>
        </w:rPr>
        <w:t>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-100965</wp:posOffset>
            </wp:positionV>
            <wp:extent cx="4800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480060" cy="7620"/>
                    </a:xfrm>
                    <a:prstGeom prst="rect">
                      <a:avLst/>
                    </a:prstGeom>
                    <a:noFill/>
                  </pic:spPr>
                </pic:pic>
              </a:graphicData>
            </a:graphic>
          </wp:anchor>
        </w:drawing>
      </w:r>
    </w:p>
    <w:p>
      <w:pPr>
        <w:spacing w:after="0" w:line="228" w:lineRule="auto"/>
        <w:rPr>
          <w:sz w:val="20"/>
          <w:szCs w:val="20"/>
          <w:color w:val="auto"/>
        </w:rPr>
      </w:pPr>
      <w:r>
        <w:rPr>
          <w:rFonts w:ascii="Times New Roman" w:cs="Times New Roman" w:eastAsia="Times New Roman" w:hAnsi="Times New Roman"/>
          <w:sz w:val="16"/>
          <w:szCs w:val="16"/>
          <w:color w:val="auto"/>
        </w:rPr>
        <w:t>The following table presents the details of our investments: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38"/>
        </w:trPr>
        <w:tc>
          <w:tcPr>
            <w:tcW w:w="18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34"/>
        </w:trPr>
        <w:tc>
          <w:tcPr>
            <w:tcW w:w="188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38"/>
        </w:trPr>
        <w:tc>
          <w:tcPr>
            <w:tcW w:w="1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investments</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184</w:t>
            </w:r>
          </w:p>
        </w:tc>
      </w:tr>
      <w:tr>
        <w:trPr>
          <w:trHeight w:val="179"/>
        </w:trPr>
        <w:tc>
          <w:tcPr>
            <w:tcW w:w="18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Equity method investments</w:t>
            </w:r>
          </w:p>
        </w:tc>
        <w:tc>
          <w:tcPr>
            <w:tcW w:w="640" w:type="dxa"/>
            <w:vAlign w:val="bottom"/>
          </w:tcPr>
          <w:p>
            <w:pPr>
              <w:spacing w:after="0"/>
              <w:rPr>
                <w:sz w:val="15"/>
                <w:szCs w:val="15"/>
                <w:color w:val="auto"/>
              </w:rPr>
            </w:pPr>
          </w:p>
        </w:tc>
        <w:tc>
          <w:tcPr>
            <w:tcW w:w="400" w:type="dxa"/>
            <w:vAlign w:val="bottom"/>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512</w:t>
            </w:r>
          </w:p>
        </w:tc>
        <w:tc>
          <w:tcPr>
            <w:tcW w:w="440" w:type="dxa"/>
            <w:vAlign w:val="bottom"/>
          </w:tcPr>
          <w:p>
            <w:pPr>
              <w:spacing w:after="0"/>
              <w:rPr>
                <w:sz w:val="15"/>
                <w:szCs w:val="15"/>
                <w:color w:val="auto"/>
              </w:rPr>
            </w:pPr>
          </w:p>
        </w:tc>
        <w:tc>
          <w:tcPr>
            <w:tcW w:w="640" w:type="dxa"/>
            <w:vAlign w:val="bottom"/>
          </w:tcPr>
          <w:p>
            <w:pPr>
              <w:jc w:val="right"/>
              <w:ind w:right="42"/>
              <w:spacing w:after="0" w:line="179" w:lineRule="exact"/>
              <w:rPr>
                <w:sz w:val="20"/>
                <w:szCs w:val="20"/>
                <w:color w:val="auto"/>
              </w:rPr>
            </w:pPr>
            <w:r>
              <w:rPr>
                <w:rFonts w:ascii="Times New Roman" w:cs="Times New Roman" w:eastAsia="Times New Roman" w:hAnsi="Times New Roman"/>
                <w:sz w:val="16"/>
                <w:szCs w:val="16"/>
                <w:color w:val="auto"/>
              </w:rPr>
              <w:t>417</w:t>
            </w:r>
          </w:p>
        </w:tc>
      </w:tr>
      <w:tr>
        <w:trPr>
          <w:trHeight w:val="186"/>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640" w:type="dxa"/>
            <w:vAlign w:val="bottom"/>
          </w:tcPr>
          <w:p>
            <w:pPr>
              <w:spacing w:after="0"/>
              <w:rPr>
                <w:sz w:val="16"/>
                <w:szCs w:val="16"/>
                <w:color w:val="auto"/>
              </w:rPr>
            </w:pPr>
          </w:p>
        </w:tc>
        <w:tc>
          <w:tcPr>
            <w:tcW w:w="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175</w:t>
            </w:r>
          </w:p>
        </w:tc>
        <w:tc>
          <w:tcPr>
            <w:tcW w:w="440" w:type="dxa"/>
            <w:vAlign w:val="bottom"/>
          </w:tcPr>
          <w:p>
            <w:pPr>
              <w:spacing w:after="0"/>
              <w:rPr>
                <w:sz w:val="16"/>
                <w:szCs w:val="16"/>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2545715"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2545715" cy="11430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Financial Investments</w:t>
      </w:r>
    </w:p>
    <w:p>
      <w:pPr>
        <w:spacing w:after="0" w:line="204" w:lineRule="auto"/>
        <w:rPr>
          <w:sz w:val="20"/>
          <w:szCs w:val="20"/>
          <w:color w:val="auto"/>
        </w:rPr>
      </w:pPr>
      <w:r>
        <w:rPr>
          <w:rFonts w:ascii="Times New Roman" w:cs="Times New Roman" w:eastAsia="Times New Roman" w:hAnsi="Times New Roman"/>
          <w:sz w:val="16"/>
          <w:szCs w:val="16"/>
          <w:color w:val="auto"/>
        </w:rPr>
        <w:t>Financial investments are comprised of trading securities,</w:t>
      </w:r>
    </w:p>
    <w:p>
      <w:pPr>
        <w:spacing w:after="0" w:line="203" w:lineRule="auto"/>
        <w:rPr>
          <w:sz w:val="20"/>
          <w:szCs w:val="20"/>
          <w:color w:val="auto"/>
        </w:rPr>
      </w:pPr>
      <w:r>
        <w:rPr>
          <w:rFonts w:ascii="Times New Roman" w:cs="Times New Roman" w:eastAsia="Times New Roman" w:hAnsi="Times New Roman"/>
          <w:sz w:val="16"/>
          <w:szCs w:val="16"/>
          <w:color w:val="auto"/>
        </w:rPr>
        <w:t>primarily highly rated European government debt securities,</w:t>
      </w:r>
    </w:p>
    <w:p>
      <w:pPr>
        <w:spacing w:after="0" w:line="204" w:lineRule="auto"/>
        <w:rPr>
          <w:sz w:val="20"/>
          <w:szCs w:val="20"/>
          <w:color w:val="auto"/>
        </w:rPr>
      </w:pPr>
      <w:r>
        <w:rPr>
          <w:rFonts w:ascii="Times New Roman" w:cs="Times New Roman" w:eastAsia="Times New Roman" w:hAnsi="Times New Roman"/>
          <w:sz w:val="16"/>
          <w:szCs w:val="16"/>
          <w:color w:val="auto"/>
        </w:rPr>
        <w:t>of which $18 million as of December 31, 2025 and $171</w:t>
      </w:r>
    </w:p>
    <w:p>
      <w:pPr>
        <w:spacing w:after="0" w:line="203" w:lineRule="auto"/>
        <w:rPr>
          <w:sz w:val="20"/>
          <w:szCs w:val="20"/>
          <w:color w:val="auto"/>
        </w:rPr>
      </w:pPr>
      <w:r>
        <w:rPr>
          <w:rFonts w:ascii="Times New Roman" w:cs="Times New Roman" w:eastAsia="Times New Roman" w:hAnsi="Times New Roman"/>
          <w:sz w:val="16"/>
          <w:szCs w:val="16"/>
          <w:color w:val="auto"/>
        </w:rPr>
        <w:t>million as of December 31, 2024 are assets primarily utilized</w:t>
      </w:r>
    </w:p>
    <w:p>
      <w:pPr>
        <w:spacing w:after="0" w:line="204" w:lineRule="auto"/>
        <w:rPr>
          <w:sz w:val="20"/>
          <w:szCs w:val="20"/>
          <w:color w:val="auto"/>
        </w:rPr>
      </w:pPr>
      <w:r>
        <w:rPr>
          <w:rFonts w:ascii="Times New Roman" w:cs="Times New Roman" w:eastAsia="Times New Roman" w:hAnsi="Times New Roman"/>
          <w:sz w:val="16"/>
          <w:szCs w:val="16"/>
          <w:color w:val="auto"/>
        </w:rPr>
        <w:t>to meet regulatory capital requirements, mainly for our</w:t>
      </w:r>
    </w:p>
    <w:p>
      <w:pPr>
        <w:spacing w:after="0" w:line="203" w:lineRule="auto"/>
        <w:rPr>
          <w:sz w:val="20"/>
          <w:szCs w:val="20"/>
          <w:color w:val="auto"/>
        </w:rPr>
      </w:pPr>
      <w:r>
        <w:rPr>
          <w:rFonts w:ascii="Times New Roman" w:cs="Times New Roman" w:eastAsia="Times New Roman" w:hAnsi="Times New Roman"/>
          <w:sz w:val="16"/>
          <w:szCs w:val="16"/>
          <w:color w:val="auto"/>
        </w:rPr>
        <w:t>clearing operations at Nasdaq Clearing. The decrease in</w:t>
      </w:r>
    </w:p>
    <w:p>
      <w:pPr>
        <w:spacing w:after="0" w:line="204" w:lineRule="auto"/>
        <w:rPr>
          <w:sz w:val="20"/>
          <w:szCs w:val="20"/>
          <w:color w:val="auto"/>
        </w:rPr>
      </w:pPr>
      <w:r>
        <w:rPr>
          <w:rFonts w:ascii="Times New Roman" w:cs="Times New Roman" w:eastAsia="Times New Roman" w:hAnsi="Times New Roman"/>
          <w:sz w:val="16"/>
          <w:szCs w:val="16"/>
          <w:color w:val="auto"/>
        </w:rPr>
        <w:t>financial investments held for regulatory purposes as of</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is due to more regulatory capital being</w:t>
      </w:r>
    </w:p>
    <w:p>
      <w:pPr>
        <w:spacing w:after="0" w:line="204" w:lineRule="auto"/>
        <w:rPr>
          <w:sz w:val="20"/>
          <w:szCs w:val="20"/>
          <w:color w:val="auto"/>
        </w:rPr>
      </w:pPr>
      <w:r>
        <w:rPr>
          <w:rFonts w:ascii="Times New Roman" w:cs="Times New Roman" w:eastAsia="Times New Roman" w:hAnsi="Times New Roman"/>
          <w:sz w:val="16"/>
          <w:szCs w:val="16"/>
          <w:color w:val="auto"/>
        </w:rPr>
        <w:t>invested in shorter term investments, which meet the criteria</w:t>
      </w:r>
    </w:p>
    <w:p>
      <w:pPr>
        <w:spacing w:after="0" w:line="204" w:lineRule="auto"/>
        <w:rPr>
          <w:sz w:val="20"/>
          <w:szCs w:val="20"/>
          <w:color w:val="auto"/>
        </w:rPr>
      </w:pPr>
      <w:r>
        <w:rPr>
          <w:rFonts w:ascii="Times New Roman" w:cs="Times New Roman" w:eastAsia="Times New Roman" w:hAnsi="Times New Roman"/>
          <w:sz w:val="16"/>
          <w:szCs w:val="16"/>
          <w:color w:val="auto"/>
        </w:rPr>
        <w:t>to be classified as cash equivalents, and are included in</w:t>
      </w:r>
    </w:p>
    <w:p>
      <w:pPr>
        <w:spacing w:after="0" w:line="203" w:lineRule="auto"/>
        <w:rPr>
          <w:sz w:val="20"/>
          <w:szCs w:val="20"/>
          <w:color w:val="auto"/>
        </w:rPr>
      </w:pPr>
      <w:r>
        <w:rPr>
          <w:rFonts w:ascii="Times New Roman" w:cs="Times New Roman" w:eastAsia="Times New Roman" w:hAnsi="Times New Roman"/>
          <w:sz w:val="16"/>
          <w:szCs w:val="16"/>
          <w:color w:val="auto"/>
        </w:rPr>
        <w:t>restricted cash and cash equivalents in the Consolidated</w:t>
      </w:r>
    </w:p>
    <w:p>
      <w:pPr>
        <w:spacing w:after="0" w:line="204" w:lineRule="auto"/>
        <w:rPr>
          <w:sz w:val="20"/>
          <w:szCs w:val="20"/>
          <w:color w:val="auto"/>
        </w:rPr>
      </w:pPr>
      <w:r>
        <w:rPr>
          <w:rFonts w:ascii="Times New Roman" w:cs="Times New Roman" w:eastAsia="Times New Roman" w:hAnsi="Times New Roman"/>
          <w:sz w:val="16"/>
          <w:szCs w:val="16"/>
          <w:color w:val="auto"/>
        </w:rPr>
        <w:t>Balance Sheets.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Equity Method Investments</w:t>
      </w:r>
    </w:p>
    <w:p>
      <w:pPr>
        <w:spacing w:after="0" w:line="204" w:lineRule="auto"/>
        <w:rPr>
          <w:sz w:val="20"/>
          <w:szCs w:val="20"/>
          <w:color w:val="auto"/>
        </w:rPr>
      </w:pPr>
      <w:r>
        <w:rPr>
          <w:rFonts w:ascii="Times New Roman" w:cs="Times New Roman" w:eastAsia="Times New Roman" w:hAnsi="Times New Roman"/>
          <w:sz w:val="16"/>
          <w:szCs w:val="16"/>
          <w:color w:val="auto"/>
        </w:rPr>
        <w:t>We record our estimated pro-rata share of earnings or losses</w:t>
      </w:r>
    </w:p>
    <w:p>
      <w:pPr>
        <w:spacing w:after="0" w:line="203" w:lineRule="auto"/>
        <w:rPr>
          <w:sz w:val="20"/>
          <w:szCs w:val="20"/>
          <w:color w:val="auto"/>
        </w:rPr>
      </w:pPr>
      <w:r>
        <w:rPr>
          <w:rFonts w:ascii="Times New Roman" w:cs="Times New Roman" w:eastAsia="Times New Roman" w:hAnsi="Times New Roman"/>
          <w:sz w:val="16"/>
          <w:szCs w:val="16"/>
          <w:color w:val="auto"/>
        </w:rPr>
        <w:t>each reporting period and record any dividends as a reduction</w:t>
      </w:r>
    </w:p>
    <w:p>
      <w:pPr>
        <w:spacing w:after="0" w:line="204" w:lineRule="auto"/>
        <w:rPr>
          <w:sz w:val="20"/>
          <w:szCs w:val="20"/>
          <w:color w:val="auto"/>
        </w:rPr>
      </w:pPr>
      <w:r>
        <w:rPr>
          <w:rFonts w:ascii="Times New Roman" w:cs="Times New Roman" w:eastAsia="Times New Roman" w:hAnsi="Times New Roman"/>
          <w:sz w:val="16"/>
          <w:szCs w:val="16"/>
          <w:color w:val="auto"/>
        </w:rPr>
        <w:t>in the investment balance. As of December 31, 2025 and</w:t>
      </w:r>
    </w:p>
    <w:p>
      <w:pPr>
        <w:spacing w:after="0" w:line="203" w:lineRule="auto"/>
        <w:rPr>
          <w:sz w:val="20"/>
          <w:szCs w:val="20"/>
          <w:color w:val="auto"/>
        </w:rPr>
      </w:pPr>
      <w:r>
        <w:rPr>
          <w:rFonts w:ascii="Times New Roman" w:cs="Times New Roman" w:eastAsia="Times New Roman" w:hAnsi="Times New Roman"/>
          <w:sz w:val="16"/>
          <w:szCs w:val="16"/>
          <w:color w:val="auto"/>
        </w:rPr>
        <w:t>2024, our equity method investments primarily included our</w:t>
      </w:r>
    </w:p>
    <w:p>
      <w:pPr>
        <w:spacing w:after="0" w:line="204" w:lineRule="auto"/>
        <w:rPr>
          <w:sz w:val="20"/>
          <w:szCs w:val="20"/>
          <w:color w:val="auto"/>
        </w:rPr>
      </w:pPr>
      <w:r>
        <w:rPr>
          <w:rFonts w:ascii="Times New Roman" w:cs="Times New Roman" w:eastAsia="Times New Roman" w:hAnsi="Times New Roman"/>
          <w:sz w:val="16"/>
          <w:szCs w:val="16"/>
          <w:color w:val="auto"/>
        </w:rPr>
        <w:t>40.0% equity interest in OCC.</w:t>
      </w:r>
    </w:p>
    <w:p>
      <w:pPr>
        <w:spacing w:after="0" w:line="204" w:lineRule="auto"/>
        <w:rPr>
          <w:sz w:val="20"/>
          <w:szCs w:val="20"/>
          <w:color w:val="auto"/>
        </w:rPr>
      </w:pPr>
      <w:r>
        <w:rPr>
          <w:rFonts w:ascii="Times New Roman" w:cs="Times New Roman" w:eastAsia="Times New Roman" w:hAnsi="Times New Roman"/>
          <w:sz w:val="16"/>
          <w:szCs w:val="16"/>
          <w:color w:val="auto"/>
        </w:rPr>
        <w:t>The carrying amounts of our equity method investments are</w:t>
      </w:r>
    </w:p>
    <w:p>
      <w:pPr>
        <w:spacing w:after="0" w:line="203" w:lineRule="auto"/>
        <w:rPr>
          <w:sz w:val="20"/>
          <w:szCs w:val="20"/>
          <w:color w:val="auto"/>
        </w:rPr>
      </w:pPr>
      <w:r>
        <w:rPr>
          <w:rFonts w:ascii="Times New Roman" w:cs="Times New Roman" w:eastAsia="Times New Roman" w:hAnsi="Times New Roman"/>
          <w:sz w:val="16"/>
          <w:szCs w:val="16"/>
          <w:color w:val="auto"/>
        </w:rPr>
        <w:t>included in other non-current assets in the Consolidated</w:t>
      </w:r>
    </w:p>
    <w:p>
      <w:pPr>
        <w:spacing w:after="0" w:line="204" w:lineRule="auto"/>
        <w:rPr>
          <w:sz w:val="20"/>
          <w:szCs w:val="20"/>
          <w:color w:val="auto"/>
        </w:rPr>
      </w:pPr>
      <w:r>
        <w:rPr>
          <w:rFonts w:ascii="Times New Roman" w:cs="Times New Roman" w:eastAsia="Times New Roman" w:hAnsi="Times New Roman"/>
          <w:sz w:val="16"/>
          <w:szCs w:val="16"/>
          <w:color w:val="auto"/>
        </w:rPr>
        <w:t>Balance Sheets. No material impairments were recorded for</w:t>
      </w:r>
    </w:p>
    <w:p>
      <w:pPr>
        <w:spacing w:after="0" w:line="203" w:lineRule="auto"/>
        <w:rPr>
          <w:sz w:val="20"/>
          <w:szCs w:val="20"/>
          <w:color w:val="auto"/>
        </w:rPr>
      </w:pPr>
      <w:r>
        <w:rPr>
          <w:rFonts w:ascii="Times New Roman" w:cs="Times New Roman" w:eastAsia="Times New Roman" w:hAnsi="Times New Roman"/>
          <w:sz w:val="16"/>
          <w:szCs w:val="16"/>
          <w:color w:val="auto"/>
        </w:rPr>
        <w:t>the years ended December 31, 2025, 2024 and 2023.</w:t>
      </w:r>
    </w:p>
    <w:p>
      <w:pPr>
        <w:spacing w:after="0" w:line="204" w:lineRule="auto"/>
        <w:rPr>
          <w:sz w:val="20"/>
          <w:szCs w:val="20"/>
          <w:color w:val="auto"/>
        </w:rPr>
      </w:pPr>
      <w:r>
        <w:rPr>
          <w:rFonts w:ascii="Times New Roman" w:cs="Times New Roman" w:eastAsia="Times New Roman" w:hAnsi="Times New Roman"/>
          <w:sz w:val="16"/>
          <w:szCs w:val="16"/>
          <w:color w:val="auto"/>
        </w:rPr>
        <w:t>Net income recognized from our equity interest in the</w:t>
      </w:r>
    </w:p>
    <w:p>
      <w:pPr>
        <w:spacing w:after="0" w:line="203" w:lineRule="auto"/>
        <w:rPr>
          <w:sz w:val="20"/>
          <w:szCs w:val="20"/>
          <w:color w:val="auto"/>
        </w:rPr>
      </w:pPr>
      <w:r>
        <w:rPr>
          <w:rFonts w:ascii="Times New Roman" w:cs="Times New Roman" w:eastAsia="Times New Roman" w:hAnsi="Times New Roman"/>
          <w:sz w:val="16"/>
          <w:szCs w:val="16"/>
          <w:color w:val="auto"/>
        </w:rPr>
        <w:t>earnings and losses of these equity method investments was</w:t>
      </w:r>
    </w:p>
    <w:p>
      <w:pPr>
        <w:spacing w:after="0" w:line="204" w:lineRule="auto"/>
        <w:rPr>
          <w:sz w:val="20"/>
          <w:szCs w:val="20"/>
          <w:color w:val="auto"/>
        </w:rPr>
      </w:pPr>
      <w:r>
        <w:rPr>
          <w:rFonts w:ascii="Times New Roman" w:cs="Times New Roman" w:eastAsia="Times New Roman" w:hAnsi="Times New Roman"/>
          <w:sz w:val="16"/>
          <w:szCs w:val="16"/>
          <w:color w:val="auto"/>
        </w:rPr>
        <w:t>$83 million, $16 million and $(7) million for the years ended</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2024 and 2023, respectively. For the</w:t>
      </w:r>
    </w:p>
    <w:p>
      <w:pPr>
        <w:spacing w:after="0" w:line="204" w:lineRule="auto"/>
        <w:rPr>
          <w:sz w:val="20"/>
          <w:szCs w:val="20"/>
          <w:color w:val="auto"/>
        </w:rPr>
      </w:pPr>
      <w:r>
        <w:rPr>
          <w:rFonts w:ascii="Times New Roman" w:cs="Times New Roman" w:eastAsia="Times New Roman" w:hAnsi="Times New Roman"/>
          <w:sz w:val="16"/>
          <w:szCs w:val="16"/>
          <w:color w:val="auto"/>
        </w:rPr>
        <w:t>year ended December 31, 2025, higher equity interest in the</w:t>
      </w:r>
    </w:p>
    <w:p>
      <w:pPr>
        <w:spacing w:after="0" w:line="203" w:lineRule="auto"/>
        <w:rPr>
          <w:sz w:val="20"/>
          <w:szCs w:val="20"/>
          <w:color w:val="auto"/>
        </w:rPr>
      </w:pPr>
      <w:r>
        <w:rPr>
          <w:rFonts w:ascii="Times New Roman" w:cs="Times New Roman" w:eastAsia="Times New Roman" w:hAnsi="Times New Roman"/>
          <w:sz w:val="16"/>
          <w:szCs w:val="16"/>
          <w:color w:val="auto"/>
        </w:rPr>
        <w:t>earnings of OCC, as compared to 2024, was primarily driven</w:t>
      </w:r>
    </w:p>
    <w:p>
      <w:pPr>
        <w:spacing w:after="0" w:line="204" w:lineRule="auto"/>
        <w:rPr>
          <w:sz w:val="20"/>
          <w:szCs w:val="20"/>
          <w:color w:val="auto"/>
        </w:rPr>
      </w:pPr>
      <w:r>
        <w:rPr>
          <w:rFonts w:ascii="Times New Roman" w:cs="Times New Roman" w:eastAsia="Times New Roman" w:hAnsi="Times New Roman"/>
          <w:sz w:val="16"/>
          <w:szCs w:val="16"/>
          <w:color w:val="auto"/>
        </w:rPr>
        <w:t>by elevated U.S. industry trading volumes.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Equity Securities</w:t>
      </w:r>
    </w:p>
    <w:p>
      <w:pPr>
        <w:spacing w:after="0" w:line="203" w:lineRule="auto"/>
        <w:rPr>
          <w:sz w:val="20"/>
          <w:szCs w:val="20"/>
          <w:color w:val="auto"/>
        </w:rPr>
      </w:pPr>
      <w:r>
        <w:rPr>
          <w:rFonts w:ascii="Times New Roman" w:cs="Times New Roman" w:eastAsia="Times New Roman" w:hAnsi="Times New Roman"/>
          <w:sz w:val="16"/>
          <w:szCs w:val="16"/>
          <w:color w:val="auto"/>
        </w:rPr>
        <w:t>The carrying amounts of our equity securities are included in</w:t>
      </w:r>
    </w:p>
    <w:p>
      <w:pPr>
        <w:spacing w:after="0" w:line="204" w:lineRule="auto"/>
        <w:rPr>
          <w:sz w:val="20"/>
          <w:szCs w:val="20"/>
          <w:color w:val="auto"/>
        </w:rPr>
      </w:pPr>
      <w:r>
        <w:rPr>
          <w:rFonts w:ascii="Times New Roman" w:cs="Times New Roman" w:eastAsia="Times New Roman" w:hAnsi="Times New Roman"/>
          <w:sz w:val="16"/>
          <w:szCs w:val="16"/>
          <w:color w:val="auto"/>
        </w:rPr>
        <w:t>other non-current assets in the Consolidated Balance Sheets.</w:t>
      </w:r>
    </w:p>
    <w:p>
      <w:pPr>
        <w:spacing w:after="0" w:line="203" w:lineRule="auto"/>
        <w:rPr>
          <w:sz w:val="20"/>
          <w:szCs w:val="20"/>
          <w:color w:val="auto"/>
        </w:rPr>
      </w:pPr>
      <w:r>
        <w:rPr>
          <w:rFonts w:ascii="Times New Roman" w:cs="Times New Roman" w:eastAsia="Times New Roman" w:hAnsi="Times New Roman"/>
          <w:sz w:val="16"/>
          <w:szCs w:val="16"/>
          <w:color w:val="auto"/>
        </w:rPr>
        <w:t>The majority of our equity securities as of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do not have a readily determinable fair value and</w:t>
      </w:r>
    </w:p>
    <w:p>
      <w:pPr>
        <w:spacing w:after="0" w:line="203" w:lineRule="auto"/>
        <w:rPr>
          <w:sz w:val="20"/>
          <w:szCs w:val="20"/>
          <w:color w:val="auto"/>
        </w:rPr>
      </w:pPr>
      <w:r>
        <w:rPr>
          <w:rFonts w:ascii="Times New Roman" w:cs="Times New Roman" w:eastAsia="Times New Roman" w:hAnsi="Times New Roman"/>
          <w:sz w:val="16"/>
          <w:szCs w:val="16"/>
          <w:color w:val="auto"/>
        </w:rPr>
        <w:t>therefore we have elected the measurement alternative. No</w:t>
      </w:r>
    </w:p>
    <w:p>
      <w:pPr>
        <w:spacing w:after="0" w:line="204" w:lineRule="auto"/>
        <w:rPr>
          <w:sz w:val="20"/>
          <w:szCs w:val="20"/>
          <w:color w:val="auto"/>
        </w:rPr>
      </w:pPr>
      <w:r>
        <w:rPr>
          <w:rFonts w:ascii="Times New Roman" w:cs="Times New Roman" w:eastAsia="Times New Roman" w:hAnsi="Times New Roman"/>
          <w:sz w:val="16"/>
          <w:szCs w:val="16"/>
          <w:color w:val="auto"/>
        </w:rPr>
        <w:t>material adjustments were made to the carrying value of</w:t>
      </w:r>
    </w:p>
    <w:p>
      <w:pPr>
        <w:spacing w:after="0" w:line="203" w:lineRule="auto"/>
        <w:rPr>
          <w:sz w:val="20"/>
          <w:szCs w:val="20"/>
          <w:color w:val="auto"/>
        </w:rPr>
      </w:pPr>
      <w:r>
        <w:rPr>
          <w:rFonts w:ascii="Times New Roman" w:cs="Times New Roman" w:eastAsia="Times New Roman" w:hAnsi="Times New Roman"/>
          <w:sz w:val="16"/>
          <w:szCs w:val="16"/>
          <w:color w:val="auto"/>
        </w:rPr>
        <w:t>these equity securities for the years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2024 and 2023. We mark-to-market equity securities</w:t>
      </w:r>
    </w:p>
    <w:p>
      <w:pPr>
        <w:spacing w:after="0" w:line="204" w:lineRule="auto"/>
        <w:rPr>
          <w:sz w:val="20"/>
          <w:szCs w:val="20"/>
          <w:color w:val="auto"/>
        </w:rPr>
      </w:pPr>
      <w:r>
        <w:rPr>
          <w:rFonts w:ascii="Times New Roman" w:cs="Times New Roman" w:eastAsia="Times New Roman" w:hAnsi="Times New Roman"/>
          <w:sz w:val="16"/>
          <w:szCs w:val="16"/>
          <w:color w:val="auto"/>
        </w:rPr>
        <w:t>which have a readily determinable fair value, with gains and</w:t>
      </w:r>
    </w:p>
    <w:p>
      <w:pPr>
        <w:spacing w:after="0" w:line="203" w:lineRule="auto"/>
        <w:rPr>
          <w:sz w:val="20"/>
          <w:szCs w:val="20"/>
          <w:color w:val="auto"/>
        </w:rPr>
      </w:pPr>
      <w:r>
        <w:rPr>
          <w:rFonts w:ascii="Times New Roman" w:cs="Times New Roman" w:eastAsia="Times New Roman" w:hAnsi="Times New Roman"/>
          <w:sz w:val="16"/>
          <w:szCs w:val="16"/>
          <w:color w:val="auto"/>
        </w:rPr>
        <w:t>losses recognized in other income (loss) in the Consolidated</w:t>
      </w:r>
    </w:p>
    <w:p>
      <w:pPr>
        <w:spacing w:after="0" w:line="204" w:lineRule="auto"/>
        <w:rPr>
          <w:sz w:val="20"/>
          <w:szCs w:val="20"/>
          <w:color w:val="auto"/>
        </w:rPr>
      </w:pPr>
      <w:r>
        <w:rPr>
          <w:rFonts w:ascii="Times New Roman" w:cs="Times New Roman" w:eastAsia="Times New Roman" w:hAnsi="Times New Roman"/>
          <w:sz w:val="16"/>
          <w:szCs w:val="16"/>
          <w:color w:val="auto"/>
        </w:rPr>
        <w:t>Statements of Income. Net loss from the change in fair value</w:t>
      </w:r>
    </w:p>
    <w:p>
      <w:pPr>
        <w:spacing w:after="0" w:line="203" w:lineRule="auto"/>
        <w:rPr>
          <w:sz w:val="20"/>
          <w:szCs w:val="20"/>
          <w:color w:val="auto"/>
        </w:rPr>
      </w:pPr>
      <w:r>
        <w:rPr>
          <w:rFonts w:ascii="Times New Roman" w:cs="Times New Roman" w:eastAsia="Times New Roman" w:hAnsi="Times New Roman"/>
          <w:sz w:val="16"/>
          <w:szCs w:val="16"/>
          <w:color w:val="auto"/>
        </w:rPr>
        <w:t>of these equity securities was $44 million for the year ended</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and immaterial for the years ended</w:t>
      </w:r>
    </w:p>
    <w:p>
      <w:pPr>
        <w:spacing w:after="0" w:line="203" w:lineRule="auto"/>
        <w:rPr>
          <w:sz w:val="20"/>
          <w:szCs w:val="20"/>
          <w:color w:val="auto"/>
        </w:rPr>
      </w:pPr>
      <w:r>
        <w:rPr>
          <w:rFonts w:ascii="Times New Roman" w:cs="Times New Roman" w:eastAsia="Times New Roman" w:hAnsi="Times New Roman"/>
          <w:sz w:val="16"/>
          <w:szCs w:val="16"/>
          <w:color w:val="auto"/>
        </w:rPr>
        <w:t>December 31, 2024 and 2023. As of December 31, 2025 and</w:t>
      </w:r>
    </w:p>
    <w:p>
      <w:pPr>
        <w:spacing w:after="0" w:line="204" w:lineRule="auto"/>
        <w:rPr>
          <w:sz w:val="20"/>
          <w:szCs w:val="20"/>
          <w:color w:val="auto"/>
        </w:rPr>
      </w:pPr>
      <w:r>
        <w:rPr>
          <w:rFonts w:ascii="Times New Roman" w:cs="Times New Roman" w:eastAsia="Times New Roman" w:hAnsi="Times New Roman"/>
          <w:sz w:val="16"/>
          <w:szCs w:val="16"/>
          <w:color w:val="231F20"/>
        </w:rPr>
        <w:t>December 31, 2024</w:t>
      </w:r>
      <w:r>
        <w:rPr>
          <w:rFonts w:ascii="Times New Roman" w:cs="Times New Roman" w:eastAsia="Times New Roman" w:hAnsi="Times New Roman"/>
          <w:sz w:val="16"/>
          <w:szCs w:val="16"/>
          <w:color w:val="000000"/>
        </w:rPr>
        <w:t>, our equity securities primarily represent</w:t>
      </w:r>
    </w:p>
    <w:p>
      <w:pPr>
        <w:spacing w:after="0" w:line="203" w:lineRule="auto"/>
        <w:rPr>
          <w:sz w:val="20"/>
          <w:szCs w:val="20"/>
          <w:color w:val="auto"/>
        </w:rPr>
      </w:pPr>
      <w:r>
        <w:rPr>
          <w:rFonts w:ascii="Times New Roman" w:cs="Times New Roman" w:eastAsia="Times New Roman" w:hAnsi="Times New Roman"/>
          <w:sz w:val="16"/>
          <w:szCs w:val="16"/>
          <w:color w:val="auto"/>
        </w:rPr>
        <w:t>various strategic minority investments made through our</w:t>
      </w:r>
    </w:p>
    <w:p>
      <w:pPr>
        <w:spacing w:after="0" w:line="204" w:lineRule="auto"/>
        <w:rPr>
          <w:sz w:val="20"/>
          <w:szCs w:val="20"/>
          <w:color w:val="auto"/>
        </w:rPr>
      </w:pPr>
      <w:r>
        <w:rPr>
          <w:rFonts w:ascii="Times New Roman" w:cs="Times New Roman" w:eastAsia="Times New Roman" w:hAnsi="Times New Roman"/>
          <w:sz w:val="16"/>
          <w:szCs w:val="16"/>
          <w:color w:val="auto"/>
        </w:rPr>
        <w:t>corporate venture program. Our investment in equity</w:t>
      </w:r>
    </w:p>
    <w:p>
      <w:pPr>
        <w:spacing w:after="0" w:line="203" w:lineRule="auto"/>
        <w:rPr>
          <w:sz w:val="20"/>
          <w:szCs w:val="20"/>
          <w:color w:val="auto"/>
        </w:rPr>
      </w:pPr>
      <w:r>
        <w:rPr>
          <w:rFonts w:ascii="Times New Roman" w:cs="Times New Roman" w:eastAsia="Times New Roman" w:hAnsi="Times New Roman"/>
          <w:sz w:val="16"/>
          <w:szCs w:val="16"/>
          <w:color w:val="auto"/>
        </w:rPr>
        <w:t>securities is included in other investing activities in the</w:t>
      </w:r>
    </w:p>
    <w:p>
      <w:pPr>
        <w:spacing w:after="0" w:line="204" w:lineRule="auto"/>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7. PROPERTY AND EQUIPMENT, NET</w:t>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 presents our major categories of property</w:t>
      </w:r>
    </w:p>
    <w:p>
      <w:pPr>
        <w:spacing w:after="0" w:line="228" w:lineRule="auto"/>
        <w:rPr>
          <w:sz w:val="20"/>
          <w:szCs w:val="20"/>
          <w:color w:val="auto"/>
        </w:rPr>
      </w:pPr>
      <w:r>
        <w:rPr>
          <w:rFonts w:ascii="Times New Roman" w:cs="Times New Roman" w:eastAsia="Times New Roman" w:hAnsi="Times New Roman"/>
          <w:sz w:val="16"/>
          <w:szCs w:val="16"/>
          <w:color w:val="auto"/>
        </w:rPr>
        <w:t>and equipment, net:</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49530</wp:posOffset>
            </wp:positionV>
            <wp:extent cx="115887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1158875" cy="7620"/>
                    </a:xfrm>
                    <a:prstGeom prst="rect">
                      <a:avLst/>
                    </a:prstGeom>
                    <a:noFill/>
                  </pic:spPr>
                </pic:pic>
              </a:graphicData>
            </a:graphic>
          </wp:anchor>
        </w:drawing>
      </w:r>
    </w:p>
    <w:p>
      <w:pPr>
        <w:spacing w:after="0" w:line="68" w:lineRule="exact"/>
        <w:rPr>
          <w:sz w:val="20"/>
          <w:szCs w:val="20"/>
          <w:color w:val="auto"/>
        </w:rPr>
      </w:pPr>
    </w:p>
    <w:p>
      <w:pPr>
        <w:ind w:left="2180"/>
        <w:spacing w:after="0"/>
        <w:tabs>
          <w:tab w:leader="none" w:pos="31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50800</wp:posOffset>
            </wp:positionV>
            <wp:extent cx="115887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1158875" cy="7620"/>
                    </a:xfrm>
                    <a:prstGeom prst="rect">
                      <a:avLst/>
                    </a:prstGeom>
                    <a:noFill/>
                  </pic:spPr>
                </pic:pic>
              </a:graphicData>
            </a:graphic>
          </wp:anchor>
        </w:drawing>
      </w:r>
    </w:p>
    <w:p>
      <w:pPr>
        <w:spacing w:after="0" w:line="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F-25</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8. DEFERRED REVENUE</w:t>
      </w:r>
    </w:p>
    <w:p>
      <w:pPr>
        <w:spacing w:after="0" w:line="204" w:lineRule="auto"/>
        <w:rPr>
          <w:sz w:val="20"/>
          <w:szCs w:val="20"/>
          <w:color w:val="auto"/>
        </w:rPr>
      </w:pPr>
      <w:r>
        <w:rPr>
          <w:rFonts w:ascii="Times New Roman" w:cs="Times New Roman" w:eastAsia="Times New Roman" w:hAnsi="Times New Roman"/>
          <w:sz w:val="16"/>
          <w:szCs w:val="16"/>
          <w:color w:val="auto"/>
        </w:rPr>
        <w:t>Deferred revenue represents consideration received that is yet</w:t>
      </w:r>
    </w:p>
    <w:p>
      <w:pPr>
        <w:spacing w:after="0" w:line="203" w:lineRule="auto"/>
        <w:rPr>
          <w:sz w:val="20"/>
          <w:szCs w:val="20"/>
          <w:color w:val="auto"/>
        </w:rPr>
      </w:pPr>
      <w:r>
        <w:rPr>
          <w:rFonts w:ascii="Times New Roman" w:cs="Times New Roman" w:eastAsia="Times New Roman" w:hAnsi="Times New Roman"/>
          <w:sz w:val="16"/>
          <w:szCs w:val="16"/>
          <w:color w:val="auto"/>
        </w:rPr>
        <w:t>to be recognized as revenue. The changes in our deferred</w:t>
      </w:r>
    </w:p>
    <w:p>
      <w:pPr>
        <w:spacing w:after="0" w:line="204" w:lineRule="auto"/>
        <w:rPr>
          <w:sz w:val="20"/>
          <w:szCs w:val="20"/>
          <w:color w:val="auto"/>
        </w:rPr>
      </w:pPr>
      <w:r>
        <w:rPr>
          <w:rFonts w:ascii="Times New Roman" w:cs="Times New Roman" w:eastAsia="Times New Roman" w:hAnsi="Times New Roman"/>
          <w:sz w:val="16"/>
          <w:szCs w:val="16"/>
          <w:color w:val="auto"/>
        </w:rPr>
        <w:t>revenue during the year ended December 31, 2025 are</w:t>
      </w:r>
    </w:p>
    <w:p>
      <w:pPr>
        <w:spacing w:after="0"/>
        <w:rPr>
          <w:sz w:val="20"/>
          <w:szCs w:val="20"/>
          <w:color w:val="auto"/>
        </w:rPr>
      </w:pPr>
      <w:r>
        <w:rPr>
          <w:rFonts w:ascii="Times New Roman" w:cs="Times New Roman" w:eastAsia="Times New Roman" w:hAnsi="Times New Roman"/>
          <w:sz w:val="16"/>
          <w:szCs w:val="16"/>
          <w:color w:val="auto"/>
        </w:rPr>
        <w:t>reflected in the following table:</w:t>
      </w:r>
    </w:p>
    <w:p>
      <w:pPr>
        <w:sectPr>
          <w:pgSz w:w="11900" w:h="16840" w:orient="portrait"/>
          <w:cols w:equalWidth="0" w:num="1">
            <w:col w:w="9400"/>
          </w:cols>
          <w:pgMar w:left="1060" w:top="547"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26"/>
        </w:trPr>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6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6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Balance at</w:t>
            </w:r>
          </w:p>
        </w:tc>
      </w:tr>
      <w:tr>
        <w:trPr>
          <w:trHeight w:val="76"/>
        </w:trPr>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top w:val="single" w:sz="8" w:color="auto"/>
            </w:tcBorders>
            <w:gridSpan w:val="3"/>
          </w:tcPr>
          <w:p>
            <w:pPr>
              <w:spacing w:after="0" w:line="76" w:lineRule="exact"/>
              <w:rPr>
                <w:sz w:val="20"/>
                <w:szCs w:val="20"/>
                <w:color w:val="auto"/>
              </w:rPr>
            </w:pPr>
            <w:r>
              <w:rPr>
                <w:rFonts w:ascii="Times New Roman" w:cs="Times New Roman" w:eastAsia="Times New Roman" w:hAnsi="Times New Roman"/>
                <w:sz w:val="8"/>
                <w:szCs w:val="8"/>
                <w:b w:val="1"/>
                <w:bCs w:val="1"/>
                <w:color w:val="auto"/>
              </w:rPr>
              <w:t>December</w:t>
            </w:r>
          </w:p>
        </w:tc>
        <w:tc>
          <w:tcPr>
            <w:tcW w:w="1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top w:val="single" w:sz="8" w:color="auto"/>
            </w:tcBorders>
            <w:gridSpan w:val="2"/>
          </w:tcPr>
          <w:p>
            <w:pPr>
              <w:spacing w:after="0" w:line="76" w:lineRule="exact"/>
              <w:rPr>
                <w:sz w:val="20"/>
                <w:szCs w:val="20"/>
                <w:color w:val="auto"/>
              </w:rPr>
            </w:pPr>
            <w:r>
              <w:rPr>
                <w:rFonts w:ascii="Times New Roman" w:cs="Times New Roman" w:eastAsia="Times New Roman" w:hAnsi="Times New Roman"/>
                <w:sz w:val="8"/>
                <w:szCs w:val="8"/>
                <w:b w:val="1"/>
                <w:bCs w:val="1"/>
                <w:color w:val="auto"/>
              </w:rPr>
              <w:t>Recognized</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top w:val="single" w:sz="8" w:color="auto"/>
            </w:tcBorders>
            <w:gridSpan w:val="4"/>
          </w:tcPr>
          <w:p>
            <w:pPr>
              <w:spacing w:after="0" w:line="76" w:lineRule="exact"/>
              <w:rPr>
                <w:sz w:val="20"/>
                <w:szCs w:val="20"/>
                <w:color w:val="auto"/>
              </w:rPr>
            </w:pPr>
            <w:r>
              <w:rPr>
                <w:rFonts w:ascii="Times New Roman" w:cs="Times New Roman" w:eastAsia="Times New Roman" w:hAnsi="Times New Roman"/>
                <w:sz w:val="8"/>
                <w:szCs w:val="8"/>
                <w:b w:val="1"/>
                <w:bCs w:val="1"/>
                <w:color w:val="auto"/>
              </w:rPr>
              <w:t>December</w:t>
            </w:r>
          </w:p>
        </w:tc>
        <w:tc>
          <w:tcPr>
            <w:tcW w:w="120" w:type="dxa"/>
            <w:vAlign w:val="bottom"/>
          </w:tcPr>
          <w:p>
            <w:pPr>
              <w:spacing w:after="0"/>
              <w:rPr>
                <w:sz w:val="6"/>
                <w:szCs w:val="6"/>
                <w:color w:val="auto"/>
              </w:rPr>
            </w:pPr>
          </w:p>
        </w:tc>
      </w:tr>
      <w:tr>
        <w:trPr>
          <w:trHeight w:val="76"/>
        </w:trPr>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top w:val="single" w:sz="8" w:color="auto"/>
              <w:bottom w:val="single" w:sz="8" w:color="auto"/>
            </w:tcBorders>
            <w:gridSpan w:val="2"/>
          </w:tcPr>
          <w:p>
            <w:pPr>
              <w:spacing w:after="0" w:line="76" w:lineRule="exact"/>
              <w:rPr>
                <w:sz w:val="20"/>
                <w:szCs w:val="20"/>
                <w:color w:val="auto"/>
              </w:rPr>
            </w:pPr>
            <w:r>
              <w:rPr>
                <w:rFonts w:ascii="Times New Roman" w:cs="Times New Roman" w:eastAsia="Times New Roman" w:hAnsi="Times New Roman"/>
                <w:sz w:val="8"/>
                <w:szCs w:val="8"/>
                <w:b w:val="1"/>
                <w:bCs w:val="1"/>
                <w:color w:val="auto"/>
              </w:rPr>
              <w:t>31, 2024</w:t>
            </w:r>
          </w:p>
        </w:tc>
        <w:tc>
          <w:tcPr>
            <w:tcW w:w="1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bottom w:val="single" w:sz="8" w:color="auto"/>
            </w:tcBorders>
            <w:gridSpan w:val="2"/>
          </w:tcPr>
          <w:p>
            <w:pPr>
              <w:spacing w:after="0" w:line="76" w:lineRule="exact"/>
              <w:rPr>
                <w:sz w:val="20"/>
                <w:szCs w:val="20"/>
                <w:color w:val="auto"/>
              </w:rPr>
            </w:pPr>
            <w:r>
              <w:rPr>
                <w:rFonts w:ascii="Times New Roman" w:cs="Times New Roman" w:eastAsia="Times New Roman" w:hAnsi="Times New Roman"/>
                <w:sz w:val="8"/>
                <w:szCs w:val="8"/>
                <w:b w:val="1"/>
                <w:bCs w:val="1"/>
                <w:color w:val="auto"/>
              </w:rPr>
              <w:t>31, 2025</w:t>
            </w:r>
          </w:p>
        </w:tc>
        <w:tc>
          <w:tcPr>
            <w:tcW w:w="1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0"/>
        </w:trPr>
        <w:tc>
          <w:tcPr>
            <w:tcW w:w="15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Capital Access Platforms: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
        </w:trPr>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0"/>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Initial Listings</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32"/>
        </w:trPr>
        <w:tc>
          <w:tcPr>
            <w:tcW w:w="8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Annual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1"/>
                <w:szCs w:val="11"/>
                <w:color w:val="auto"/>
              </w:rPr>
            </w:pPr>
          </w:p>
        </w:tc>
        <w:tc>
          <w:tcPr>
            <w:tcW w:w="48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r>
      <w:tr>
        <w:trPr>
          <w:trHeight w:val="168"/>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Listings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2"/>
        </w:trPr>
        <w:tc>
          <w:tcPr>
            <w:tcW w:w="8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Workflow &amp;</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193</w:t>
            </w:r>
          </w:p>
        </w:tc>
        <w:tc>
          <w:tcPr>
            <w:tcW w:w="14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(181)</w:t>
            </w: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CCEEFF"/>
          </w:tcPr>
          <w:p>
            <w:pPr>
              <w:spacing w:after="0"/>
              <w:rPr>
                <w:sz w:val="11"/>
                <w:szCs w:val="11"/>
                <w:color w:val="auto"/>
              </w:rPr>
            </w:pPr>
          </w:p>
        </w:tc>
      </w:tr>
      <w:tr>
        <w:trPr>
          <w:trHeight w:val="172"/>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Insights</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88"/>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6"/>
                <w:szCs w:val="16"/>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r>
      <w:tr>
        <w:trPr>
          <w:trHeight w:val="40"/>
        </w:trPr>
        <w:tc>
          <w:tcPr>
            <w:tcW w:w="880" w:type="dxa"/>
            <w:vAlign w:val="bottom"/>
            <w:gridSpan w:val="2"/>
          </w:tcPr>
          <w:p>
            <w:pPr>
              <w:spacing w:after="0"/>
              <w:rPr>
                <w:sz w:val="3"/>
                <w:szCs w:val="3"/>
                <w:color w:val="auto"/>
              </w:rPr>
            </w:pPr>
          </w:p>
        </w:tc>
        <w:tc>
          <w:tcPr>
            <w:tcW w:w="3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2"/>
        </w:trPr>
        <w:tc>
          <w:tcPr>
            <w:tcW w:w="15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Financial Technology:</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32"/>
        </w:trPr>
        <w:tc>
          <w:tcPr>
            <w:tcW w:w="8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Financial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185</w:t>
            </w:r>
          </w:p>
        </w:tc>
        <w:tc>
          <w:tcPr>
            <w:tcW w:w="140" w:type="dxa"/>
            <w:vAlign w:val="bottom"/>
          </w:tcPr>
          <w:p>
            <w:pPr>
              <w:spacing w:after="0"/>
              <w:rPr>
                <w:sz w:val="11"/>
                <w:szCs w:val="11"/>
                <w:color w:val="auto"/>
              </w:rPr>
            </w:pPr>
          </w:p>
        </w:tc>
        <w:tc>
          <w:tcPr>
            <w:tcW w:w="48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(144)</w:t>
            </w:r>
          </w:p>
        </w:tc>
        <w:tc>
          <w:tcPr>
            <w:tcW w:w="240" w:type="dxa"/>
            <w:vAlign w:val="bottom"/>
          </w:tcPr>
          <w:p>
            <w:pPr>
              <w:spacing w:after="0"/>
              <w:rPr>
                <w:sz w:val="11"/>
                <w:szCs w:val="11"/>
                <w:color w:val="auto"/>
              </w:rPr>
            </w:pPr>
          </w:p>
        </w:tc>
        <w:tc>
          <w:tcPr>
            <w:tcW w:w="4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32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1"/>
                <w:szCs w:val="11"/>
                <w:color w:val="auto"/>
              </w:rPr>
            </w:pPr>
          </w:p>
        </w:tc>
      </w:tr>
      <w:tr>
        <w:trPr>
          <w:trHeight w:val="108"/>
        </w:trPr>
        <w:tc>
          <w:tcPr>
            <w:tcW w:w="86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Crime</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86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Management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Technology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2"/>
        </w:trPr>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32"/>
        </w:trPr>
        <w:tc>
          <w:tcPr>
            <w:tcW w:w="8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Regulatory</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147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149</w:t>
            </w:r>
          </w:p>
        </w:tc>
        <w:tc>
          <w:tcPr>
            <w:tcW w:w="14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(135)</w:t>
            </w: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1"/>
                <w:szCs w:val="11"/>
                <w:color w:val="auto"/>
              </w:rPr>
            </w:pPr>
          </w:p>
        </w:tc>
      </w:tr>
      <w:tr>
        <w:trPr>
          <w:trHeight w:val="172"/>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Technology</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32"/>
        </w:trPr>
        <w:tc>
          <w:tcPr>
            <w:tcW w:w="8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Capital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4"/>
                <w:szCs w:val="14"/>
                <w:color w:val="auto"/>
              </w:rPr>
              <w:t>186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174</w:t>
            </w:r>
          </w:p>
        </w:tc>
        <w:tc>
          <w:tcPr>
            <w:tcW w:w="140" w:type="dxa"/>
            <w:vAlign w:val="bottom"/>
          </w:tcPr>
          <w:p>
            <w:pPr>
              <w:spacing w:after="0"/>
              <w:rPr>
                <w:sz w:val="11"/>
                <w:szCs w:val="11"/>
                <w:color w:val="auto"/>
              </w:rPr>
            </w:pPr>
          </w:p>
        </w:tc>
        <w:tc>
          <w:tcPr>
            <w:tcW w:w="48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(168)</w:t>
            </w:r>
          </w:p>
        </w:tc>
        <w:tc>
          <w:tcPr>
            <w:tcW w:w="24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1"/>
                <w:szCs w:val="11"/>
                <w:color w:val="auto"/>
              </w:rPr>
            </w:pPr>
          </w:p>
        </w:tc>
      </w:tr>
      <w:tr>
        <w:trPr>
          <w:trHeight w:val="108"/>
        </w:trPr>
        <w:tc>
          <w:tcPr>
            <w:tcW w:w="86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Markets</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7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Technology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88"/>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754</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(678)</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20" w:type="dxa"/>
            <w:vAlign w:val="bottom"/>
            <w:tcBorders>
              <w:bottom w:val="single" w:sz="8" w:color="auto"/>
            </w:tcBorders>
            <w:shd w:val="clear" w:color="auto" w:fill="CCEEFF"/>
          </w:tcPr>
          <w:p>
            <w:pPr>
              <w:spacing w:after="0"/>
              <w:rPr>
                <w:sz w:val="16"/>
                <w:szCs w:val="16"/>
                <w:color w:val="auto"/>
              </w:rPr>
            </w:pPr>
          </w:p>
        </w:tc>
      </w:tr>
    </w:tbl>
    <w:p>
      <w:pPr>
        <w:spacing w:after="0" w:line="225" w:lineRule="auto"/>
        <w:rPr>
          <w:sz w:val="20"/>
          <w:szCs w:val="20"/>
          <w:color w:val="auto"/>
        </w:rPr>
      </w:pPr>
      <w:r>
        <w:rPr>
          <w:rFonts w:ascii="Times New Roman" w:cs="Times New Roman" w:eastAsia="Times New Roman" w:hAnsi="Times New Roman"/>
          <w:sz w:val="16"/>
          <w:szCs w:val="16"/>
          <w:color w:val="auto"/>
        </w:rPr>
        <w:t>In the above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-100965</wp:posOffset>
            </wp:positionV>
            <wp:extent cx="205041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2050415"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•Additions include deferred revenue billed in the current</w:t>
      </w:r>
    </w:p>
    <w:p>
      <w:pPr>
        <w:spacing w:after="0" w:line="203" w:lineRule="auto"/>
        <w:rPr>
          <w:sz w:val="20"/>
          <w:szCs w:val="20"/>
          <w:color w:val="auto"/>
        </w:rPr>
      </w:pPr>
      <w:r>
        <w:rPr>
          <w:rFonts w:ascii="Times New Roman" w:cs="Times New Roman" w:eastAsia="Times New Roman" w:hAnsi="Times New Roman"/>
          <w:sz w:val="16"/>
          <w:szCs w:val="16"/>
          <w:color w:val="auto"/>
        </w:rPr>
        <w:t>period, net of recognition.</w:t>
      </w:r>
    </w:p>
    <w:p>
      <w:pPr>
        <w:spacing w:after="0" w:line="204" w:lineRule="auto"/>
        <w:rPr>
          <w:sz w:val="20"/>
          <w:szCs w:val="20"/>
          <w:color w:val="auto"/>
        </w:rPr>
      </w:pPr>
      <w:r>
        <w:rPr>
          <w:rFonts w:ascii="Times New Roman" w:cs="Times New Roman" w:eastAsia="Times New Roman" w:hAnsi="Times New Roman"/>
          <w:sz w:val="16"/>
          <w:szCs w:val="16"/>
          <w:color w:val="auto"/>
        </w:rPr>
        <w:t>•Revenue recognized includes revenue recognized during</w:t>
      </w:r>
    </w:p>
    <w:p>
      <w:pPr>
        <w:spacing w:after="0" w:line="203" w:lineRule="auto"/>
        <w:rPr>
          <w:sz w:val="20"/>
          <w:szCs w:val="20"/>
          <w:color w:val="auto"/>
        </w:rPr>
      </w:pPr>
      <w:r>
        <w:rPr>
          <w:rFonts w:ascii="Times New Roman" w:cs="Times New Roman" w:eastAsia="Times New Roman" w:hAnsi="Times New Roman"/>
          <w:sz w:val="16"/>
          <w:szCs w:val="16"/>
          <w:color w:val="auto"/>
        </w:rPr>
        <w:t>the current period that was included in the beginning</w:t>
      </w:r>
    </w:p>
    <w:p>
      <w:pPr>
        <w:spacing w:after="0" w:line="204" w:lineRule="auto"/>
        <w:rPr>
          <w:sz w:val="20"/>
          <w:szCs w:val="20"/>
          <w:color w:val="auto"/>
        </w:rPr>
      </w:pPr>
      <w:r>
        <w:rPr>
          <w:rFonts w:ascii="Times New Roman" w:cs="Times New Roman" w:eastAsia="Times New Roman" w:hAnsi="Times New Roman"/>
          <w:sz w:val="16"/>
          <w:szCs w:val="16"/>
          <w:color w:val="auto"/>
        </w:rPr>
        <w:t>balance.</w:t>
      </w:r>
    </w:p>
    <w:p>
      <w:pPr>
        <w:spacing w:after="0" w:line="204" w:lineRule="auto"/>
        <w:rPr>
          <w:sz w:val="20"/>
          <w:szCs w:val="20"/>
          <w:color w:val="auto"/>
        </w:rPr>
      </w:pPr>
      <w:r>
        <w:rPr>
          <w:rFonts w:ascii="Times New Roman" w:cs="Times New Roman" w:eastAsia="Times New Roman" w:hAnsi="Times New Roman"/>
          <w:sz w:val="16"/>
          <w:szCs w:val="16"/>
          <w:color w:val="auto"/>
        </w:rPr>
        <w:t>•Adjustments include the impact from foreign currency</w:t>
      </w:r>
    </w:p>
    <w:p>
      <w:pPr>
        <w:spacing w:after="0" w:line="203" w:lineRule="auto"/>
        <w:rPr>
          <w:sz w:val="20"/>
          <w:szCs w:val="20"/>
          <w:color w:val="auto"/>
        </w:rPr>
      </w:pPr>
      <w:r>
        <w:rPr>
          <w:rFonts w:ascii="Times New Roman" w:cs="Times New Roman" w:eastAsia="Times New Roman" w:hAnsi="Times New Roman"/>
          <w:sz w:val="16"/>
          <w:szCs w:val="16"/>
          <w:color w:val="auto"/>
        </w:rPr>
        <w:t>translation adjustments and the impact of any acquisitions</w:t>
      </w:r>
    </w:p>
    <w:p>
      <w:pPr>
        <w:spacing w:after="0" w:line="204" w:lineRule="auto"/>
        <w:rPr>
          <w:sz w:val="20"/>
          <w:szCs w:val="20"/>
          <w:color w:val="auto"/>
        </w:rPr>
      </w:pPr>
      <w:r>
        <w:rPr>
          <w:rFonts w:ascii="Times New Roman" w:cs="Times New Roman" w:eastAsia="Times New Roman" w:hAnsi="Times New Roman"/>
          <w:sz w:val="16"/>
          <w:szCs w:val="16"/>
          <w:color w:val="auto"/>
        </w:rPr>
        <w:t>or divestitures completed during the period.</w:t>
      </w:r>
    </w:p>
    <w:p>
      <w:pPr>
        <w:spacing w:after="0" w:line="203" w:lineRule="auto"/>
        <w:rPr>
          <w:sz w:val="20"/>
          <w:szCs w:val="20"/>
          <w:color w:val="auto"/>
        </w:rPr>
      </w:pPr>
      <w:r>
        <w:rPr>
          <w:rFonts w:ascii="Times New Roman" w:cs="Times New Roman" w:eastAsia="Times New Roman" w:hAnsi="Times New Roman"/>
          <w:sz w:val="16"/>
          <w:szCs w:val="16"/>
          <w:color w:val="auto"/>
        </w:rPr>
        <w:t>•Other, within our Capital Access Platforms segment,</w:t>
      </w:r>
    </w:p>
    <w:p>
      <w:pPr>
        <w:spacing w:after="0" w:line="204" w:lineRule="auto"/>
        <w:rPr>
          <w:sz w:val="20"/>
          <w:szCs w:val="20"/>
          <w:color w:val="auto"/>
        </w:rPr>
      </w:pPr>
      <w:r>
        <w:rPr>
          <w:rFonts w:ascii="Times New Roman" w:cs="Times New Roman" w:eastAsia="Times New Roman" w:hAnsi="Times New Roman"/>
          <w:sz w:val="16"/>
          <w:szCs w:val="16"/>
          <w:color w:val="auto"/>
        </w:rPr>
        <w:t>primarily includes deferred revenue from our non-U.S.</w:t>
      </w:r>
    </w:p>
    <w:p>
      <w:pPr>
        <w:spacing w:after="0" w:line="203" w:lineRule="auto"/>
        <w:rPr>
          <w:sz w:val="20"/>
          <w:szCs w:val="20"/>
          <w:color w:val="auto"/>
        </w:rPr>
      </w:pPr>
      <w:r>
        <w:rPr>
          <w:rFonts w:ascii="Times New Roman" w:cs="Times New Roman" w:eastAsia="Times New Roman" w:hAnsi="Times New Roman"/>
          <w:sz w:val="16"/>
          <w:szCs w:val="16"/>
          <w:color w:val="auto"/>
        </w:rPr>
        <w:t>listing of additional shares fees and our Index business.</w:t>
      </w:r>
    </w:p>
    <w:p>
      <w:pPr>
        <w:spacing w:after="0" w:line="204" w:lineRule="auto"/>
        <w:rPr>
          <w:sz w:val="20"/>
          <w:szCs w:val="20"/>
          <w:color w:val="auto"/>
        </w:rPr>
      </w:pPr>
      <w:r>
        <w:rPr>
          <w:rFonts w:ascii="Times New Roman" w:cs="Times New Roman" w:eastAsia="Times New Roman" w:hAnsi="Times New Roman"/>
          <w:sz w:val="16"/>
          <w:szCs w:val="16"/>
          <w:color w:val="auto"/>
        </w:rPr>
        <w:t>As of December 31, 2025, we estimate that our deferred</w:t>
      </w:r>
    </w:p>
    <w:p>
      <w:pPr>
        <w:spacing w:after="0" w:line="214" w:lineRule="auto"/>
        <w:rPr>
          <w:sz w:val="20"/>
          <w:szCs w:val="20"/>
          <w:color w:val="auto"/>
        </w:rPr>
      </w:pPr>
      <w:r>
        <w:rPr>
          <w:rFonts w:ascii="Times New Roman" w:cs="Times New Roman" w:eastAsia="Times New Roman" w:hAnsi="Times New Roman"/>
          <w:sz w:val="16"/>
          <w:szCs w:val="16"/>
          <w:color w:val="auto"/>
        </w:rPr>
        <w:t>revenue will be recognized in the following years:</w:t>
      </w:r>
    </w:p>
    <w:tbl>
      <w:tblPr>
        <w:tblLayout w:type="fixed"/>
        <w:tblInd w:w="0" w:type="dxa"/>
        <w:tblCellMar>
          <w:top w:w="0" w:type="dxa"/>
          <w:left w:w="0" w:type="dxa"/>
          <w:bottom w:w="0" w:type="dxa"/>
          <w:right w:w="0" w:type="dxa"/>
        </w:tblCellMar>
      </w:tblPr>
      <w:tr>
        <w:trPr>
          <w:trHeight w:val="119"/>
        </w:trPr>
        <w:tc>
          <w:tcPr>
            <w:tcW w:w="8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Fiscal year</w:t>
            </w:r>
          </w:p>
        </w:tc>
        <w:tc>
          <w:tcPr>
            <w:tcW w:w="260" w:type="dxa"/>
            <w:vAlign w:val="bottom"/>
            <w:gridSpan w:val="3"/>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w w:val="91"/>
              </w:rPr>
              <w:t>2026</w:t>
            </w:r>
          </w:p>
        </w:tc>
        <w:tc>
          <w:tcPr>
            <w:tcW w:w="240" w:type="dxa"/>
            <w:vAlign w:val="bottom"/>
          </w:tcPr>
          <w:p>
            <w:pPr>
              <w:spacing w:after="0"/>
              <w:rPr>
                <w:sz w:val="10"/>
                <w:szCs w:val="10"/>
                <w:color w:val="auto"/>
              </w:rPr>
            </w:pPr>
          </w:p>
        </w:tc>
        <w:tc>
          <w:tcPr>
            <w:tcW w:w="2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b w:val="1"/>
                <w:bCs w:val="1"/>
                <w:color w:val="auto"/>
                <w:w w:val="91"/>
              </w:rPr>
              <w:t>2027</w:t>
            </w:r>
          </w:p>
        </w:tc>
        <w:tc>
          <w:tcPr>
            <w:tcW w:w="160" w:type="dxa"/>
            <w:vAlign w:val="bottom"/>
          </w:tcPr>
          <w:p>
            <w:pPr>
              <w:spacing w:after="0"/>
              <w:rPr>
                <w:sz w:val="10"/>
                <w:szCs w:val="10"/>
                <w:color w:val="auto"/>
              </w:rPr>
            </w:pPr>
          </w:p>
        </w:tc>
        <w:tc>
          <w:tcPr>
            <w:tcW w:w="30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w w:val="91"/>
              </w:rPr>
              <w:t>2028</w:t>
            </w:r>
          </w:p>
        </w:tc>
        <w:tc>
          <w:tcPr>
            <w:tcW w:w="220" w:type="dxa"/>
            <w:vAlign w:val="bottom"/>
          </w:tcPr>
          <w:p>
            <w:pPr>
              <w:spacing w:after="0"/>
              <w:rPr>
                <w:sz w:val="10"/>
                <w:szCs w:val="10"/>
                <w:color w:val="auto"/>
              </w:rPr>
            </w:pPr>
          </w:p>
        </w:tc>
        <w:tc>
          <w:tcPr>
            <w:tcW w:w="2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b w:val="1"/>
                <w:bCs w:val="1"/>
                <w:color w:val="auto"/>
                <w:w w:val="91"/>
              </w:rPr>
              <w:t>2029</w:t>
            </w:r>
          </w:p>
        </w:tc>
        <w:tc>
          <w:tcPr>
            <w:tcW w:w="240" w:type="dxa"/>
            <w:vAlign w:val="bottom"/>
          </w:tcPr>
          <w:p>
            <w:pPr>
              <w:spacing w:after="0"/>
              <w:rPr>
                <w:sz w:val="10"/>
                <w:szCs w:val="10"/>
                <w:color w:val="auto"/>
              </w:rPr>
            </w:pPr>
          </w:p>
        </w:tc>
        <w:tc>
          <w:tcPr>
            <w:tcW w:w="2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b w:val="1"/>
                <w:bCs w:val="1"/>
                <w:color w:val="auto"/>
                <w:w w:val="91"/>
              </w:rPr>
              <w:t>2030</w:t>
            </w:r>
          </w:p>
        </w:tc>
        <w:tc>
          <w:tcPr>
            <w:tcW w:w="180" w:type="dxa"/>
            <w:vAlign w:val="bottom"/>
          </w:tcPr>
          <w:p>
            <w:pPr>
              <w:spacing w:after="0"/>
              <w:rPr>
                <w:sz w:val="10"/>
                <w:szCs w:val="10"/>
                <w:color w:val="auto"/>
              </w:rPr>
            </w:pPr>
          </w:p>
        </w:tc>
        <w:tc>
          <w:tcPr>
            <w:tcW w:w="38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2031+</w:t>
            </w:r>
          </w:p>
        </w:tc>
        <w:tc>
          <w:tcPr>
            <w:tcW w:w="120" w:type="dxa"/>
            <w:vAlign w:val="bottom"/>
          </w:tcPr>
          <w:p>
            <w:pPr>
              <w:spacing w:after="0"/>
              <w:rPr>
                <w:sz w:val="10"/>
                <w:szCs w:val="10"/>
                <w:color w:val="auto"/>
              </w:rPr>
            </w:pPr>
          </w:p>
        </w:tc>
        <w:tc>
          <w:tcPr>
            <w:tcW w:w="480" w:type="dxa"/>
            <w:vAlign w:val="bottom"/>
            <w:gridSpan w:val="3"/>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00"/>
        </w:trPr>
        <w:tc>
          <w:tcPr>
            <w:tcW w:w="360" w:type="dxa"/>
            <w:vAlign w:val="bottom"/>
            <w:tcBorders>
              <w:bottom w:val="single" w:sz="8" w:color="auto"/>
            </w:tcBorders>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ended:</w:t>
            </w: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08"/>
        </w:trPr>
        <w:tc>
          <w:tcPr>
            <w:tcW w:w="134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w w:val="99"/>
              </w:rPr>
              <w:t>Capital Access Platforms: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8"/>
        </w:trPr>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32"/>
        </w:trPr>
        <w:tc>
          <w:tcPr>
            <w:tcW w:w="8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Initial</w:t>
            </w:r>
          </w:p>
        </w:tc>
        <w:tc>
          <w:tcPr>
            <w:tcW w:w="12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4"/>
                <w:szCs w:val="14"/>
                <w:color w:val="auto"/>
              </w:rPr>
              <w:t>96</w:t>
            </w:r>
          </w:p>
        </w:tc>
      </w:tr>
      <w:tr>
        <w:trPr>
          <w:trHeight w:val="184"/>
        </w:trPr>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Listings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132"/>
        </w:trPr>
        <w:tc>
          <w:tcPr>
            <w:tcW w:w="84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Annual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2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34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4"/>
                <w:szCs w:val="14"/>
                <w:color w:val="auto"/>
              </w:rPr>
              <w:t>3</w:t>
            </w:r>
          </w:p>
        </w:tc>
      </w:tr>
      <w:tr>
        <w:trPr>
          <w:trHeight w:val="172"/>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Listings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2"/>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32"/>
        </w:trPr>
        <w:tc>
          <w:tcPr>
            <w:tcW w:w="8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Workflow &amp;</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4"/>
                <w:szCs w:val="14"/>
                <w:color w:val="auto"/>
              </w:rPr>
              <w:t>199</w:t>
            </w:r>
          </w:p>
        </w:tc>
      </w:tr>
      <w:tr>
        <w:trPr>
          <w:trHeight w:val="184"/>
        </w:trPr>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Insights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196"/>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13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Technology:</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132"/>
        </w:trPr>
        <w:tc>
          <w:tcPr>
            <w:tcW w:w="84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Financial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1"/>
                <w:szCs w:val="11"/>
                <w:color w:val="auto"/>
              </w:rPr>
            </w:pPr>
          </w:p>
        </w:tc>
        <w:tc>
          <w:tcPr>
            <w:tcW w:w="28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34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4"/>
                <w:szCs w:val="14"/>
                <w:color w:val="auto"/>
              </w:rPr>
              <w:t>189</w:t>
            </w:r>
          </w:p>
        </w:tc>
      </w:tr>
      <w:tr>
        <w:trPr>
          <w:trHeight w:val="108"/>
        </w:trPr>
        <w:tc>
          <w:tcPr>
            <w:tcW w:w="84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Crime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0"/>
        </w:trPr>
        <w:tc>
          <w:tcPr>
            <w:tcW w:w="84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Management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72"/>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Technology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56"/>
        </w:trPr>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32"/>
        </w:trPr>
        <w:tc>
          <w:tcPr>
            <w:tcW w:w="8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Regulatory</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4"/>
                <w:szCs w:val="14"/>
                <w:color w:val="auto"/>
              </w:rPr>
              <w:t>166</w:t>
            </w:r>
          </w:p>
        </w:tc>
      </w:tr>
      <w:tr>
        <w:trPr>
          <w:trHeight w:val="184"/>
        </w:trPr>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Technology</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132"/>
        </w:trPr>
        <w:tc>
          <w:tcPr>
            <w:tcW w:w="84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Capital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1"/>
                <w:szCs w:val="11"/>
                <w:color w:val="auto"/>
              </w:rPr>
            </w:pPr>
          </w:p>
        </w:tc>
        <w:tc>
          <w:tcPr>
            <w:tcW w:w="28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1"/>
                <w:szCs w:val="11"/>
                <w:color w:val="auto"/>
              </w:rPr>
            </w:pPr>
          </w:p>
        </w:tc>
        <w:tc>
          <w:tcPr>
            <w:tcW w:w="34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1"/>
                <w:szCs w:val="11"/>
                <w:color w:val="auto"/>
              </w:rPr>
            </w:pPr>
          </w:p>
        </w:tc>
        <w:tc>
          <w:tcPr>
            <w:tcW w:w="2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4"/>
                <w:szCs w:val="14"/>
                <w:color w:val="auto"/>
              </w:rPr>
              <w:t>196</w:t>
            </w:r>
          </w:p>
        </w:tc>
      </w:tr>
      <w:tr>
        <w:trPr>
          <w:trHeight w:val="108"/>
        </w:trPr>
        <w:tc>
          <w:tcPr>
            <w:tcW w:w="84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Markets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72"/>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Technology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56"/>
        </w:trPr>
        <w:tc>
          <w:tcPr>
            <w:tcW w:w="3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172"/>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873</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F-26</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9. DEBT OBLIGATIONS</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presents the changes in the carrying</w:t>
      </w:r>
    </w:p>
    <w:p>
      <w:pPr>
        <w:spacing w:after="0" w:line="203" w:lineRule="auto"/>
        <w:rPr>
          <w:sz w:val="20"/>
          <w:szCs w:val="20"/>
          <w:color w:val="auto"/>
        </w:rPr>
      </w:pPr>
      <w:r>
        <w:rPr>
          <w:rFonts w:ascii="Times New Roman" w:cs="Times New Roman" w:eastAsia="Times New Roman" w:hAnsi="Times New Roman"/>
          <w:sz w:val="16"/>
          <w:szCs w:val="16"/>
          <w:color w:val="auto"/>
        </w:rPr>
        <w:t>amounts of our debt obligations during the year ended</w:t>
      </w:r>
    </w:p>
    <w:p>
      <w:pPr>
        <w:spacing w:after="0" w:line="228" w:lineRule="auto"/>
        <w:rPr>
          <w:sz w:val="20"/>
          <w:szCs w:val="20"/>
          <w:color w:val="auto"/>
        </w:rPr>
      </w:pPr>
      <w:r>
        <w:rPr>
          <w:rFonts w:ascii="Times New Roman" w:cs="Times New Roman" w:eastAsia="Times New Roman" w:hAnsi="Times New Roman"/>
          <w:sz w:val="16"/>
          <w:szCs w:val="16"/>
          <w:color w:val="auto"/>
        </w:rPr>
        <w:t>December 31, 2025:</w:t>
      </w:r>
    </w:p>
    <w:tbl>
      <w:tblPr>
        <w:tblLayout w:type="fixed"/>
        <w:tblInd w:w="0" w:type="dxa"/>
        <w:tblCellMar>
          <w:top w:w="0" w:type="dxa"/>
          <w:left w:w="0" w:type="dxa"/>
          <w:bottom w:w="0" w:type="dxa"/>
          <w:right w:w="0" w:type="dxa"/>
        </w:tblCellMar>
      </w:tblPr>
      <w:tr>
        <w:trPr>
          <w:trHeight w:val="97"/>
        </w:trPr>
        <w:tc>
          <w:tcPr>
            <w:tcW w:w="1520" w:type="dxa"/>
            <w:vAlign w:val="bottom"/>
          </w:tcPr>
          <w:p>
            <w:pPr>
              <w:spacing w:after="0"/>
              <w:rPr>
                <w:sz w:val="8"/>
                <w:szCs w:val="8"/>
                <w:color w:val="auto"/>
              </w:rPr>
            </w:pPr>
          </w:p>
        </w:tc>
        <w:tc>
          <w:tcPr>
            <w:tcW w:w="72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0" w:type="dxa"/>
            <w:vAlign w:val="bottom"/>
          </w:tcPr>
          <w:p>
            <w:pPr>
              <w:spacing w:after="0"/>
              <w:rPr>
                <w:sz w:val="8"/>
                <w:szCs w:val="8"/>
                <w:color w:val="auto"/>
              </w:rPr>
            </w:pPr>
          </w:p>
        </w:tc>
        <w:tc>
          <w:tcPr>
            <w:tcW w:w="96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Payments, Foreign</w:t>
            </w:r>
          </w:p>
        </w:tc>
        <w:tc>
          <w:tcPr>
            <w:tcW w:w="20" w:type="dxa"/>
            <w:vAlign w:val="bottom"/>
          </w:tcPr>
          <w:p>
            <w:pPr>
              <w:spacing w:after="0"/>
              <w:rPr>
                <w:sz w:val="8"/>
                <w:szCs w:val="8"/>
                <w:color w:val="auto"/>
              </w:rPr>
            </w:pPr>
          </w:p>
        </w:tc>
        <w:tc>
          <w:tcPr>
            <w:tcW w:w="740" w:type="dxa"/>
            <w:vAlign w:val="bottom"/>
            <w:gridSpan w:val="2"/>
          </w:tcPr>
          <w:p>
            <w:pPr>
              <w:jc w:val="right"/>
              <w:ind w:right="28"/>
              <w:spacing w:after="0" w:line="97"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96"/>
        </w:trPr>
        <w:tc>
          <w:tcPr>
            <w:tcW w:w="1520" w:type="dxa"/>
            <w:vAlign w:val="bottom"/>
          </w:tcPr>
          <w:p>
            <w:pPr>
              <w:spacing w:after="0"/>
              <w:rPr>
                <w:sz w:val="8"/>
                <w:szCs w:val="8"/>
                <w:color w:val="auto"/>
              </w:rPr>
            </w:pPr>
          </w:p>
        </w:tc>
        <w:tc>
          <w:tcPr>
            <w:tcW w:w="300" w:type="dxa"/>
            <w:vAlign w:val="bottom"/>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400" w:type="dxa"/>
            <w:vAlign w:val="bottom"/>
          </w:tcPr>
          <w:p>
            <w:pPr>
              <w:spacing w:after="0"/>
              <w:rPr>
                <w:sz w:val="8"/>
                <w:szCs w:val="8"/>
                <w:color w:val="auto"/>
              </w:rPr>
            </w:pPr>
          </w:p>
        </w:tc>
        <w:tc>
          <w:tcPr>
            <w:tcW w:w="340" w:type="dxa"/>
            <w:vAlign w:val="bottom"/>
            <w:gridSpan w:val="2"/>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line="96" w:lineRule="exact"/>
              <w:rPr>
                <w:sz w:val="20"/>
                <w:szCs w:val="20"/>
                <w:color w:val="auto"/>
              </w:rPr>
            </w:pPr>
            <w:r>
              <w:rPr>
                <w:rFonts w:ascii="Times New Roman" w:cs="Times New Roman" w:eastAsia="Times New Roman" w:hAnsi="Times New Roman"/>
                <w:sz w:val="11"/>
                <w:szCs w:val="11"/>
                <w:b w:val="1"/>
                <w:bCs w:val="1"/>
                <w:color w:val="auto"/>
                <w:w w:val="98"/>
              </w:rPr>
              <w:t>Translation</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and Accretion</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Short-term debt:</w:t>
            </w:r>
          </w:p>
        </w:tc>
        <w:tc>
          <w:tcPr>
            <w:tcW w:w="7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 Notes</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w:t>
            </w: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2026 Notes</w:t>
            </w:r>
          </w:p>
        </w:tc>
        <w:tc>
          <w:tcPr>
            <w:tcW w:w="30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499</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40"/>
        </w:trPr>
        <w:tc>
          <w:tcPr>
            <w:tcW w:w="1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short-term debt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898</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8"/>
        </w:trPr>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4"/>
          <w:szCs w:val="14"/>
          <w:b w:val="1"/>
          <w:bCs w:val="1"/>
          <w:color w:val="auto"/>
        </w:rPr>
        <w:t>Long-term debt - senior unsecured notes: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2028</w:t>
            </w: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935</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793</w:t>
            </w: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2029</w:t>
            </w: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618</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702</w:t>
            </w:r>
          </w:p>
        </w:tc>
      </w:tr>
      <w:tr>
        <w:trPr>
          <w:trHeight w:val="40"/>
        </w:trPr>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8"/>
        </w:trPr>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2030</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617</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702</w:t>
            </w: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2031</w:t>
            </w: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646</w:t>
            </w:r>
          </w:p>
        </w:tc>
      </w:tr>
      <w:tr>
        <w:trPr>
          <w:trHeight w:val="40"/>
        </w:trPr>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8"/>
        </w:trPr>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2032</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769</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874</w:t>
            </w: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2033</w:t>
            </w: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633</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w:t>
            </w:r>
          </w:p>
        </w:tc>
      </w:tr>
      <w:tr>
        <w:trPr>
          <w:trHeight w:val="40"/>
        </w:trPr>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8"/>
        </w:trPr>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2034</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1,220</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1,122</w:t>
            </w: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2040</w:t>
            </w: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644</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r>
      <w:tr>
        <w:trPr>
          <w:trHeight w:val="40"/>
        </w:trPr>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8"/>
        </w:trPr>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2050</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487</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488</w:t>
            </w: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2052</w:t>
            </w: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r>
      <w:tr>
        <w:trPr>
          <w:trHeight w:val="40"/>
        </w:trPr>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8"/>
        </w:trPr>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2053</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738</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739</w:t>
            </w:r>
          </w:p>
        </w:tc>
      </w:tr>
      <w:tr>
        <w:trPr>
          <w:trHeight w:val="18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2063 Notes</w:t>
            </w:r>
          </w:p>
        </w:tc>
        <w:tc>
          <w:tcPr>
            <w:tcW w:w="1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738</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738</w:t>
            </w:r>
          </w:p>
        </w:tc>
      </w:tr>
      <w:tr>
        <w:trPr>
          <w:trHeight w:val="40"/>
        </w:trPr>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32"/>
        </w:trPr>
        <w:tc>
          <w:tcPr>
            <w:tcW w:w="3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w w:val="99"/>
              </w:rPr>
              <w:t>2022</w:t>
            </w:r>
          </w:p>
        </w:tc>
        <w:tc>
          <w:tcPr>
            <w:tcW w:w="122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Revolving Credit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(2)</w:t>
            </w:r>
          </w:p>
        </w:tc>
      </w:tr>
      <w:tr>
        <w:trPr>
          <w:trHeight w:val="240"/>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Facility</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180"/>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8,582</w:t>
            </w:r>
          </w:p>
        </w:tc>
        <w:tc>
          <w:tcPr>
            <w:tcW w:w="4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8,573</w:t>
            </w:r>
          </w:p>
        </w:tc>
      </w:tr>
      <w:tr>
        <w:trPr>
          <w:trHeight w:val="28"/>
        </w:trPr>
        <w:tc>
          <w:tcPr>
            <w:tcW w:w="1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8"/>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debt obligations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9,480</w:t>
            </w: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9,004</w:t>
            </w:r>
          </w:p>
        </w:tc>
      </w:tr>
    </w:tbl>
    <w:p>
      <w:pPr>
        <w:spacing w:after="0" w:line="1" w:lineRule="exact"/>
        <w:rPr>
          <w:sz w:val="20"/>
          <w:szCs w:val="20"/>
          <w:color w:val="auto"/>
        </w:rPr>
      </w:pPr>
    </w:p>
    <w:p>
      <w:pPr>
        <w:sectPr>
          <w:pgSz w:w="11900" w:h="16840" w:orient="portrait"/>
          <w:cols w:equalWidth="0" w:num="1">
            <w:col w:w="9400"/>
          </w:cols>
          <w:pgMar w:left="1060" w:top="563" w:right="1440" w:bottom="115" w:gutter="0" w:footer="0" w:header="0"/>
        </w:sectPr>
      </w:pPr>
    </w:p>
    <w:p>
      <w:pPr>
        <w:spacing w:after="0"/>
        <w:rPr>
          <w:sz w:val="20"/>
          <w:szCs w:val="20"/>
          <w:color w:val="auto"/>
        </w:rPr>
      </w:pPr>
      <w:r>
        <w:rPr>
          <w:rFonts w:ascii="Times New Roman" w:cs="Times New Roman" w:eastAsia="Times New Roman" w:hAnsi="Times New Roman"/>
          <w:sz w:val="14"/>
          <w:szCs w:val="14"/>
          <w:color w:val="auto"/>
        </w:rPr>
        <w:t>In the table above, the 2026 Notes were reclassified to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-93980</wp:posOffset>
            </wp:positionV>
            <wp:extent cx="157797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term debt as of December 31, 2025, including the balance as</w:t>
      </w:r>
    </w:p>
    <w:p>
      <w:pPr>
        <w:sectPr>
          <w:pgSz w:w="11900" w:h="16840" w:orient="portrait"/>
          <w:cols w:equalWidth="0" w:num="1">
            <w:col w:w="9400"/>
          </w:cols>
          <w:pgMar w:left="1060" w:top="563" w:right="1440" w:bottom="115" w:gutter="0" w:footer="0" w:header="0"/>
          <w:type w:val="continuous"/>
        </w:sectPr>
      </w:pPr>
    </w:p>
    <w:bookmarkStart w:id="77" w:name="page78"/>
    <w:bookmarkEnd w:id="77"/>
    <w:p>
      <w:pPr>
        <w:ind w:left="10"/>
        <w:spacing w:after="0"/>
        <w:rPr>
          <w:sz w:val="20"/>
          <w:szCs w:val="20"/>
          <w:color w:val="auto"/>
        </w:rPr>
      </w:pPr>
      <w:r>
        <w:rPr>
          <w:rFonts w:ascii="Times New Roman" w:cs="Times New Roman" w:eastAsia="Times New Roman" w:hAnsi="Times New Roman"/>
          <w:sz w:val="16"/>
          <w:szCs w:val="16"/>
          <w:color w:val="auto"/>
        </w:rPr>
        <w:t>of December 31, 2024, for presentation purposes. Refer to</w:t>
      </w:r>
    </w:p>
    <w:p>
      <w:pPr>
        <w:ind w:left="10"/>
        <w:spacing w:after="0" w:line="203" w:lineRule="auto"/>
        <w:rPr>
          <w:sz w:val="20"/>
          <w:szCs w:val="20"/>
          <w:color w:val="auto"/>
        </w:rPr>
      </w:pPr>
      <w:r>
        <w:rPr>
          <w:rFonts w:ascii="Times New Roman" w:cs="Times New Roman" w:eastAsia="Times New Roman" w:hAnsi="Times New Roman"/>
          <w:sz w:val="16"/>
          <w:szCs w:val="16"/>
          <w:color w:val="auto"/>
        </w:rPr>
        <w:t>“About this Form 10-K” for further details about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aggregate principal amounts issued, coupon rates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maturities of the senior unsecured notes in the table above.</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Senior Unsecured Notes</w:t>
      </w:r>
    </w:p>
    <w:p>
      <w:pPr>
        <w:ind w:left="10"/>
        <w:spacing w:after="0" w:line="203" w:lineRule="auto"/>
        <w:rPr>
          <w:sz w:val="20"/>
          <w:szCs w:val="20"/>
          <w:color w:val="auto"/>
        </w:rPr>
      </w:pPr>
      <w:r>
        <w:rPr>
          <w:rFonts w:ascii="Times New Roman" w:cs="Times New Roman" w:eastAsia="Times New Roman" w:hAnsi="Times New Roman"/>
          <w:sz w:val="16"/>
          <w:szCs w:val="16"/>
          <w:color w:val="auto"/>
        </w:rPr>
        <w:t>Our 2040 Notes were issued at par. All of our other</w:t>
      </w:r>
    </w:p>
    <w:p>
      <w:pPr>
        <w:ind w:left="10"/>
        <w:spacing w:after="0" w:line="233" w:lineRule="auto"/>
        <w:rPr>
          <w:sz w:val="20"/>
          <w:szCs w:val="20"/>
          <w:color w:val="auto"/>
        </w:rPr>
      </w:pPr>
      <w:r>
        <w:rPr>
          <w:rFonts w:ascii="Times New Roman" w:cs="Times New Roman" w:eastAsia="Times New Roman" w:hAnsi="Times New Roman"/>
          <w:sz w:val="14"/>
          <w:szCs w:val="14"/>
          <w:color w:val="auto"/>
        </w:rPr>
        <w:t>outstanding senior unsecured notes were issued at a discount.</w:t>
      </w:r>
    </w:p>
    <w:p>
      <w:pPr>
        <w:ind w:left="10"/>
        <w:spacing w:after="0" w:line="203" w:lineRule="auto"/>
        <w:rPr>
          <w:sz w:val="20"/>
          <w:szCs w:val="20"/>
          <w:color w:val="auto"/>
        </w:rPr>
      </w:pPr>
      <w:r>
        <w:rPr>
          <w:rFonts w:ascii="Times New Roman" w:cs="Times New Roman" w:eastAsia="Times New Roman" w:hAnsi="Times New Roman"/>
          <w:sz w:val="16"/>
          <w:szCs w:val="16"/>
          <w:color w:val="auto"/>
        </w:rPr>
        <w:t>As a result of the discount, the proceeds received from each</w:t>
      </w:r>
    </w:p>
    <w:p>
      <w:pPr>
        <w:ind w:left="10"/>
        <w:spacing w:after="0" w:line="233" w:lineRule="auto"/>
        <w:rPr>
          <w:sz w:val="20"/>
          <w:szCs w:val="20"/>
          <w:color w:val="auto"/>
        </w:rPr>
      </w:pPr>
      <w:r>
        <w:rPr>
          <w:rFonts w:ascii="Times New Roman" w:cs="Times New Roman" w:eastAsia="Times New Roman" w:hAnsi="Times New Roman"/>
          <w:sz w:val="14"/>
          <w:szCs w:val="14"/>
          <w:color w:val="auto"/>
        </w:rPr>
        <w:t>issuance were less than the aggregate principal amount. As of</w:t>
      </w:r>
    </w:p>
    <w:p>
      <w:pPr>
        <w:ind w:left="10"/>
        <w:spacing w:after="0" w:line="204" w:lineRule="auto"/>
        <w:rPr>
          <w:sz w:val="20"/>
          <w:szCs w:val="20"/>
          <w:color w:val="auto"/>
        </w:rPr>
      </w:pPr>
      <w:r>
        <w:rPr>
          <w:rFonts w:ascii="Times New Roman" w:cs="Times New Roman" w:eastAsia="Times New Roman" w:hAnsi="Times New Roman"/>
          <w:sz w:val="16"/>
          <w:szCs w:val="16"/>
          <w:color w:val="auto"/>
        </w:rPr>
        <w:t>December 31, 2025, the amounts in the table above reflect</w:t>
      </w:r>
    </w:p>
    <w:p>
      <w:pPr>
        <w:ind w:left="10"/>
        <w:spacing w:after="0" w:line="232" w:lineRule="auto"/>
        <w:rPr>
          <w:sz w:val="20"/>
          <w:szCs w:val="20"/>
          <w:color w:val="auto"/>
        </w:rPr>
      </w:pPr>
      <w:r>
        <w:rPr>
          <w:rFonts w:ascii="Times New Roman" w:cs="Times New Roman" w:eastAsia="Times New Roman" w:hAnsi="Times New Roman"/>
          <w:sz w:val="14"/>
          <w:szCs w:val="14"/>
          <w:color w:val="auto"/>
        </w:rPr>
        <w:t>the aggregate principal amount, which is net of discount and</w:t>
      </w:r>
    </w:p>
    <w:p>
      <w:pPr>
        <w:ind w:left="10"/>
        <w:spacing w:after="0" w:line="233" w:lineRule="auto"/>
        <w:rPr>
          <w:sz w:val="20"/>
          <w:szCs w:val="20"/>
          <w:color w:val="auto"/>
        </w:rPr>
      </w:pPr>
      <w:r>
        <w:rPr>
          <w:rFonts w:ascii="Times New Roman" w:cs="Times New Roman" w:eastAsia="Times New Roman" w:hAnsi="Times New Roman"/>
          <w:sz w:val="14"/>
          <w:szCs w:val="14"/>
          <w:color w:val="auto"/>
        </w:rPr>
        <w:t>debt issuance costs, which are being accreted and amortized</w:t>
      </w:r>
    </w:p>
    <w:p>
      <w:pPr>
        <w:ind w:left="10"/>
        <w:spacing w:after="0" w:line="233" w:lineRule="auto"/>
        <w:rPr>
          <w:sz w:val="20"/>
          <w:szCs w:val="20"/>
          <w:color w:val="auto"/>
        </w:rPr>
      </w:pPr>
      <w:r>
        <w:rPr>
          <w:rFonts w:ascii="Times New Roman" w:cs="Times New Roman" w:eastAsia="Times New Roman" w:hAnsi="Times New Roman"/>
          <w:sz w:val="14"/>
          <w:szCs w:val="14"/>
          <w:color w:val="auto"/>
        </w:rPr>
        <w:t>through interest expense over the life of the applicable notes.</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accretion of the discount and amortization of the debt</w:t>
      </w:r>
    </w:p>
    <w:p>
      <w:pPr>
        <w:ind w:left="10"/>
        <w:spacing w:after="0" w:line="233" w:lineRule="auto"/>
        <w:rPr>
          <w:sz w:val="20"/>
          <w:szCs w:val="20"/>
          <w:color w:val="auto"/>
        </w:rPr>
      </w:pPr>
      <w:r>
        <w:rPr>
          <w:rFonts w:ascii="Times New Roman" w:cs="Times New Roman" w:eastAsia="Times New Roman" w:hAnsi="Times New Roman"/>
          <w:sz w:val="14"/>
          <w:szCs w:val="14"/>
          <w:color w:val="auto"/>
        </w:rPr>
        <w:t>issuance costs was $11 million for the year ended December</w:t>
      </w:r>
    </w:p>
    <w:p>
      <w:pPr>
        <w:ind w:left="10"/>
        <w:spacing w:after="0" w:line="203" w:lineRule="auto"/>
        <w:rPr>
          <w:sz w:val="20"/>
          <w:szCs w:val="20"/>
          <w:color w:val="auto"/>
        </w:rPr>
      </w:pPr>
      <w:r>
        <w:rPr>
          <w:rFonts w:ascii="Times New Roman" w:cs="Times New Roman" w:eastAsia="Times New Roman" w:hAnsi="Times New Roman"/>
          <w:sz w:val="16"/>
          <w:szCs w:val="16"/>
          <w:color w:val="auto"/>
        </w:rPr>
        <w:t>31, 2025. Our Euro Notes are adjusted for the impact of</w:t>
      </w:r>
    </w:p>
    <w:p>
      <w:pPr>
        <w:ind w:left="10"/>
        <w:spacing w:after="0" w:line="204" w:lineRule="auto"/>
        <w:rPr>
          <w:sz w:val="20"/>
          <w:szCs w:val="20"/>
          <w:color w:val="auto"/>
        </w:rPr>
      </w:pPr>
      <w:r>
        <w:rPr>
          <w:rFonts w:ascii="Times New Roman" w:cs="Times New Roman" w:eastAsia="Times New Roman" w:hAnsi="Times New Roman"/>
          <w:sz w:val="16"/>
          <w:szCs w:val="16"/>
          <w:color w:val="auto"/>
        </w:rPr>
        <w:t>foreign currency translation. Our senior unsecured notes are</w:t>
      </w:r>
    </w:p>
    <w:p>
      <w:pPr>
        <w:ind w:left="10"/>
        <w:spacing w:after="0" w:line="233" w:lineRule="auto"/>
        <w:rPr>
          <w:sz w:val="20"/>
          <w:szCs w:val="20"/>
          <w:color w:val="auto"/>
        </w:rPr>
      </w:pPr>
      <w:r>
        <w:rPr>
          <w:rFonts w:ascii="Times New Roman" w:cs="Times New Roman" w:eastAsia="Times New Roman" w:hAnsi="Times New Roman"/>
          <w:sz w:val="14"/>
          <w:szCs w:val="14"/>
          <w:color w:val="auto"/>
        </w:rPr>
        <w:t>general unsecured obligations which rank equally with all of</w:t>
      </w:r>
    </w:p>
    <w:p>
      <w:pPr>
        <w:ind w:left="10"/>
        <w:spacing w:after="0" w:line="203" w:lineRule="auto"/>
        <w:rPr>
          <w:sz w:val="20"/>
          <w:szCs w:val="20"/>
          <w:color w:val="auto"/>
        </w:rPr>
      </w:pPr>
      <w:r>
        <w:rPr>
          <w:rFonts w:ascii="Times New Roman" w:cs="Times New Roman" w:eastAsia="Times New Roman" w:hAnsi="Times New Roman"/>
          <w:sz w:val="16"/>
          <w:szCs w:val="16"/>
          <w:color w:val="auto"/>
        </w:rPr>
        <w:t>our existing and future unsubordinated obligations and are</w:t>
      </w:r>
    </w:p>
    <w:p>
      <w:pPr>
        <w:ind w:left="10"/>
        <w:spacing w:after="0" w:line="204" w:lineRule="auto"/>
        <w:rPr>
          <w:sz w:val="20"/>
          <w:szCs w:val="20"/>
          <w:color w:val="auto"/>
        </w:rPr>
      </w:pPr>
      <w:r>
        <w:rPr>
          <w:rFonts w:ascii="Times New Roman" w:cs="Times New Roman" w:eastAsia="Times New Roman" w:hAnsi="Times New Roman"/>
          <w:sz w:val="16"/>
          <w:szCs w:val="16"/>
          <w:color w:val="auto"/>
        </w:rPr>
        <w:t>not guaranteed by any of our subsidiaries. The senior</w:t>
      </w:r>
    </w:p>
    <w:p>
      <w:pPr>
        <w:ind w:left="10"/>
        <w:spacing w:after="0" w:line="203" w:lineRule="auto"/>
        <w:rPr>
          <w:sz w:val="20"/>
          <w:szCs w:val="20"/>
          <w:color w:val="auto"/>
        </w:rPr>
      </w:pPr>
      <w:r>
        <w:rPr>
          <w:rFonts w:ascii="Times New Roman" w:cs="Times New Roman" w:eastAsia="Times New Roman" w:hAnsi="Times New Roman"/>
          <w:sz w:val="16"/>
          <w:szCs w:val="16"/>
          <w:color w:val="auto"/>
        </w:rPr>
        <w:t>unsecured notes were issued under indentures that, among</w:t>
      </w:r>
    </w:p>
    <w:p>
      <w:pPr>
        <w:ind w:left="10"/>
        <w:spacing w:after="0" w:line="233" w:lineRule="auto"/>
        <w:rPr>
          <w:sz w:val="20"/>
          <w:szCs w:val="20"/>
          <w:color w:val="auto"/>
        </w:rPr>
      </w:pPr>
      <w:r>
        <w:rPr>
          <w:rFonts w:ascii="Times New Roman" w:cs="Times New Roman" w:eastAsia="Times New Roman" w:hAnsi="Times New Roman"/>
          <w:sz w:val="14"/>
          <w:szCs w:val="14"/>
          <w:color w:val="auto"/>
        </w:rPr>
        <w:t>other things, limit our ability to consolidate, merge or sell all</w:t>
      </w:r>
    </w:p>
    <w:p>
      <w:pPr>
        <w:ind w:left="10"/>
        <w:spacing w:after="0" w:line="204" w:lineRule="auto"/>
        <w:rPr>
          <w:sz w:val="20"/>
          <w:szCs w:val="20"/>
          <w:color w:val="auto"/>
        </w:rPr>
      </w:pPr>
      <w:r>
        <w:rPr>
          <w:rFonts w:ascii="Times New Roman" w:cs="Times New Roman" w:eastAsia="Times New Roman" w:hAnsi="Times New Roman"/>
          <w:sz w:val="16"/>
          <w:szCs w:val="16"/>
          <w:color w:val="auto"/>
        </w:rPr>
        <w:t>or substantially all of our assets, create liens, and enter into</w:t>
      </w:r>
    </w:p>
    <w:p>
      <w:pPr>
        <w:ind w:left="10"/>
        <w:spacing w:after="0" w:line="203" w:lineRule="auto"/>
        <w:rPr>
          <w:sz w:val="20"/>
          <w:szCs w:val="20"/>
          <w:color w:val="auto"/>
        </w:rPr>
      </w:pPr>
      <w:r>
        <w:rPr>
          <w:rFonts w:ascii="Times New Roman" w:cs="Times New Roman" w:eastAsia="Times New Roman" w:hAnsi="Times New Roman"/>
          <w:sz w:val="16"/>
          <w:szCs w:val="16"/>
          <w:color w:val="auto"/>
        </w:rPr>
        <w:t>sale and leaseback transactions. The senior unsecured notes</w:t>
      </w:r>
    </w:p>
    <w:p>
      <w:pPr>
        <w:ind w:left="10"/>
        <w:spacing w:after="0" w:line="233" w:lineRule="auto"/>
        <w:rPr>
          <w:sz w:val="20"/>
          <w:szCs w:val="20"/>
          <w:color w:val="auto"/>
        </w:rPr>
      </w:pPr>
      <w:r>
        <w:rPr>
          <w:rFonts w:ascii="Times New Roman" w:cs="Times New Roman" w:eastAsia="Times New Roman" w:hAnsi="Times New Roman"/>
          <w:sz w:val="14"/>
          <w:szCs w:val="14"/>
          <w:color w:val="auto"/>
        </w:rPr>
        <w:t>may be redeemed by Nasdaq at any time, subject to a make-</w:t>
      </w:r>
    </w:p>
    <w:p>
      <w:pPr>
        <w:ind w:left="10"/>
        <w:spacing w:after="0" w:line="203" w:lineRule="auto"/>
        <w:rPr>
          <w:sz w:val="20"/>
          <w:szCs w:val="20"/>
          <w:color w:val="auto"/>
        </w:rPr>
      </w:pPr>
      <w:r>
        <w:rPr>
          <w:rFonts w:ascii="Times New Roman" w:cs="Times New Roman" w:eastAsia="Times New Roman" w:hAnsi="Times New Roman"/>
          <w:sz w:val="16"/>
          <w:szCs w:val="16"/>
          <w:color w:val="auto"/>
        </w:rPr>
        <w:t>whole amount.</w:t>
      </w:r>
    </w:p>
    <w:p>
      <w:pPr>
        <w:ind w:left="10"/>
        <w:spacing w:after="0" w:line="204" w:lineRule="auto"/>
        <w:rPr>
          <w:sz w:val="20"/>
          <w:szCs w:val="20"/>
          <w:color w:val="auto"/>
        </w:rPr>
      </w:pPr>
      <w:r>
        <w:rPr>
          <w:rFonts w:ascii="Times New Roman" w:cs="Times New Roman" w:eastAsia="Times New Roman" w:hAnsi="Times New Roman"/>
          <w:sz w:val="16"/>
          <w:szCs w:val="16"/>
          <w:color w:val="auto"/>
        </w:rPr>
        <w:t>During 2025, we paid $426 million, excluding accrued</w:t>
      </w:r>
    </w:p>
    <w:p>
      <w:pPr>
        <w:ind w:left="10"/>
        <w:spacing w:after="0" w:line="203" w:lineRule="auto"/>
        <w:rPr>
          <w:sz w:val="20"/>
          <w:szCs w:val="20"/>
          <w:color w:val="auto"/>
        </w:rPr>
      </w:pPr>
      <w:r>
        <w:rPr>
          <w:rFonts w:ascii="Times New Roman" w:cs="Times New Roman" w:eastAsia="Times New Roman" w:hAnsi="Times New Roman"/>
          <w:sz w:val="16"/>
          <w:szCs w:val="16"/>
          <w:color w:val="auto"/>
        </w:rPr>
        <w:t>interest, to repurchase an aggregate book value of</w:t>
      </w:r>
    </w:p>
    <w:p>
      <w:pPr>
        <w:ind w:left="10"/>
        <w:spacing w:after="0" w:line="233" w:lineRule="auto"/>
        <w:rPr>
          <w:sz w:val="20"/>
          <w:szCs w:val="20"/>
          <w:color w:val="auto"/>
        </w:rPr>
      </w:pPr>
      <w:r>
        <w:rPr>
          <w:rFonts w:ascii="Times New Roman" w:cs="Times New Roman" w:eastAsia="Times New Roman" w:hAnsi="Times New Roman"/>
          <w:sz w:val="14"/>
          <w:szCs w:val="14"/>
          <w:color w:val="auto"/>
        </w:rPr>
        <w:t>$444 million of our 2026 Notes, 2028 Notes, 2034 Notes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2052 Notes. In the table above, these amounts were slightly</w:t>
      </w:r>
    </w:p>
    <w:p>
      <w:pPr>
        <w:ind w:left="10"/>
        <w:spacing w:after="0" w:line="232" w:lineRule="auto"/>
        <w:rPr>
          <w:sz w:val="20"/>
          <w:szCs w:val="20"/>
          <w:color w:val="auto"/>
        </w:rPr>
      </w:pPr>
      <w:r>
        <w:rPr>
          <w:rFonts w:ascii="Times New Roman" w:cs="Times New Roman" w:eastAsia="Times New Roman" w:hAnsi="Times New Roman"/>
          <w:sz w:val="14"/>
          <w:szCs w:val="14"/>
          <w:color w:val="auto"/>
        </w:rPr>
        <w:t>offset by accretion of discount and debt issuance costs on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notes of $2 million. As a result of the partial repayments of</w:t>
      </w:r>
    </w:p>
    <w:p>
      <w:pPr>
        <w:ind w:left="10"/>
        <w:spacing w:after="0" w:line="232" w:lineRule="auto"/>
        <w:rPr>
          <w:sz w:val="20"/>
          <w:szCs w:val="20"/>
          <w:color w:val="auto"/>
        </w:rPr>
      </w:pPr>
      <w:r>
        <w:rPr>
          <w:rFonts w:ascii="Times New Roman" w:cs="Times New Roman" w:eastAsia="Times New Roman" w:hAnsi="Times New Roman"/>
          <w:sz w:val="14"/>
          <w:szCs w:val="14"/>
          <w:color w:val="auto"/>
        </w:rPr>
        <w:t>these notes, we recorded a net pre-tax gain of $18 million, in</w:t>
      </w:r>
    </w:p>
    <w:p>
      <w:pPr>
        <w:ind w:left="10"/>
        <w:spacing w:after="0" w:line="233" w:lineRule="auto"/>
        <w:rPr>
          <w:sz w:val="20"/>
          <w:szCs w:val="20"/>
          <w:color w:val="auto"/>
        </w:rPr>
      </w:pPr>
      <w:r>
        <w:rPr>
          <w:rFonts w:ascii="Times New Roman" w:cs="Times New Roman" w:eastAsia="Times New Roman" w:hAnsi="Times New Roman"/>
          <w:sz w:val="14"/>
          <w:szCs w:val="14"/>
          <w:color w:val="auto"/>
        </w:rPr>
        <w:t>general, administrative and other expense in the Consolidated</w:t>
      </w:r>
    </w:p>
    <w:p>
      <w:pPr>
        <w:ind w:left="10"/>
        <w:spacing w:after="0" w:line="204" w:lineRule="auto"/>
        <w:rPr>
          <w:sz w:val="20"/>
          <w:szCs w:val="20"/>
          <w:color w:val="auto"/>
        </w:rPr>
      </w:pPr>
      <w:r>
        <w:rPr>
          <w:rFonts w:ascii="Times New Roman" w:cs="Times New Roman" w:eastAsia="Times New Roman" w:hAnsi="Times New Roman"/>
          <w:sz w:val="16"/>
          <w:szCs w:val="16"/>
          <w:color w:val="auto"/>
        </w:rPr>
        <w:t>Statements of Income.</w:t>
      </w:r>
    </w:p>
    <w:p>
      <w:pPr>
        <w:ind w:left="10"/>
        <w:spacing w:after="0" w:line="203" w:lineRule="auto"/>
        <w:rPr>
          <w:sz w:val="20"/>
          <w:szCs w:val="20"/>
          <w:color w:val="auto"/>
        </w:rPr>
      </w:pPr>
      <w:r>
        <w:rPr>
          <w:rFonts w:ascii="Times New Roman" w:cs="Times New Roman" w:eastAsia="Times New Roman" w:hAnsi="Times New Roman"/>
          <w:sz w:val="16"/>
          <w:szCs w:val="16"/>
          <w:color w:val="auto"/>
        </w:rPr>
        <w:t>We also repaid in full the 2025 Notes at maturity for an</w:t>
      </w:r>
    </w:p>
    <w:p>
      <w:pPr>
        <w:ind w:left="10"/>
        <w:spacing w:after="0" w:line="204" w:lineRule="auto"/>
        <w:rPr>
          <w:sz w:val="20"/>
          <w:szCs w:val="20"/>
          <w:color w:val="auto"/>
        </w:rPr>
      </w:pPr>
      <w:r>
        <w:rPr>
          <w:rFonts w:ascii="Times New Roman" w:cs="Times New Roman" w:eastAsia="Times New Roman" w:hAnsi="Times New Roman"/>
          <w:sz w:val="16"/>
          <w:szCs w:val="16"/>
          <w:color w:val="auto"/>
        </w:rPr>
        <w:t>aggregate of $400 million. In the table above, $399 million</w:t>
      </w:r>
    </w:p>
    <w:p>
      <w:pPr>
        <w:ind w:left="10"/>
        <w:spacing w:after="0" w:line="203" w:lineRule="auto"/>
        <w:rPr>
          <w:sz w:val="20"/>
          <w:szCs w:val="20"/>
          <w:color w:val="auto"/>
        </w:rPr>
      </w:pPr>
      <w:r>
        <w:rPr>
          <w:rFonts w:ascii="Times New Roman" w:cs="Times New Roman" w:eastAsia="Times New Roman" w:hAnsi="Times New Roman"/>
          <w:sz w:val="16"/>
          <w:szCs w:val="16"/>
          <w:color w:val="auto"/>
        </w:rPr>
        <w:t>reflects the repayment of $400 million net of $1 million of</w:t>
      </w:r>
    </w:p>
    <w:p>
      <w:pPr>
        <w:ind w:left="10"/>
        <w:spacing w:after="0" w:line="204" w:lineRule="auto"/>
        <w:rPr>
          <w:sz w:val="20"/>
          <w:szCs w:val="20"/>
          <w:color w:val="auto"/>
        </w:rPr>
      </w:pPr>
      <w:r>
        <w:rPr>
          <w:rFonts w:ascii="Times New Roman" w:cs="Times New Roman" w:eastAsia="Times New Roman" w:hAnsi="Times New Roman"/>
          <w:sz w:val="16"/>
          <w:szCs w:val="16"/>
          <w:color w:val="auto"/>
        </w:rPr>
        <w:t>accretion recorded for the year ended December 31, 2025.</w:t>
      </w:r>
    </w:p>
    <w:p>
      <w:pPr>
        <w:ind w:left="10"/>
        <w:spacing w:after="0" w:line="203" w:lineRule="auto"/>
        <w:rPr>
          <w:sz w:val="20"/>
          <w:szCs w:val="20"/>
          <w:color w:val="auto"/>
        </w:rPr>
      </w:pPr>
      <w:r>
        <w:rPr>
          <w:rFonts w:ascii="Times New Roman" w:cs="Times New Roman" w:eastAsia="Times New Roman" w:hAnsi="Times New Roman"/>
          <w:sz w:val="16"/>
          <w:szCs w:val="16"/>
          <w:color w:val="auto"/>
        </w:rPr>
        <w:t>Upon a change of control triggering event (as defined in the</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various supplemental indentures governing the applicable</w:t>
      </w:r>
    </w:p>
    <w:p>
      <w:pPr>
        <w:ind w:left="10"/>
        <w:spacing w:after="0" w:line="214" w:lineRule="auto"/>
        <w:rPr>
          <w:sz w:val="20"/>
          <w:szCs w:val="20"/>
          <w:color w:val="auto"/>
        </w:rPr>
      </w:pPr>
      <w:r>
        <w:rPr>
          <w:rFonts w:ascii="Times New Roman" w:cs="Times New Roman" w:eastAsia="Times New Roman" w:hAnsi="Times New Roman"/>
          <w:sz w:val="16"/>
          <w:szCs w:val="16"/>
          <w:color w:val="auto"/>
        </w:rPr>
        <w:t>F-27</w:t>
      </w:r>
    </w:p>
    <w:p>
      <w:pPr>
        <w:ind w:left="10"/>
        <w:spacing w:after="0" w:line="232" w:lineRule="auto"/>
        <w:rPr>
          <w:sz w:val="20"/>
          <w:szCs w:val="20"/>
          <w:color w:val="auto"/>
        </w:rPr>
      </w:pPr>
      <w:r>
        <w:rPr>
          <w:rFonts w:ascii="Times New Roman" w:cs="Times New Roman" w:eastAsia="Times New Roman" w:hAnsi="Times New Roman"/>
          <w:sz w:val="14"/>
          <w:szCs w:val="14"/>
          <w:color w:val="auto"/>
        </w:rPr>
        <w:t>Borrowings under the revolving credit facility and swingline</w:t>
      </w:r>
    </w:p>
    <w:p>
      <w:pPr>
        <w:ind w:left="10"/>
        <w:spacing w:after="0" w:line="233" w:lineRule="auto"/>
        <w:rPr>
          <w:sz w:val="20"/>
          <w:szCs w:val="20"/>
          <w:color w:val="auto"/>
        </w:rPr>
      </w:pPr>
      <w:r>
        <w:rPr>
          <w:rFonts w:ascii="Times New Roman" w:cs="Times New Roman" w:eastAsia="Times New Roman" w:hAnsi="Times New Roman"/>
          <w:sz w:val="14"/>
          <w:szCs w:val="14"/>
          <w:color w:val="auto"/>
        </w:rPr>
        <w:t>borrowings bear interest on the principal amount outstanding</w:t>
      </w:r>
    </w:p>
    <w:p>
      <w:pPr>
        <w:ind w:left="10"/>
        <w:spacing w:after="0" w:line="203" w:lineRule="auto"/>
        <w:rPr>
          <w:sz w:val="20"/>
          <w:szCs w:val="20"/>
          <w:color w:val="auto"/>
        </w:rPr>
      </w:pPr>
      <w:r>
        <w:rPr>
          <w:rFonts w:ascii="Times New Roman" w:cs="Times New Roman" w:eastAsia="Times New Roman" w:hAnsi="Times New Roman"/>
          <w:sz w:val="16"/>
          <w:szCs w:val="16"/>
          <w:color w:val="auto"/>
        </w:rPr>
        <w:t>at a variable interest rate based on either the SOFR (or a</w:t>
      </w:r>
    </w:p>
    <w:p>
      <w:pPr>
        <w:ind w:left="10"/>
        <w:spacing w:after="0" w:line="233" w:lineRule="auto"/>
        <w:rPr>
          <w:sz w:val="20"/>
          <w:szCs w:val="20"/>
          <w:color w:val="auto"/>
        </w:rPr>
      </w:pPr>
      <w:r>
        <w:rPr>
          <w:rFonts w:ascii="Times New Roman" w:cs="Times New Roman" w:eastAsia="Times New Roman" w:hAnsi="Times New Roman"/>
          <w:sz w:val="14"/>
          <w:szCs w:val="14"/>
          <w:color w:val="auto"/>
        </w:rPr>
        <w:t>successor rate to SOFR), the base rate (as defined in the 2022</w:t>
      </w:r>
    </w:p>
    <w:p>
      <w:pPr>
        <w:ind w:left="10"/>
        <w:spacing w:after="0" w:line="233" w:lineRule="auto"/>
        <w:rPr>
          <w:sz w:val="20"/>
          <w:szCs w:val="20"/>
          <w:color w:val="auto"/>
        </w:rPr>
      </w:pPr>
      <w:r>
        <w:rPr>
          <w:rFonts w:ascii="Times New Roman" w:cs="Times New Roman" w:eastAsia="Times New Roman" w:hAnsi="Times New Roman"/>
          <w:sz w:val="14"/>
          <w:szCs w:val="14"/>
          <w:color w:val="auto"/>
        </w:rPr>
        <w:t>Revolving Credit Facility agreement), or other applicable rate</w:t>
      </w:r>
    </w:p>
    <w:p>
      <w:pPr>
        <w:ind w:left="10"/>
        <w:spacing w:after="0" w:line="203" w:lineRule="auto"/>
        <w:rPr>
          <w:sz w:val="20"/>
          <w:szCs w:val="20"/>
          <w:color w:val="auto"/>
        </w:rPr>
      </w:pPr>
      <w:r>
        <w:rPr>
          <w:rFonts w:ascii="Times New Roman" w:cs="Times New Roman" w:eastAsia="Times New Roman" w:hAnsi="Times New Roman"/>
          <w:sz w:val="16"/>
          <w:szCs w:val="16"/>
          <w:color w:val="auto"/>
        </w:rPr>
        <w:t>with respect to non-dollar borrowings, plus an applicable</w:t>
      </w:r>
    </w:p>
    <w:p>
      <w:pPr>
        <w:ind w:left="10"/>
        <w:spacing w:after="0" w:line="233" w:lineRule="auto"/>
        <w:rPr>
          <w:sz w:val="20"/>
          <w:szCs w:val="20"/>
          <w:color w:val="auto"/>
        </w:rPr>
      </w:pPr>
      <w:r>
        <w:rPr>
          <w:rFonts w:ascii="Times New Roman" w:cs="Times New Roman" w:eastAsia="Times New Roman" w:hAnsi="Times New Roman"/>
          <w:sz w:val="14"/>
          <w:szCs w:val="14"/>
          <w:color w:val="auto"/>
        </w:rPr>
        <w:t>margin that varies with Nasdaq’s debt rating. We are charged</w:t>
      </w:r>
    </w:p>
    <w:p>
      <w:pPr>
        <w:ind w:left="10"/>
        <w:spacing w:after="0" w:line="203" w:lineRule="auto"/>
        <w:rPr>
          <w:sz w:val="20"/>
          <w:szCs w:val="20"/>
          <w:color w:val="auto"/>
        </w:rPr>
      </w:pPr>
      <w:r>
        <w:rPr>
          <w:rFonts w:ascii="Times New Roman" w:cs="Times New Roman" w:eastAsia="Times New Roman" w:hAnsi="Times New Roman"/>
          <w:sz w:val="16"/>
          <w:szCs w:val="16"/>
          <w:color w:val="auto"/>
        </w:rPr>
        <w:t>commitment fees of 0.100% to 0.250%, depending on our</w:t>
      </w:r>
    </w:p>
    <w:p>
      <w:pPr>
        <w:ind w:left="10"/>
        <w:spacing w:after="0" w:line="204" w:lineRule="auto"/>
        <w:rPr>
          <w:sz w:val="20"/>
          <w:szCs w:val="20"/>
          <w:color w:val="auto"/>
        </w:rPr>
      </w:pPr>
      <w:r>
        <w:rPr>
          <w:rFonts w:ascii="Times New Roman" w:cs="Times New Roman" w:eastAsia="Times New Roman" w:hAnsi="Times New Roman"/>
          <w:sz w:val="16"/>
          <w:szCs w:val="16"/>
          <w:color w:val="auto"/>
        </w:rPr>
        <w:t>credit rating, whether or not amounts have been borrowed.</w:t>
      </w:r>
    </w:p>
    <w:p>
      <w:pPr>
        <w:ind w:left="10"/>
        <w:spacing w:after="0" w:line="233" w:lineRule="auto"/>
        <w:rPr>
          <w:sz w:val="20"/>
          <w:szCs w:val="20"/>
          <w:color w:val="auto"/>
        </w:rPr>
      </w:pPr>
      <w:r>
        <w:rPr>
          <w:rFonts w:ascii="Times New Roman" w:cs="Times New Roman" w:eastAsia="Times New Roman" w:hAnsi="Times New Roman"/>
          <w:sz w:val="14"/>
          <w:szCs w:val="14"/>
          <w:color w:val="auto"/>
        </w:rPr>
        <w:t>These commitment fees are included in interest expense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were not material for the years ended December 31, 2025,</w:t>
      </w:r>
    </w:p>
    <w:p>
      <w:pPr>
        <w:ind w:left="10"/>
        <w:spacing w:after="0" w:line="204" w:lineRule="auto"/>
        <w:rPr>
          <w:sz w:val="20"/>
          <w:szCs w:val="20"/>
          <w:color w:val="auto"/>
        </w:rPr>
      </w:pPr>
      <w:r>
        <w:rPr>
          <w:rFonts w:ascii="Times New Roman" w:cs="Times New Roman" w:eastAsia="Times New Roman" w:hAnsi="Times New Roman"/>
          <w:sz w:val="16"/>
          <w:szCs w:val="16"/>
          <w:color w:val="auto"/>
        </w:rPr>
        <w:t>2024 and 2023.</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2022 Revolving Credit Facility contains financial and</w:t>
      </w:r>
    </w:p>
    <w:p>
      <w:pPr>
        <w:ind w:left="10"/>
        <w:spacing w:after="0" w:line="233" w:lineRule="auto"/>
        <w:rPr>
          <w:sz w:val="20"/>
          <w:szCs w:val="20"/>
          <w:color w:val="auto"/>
        </w:rPr>
      </w:pPr>
      <w:r>
        <w:rPr>
          <w:rFonts w:ascii="Times New Roman" w:cs="Times New Roman" w:eastAsia="Times New Roman" w:hAnsi="Times New Roman"/>
          <w:sz w:val="14"/>
          <w:szCs w:val="14"/>
          <w:color w:val="auto"/>
        </w:rPr>
        <w:t>operating covenants. Financial covenants include a maximum</w:t>
      </w:r>
    </w:p>
    <w:p>
      <w:pPr>
        <w:ind w:left="10"/>
        <w:spacing w:after="0" w:line="204" w:lineRule="auto"/>
        <w:rPr>
          <w:sz w:val="20"/>
          <w:szCs w:val="20"/>
          <w:color w:val="auto"/>
        </w:rPr>
      </w:pPr>
      <w:r>
        <w:rPr>
          <w:rFonts w:ascii="Times New Roman" w:cs="Times New Roman" w:eastAsia="Times New Roman" w:hAnsi="Times New Roman"/>
          <w:sz w:val="16"/>
          <w:szCs w:val="16"/>
          <w:color w:val="auto"/>
        </w:rPr>
        <w:t>leverage ratio. Operating covenants include, among other</w:t>
      </w:r>
    </w:p>
    <w:p>
      <w:pPr>
        <w:ind w:left="10"/>
        <w:spacing w:after="0" w:line="203" w:lineRule="auto"/>
        <w:rPr>
          <w:sz w:val="20"/>
          <w:szCs w:val="20"/>
          <w:color w:val="auto"/>
        </w:rPr>
      </w:pPr>
      <w:r>
        <w:rPr>
          <w:rFonts w:ascii="Times New Roman" w:cs="Times New Roman" w:eastAsia="Times New Roman" w:hAnsi="Times New Roman"/>
          <w:sz w:val="16"/>
          <w:szCs w:val="16"/>
          <w:color w:val="auto"/>
        </w:rPr>
        <w:t>things, limitations on Nasdaq’s ability to incur additional</w:t>
      </w:r>
    </w:p>
    <w:p>
      <w:pPr>
        <w:ind w:left="10"/>
        <w:spacing w:after="0" w:line="204" w:lineRule="auto"/>
        <w:rPr>
          <w:sz w:val="20"/>
          <w:szCs w:val="20"/>
          <w:color w:val="auto"/>
        </w:rPr>
      </w:pPr>
      <w:r>
        <w:rPr>
          <w:rFonts w:ascii="Times New Roman" w:cs="Times New Roman" w:eastAsia="Times New Roman" w:hAnsi="Times New Roman"/>
          <w:sz w:val="16"/>
          <w:szCs w:val="16"/>
          <w:color w:val="auto"/>
        </w:rPr>
        <w:t>indebtedness, grant liens on assets, dispose of assets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make certain restricted payments. The facility also contains</w:t>
      </w:r>
    </w:p>
    <w:p>
      <w:pPr>
        <w:ind w:left="10"/>
        <w:spacing w:after="0" w:line="204" w:lineRule="auto"/>
        <w:rPr>
          <w:sz w:val="20"/>
          <w:szCs w:val="20"/>
          <w:color w:val="auto"/>
        </w:rPr>
      </w:pPr>
      <w:r>
        <w:rPr>
          <w:rFonts w:ascii="Times New Roman" w:cs="Times New Roman" w:eastAsia="Times New Roman" w:hAnsi="Times New Roman"/>
          <w:sz w:val="16"/>
          <w:szCs w:val="16"/>
          <w:color w:val="auto"/>
        </w:rPr>
        <w:t>customary affirmative covenants, including access to</w:t>
      </w:r>
    </w:p>
    <w:p>
      <w:pPr>
        <w:ind w:left="10"/>
        <w:spacing w:after="0" w:line="203" w:lineRule="auto"/>
        <w:rPr>
          <w:sz w:val="20"/>
          <w:szCs w:val="20"/>
          <w:color w:val="auto"/>
        </w:rPr>
      </w:pPr>
      <w:r>
        <w:rPr>
          <w:rFonts w:ascii="Times New Roman" w:cs="Times New Roman" w:eastAsia="Times New Roman" w:hAnsi="Times New Roman"/>
          <w:sz w:val="16"/>
          <w:szCs w:val="16"/>
          <w:color w:val="auto"/>
        </w:rPr>
        <w:t>financial statements, notice of defaults and certain other</w:t>
      </w:r>
    </w:p>
    <w:p>
      <w:pPr>
        <w:ind w:left="10"/>
        <w:spacing w:after="0" w:line="233" w:lineRule="auto"/>
        <w:rPr>
          <w:sz w:val="20"/>
          <w:szCs w:val="20"/>
          <w:color w:val="auto"/>
        </w:rPr>
      </w:pPr>
      <w:r>
        <w:rPr>
          <w:rFonts w:ascii="Times New Roman" w:cs="Times New Roman" w:eastAsia="Times New Roman" w:hAnsi="Times New Roman"/>
          <w:sz w:val="14"/>
          <w:szCs w:val="14"/>
          <w:color w:val="auto"/>
        </w:rPr>
        <w:t>material events, maintenance of properties and insurance,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customary events of default, including cross-defaults to our</w:t>
      </w:r>
    </w:p>
    <w:p>
      <w:pPr>
        <w:ind w:left="10"/>
        <w:spacing w:after="0" w:line="203" w:lineRule="auto"/>
        <w:rPr>
          <w:sz w:val="20"/>
          <w:szCs w:val="20"/>
          <w:color w:val="auto"/>
        </w:rPr>
      </w:pPr>
      <w:r>
        <w:rPr>
          <w:rFonts w:ascii="Times New Roman" w:cs="Times New Roman" w:eastAsia="Times New Roman" w:hAnsi="Times New Roman"/>
          <w:sz w:val="16"/>
          <w:szCs w:val="16"/>
          <w:color w:val="auto"/>
        </w:rPr>
        <w:t>material indebtedness.</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2022 Revolving Credit Facility includes an option for</w:t>
      </w:r>
    </w:p>
    <w:p>
      <w:pPr>
        <w:ind w:left="10"/>
        <w:spacing w:after="0" w:line="203" w:lineRule="auto"/>
        <w:rPr>
          <w:sz w:val="20"/>
          <w:szCs w:val="20"/>
          <w:color w:val="auto"/>
        </w:rPr>
      </w:pPr>
      <w:r>
        <w:rPr>
          <w:rFonts w:ascii="Times New Roman" w:cs="Times New Roman" w:eastAsia="Times New Roman" w:hAnsi="Times New Roman"/>
          <w:sz w:val="16"/>
          <w:szCs w:val="16"/>
          <w:color w:val="auto"/>
        </w:rPr>
        <w:t>Nasdaq to increase the available aggregate amount by up to</w:t>
      </w:r>
    </w:p>
    <w:p>
      <w:pPr>
        <w:ind w:left="10"/>
        <w:spacing w:after="0" w:line="204" w:lineRule="auto"/>
        <w:rPr>
          <w:sz w:val="20"/>
          <w:szCs w:val="20"/>
          <w:color w:val="auto"/>
        </w:rPr>
      </w:pPr>
      <w:r>
        <w:rPr>
          <w:rFonts w:ascii="Times New Roman" w:cs="Times New Roman" w:eastAsia="Times New Roman" w:hAnsi="Times New Roman"/>
          <w:sz w:val="16"/>
          <w:szCs w:val="16"/>
          <w:color w:val="auto"/>
        </w:rPr>
        <w:t>$750 million, subject to the consent of the lenders funding</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increase and certain other conditions.</w:t>
      </w:r>
    </w:p>
    <w:p>
      <w:pPr>
        <w:ind w:left="10"/>
        <w:spacing w:after="0" w:line="233" w:lineRule="auto"/>
        <w:rPr>
          <w:sz w:val="20"/>
          <w:szCs w:val="20"/>
          <w:color w:val="auto"/>
        </w:rPr>
      </w:pPr>
      <w:r>
        <w:rPr>
          <w:rFonts w:ascii="Times New Roman" w:cs="Times New Roman" w:eastAsia="Times New Roman" w:hAnsi="Times New Roman"/>
          <w:sz w:val="14"/>
          <w:szCs w:val="14"/>
          <w:color w:val="auto"/>
        </w:rPr>
        <w:t>We maintain a U.S. dollar commercial paper program, which</w:t>
      </w:r>
    </w:p>
    <w:p>
      <w:pPr>
        <w:ind w:left="10"/>
        <w:spacing w:after="0" w:line="204" w:lineRule="auto"/>
        <w:rPr>
          <w:sz w:val="20"/>
          <w:szCs w:val="20"/>
          <w:color w:val="auto"/>
        </w:rPr>
      </w:pPr>
      <w:r>
        <w:rPr>
          <w:rFonts w:ascii="Times New Roman" w:cs="Times New Roman" w:eastAsia="Times New Roman" w:hAnsi="Times New Roman"/>
          <w:sz w:val="16"/>
          <w:szCs w:val="16"/>
          <w:color w:val="auto"/>
        </w:rPr>
        <w:t>we may utilize at various times to support liquidity needs.</w:t>
      </w:r>
    </w:p>
    <w:p>
      <w:pPr>
        <w:ind w:left="10"/>
        <w:spacing w:after="0" w:line="203" w:lineRule="auto"/>
        <w:rPr>
          <w:sz w:val="20"/>
          <w:szCs w:val="20"/>
          <w:color w:val="auto"/>
        </w:rPr>
      </w:pPr>
      <w:r>
        <w:rPr>
          <w:rFonts w:ascii="Times New Roman" w:cs="Times New Roman" w:eastAsia="Times New Roman" w:hAnsi="Times New Roman"/>
          <w:sz w:val="16"/>
          <w:szCs w:val="16"/>
          <w:color w:val="auto"/>
        </w:rPr>
        <w:t>This program is supported by our 2022 Revolving Credit</w:t>
      </w:r>
    </w:p>
    <w:p>
      <w:pPr>
        <w:ind w:left="10"/>
        <w:spacing w:after="0" w:line="204" w:lineRule="auto"/>
        <w:rPr>
          <w:sz w:val="20"/>
          <w:szCs w:val="20"/>
          <w:color w:val="auto"/>
        </w:rPr>
      </w:pPr>
      <w:r>
        <w:rPr>
          <w:rFonts w:ascii="Times New Roman" w:cs="Times New Roman" w:eastAsia="Times New Roman" w:hAnsi="Times New Roman"/>
          <w:sz w:val="16"/>
          <w:szCs w:val="16"/>
          <w:color w:val="auto"/>
        </w:rPr>
        <w:t>Facility. As of December 31, 2025 and 2024 we had no</w:t>
      </w:r>
    </w:p>
    <w:p>
      <w:pPr>
        <w:ind w:left="10"/>
        <w:spacing w:after="0" w:line="203" w:lineRule="auto"/>
        <w:rPr>
          <w:sz w:val="20"/>
          <w:szCs w:val="20"/>
          <w:color w:val="auto"/>
        </w:rPr>
      </w:pPr>
      <w:r>
        <w:rPr>
          <w:rFonts w:ascii="Times New Roman" w:cs="Times New Roman" w:eastAsia="Times New Roman" w:hAnsi="Times New Roman"/>
          <w:sz w:val="16"/>
          <w:szCs w:val="16"/>
          <w:color w:val="auto"/>
        </w:rPr>
        <w:t>outstanding commercial paper.</w:t>
      </w:r>
    </w:p>
    <w:p>
      <w:pPr>
        <w:ind w:left="10"/>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Other Credit Facilities</w:t>
      </w:r>
    </w:p>
    <w:p>
      <w:pPr>
        <w:ind w:left="10"/>
        <w:spacing w:after="0" w:line="232" w:lineRule="auto"/>
        <w:rPr>
          <w:sz w:val="20"/>
          <w:szCs w:val="20"/>
          <w:color w:val="auto"/>
        </w:rPr>
      </w:pPr>
      <w:r>
        <w:rPr>
          <w:rFonts w:ascii="Times New Roman" w:cs="Times New Roman" w:eastAsia="Times New Roman" w:hAnsi="Times New Roman"/>
          <w:sz w:val="14"/>
          <w:szCs w:val="14"/>
          <w:color w:val="auto"/>
        </w:rPr>
        <w:t>Certain of our European subsidiaries have several other credit</w:t>
      </w:r>
    </w:p>
    <w:p>
      <w:pPr>
        <w:ind w:left="10"/>
        <w:spacing w:after="0" w:line="204" w:lineRule="auto"/>
        <w:rPr>
          <w:sz w:val="20"/>
          <w:szCs w:val="20"/>
          <w:color w:val="auto"/>
        </w:rPr>
      </w:pPr>
      <w:r>
        <w:rPr>
          <w:rFonts w:ascii="Times New Roman" w:cs="Times New Roman" w:eastAsia="Times New Roman" w:hAnsi="Times New Roman"/>
          <w:sz w:val="16"/>
          <w:szCs w:val="16"/>
          <w:color w:val="auto"/>
        </w:rPr>
        <w:t>facilities, which are available in multiple currencies,</w:t>
      </w:r>
    </w:p>
    <w:p>
      <w:pPr>
        <w:ind w:left="10"/>
        <w:spacing w:after="0" w:line="203" w:lineRule="auto"/>
        <w:rPr>
          <w:sz w:val="20"/>
          <w:szCs w:val="20"/>
          <w:color w:val="auto"/>
        </w:rPr>
      </w:pPr>
      <w:r>
        <w:rPr>
          <w:rFonts w:ascii="Times New Roman" w:cs="Times New Roman" w:eastAsia="Times New Roman" w:hAnsi="Times New Roman"/>
          <w:sz w:val="16"/>
          <w:szCs w:val="16"/>
          <w:color w:val="auto"/>
        </w:rPr>
        <w:t>primarily to support our Nasdaq Clearing operations in</w:t>
      </w:r>
    </w:p>
    <w:p>
      <w:pPr>
        <w:ind w:left="10"/>
        <w:spacing w:after="0" w:line="204" w:lineRule="auto"/>
        <w:rPr>
          <w:sz w:val="20"/>
          <w:szCs w:val="20"/>
          <w:color w:val="auto"/>
        </w:rPr>
      </w:pPr>
      <w:r>
        <w:rPr>
          <w:rFonts w:ascii="Times New Roman" w:cs="Times New Roman" w:eastAsia="Times New Roman" w:hAnsi="Times New Roman"/>
          <w:sz w:val="16"/>
          <w:szCs w:val="16"/>
          <w:color w:val="auto"/>
        </w:rPr>
        <w:t>Europe, as well as to provide a cash pool credit line. These</w:t>
      </w:r>
    </w:p>
    <w:p>
      <w:pPr>
        <w:ind w:left="10"/>
        <w:spacing w:after="0" w:line="204" w:lineRule="auto"/>
        <w:rPr>
          <w:sz w:val="20"/>
          <w:szCs w:val="20"/>
          <w:color w:val="auto"/>
        </w:rPr>
      </w:pPr>
      <w:r>
        <w:rPr>
          <w:rFonts w:ascii="Times New Roman" w:cs="Times New Roman" w:eastAsia="Times New Roman" w:hAnsi="Times New Roman"/>
          <w:sz w:val="16"/>
          <w:szCs w:val="16"/>
          <w:color w:val="auto"/>
        </w:rPr>
        <w:t>credit facilities, in aggregate, totaled $208 million as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December 31, 2025 and $174 million as of December 31,</w:t>
      </w:r>
    </w:p>
    <w:p>
      <w:pPr>
        <w:ind w:left="10"/>
        <w:spacing w:after="0" w:line="204" w:lineRule="auto"/>
        <w:rPr>
          <w:sz w:val="20"/>
          <w:szCs w:val="20"/>
          <w:color w:val="auto"/>
        </w:rPr>
      </w:pPr>
      <w:r>
        <w:rPr>
          <w:rFonts w:ascii="Times New Roman" w:cs="Times New Roman" w:eastAsia="Times New Roman" w:hAnsi="Times New Roman"/>
          <w:sz w:val="16"/>
          <w:szCs w:val="16"/>
          <w:color w:val="auto"/>
        </w:rPr>
        <w:t>2024 in available liquidity, none of which was utilized.</w:t>
      </w:r>
    </w:p>
    <w:p>
      <w:pPr>
        <w:ind w:left="10"/>
        <w:spacing w:after="0" w:line="203" w:lineRule="auto"/>
        <w:rPr>
          <w:sz w:val="20"/>
          <w:szCs w:val="20"/>
          <w:color w:val="auto"/>
        </w:rPr>
      </w:pPr>
      <w:r>
        <w:rPr>
          <w:rFonts w:ascii="Times New Roman" w:cs="Times New Roman" w:eastAsia="Times New Roman" w:hAnsi="Times New Roman"/>
          <w:sz w:val="16"/>
          <w:szCs w:val="16"/>
          <w:color w:val="auto"/>
        </w:rPr>
        <w:t>Generally, these facilities each have a one-year term,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renew automatically. The amounts borrowed under these</w:t>
      </w:r>
    </w:p>
    <w:p>
      <w:pPr>
        <w:ind w:left="10"/>
        <w:spacing w:after="0" w:line="232" w:lineRule="auto"/>
        <w:rPr>
          <w:sz w:val="20"/>
          <w:szCs w:val="20"/>
          <w:color w:val="auto"/>
        </w:rPr>
      </w:pPr>
      <w:r>
        <w:rPr>
          <w:rFonts w:ascii="Times New Roman" w:cs="Times New Roman" w:eastAsia="Times New Roman" w:hAnsi="Times New Roman"/>
          <w:sz w:val="14"/>
          <w:szCs w:val="14"/>
          <w:color w:val="auto"/>
        </w:rPr>
        <w:t>various credit facilities bear interest on the principal amount</w:t>
      </w:r>
    </w:p>
    <w:p>
      <w:pPr>
        <w:ind w:left="10"/>
        <w:spacing w:after="0" w:line="233" w:lineRule="auto"/>
        <w:rPr>
          <w:sz w:val="20"/>
          <w:szCs w:val="20"/>
          <w:color w:val="auto"/>
        </w:rPr>
      </w:pPr>
      <w:r>
        <w:rPr>
          <w:rFonts w:ascii="Times New Roman" w:cs="Times New Roman" w:eastAsia="Times New Roman" w:hAnsi="Times New Roman"/>
          <w:sz w:val="14"/>
          <w:szCs w:val="14"/>
          <w:color w:val="auto"/>
        </w:rPr>
        <w:t>outstanding at a variable interest rate based on a base rate (as</w:t>
      </w:r>
    </w:p>
    <w:p>
      <w:pPr>
        <w:ind w:left="10"/>
        <w:spacing w:after="0" w:line="204" w:lineRule="auto"/>
        <w:rPr>
          <w:sz w:val="20"/>
          <w:szCs w:val="20"/>
          <w:color w:val="auto"/>
        </w:rPr>
      </w:pPr>
      <w:r>
        <w:rPr>
          <w:rFonts w:ascii="Times New Roman" w:cs="Times New Roman" w:eastAsia="Times New Roman" w:hAnsi="Times New Roman"/>
          <w:sz w:val="16"/>
          <w:szCs w:val="16"/>
          <w:color w:val="auto"/>
        </w:rPr>
        <w:t>defined in the applicable credit agreement), plus an</w:t>
      </w:r>
    </w:p>
    <w:p>
      <w:pPr>
        <w:ind w:left="10"/>
        <w:spacing w:after="0" w:line="203" w:lineRule="auto"/>
        <w:rPr>
          <w:sz w:val="20"/>
          <w:szCs w:val="20"/>
          <w:color w:val="auto"/>
        </w:rPr>
      </w:pPr>
      <w:r>
        <w:rPr>
          <w:rFonts w:ascii="Times New Roman" w:cs="Times New Roman" w:eastAsia="Times New Roman" w:hAnsi="Times New Roman"/>
          <w:sz w:val="16"/>
          <w:szCs w:val="16"/>
          <w:color w:val="auto"/>
        </w:rPr>
        <w:t>applicable margin. We are charged commitment fees (as</w:t>
      </w:r>
    </w:p>
    <w:p>
      <w:pPr>
        <w:ind w:left="10"/>
        <w:spacing w:after="0" w:line="204" w:lineRule="auto"/>
        <w:rPr>
          <w:sz w:val="20"/>
          <w:szCs w:val="20"/>
          <w:color w:val="auto"/>
        </w:rPr>
      </w:pPr>
      <w:r>
        <w:rPr>
          <w:rFonts w:ascii="Times New Roman" w:cs="Times New Roman" w:eastAsia="Times New Roman" w:hAnsi="Times New Roman"/>
          <w:sz w:val="16"/>
          <w:szCs w:val="16"/>
          <w:color w:val="auto"/>
        </w:rPr>
        <w:t>defined in the applicable credit agreement), whether or not</w:t>
      </w:r>
    </w:p>
    <w:p>
      <w:pPr>
        <w:ind w:left="10"/>
        <w:spacing w:after="0" w:line="203" w:lineRule="auto"/>
        <w:rPr>
          <w:sz w:val="20"/>
          <w:szCs w:val="20"/>
          <w:color w:val="auto"/>
        </w:rPr>
      </w:pPr>
      <w:r>
        <w:rPr>
          <w:rFonts w:ascii="Times New Roman" w:cs="Times New Roman" w:eastAsia="Times New Roman" w:hAnsi="Times New Roman"/>
          <w:sz w:val="16"/>
          <w:szCs w:val="16"/>
          <w:color w:val="auto"/>
        </w:rPr>
        <w:t>amounts have been borrowed. These commitment fees are</w:t>
      </w:r>
    </w:p>
    <w:p>
      <w:pPr>
        <w:ind w:left="10"/>
        <w:spacing w:after="0" w:line="204" w:lineRule="auto"/>
        <w:rPr>
          <w:sz w:val="20"/>
          <w:szCs w:val="20"/>
          <w:color w:val="auto"/>
        </w:rPr>
      </w:pPr>
      <w:r>
        <w:rPr>
          <w:rFonts w:ascii="Times New Roman" w:cs="Times New Roman" w:eastAsia="Times New Roman" w:hAnsi="Times New Roman"/>
          <w:sz w:val="16"/>
          <w:szCs w:val="16"/>
          <w:color w:val="auto"/>
        </w:rPr>
        <w:t>included in interest expense and were not material for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years ended December 31, 2025, 2024 and 2023.</w:t>
      </w:r>
    </w:p>
    <w:p>
      <w:pPr>
        <w:ind w:left="10"/>
        <w:spacing w:after="0" w:line="204" w:lineRule="auto"/>
        <w:rPr>
          <w:sz w:val="20"/>
          <w:szCs w:val="20"/>
          <w:color w:val="auto"/>
        </w:rPr>
      </w:pPr>
      <w:r>
        <w:rPr>
          <w:rFonts w:ascii="Times New Roman" w:cs="Times New Roman" w:eastAsia="Times New Roman" w:hAnsi="Times New Roman"/>
          <w:sz w:val="16"/>
          <w:szCs w:val="16"/>
          <w:color w:val="auto"/>
        </w:rPr>
        <w:t>These facilities include customary affirmative and negative</w:t>
      </w:r>
    </w:p>
    <w:p>
      <w:pPr>
        <w:ind w:left="10"/>
        <w:spacing w:after="0" w:line="203" w:lineRule="auto"/>
        <w:rPr>
          <w:sz w:val="20"/>
          <w:szCs w:val="20"/>
          <w:color w:val="auto"/>
        </w:rPr>
      </w:pPr>
      <w:r>
        <w:rPr>
          <w:rFonts w:ascii="Times New Roman" w:cs="Times New Roman" w:eastAsia="Times New Roman" w:hAnsi="Times New Roman"/>
          <w:sz w:val="16"/>
          <w:szCs w:val="16"/>
          <w:color w:val="auto"/>
        </w:rPr>
        <w:t>operating covenants and events of default.</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Debt Covenants</w:t>
      </w:r>
    </w:p>
    <w:p>
      <w:pPr>
        <w:ind w:left="10"/>
        <w:spacing w:after="0" w:line="203" w:lineRule="auto"/>
        <w:rPr>
          <w:sz w:val="20"/>
          <w:szCs w:val="20"/>
          <w:color w:val="auto"/>
        </w:rPr>
      </w:pPr>
      <w:r>
        <w:rPr>
          <w:rFonts w:ascii="Times New Roman" w:cs="Times New Roman" w:eastAsia="Times New Roman" w:hAnsi="Times New Roman"/>
          <w:sz w:val="16"/>
          <w:szCs w:val="16"/>
          <w:color w:val="auto"/>
        </w:rPr>
        <w:t>As of December 31, 2025, we were in compliance with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covenants of all of our debt obligations.</w:t>
      </w:r>
    </w:p>
    <w:p>
      <w:pPr>
        <w:ind w:left="10" w:right="7080" w:hanging="10"/>
        <w:spacing w:after="0" w:line="232" w:lineRule="auto"/>
        <w:tabs>
          <w:tab w:leader="none" w:pos="25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RETIREMENT PLANS Defined Contribution Savings Plan</w:t>
      </w:r>
    </w:p>
    <w:p>
      <w:pPr>
        <w:ind w:left="1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We sponsor a 401(k) plan, which is a voluntary defined</w:t>
      </w:r>
    </w:p>
    <w:p>
      <w:pPr>
        <w:sectPr>
          <w:pgSz w:w="11900" w:h="16840" w:orient="portrait"/>
          <w:cols w:equalWidth="0" w:num="1">
            <w:col w:w="9410"/>
          </w:cols>
          <w:pgMar w:left="1050" w:top="547" w:right="1440" w:bottom="32"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color w:val="auto"/>
        </w:rPr>
        <w:t>contribution savings plan, for U.S. employees. Employees are</w:t>
      </w:r>
    </w:p>
    <w:p>
      <w:pPr>
        <w:spacing w:after="0" w:line="203" w:lineRule="auto"/>
        <w:rPr>
          <w:sz w:val="20"/>
          <w:szCs w:val="20"/>
          <w:color w:val="auto"/>
        </w:rPr>
      </w:pPr>
      <w:r>
        <w:rPr>
          <w:rFonts w:ascii="Times New Roman" w:cs="Times New Roman" w:eastAsia="Times New Roman" w:hAnsi="Times New Roman"/>
          <w:sz w:val="16"/>
          <w:szCs w:val="16"/>
          <w:color w:val="auto"/>
        </w:rPr>
        <w:t>immediately eligible to make contributions to the plan and</w:t>
      </w:r>
    </w:p>
    <w:p>
      <w:pPr>
        <w:spacing w:after="0" w:line="204" w:lineRule="auto"/>
        <w:rPr>
          <w:sz w:val="20"/>
          <w:szCs w:val="20"/>
          <w:color w:val="auto"/>
        </w:rPr>
      </w:pPr>
      <w:r>
        <w:rPr>
          <w:rFonts w:ascii="Times New Roman" w:cs="Times New Roman" w:eastAsia="Times New Roman" w:hAnsi="Times New Roman"/>
          <w:sz w:val="16"/>
          <w:szCs w:val="16"/>
          <w:color w:val="auto"/>
        </w:rPr>
        <w:t>are also eligible for an employer contribution match at an</w:t>
      </w:r>
    </w:p>
    <w:p>
      <w:pPr>
        <w:spacing w:after="0" w:line="203" w:lineRule="auto"/>
        <w:rPr>
          <w:sz w:val="20"/>
          <w:szCs w:val="20"/>
          <w:color w:val="auto"/>
        </w:rPr>
      </w:pPr>
      <w:r>
        <w:rPr>
          <w:rFonts w:ascii="Times New Roman" w:cs="Times New Roman" w:eastAsia="Times New Roman" w:hAnsi="Times New Roman"/>
          <w:sz w:val="16"/>
          <w:szCs w:val="16"/>
          <w:color w:val="auto"/>
        </w:rPr>
        <w:t>amount equal to 100.0% of the first 6.0% of eligible</w:t>
      </w:r>
    </w:p>
    <w:p>
      <w:pPr>
        <w:spacing w:after="0" w:line="204" w:lineRule="auto"/>
        <w:rPr>
          <w:sz w:val="20"/>
          <w:szCs w:val="20"/>
          <w:color w:val="auto"/>
        </w:rPr>
      </w:pPr>
      <w:r>
        <w:rPr>
          <w:rFonts w:ascii="Times New Roman" w:cs="Times New Roman" w:eastAsia="Times New Roman" w:hAnsi="Times New Roman"/>
          <w:sz w:val="16"/>
          <w:szCs w:val="16"/>
          <w:color w:val="auto"/>
        </w:rPr>
        <w:t>employee contributions. The following table presents the</w:t>
      </w:r>
    </w:p>
    <w:p>
      <w:pPr>
        <w:spacing w:after="0" w:line="203" w:lineRule="auto"/>
        <w:rPr>
          <w:sz w:val="20"/>
          <w:szCs w:val="20"/>
          <w:color w:val="auto"/>
        </w:rPr>
      </w:pPr>
      <w:r>
        <w:rPr>
          <w:rFonts w:ascii="Times New Roman" w:cs="Times New Roman" w:eastAsia="Times New Roman" w:hAnsi="Times New Roman"/>
          <w:sz w:val="16"/>
          <w:szCs w:val="16"/>
          <w:color w:val="auto"/>
        </w:rPr>
        <w:t>savings plan expense for the years ended December 31, 2025,</w:t>
      </w:r>
    </w:p>
    <w:p>
      <w:pPr>
        <w:spacing w:after="0" w:line="204" w:lineRule="auto"/>
        <w:rPr>
          <w:sz w:val="20"/>
          <w:szCs w:val="20"/>
          <w:color w:val="auto"/>
        </w:rPr>
      </w:pPr>
      <w:r>
        <w:rPr>
          <w:rFonts w:ascii="Times New Roman" w:cs="Times New Roman" w:eastAsia="Times New Roman" w:hAnsi="Times New Roman"/>
          <w:sz w:val="16"/>
          <w:szCs w:val="16"/>
          <w:color w:val="auto"/>
        </w:rPr>
        <w:t>2024 and 2023, which is included in compensation and</w:t>
      </w:r>
    </w:p>
    <w:p>
      <w:pPr>
        <w:spacing w:after="0" w:line="228" w:lineRule="auto"/>
        <w:rPr>
          <w:sz w:val="20"/>
          <w:szCs w:val="20"/>
          <w:color w:val="auto"/>
        </w:rPr>
      </w:pPr>
      <w:r>
        <w:rPr>
          <w:rFonts w:ascii="Times New Roman" w:cs="Times New Roman" w:eastAsia="Times New Roman" w:hAnsi="Times New Roman"/>
          <w:sz w:val="16"/>
          <w:szCs w:val="16"/>
          <w:color w:val="auto"/>
        </w:rPr>
        <w:t>benefits expense in the Consolidated Statements of Income:</w:t>
      </w:r>
    </w:p>
    <w:p>
      <w:pPr>
        <w:ind w:left="24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480" w:type="dxa"/>
            <w:vAlign w:val="bottom"/>
          </w:tcPr>
          <w:p>
            <w:pPr>
              <w:spacing w:after="0"/>
              <w:rPr>
                <w:sz w:val="13"/>
                <w:szCs w:val="13"/>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8"/>
        </w:trPr>
        <w:tc>
          <w:tcPr>
            <w:tcW w:w="24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Savings Plan expense</w:t>
            </w: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  22</w:t>
            </w:r>
          </w:p>
        </w:tc>
        <w:tc>
          <w:tcPr>
            <w:tcW w:w="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$ 19</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-120015</wp:posOffset>
            </wp:positionV>
            <wp:extent cx="2545715" cy="152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2545715" cy="15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Pension, SERP and Other Post-Retirement Benefit Plans</w:t>
      </w:r>
    </w:p>
    <w:p>
      <w:pPr>
        <w:spacing w:after="0" w:line="203" w:lineRule="auto"/>
        <w:rPr>
          <w:sz w:val="20"/>
          <w:szCs w:val="20"/>
          <w:color w:val="auto"/>
        </w:rPr>
      </w:pPr>
      <w:r>
        <w:rPr>
          <w:rFonts w:ascii="Times New Roman" w:cs="Times New Roman" w:eastAsia="Times New Roman" w:hAnsi="Times New Roman"/>
          <w:sz w:val="16"/>
          <w:szCs w:val="16"/>
          <w:color w:val="auto"/>
        </w:rPr>
        <w:t>In June 2023, we terminated our U.S. pension plan and took</w:t>
      </w:r>
    </w:p>
    <w:p>
      <w:pPr>
        <w:spacing w:after="0" w:line="204" w:lineRule="auto"/>
        <w:rPr>
          <w:sz w:val="20"/>
          <w:szCs w:val="20"/>
          <w:color w:val="auto"/>
        </w:rPr>
      </w:pPr>
      <w:r>
        <w:rPr>
          <w:rFonts w:ascii="Times New Roman" w:cs="Times New Roman" w:eastAsia="Times New Roman" w:hAnsi="Times New Roman"/>
          <w:sz w:val="16"/>
          <w:szCs w:val="16"/>
          <w:color w:val="auto"/>
        </w:rPr>
        <w:t>steps to wind down the plan and transfer the resulting</w:t>
      </w:r>
    </w:p>
    <w:p>
      <w:pPr>
        <w:spacing w:after="0" w:line="203" w:lineRule="auto"/>
        <w:rPr>
          <w:sz w:val="20"/>
          <w:szCs w:val="20"/>
          <w:color w:val="auto"/>
        </w:rPr>
      </w:pPr>
      <w:r>
        <w:rPr>
          <w:rFonts w:ascii="Times New Roman" w:cs="Times New Roman" w:eastAsia="Times New Roman" w:hAnsi="Times New Roman"/>
          <w:sz w:val="16"/>
          <w:szCs w:val="16"/>
          <w:color w:val="auto"/>
        </w:rPr>
        <w:t>liability to an insurance company. This process was</w:t>
      </w:r>
    </w:p>
    <w:p>
      <w:pPr>
        <w:spacing w:after="0" w:line="204" w:lineRule="auto"/>
        <w:rPr>
          <w:sz w:val="20"/>
          <w:szCs w:val="20"/>
          <w:color w:val="auto"/>
        </w:rPr>
      </w:pPr>
      <w:r>
        <w:rPr>
          <w:rFonts w:ascii="Times New Roman" w:cs="Times New Roman" w:eastAsia="Times New Roman" w:hAnsi="Times New Roman"/>
          <w:sz w:val="16"/>
          <w:szCs w:val="16"/>
          <w:color w:val="auto"/>
        </w:rPr>
        <w:t>completed in 2024 and, as a result, we recorded a settlement</w:t>
      </w:r>
    </w:p>
    <w:p>
      <w:pPr>
        <w:spacing w:after="0" w:line="203" w:lineRule="auto"/>
        <w:rPr>
          <w:sz w:val="20"/>
          <w:szCs w:val="20"/>
          <w:color w:val="auto"/>
        </w:rPr>
      </w:pPr>
      <w:r>
        <w:rPr>
          <w:rFonts w:ascii="Times New Roman" w:cs="Times New Roman" w:eastAsia="Times New Roman" w:hAnsi="Times New Roman"/>
          <w:sz w:val="16"/>
          <w:szCs w:val="16"/>
          <w:color w:val="auto"/>
        </w:rPr>
        <w:t>pre-tax loss of $23 million to compensation and benefits</w:t>
      </w:r>
    </w:p>
    <w:p>
      <w:pPr>
        <w:spacing w:after="0" w:line="204" w:lineRule="auto"/>
        <w:rPr>
          <w:sz w:val="20"/>
          <w:szCs w:val="20"/>
          <w:color w:val="auto"/>
        </w:rPr>
      </w:pPr>
      <w:r>
        <w:rPr>
          <w:rFonts w:ascii="Times New Roman" w:cs="Times New Roman" w:eastAsia="Times New Roman" w:hAnsi="Times New Roman"/>
          <w:sz w:val="16"/>
          <w:szCs w:val="16"/>
          <w:color w:val="auto"/>
        </w:rPr>
        <w:t>expense in the Consolidated Statements of Income for the</w:t>
      </w:r>
    </w:p>
    <w:p>
      <w:pPr>
        <w:spacing w:after="0" w:line="203" w:lineRule="auto"/>
        <w:rPr>
          <w:sz w:val="20"/>
          <w:szCs w:val="20"/>
          <w:color w:val="auto"/>
        </w:rPr>
      </w:pPr>
      <w:r>
        <w:rPr>
          <w:rFonts w:ascii="Times New Roman" w:cs="Times New Roman" w:eastAsia="Times New Roman" w:hAnsi="Times New Roman"/>
          <w:sz w:val="16"/>
          <w:szCs w:val="16"/>
          <w:color w:val="auto"/>
        </w:rPr>
        <w:t>year ended December 31, 2024. We continue to maintain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nonqualified SERPs for certain senior executives and other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F-28</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11. SHARE-BASED COMPENSATION</w:t>
      </w:r>
    </w:p>
    <w:p>
      <w:pPr>
        <w:spacing w:after="0" w:line="204" w:lineRule="auto"/>
        <w:rPr>
          <w:sz w:val="20"/>
          <w:szCs w:val="20"/>
          <w:color w:val="auto"/>
        </w:rPr>
      </w:pPr>
      <w:r>
        <w:rPr>
          <w:rFonts w:ascii="Times New Roman" w:cs="Times New Roman" w:eastAsia="Times New Roman" w:hAnsi="Times New Roman"/>
          <w:sz w:val="16"/>
          <w:szCs w:val="16"/>
          <w:color w:val="auto"/>
        </w:rPr>
        <w:t>We have a share-based compensation program for employees</w:t>
      </w:r>
    </w:p>
    <w:p>
      <w:pPr>
        <w:spacing w:after="0" w:line="203" w:lineRule="auto"/>
        <w:rPr>
          <w:sz w:val="20"/>
          <w:szCs w:val="20"/>
          <w:color w:val="auto"/>
        </w:rPr>
      </w:pPr>
      <w:r>
        <w:rPr>
          <w:rFonts w:ascii="Times New Roman" w:cs="Times New Roman" w:eastAsia="Times New Roman" w:hAnsi="Times New Roman"/>
          <w:sz w:val="16"/>
          <w:szCs w:val="16"/>
          <w:color w:val="auto"/>
        </w:rPr>
        <w:t>and non-employee directors. Share-based awards granted</w:t>
      </w:r>
    </w:p>
    <w:p>
      <w:pPr>
        <w:spacing w:after="0" w:line="204" w:lineRule="auto"/>
        <w:rPr>
          <w:sz w:val="20"/>
          <w:szCs w:val="20"/>
          <w:color w:val="auto"/>
        </w:rPr>
      </w:pPr>
      <w:r>
        <w:rPr>
          <w:rFonts w:ascii="Times New Roman" w:cs="Times New Roman" w:eastAsia="Times New Roman" w:hAnsi="Times New Roman"/>
          <w:sz w:val="16"/>
          <w:szCs w:val="16"/>
          <w:color w:val="auto"/>
        </w:rPr>
        <w:t>under this program include restricted stock (consisting of</w:t>
      </w:r>
    </w:p>
    <w:p>
      <w:pPr>
        <w:spacing w:after="0" w:line="203" w:lineRule="auto"/>
        <w:rPr>
          <w:sz w:val="20"/>
          <w:szCs w:val="20"/>
          <w:color w:val="auto"/>
        </w:rPr>
      </w:pPr>
      <w:r>
        <w:rPr>
          <w:rFonts w:ascii="Times New Roman" w:cs="Times New Roman" w:eastAsia="Times New Roman" w:hAnsi="Times New Roman"/>
          <w:sz w:val="16"/>
          <w:szCs w:val="16"/>
          <w:color w:val="auto"/>
        </w:rPr>
        <w:t>restricted stock units), PSUs and stock options. For</w:t>
      </w:r>
    </w:p>
    <w:p>
      <w:pPr>
        <w:spacing w:after="0" w:line="204" w:lineRule="auto"/>
        <w:rPr>
          <w:sz w:val="20"/>
          <w:szCs w:val="20"/>
          <w:color w:val="auto"/>
        </w:rPr>
      </w:pPr>
      <w:r>
        <w:rPr>
          <w:rFonts w:ascii="Times New Roman" w:cs="Times New Roman" w:eastAsia="Times New Roman" w:hAnsi="Times New Roman"/>
          <w:sz w:val="16"/>
          <w:szCs w:val="16"/>
          <w:color w:val="auto"/>
        </w:rPr>
        <w:t>accounting purposes, we consider PSUs to be a form of</w:t>
      </w:r>
    </w:p>
    <w:p>
      <w:pPr>
        <w:spacing w:after="0"/>
        <w:rPr>
          <w:sz w:val="20"/>
          <w:szCs w:val="20"/>
          <w:color w:val="auto"/>
        </w:rPr>
      </w:pPr>
      <w:r>
        <w:rPr>
          <w:rFonts w:ascii="Times New Roman" w:cs="Times New Roman" w:eastAsia="Times New Roman" w:hAnsi="Times New Roman"/>
          <w:sz w:val="16"/>
          <w:szCs w:val="16"/>
          <w:color w:val="auto"/>
        </w:rPr>
        <w:t>restricted stock. Generally, annual employee awards are</w:t>
      </w:r>
    </w:p>
    <w:p>
      <w:pPr>
        <w:spacing w:after="0" w:line="186" w:lineRule="auto"/>
        <w:rPr>
          <w:sz w:val="20"/>
          <w:szCs w:val="20"/>
          <w:color w:val="auto"/>
        </w:rPr>
      </w:pPr>
      <w:r>
        <w:rPr>
          <w:rFonts w:ascii="Times New Roman" w:cs="Times New Roman" w:eastAsia="Times New Roman" w:hAnsi="Times New Roman"/>
          <w:sz w:val="16"/>
          <w:szCs w:val="16"/>
          <w:color w:val="auto"/>
        </w:rPr>
        <w:t>granted on or about April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Summary of Share-Based Compensation Expense</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presents the total share-based</w:t>
      </w:r>
    </w:p>
    <w:p>
      <w:pPr>
        <w:spacing w:after="0" w:line="203" w:lineRule="auto"/>
        <w:rPr>
          <w:sz w:val="20"/>
          <w:szCs w:val="20"/>
          <w:color w:val="auto"/>
        </w:rPr>
      </w:pPr>
      <w:r>
        <w:rPr>
          <w:rFonts w:ascii="Times New Roman" w:cs="Times New Roman" w:eastAsia="Times New Roman" w:hAnsi="Times New Roman"/>
          <w:sz w:val="16"/>
          <w:szCs w:val="16"/>
          <w:color w:val="auto"/>
        </w:rPr>
        <w:t>compensation expense resulting from equity awards and the</w:t>
      </w:r>
    </w:p>
    <w:p>
      <w:pPr>
        <w:spacing w:after="0" w:line="204" w:lineRule="auto"/>
        <w:rPr>
          <w:sz w:val="20"/>
          <w:szCs w:val="20"/>
          <w:color w:val="auto"/>
        </w:rPr>
      </w:pPr>
      <w:r>
        <w:rPr>
          <w:rFonts w:ascii="Times New Roman" w:cs="Times New Roman" w:eastAsia="Times New Roman" w:hAnsi="Times New Roman"/>
          <w:sz w:val="16"/>
          <w:szCs w:val="16"/>
          <w:color w:val="auto"/>
        </w:rPr>
        <w:t>15.0% discount for the ESPP for the years ended December</w:t>
      </w:r>
    </w:p>
    <w:p>
      <w:pPr>
        <w:spacing w:after="0" w:line="204" w:lineRule="auto"/>
        <w:rPr>
          <w:sz w:val="20"/>
          <w:szCs w:val="20"/>
          <w:color w:val="auto"/>
        </w:rPr>
      </w:pPr>
      <w:r>
        <w:rPr>
          <w:rFonts w:ascii="Times New Roman" w:cs="Times New Roman" w:eastAsia="Times New Roman" w:hAnsi="Times New Roman"/>
          <w:sz w:val="16"/>
          <w:szCs w:val="16"/>
          <w:color w:val="auto"/>
        </w:rPr>
        <w:t>31, 2025, 2024 and 2023, which is primarily included in</w:t>
      </w:r>
    </w:p>
    <w:p>
      <w:pPr>
        <w:spacing w:after="0" w:line="203" w:lineRule="auto"/>
        <w:rPr>
          <w:sz w:val="20"/>
          <w:szCs w:val="20"/>
          <w:color w:val="auto"/>
        </w:rPr>
      </w:pPr>
      <w:r>
        <w:rPr>
          <w:rFonts w:ascii="Times New Roman" w:cs="Times New Roman" w:eastAsia="Times New Roman" w:hAnsi="Times New Roman"/>
          <w:sz w:val="16"/>
          <w:szCs w:val="16"/>
          <w:color w:val="auto"/>
        </w:rPr>
        <w:t>compensation and benefits expense in the Consolidated</w:t>
      </w:r>
    </w:p>
    <w:p>
      <w:pPr>
        <w:spacing w:after="0" w:line="228" w:lineRule="auto"/>
        <w:rPr>
          <w:sz w:val="20"/>
          <w:szCs w:val="20"/>
          <w:color w:val="auto"/>
        </w:rPr>
      </w:pPr>
      <w:r>
        <w:rPr>
          <w:rFonts w:ascii="Times New Roman" w:cs="Times New Roman" w:eastAsia="Times New Roman" w:hAnsi="Times New Roman"/>
          <w:sz w:val="16"/>
          <w:szCs w:val="16"/>
          <w:color w:val="auto"/>
        </w:rPr>
        <w:t>Statements of Income:</w:t>
      </w:r>
    </w:p>
    <w:tbl>
      <w:tblPr>
        <w:tblLayout w:type="fixed"/>
        <w:tblInd w:w="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62"/>
        </w:trPr>
        <w:tc>
          <w:tcPr>
            <w:tcW w:w="24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62"/>
        </w:trPr>
        <w:tc>
          <w:tcPr>
            <w:tcW w:w="24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44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4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$ 165</w:t>
            </w:r>
          </w:p>
        </w:tc>
        <w:tc>
          <w:tcPr>
            <w:tcW w:w="52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$ 141</w:t>
            </w:r>
          </w:p>
        </w:tc>
        <w:tc>
          <w:tcPr>
            <w:tcW w:w="5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$ 122</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before income taxes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2545715" cy="2514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2545715" cy="2514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Common Shares Available Under Our Equity Plan</w:t>
      </w:r>
    </w:p>
    <w:p>
      <w:pPr>
        <w:spacing w:after="0" w:line="203" w:lineRule="auto"/>
        <w:rPr>
          <w:sz w:val="20"/>
          <w:szCs w:val="20"/>
          <w:color w:val="auto"/>
        </w:rPr>
      </w:pPr>
      <w:r>
        <w:rPr>
          <w:rFonts w:ascii="Times New Roman" w:cs="Times New Roman" w:eastAsia="Times New Roman" w:hAnsi="Times New Roman"/>
          <w:sz w:val="16"/>
          <w:szCs w:val="16"/>
          <w:color w:val="auto"/>
        </w:rPr>
        <w:t>As of December 31, 2025, we had approximately 21.6</w:t>
      </w:r>
    </w:p>
    <w:p>
      <w:pPr>
        <w:spacing w:after="0" w:line="204" w:lineRule="auto"/>
        <w:rPr>
          <w:sz w:val="20"/>
          <w:szCs w:val="20"/>
          <w:color w:val="auto"/>
        </w:rPr>
      </w:pPr>
      <w:r>
        <w:rPr>
          <w:rFonts w:ascii="Times New Roman" w:cs="Times New Roman" w:eastAsia="Times New Roman" w:hAnsi="Times New Roman"/>
          <w:sz w:val="16"/>
          <w:szCs w:val="16"/>
          <w:color w:val="auto"/>
        </w:rPr>
        <w:t>million shares of common stock authorized for future</w:t>
      </w:r>
    </w:p>
    <w:p>
      <w:pPr>
        <w:spacing w:after="0" w:line="203" w:lineRule="auto"/>
        <w:rPr>
          <w:sz w:val="20"/>
          <w:szCs w:val="20"/>
          <w:color w:val="auto"/>
        </w:rPr>
      </w:pPr>
      <w:r>
        <w:rPr>
          <w:rFonts w:ascii="Times New Roman" w:cs="Times New Roman" w:eastAsia="Times New Roman" w:hAnsi="Times New Roman"/>
          <w:sz w:val="16"/>
          <w:szCs w:val="16"/>
          <w:color w:val="auto"/>
        </w:rPr>
        <w:t>issuance under our Equity Plan.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Restricted Stock</w:t>
      </w:r>
    </w:p>
    <w:p>
      <w:pPr>
        <w:spacing w:after="0" w:line="203" w:lineRule="auto"/>
        <w:rPr>
          <w:sz w:val="20"/>
          <w:szCs w:val="20"/>
          <w:color w:val="auto"/>
        </w:rPr>
      </w:pPr>
      <w:r>
        <w:rPr>
          <w:rFonts w:ascii="Times New Roman" w:cs="Times New Roman" w:eastAsia="Times New Roman" w:hAnsi="Times New Roman"/>
          <w:sz w:val="16"/>
          <w:szCs w:val="16"/>
          <w:color w:val="auto"/>
        </w:rPr>
        <w:t>We grant restricted stock to most employees. The grant date</w:t>
      </w:r>
    </w:p>
    <w:p>
      <w:pPr>
        <w:spacing w:after="0" w:line="204" w:lineRule="auto"/>
        <w:rPr>
          <w:sz w:val="20"/>
          <w:szCs w:val="20"/>
          <w:color w:val="auto"/>
        </w:rPr>
      </w:pPr>
      <w:r>
        <w:rPr>
          <w:rFonts w:ascii="Times New Roman" w:cs="Times New Roman" w:eastAsia="Times New Roman" w:hAnsi="Times New Roman"/>
          <w:sz w:val="16"/>
          <w:szCs w:val="16"/>
          <w:color w:val="auto"/>
        </w:rPr>
        <w:t>fair value of restricted stock units awarded are based on the</w:t>
      </w:r>
    </w:p>
    <w:p>
      <w:pPr>
        <w:spacing w:after="0" w:line="203" w:lineRule="auto"/>
        <w:rPr>
          <w:sz w:val="20"/>
          <w:szCs w:val="20"/>
          <w:color w:val="auto"/>
        </w:rPr>
      </w:pPr>
      <w:r>
        <w:rPr>
          <w:rFonts w:ascii="Times New Roman" w:cs="Times New Roman" w:eastAsia="Times New Roman" w:hAnsi="Times New Roman"/>
          <w:sz w:val="16"/>
          <w:szCs w:val="16"/>
          <w:color w:val="auto"/>
        </w:rPr>
        <w:t>closing stock price at the date of grant less the present value</w:t>
      </w:r>
    </w:p>
    <w:p>
      <w:pPr>
        <w:spacing w:after="0" w:line="204" w:lineRule="auto"/>
        <w:rPr>
          <w:sz w:val="20"/>
          <w:szCs w:val="20"/>
          <w:color w:val="auto"/>
        </w:rPr>
      </w:pPr>
      <w:r>
        <w:rPr>
          <w:rFonts w:ascii="Times New Roman" w:cs="Times New Roman" w:eastAsia="Times New Roman" w:hAnsi="Times New Roman"/>
          <w:sz w:val="16"/>
          <w:szCs w:val="16"/>
          <w:color w:val="auto"/>
        </w:rPr>
        <w:t>of future cash dividends. Restricted stock unit awards granted</w:t>
      </w:r>
    </w:p>
    <w:p>
      <w:pPr>
        <w:spacing w:after="0" w:line="203" w:lineRule="auto"/>
        <w:rPr>
          <w:sz w:val="20"/>
          <w:szCs w:val="20"/>
          <w:color w:val="auto"/>
        </w:rPr>
      </w:pPr>
      <w:r>
        <w:rPr>
          <w:rFonts w:ascii="Times New Roman" w:cs="Times New Roman" w:eastAsia="Times New Roman" w:hAnsi="Times New Roman"/>
          <w:sz w:val="16"/>
          <w:szCs w:val="16"/>
          <w:color w:val="auto"/>
        </w:rPr>
        <w:t>to employees below the manager level generally vest 33% on</w:t>
      </w:r>
    </w:p>
    <w:p>
      <w:pPr>
        <w:spacing w:after="0" w:line="204" w:lineRule="auto"/>
        <w:rPr>
          <w:sz w:val="20"/>
          <w:szCs w:val="20"/>
          <w:color w:val="auto"/>
        </w:rPr>
      </w:pPr>
      <w:r>
        <w:rPr>
          <w:rFonts w:ascii="Times New Roman" w:cs="Times New Roman" w:eastAsia="Times New Roman" w:hAnsi="Times New Roman"/>
          <w:sz w:val="16"/>
          <w:szCs w:val="16"/>
          <w:color w:val="auto"/>
        </w:rPr>
        <w:t>the first anniversary of the grant date, 33% on the second</w:t>
      </w:r>
    </w:p>
    <w:p>
      <w:pPr>
        <w:spacing w:after="0" w:line="204" w:lineRule="auto"/>
        <w:rPr>
          <w:sz w:val="20"/>
          <w:szCs w:val="20"/>
          <w:color w:val="auto"/>
        </w:rPr>
      </w:pPr>
      <w:r>
        <w:rPr>
          <w:rFonts w:ascii="Times New Roman" w:cs="Times New Roman" w:eastAsia="Times New Roman" w:hAnsi="Times New Roman"/>
          <w:sz w:val="16"/>
          <w:szCs w:val="16"/>
          <w:color w:val="auto"/>
        </w:rPr>
        <w:t>anniversary of the grant date, and the remainder on the third</w:t>
      </w:r>
    </w:p>
    <w:p>
      <w:pPr>
        <w:spacing w:after="0" w:line="203" w:lineRule="auto"/>
        <w:rPr>
          <w:sz w:val="20"/>
          <w:szCs w:val="20"/>
          <w:color w:val="auto"/>
        </w:rPr>
      </w:pPr>
      <w:r>
        <w:rPr>
          <w:rFonts w:ascii="Times New Roman" w:cs="Times New Roman" w:eastAsia="Times New Roman" w:hAnsi="Times New Roman"/>
          <w:sz w:val="16"/>
          <w:szCs w:val="16"/>
          <w:color w:val="auto"/>
        </w:rPr>
        <w:t>anniversary of the grant date. Restricted stock unit awards</w:t>
      </w:r>
    </w:p>
    <w:p>
      <w:pPr>
        <w:spacing w:after="0" w:line="204" w:lineRule="auto"/>
        <w:rPr>
          <w:sz w:val="20"/>
          <w:szCs w:val="20"/>
          <w:color w:val="auto"/>
        </w:rPr>
      </w:pPr>
      <w:r>
        <w:rPr>
          <w:rFonts w:ascii="Times New Roman" w:cs="Times New Roman" w:eastAsia="Times New Roman" w:hAnsi="Times New Roman"/>
          <w:sz w:val="16"/>
          <w:szCs w:val="16"/>
          <w:color w:val="auto"/>
        </w:rPr>
        <w:t>granted to employees at or above the manager level generally</w:t>
      </w:r>
    </w:p>
    <w:p>
      <w:pPr>
        <w:spacing w:after="0" w:line="203" w:lineRule="auto"/>
        <w:rPr>
          <w:sz w:val="20"/>
          <w:szCs w:val="20"/>
          <w:color w:val="auto"/>
        </w:rPr>
      </w:pPr>
      <w:r>
        <w:rPr>
          <w:rFonts w:ascii="Times New Roman" w:cs="Times New Roman" w:eastAsia="Times New Roman" w:hAnsi="Times New Roman"/>
          <w:sz w:val="16"/>
          <w:szCs w:val="16"/>
          <w:color w:val="auto"/>
        </w:rPr>
        <w:t>vest 33% on the second anniversary of the grant date, 33% on</w:t>
      </w:r>
    </w:p>
    <w:p>
      <w:pPr>
        <w:spacing w:after="0" w:line="204" w:lineRule="auto"/>
        <w:rPr>
          <w:sz w:val="20"/>
          <w:szCs w:val="20"/>
          <w:color w:val="auto"/>
        </w:rPr>
      </w:pPr>
      <w:r>
        <w:rPr>
          <w:rFonts w:ascii="Times New Roman" w:cs="Times New Roman" w:eastAsia="Times New Roman" w:hAnsi="Times New Roman"/>
          <w:sz w:val="16"/>
          <w:szCs w:val="16"/>
          <w:color w:val="auto"/>
        </w:rPr>
        <w:t>the third anniversary of the grant date, and the remainder on</w:t>
      </w:r>
    </w:p>
    <w:p>
      <w:pPr>
        <w:spacing w:after="0" w:line="203" w:lineRule="auto"/>
        <w:rPr>
          <w:sz w:val="20"/>
          <w:szCs w:val="20"/>
          <w:color w:val="auto"/>
        </w:rPr>
      </w:pPr>
      <w:r>
        <w:rPr>
          <w:rFonts w:ascii="Times New Roman" w:cs="Times New Roman" w:eastAsia="Times New Roman" w:hAnsi="Times New Roman"/>
          <w:sz w:val="16"/>
          <w:szCs w:val="16"/>
          <w:color w:val="auto"/>
        </w:rPr>
        <w:t>the fourth anniversary of the grant date.</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summarizes our restricted stock activity</w:t>
      </w:r>
    </w:p>
    <w:p>
      <w:pPr>
        <w:spacing w:after="0" w:line="228" w:lineRule="auto"/>
        <w:rPr>
          <w:sz w:val="20"/>
          <w:szCs w:val="20"/>
          <w:color w:val="auto"/>
        </w:rPr>
      </w:pPr>
      <w:r>
        <w:rPr>
          <w:rFonts w:ascii="Times New Roman" w:cs="Times New Roman" w:eastAsia="Times New Roman" w:hAnsi="Times New Roman"/>
          <w:sz w:val="16"/>
          <w:szCs w:val="16"/>
          <w:color w:val="auto"/>
        </w:rPr>
        <w:t>for the years ended December 31, 2025, 2024 and 2023:</w:t>
      </w:r>
    </w:p>
    <w:tbl>
      <w:tblPr>
        <w:tblLayout w:type="fixed"/>
        <w:tblInd w:w="0" w:type="dxa"/>
        <w:tblCellMar>
          <w:top w:w="0" w:type="dxa"/>
          <w:left w:w="0" w:type="dxa"/>
          <w:bottom w:w="0" w:type="dxa"/>
          <w:right w:w="0" w:type="dxa"/>
        </w:tblCellMar>
      </w:tblPr>
      <w:tr>
        <w:trPr>
          <w:trHeight w:val="142"/>
        </w:trPr>
        <w:tc>
          <w:tcPr>
            <w:tcW w:w="18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Restricted Stock</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38"/>
        </w:trPr>
        <w:tc>
          <w:tcPr>
            <w:tcW w:w="18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r>
      <w:tr>
        <w:trPr>
          <w:trHeight w:val="100"/>
        </w:trPr>
        <w:tc>
          <w:tcPr>
            <w:tcW w:w="1860" w:type="dxa"/>
            <w:vAlign w:val="bottom"/>
          </w:tcPr>
          <w:p>
            <w:pPr>
              <w:spacing w:after="0"/>
              <w:rPr>
                <w:sz w:val="8"/>
                <w:szCs w:val="8"/>
                <w:color w:val="auto"/>
              </w:rPr>
            </w:pPr>
          </w:p>
        </w:tc>
        <w:tc>
          <w:tcPr>
            <w:tcW w:w="104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Number of Awards</w:t>
            </w:r>
          </w:p>
        </w:tc>
        <w:tc>
          <w:tcPr>
            <w:tcW w:w="60" w:type="dxa"/>
            <w:vAlign w:val="bottom"/>
          </w:tcPr>
          <w:p>
            <w:pPr>
              <w:spacing w:after="0"/>
              <w:rPr>
                <w:sz w:val="8"/>
                <w:szCs w:val="8"/>
                <w:color w:val="auto"/>
              </w:rPr>
            </w:pPr>
          </w:p>
        </w:tc>
        <w:tc>
          <w:tcPr>
            <w:tcW w:w="10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Weighted-Average</w:t>
            </w:r>
          </w:p>
        </w:tc>
      </w:tr>
      <w:tr>
        <w:trPr>
          <w:trHeight w:val="108"/>
        </w:trPr>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Grant Date Fair</w:t>
            </w:r>
          </w:p>
        </w:tc>
      </w:tr>
      <w:tr>
        <w:trPr>
          <w:trHeight w:val="142"/>
        </w:trPr>
        <w:tc>
          <w:tcPr>
            <w:tcW w:w="1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Value</w:t>
            </w:r>
          </w:p>
        </w:tc>
        <w:tc>
          <w:tcPr>
            <w:tcW w:w="640" w:type="dxa"/>
            <w:vAlign w:val="bottom"/>
          </w:tcPr>
          <w:p>
            <w:pPr>
              <w:spacing w:after="0"/>
              <w:rPr>
                <w:sz w:val="12"/>
                <w:szCs w:val="12"/>
                <w:color w:val="auto"/>
              </w:rPr>
            </w:pPr>
          </w:p>
        </w:tc>
      </w:tr>
      <w:tr>
        <w:trPr>
          <w:trHeight w:val="62"/>
        </w:trPr>
        <w:tc>
          <w:tcPr>
            <w:tcW w:w="18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136"/>
        </w:trPr>
        <w:tc>
          <w:tcPr>
            <w:tcW w:w="1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Unvested at December 31,</w:t>
            </w:r>
          </w:p>
        </w:tc>
        <w:tc>
          <w:tcPr>
            <w:tcW w:w="1040" w:type="dxa"/>
            <w:vAlign w:val="bottom"/>
            <w:shd w:val="clear" w:color="auto" w:fill="CCEEFF"/>
          </w:tcPr>
          <w:p>
            <w:pPr>
              <w:jc w:val="right"/>
              <w:ind w:right="67"/>
              <w:spacing w:after="0" w:line="136" w:lineRule="exact"/>
              <w:rPr>
                <w:sz w:val="20"/>
                <w:szCs w:val="20"/>
                <w:color w:val="auto"/>
              </w:rPr>
            </w:pPr>
            <w:r>
              <w:rPr>
                <w:rFonts w:ascii="Times New Roman" w:cs="Times New Roman" w:eastAsia="Times New Roman" w:hAnsi="Times New Roman"/>
                <w:sz w:val="14"/>
                <w:szCs w:val="14"/>
                <w:color w:val="auto"/>
              </w:rPr>
              <w:t>4,380,513</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45.48</w:t>
            </w: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1,850,790</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52.66</w:t>
            </w:r>
          </w:p>
        </w:tc>
      </w:tr>
      <w:tr>
        <w:trPr>
          <w:trHeight w:val="25"/>
        </w:trPr>
        <w:tc>
          <w:tcPr>
            <w:tcW w:w="1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(1,703,252)</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38.21</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(318,752)</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51.15</w:t>
            </w:r>
          </w:p>
        </w:tc>
      </w:tr>
      <w:tr>
        <w:trPr>
          <w:trHeight w:val="25"/>
        </w:trPr>
        <w:tc>
          <w:tcPr>
            <w:tcW w:w="1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136"/>
        </w:trPr>
        <w:tc>
          <w:tcPr>
            <w:tcW w:w="1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Unvested at December 31,</w:t>
            </w:r>
          </w:p>
        </w:tc>
        <w:tc>
          <w:tcPr>
            <w:tcW w:w="1040" w:type="dxa"/>
            <w:vAlign w:val="bottom"/>
            <w:shd w:val="clear" w:color="auto" w:fill="CCEEFF"/>
          </w:tcPr>
          <w:p>
            <w:pPr>
              <w:jc w:val="right"/>
              <w:ind w:right="67"/>
              <w:spacing w:after="0" w:line="136" w:lineRule="exact"/>
              <w:rPr>
                <w:sz w:val="20"/>
                <w:szCs w:val="20"/>
                <w:color w:val="auto"/>
              </w:rPr>
            </w:pPr>
            <w:r>
              <w:rPr>
                <w:rFonts w:ascii="Times New Roman" w:cs="Times New Roman" w:eastAsia="Times New Roman" w:hAnsi="Times New Roman"/>
                <w:sz w:val="14"/>
                <w:szCs w:val="14"/>
                <w:color w:val="auto"/>
              </w:rPr>
              <w:t>4,209,299</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51.15</w:t>
            </w: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1,874,976</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60.16</w:t>
            </w:r>
          </w:p>
        </w:tc>
      </w:tr>
      <w:tr>
        <w:trPr>
          <w:trHeight w:val="37"/>
        </w:trPr>
        <w:tc>
          <w:tcPr>
            <w:tcW w:w="1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(1,614,071)</w:t>
            </w: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47.48</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(291,337)</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55.57</w:t>
            </w:r>
          </w:p>
        </w:tc>
      </w:tr>
      <w:tr>
        <w:trPr>
          <w:trHeight w:val="37"/>
        </w:trPr>
        <w:tc>
          <w:tcPr>
            <w:tcW w:w="18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r>
      <w:tr>
        <w:trPr>
          <w:trHeight w:val="136"/>
        </w:trPr>
        <w:tc>
          <w:tcPr>
            <w:tcW w:w="1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Unvested at December 31,</w:t>
            </w:r>
          </w:p>
        </w:tc>
        <w:tc>
          <w:tcPr>
            <w:tcW w:w="1040" w:type="dxa"/>
            <w:vAlign w:val="bottom"/>
            <w:shd w:val="clear" w:color="auto" w:fill="CCEEFF"/>
          </w:tcPr>
          <w:p>
            <w:pPr>
              <w:jc w:val="right"/>
              <w:ind w:right="67"/>
              <w:spacing w:after="0" w:line="136" w:lineRule="exact"/>
              <w:rPr>
                <w:sz w:val="20"/>
                <w:szCs w:val="20"/>
                <w:color w:val="auto"/>
              </w:rPr>
            </w:pPr>
            <w:r>
              <w:rPr>
                <w:rFonts w:ascii="Times New Roman" w:cs="Times New Roman" w:eastAsia="Times New Roman" w:hAnsi="Times New Roman"/>
                <w:sz w:val="14"/>
                <w:szCs w:val="14"/>
                <w:color w:val="auto"/>
              </w:rPr>
              <w:t>4,178,867</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56.30</w:t>
            </w: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0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1,616,873</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74.50</w:t>
            </w:r>
          </w:p>
        </w:tc>
      </w:tr>
      <w:tr>
        <w:trPr>
          <w:trHeight w:val="37"/>
        </w:trPr>
        <w:tc>
          <w:tcPr>
            <w:tcW w:w="1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(1,629,481)</w:t>
            </w: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54.86</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(245,795)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61.68</w:t>
            </w:r>
          </w:p>
        </w:tc>
      </w:tr>
      <w:tr>
        <w:trPr>
          <w:trHeight w:val="37"/>
        </w:trPr>
        <w:tc>
          <w:tcPr>
            <w:tcW w:w="18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r>
      <w:tr>
        <w:trPr>
          <w:trHeight w:val="136"/>
        </w:trPr>
        <w:tc>
          <w:tcPr>
            <w:tcW w:w="1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Unvested at December 31,</w:t>
            </w:r>
          </w:p>
        </w:tc>
        <w:tc>
          <w:tcPr>
            <w:tcW w:w="1040" w:type="dxa"/>
            <w:vAlign w:val="bottom"/>
            <w:shd w:val="clear" w:color="auto" w:fill="CCEEFF"/>
          </w:tcPr>
          <w:p>
            <w:pPr>
              <w:jc w:val="right"/>
              <w:ind w:right="67"/>
              <w:spacing w:after="0" w:line="136" w:lineRule="exact"/>
              <w:rPr>
                <w:sz w:val="20"/>
                <w:szCs w:val="20"/>
                <w:color w:val="auto"/>
              </w:rPr>
            </w:pPr>
            <w:r>
              <w:rPr>
                <w:rFonts w:ascii="Times New Roman" w:cs="Times New Roman" w:eastAsia="Times New Roman" w:hAnsi="Times New Roman"/>
                <w:sz w:val="14"/>
                <w:szCs w:val="14"/>
                <w:color w:val="auto"/>
              </w:rPr>
              <w:t>3,920,464</w:t>
            </w:r>
          </w:p>
        </w:tc>
        <w:tc>
          <w:tcPr>
            <w:tcW w:w="480" w:type="dxa"/>
            <w:vAlign w:val="bottom"/>
            <w:gridSpan w:val="2"/>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64.06</w:t>
            </w: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bl>
    <w:p>
      <w:pPr>
        <w:spacing w:after="0" w:line="225" w:lineRule="auto"/>
        <w:rPr>
          <w:sz w:val="20"/>
          <w:szCs w:val="20"/>
          <w:color w:val="auto"/>
        </w:rPr>
      </w:pPr>
      <w:r>
        <w:rPr>
          <w:rFonts w:ascii="Times New Roman" w:cs="Times New Roman" w:eastAsia="Times New Roman" w:hAnsi="Times New Roman"/>
          <w:sz w:val="16"/>
          <w:szCs w:val="16"/>
          <w:color w:val="auto"/>
        </w:rPr>
        <w:t>As of December 31, 2025, $138 million of total unrecognized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-100965</wp:posOffset>
            </wp:positionV>
            <wp:extent cx="66294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662940"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compensation cost related to restricted stock is expected to be</w:t>
      </w:r>
    </w:p>
    <w:p>
      <w:pPr>
        <w:spacing w:after="0" w:line="203" w:lineRule="auto"/>
        <w:rPr>
          <w:sz w:val="20"/>
          <w:szCs w:val="20"/>
          <w:color w:val="auto"/>
        </w:rPr>
      </w:pPr>
      <w:r>
        <w:rPr>
          <w:rFonts w:ascii="Times New Roman" w:cs="Times New Roman" w:eastAsia="Times New Roman" w:hAnsi="Times New Roman"/>
          <w:sz w:val="16"/>
          <w:szCs w:val="16"/>
          <w:color w:val="auto"/>
        </w:rPr>
        <w:t>recognized over a weighted-average period of 2.1 years.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PSUs</w:t>
      </w:r>
    </w:p>
    <w:p>
      <w:pPr>
        <w:spacing w:after="0" w:line="203" w:lineRule="auto"/>
        <w:rPr>
          <w:sz w:val="20"/>
          <w:szCs w:val="20"/>
          <w:color w:val="auto"/>
        </w:rPr>
      </w:pPr>
      <w:r>
        <w:rPr>
          <w:rFonts w:ascii="Times New Roman" w:cs="Times New Roman" w:eastAsia="Times New Roman" w:hAnsi="Times New Roman"/>
          <w:sz w:val="16"/>
          <w:szCs w:val="16"/>
          <w:color w:val="auto"/>
        </w:rPr>
        <w:t>We grant three-year PSUs to certain eligible employees.</w:t>
      </w:r>
    </w:p>
    <w:p>
      <w:pPr>
        <w:spacing w:after="0" w:line="204" w:lineRule="auto"/>
        <w:rPr>
          <w:sz w:val="20"/>
          <w:szCs w:val="20"/>
          <w:color w:val="auto"/>
        </w:rPr>
      </w:pPr>
      <w:r>
        <w:rPr>
          <w:rFonts w:ascii="Times New Roman" w:cs="Times New Roman" w:eastAsia="Times New Roman" w:hAnsi="Times New Roman"/>
          <w:sz w:val="16"/>
          <w:szCs w:val="16"/>
          <w:color w:val="auto"/>
        </w:rPr>
        <w:t>PSUs are based on performance measures that impact the</w:t>
      </w:r>
    </w:p>
    <w:p>
      <w:pPr>
        <w:spacing w:after="0"/>
        <w:rPr>
          <w:sz w:val="20"/>
          <w:szCs w:val="20"/>
          <w:color w:val="auto"/>
        </w:rPr>
      </w:pPr>
      <w:r>
        <w:rPr>
          <w:rFonts w:ascii="Times New Roman" w:cs="Times New Roman" w:eastAsia="Times New Roman" w:hAnsi="Times New Roman"/>
          <w:sz w:val="16"/>
          <w:szCs w:val="16"/>
          <w:color w:val="auto"/>
        </w:rPr>
        <w:t>amount of shares that each PSU eligible individual receives,</w:t>
      </w:r>
    </w:p>
    <w:p>
      <w:pPr>
        <w:sectPr>
          <w:pgSz w:w="11900" w:h="16840" w:orient="portrait"/>
          <w:cols w:equalWidth="0" w:num="1">
            <w:col w:w="9400"/>
          </w:cols>
          <w:pgMar w:left="1060" w:top="547" w:right="1440" w:bottom="2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color w:val="auto"/>
        </w:rPr>
        <w:t>subject to the satisfaction of applicable market performance</w:t>
      </w:r>
    </w:p>
    <w:p>
      <w:pPr>
        <w:spacing w:after="0" w:line="203" w:lineRule="auto"/>
        <w:rPr>
          <w:sz w:val="20"/>
          <w:szCs w:val="20"/>
          <w:color w:val="auto"/>
        </w:rPr>
      </w:pPr>
      <w:r>
        <w:rPr>
          <w:rFonts w:ascii="Times New Roman" w:cs="Times New Roman" w:eastAsia="Times New Roman" w:hAnsi="Times New Roman"/>
          <w:sz w:val="16"/>
          <w:szCs w:val="16"/>
          <w:color w:val="auto"/>
        </w:rPr>
        <w:t>conditions, with a three-year cumulative performance period</w:t>
      </w:r>
    </w:p>
    <w:p>
      <w:pPr>
        <w:spacing w:after="0"/>
        <w:rPr>
          <w:sz w:val="20"/>
          <w:szCs w:val="20"/>
          <w:color w:val="auto"/>
        </w:rPr>
      </w:pPr>
      <w:r>
        <w:rPr>
          <w:rFonts w:ascii="Times New Roman" w:cs="Times New Roman" w:eastAsia="Times New Roman" w:hAnsi="Times New Roman"/>
          <w:sz w:val="16"/>
          <w:szCs w:val="16"/>
          <w:color w:val="auto"/>
        </w:rPr>
        <w:t>that vest at the end of the performance period and which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F-29</w:t>
      </w:r>
    </w:p>
    <w:p>
      <w:pPr>
        <w:spacing w:after="0" w:line="203" w:lineRule="auto"/>
        <w:rPr>
          <w:sz w:val="20"/>
          <w:szCs w:val="20"/>
          <w:color w:val="auto"/>
        </w:rPr>
      </w:pPr>
      <w:r>
        <w:rPr>
          <w:rFonts w:ascii="Times New Roman" w:cs="Times New Roman" w:eastAsia="Times New Roman" w:hAnsi="Times New Roman"/>
          <w:sz w:val="16"/>
          <w:szCs w:val="16"/>
          <w:color w:val="auto"/>
        </w:rPr>
        <w:t>the award issuance will not exceed 100.0% of the number of</w:t>
      </w:r>
    </w:p>
    <w:p>
      <w:pPr>
        <w:spacing w:after="0" w:line="204" w:lineRule="auto"/>
        <w:rPr>
          <w:sz w:val="20"/>
          <w:szCs w:val="20"/>
          <w:color w:val="auto"/>
        </w:rPr>
      </w:pPr>
      <w:r>
        <w:rPr>
          <w:rFonts w:ascii="Times New Roman" w:cs="Times New Roman" w:eastAsia="Times New Roman" w:hAnsi="Times New Roman"/>
          <w:sz w:val="16"/>
          <w:szCs w:val="16"/>
          <w:color w:val="auto"/>
        </w:rPr>
        <w:t>PSUs granted. We estimate the fair value of PSUs granted</w:t>
      </w:r>
    </w:p>
    <w:p>
      <w:pPr>
        <w:spacing w:after="0" w:line="203" w:lineRule="auto"/>
        <w:rPr>
          <w:sz w:val="20"/>
          <w:szCs w:val="20"/>
          <w:color w:val="auto"/>
        </w:rPr>
      </w:pPr>
      <w:r>
        <w:rPr>
          <w:rFonts w:ascii="Times New Roman" w:cs="Times New Roman" w:eastAsia="Times New Roman" w:hAnsi="Times New Roman"/>
          <w:sz w:val="16"/>
          <w:szCs w:val="16"/>
          <w:color w:val="auto"/>
        </w:rPr>
        <w:t>under the three-year PSU program using the Monte Carlo</w:t>
      </w:r>
    </w:p>
    <w:p>
      <w:pPr>
        <w:spacing w:after="0" w:line="204" w:lineRule="auto"/>
        <w:rPr>
          <w:sz w:val="20"/>
          <w:szCs w:val="20"/>
          <w:color w:val="auto"/>
        </w:rPr>
      </w:pPr>
      <w:r>
        <w:rPr>
          <w:rFonts w:ascii="Times New Roman" w:cs="Times New Roman" w:eastAsia="Times New Roman" w:hAnsi="Times New Roman"/>
          <w:sz w:val="16"/>
          <w:szCs w:val="16"/>
          <w:color w:val="auto"/>
        </w:rPr>
        <w:t>simulation model, as these awards contain a market</w:t>
      </w:r>
    </w:p>
    <w:p>
      <w:pPr>
        <w:spacing w:after="0" w:line="203" w:lineRule="auto"/>
        <w:rPr>
          <w:sz w:val="20"/>
          <w:szCs w:val="20"/>
          <w:color w:val="auto"/>
        </w:rPr>
      </w:pPr>
      <w:r>
        <w:rPr>
          <w:rFonts w:ascii="Times New Roman" w:cs="Times New Roman" w:eastAsia="Times New Roman" w:hAnsi="Times New Roman"/>
          <w:sz w:val="16"/>
          <w:szCs w:val="16"/>
          <w:color w:val="auto"/>
        </w:rPr>
        <w:t>condition.</w:t>
      </w:r>
    </w:p>
    <w:p>
      <w:pPr>
        <w:spacing w:after="0" w:line="204" w:lineRule="auto"/>
        <w:rPr>
          <w:sz w:val="20"/>
          <w:szCs w:val="20"/>
          <w:color w:val="auto"/>
        </w:rPr>
      </w:pPr>
      <w:r>
        <w:rPr>
          <w:rFonts w:ascii="Times New Roman" w:cs="Times New Roman" w:eastAsia="Times New Roman" w:hAnsi="Times New Roman"/>
          <w:sz w:val="16"/>
          <w:szCs w:val="16"/>
          <w:color w:val="auto"/>
        </w:rPr>
        <w:t>In 2024, we also granted PSUs with a two-year performance</w:t>
      </w:r>
    </w:p>
    <w:p>
      <w:pPr>
        <w:spacing w:after="0" w:line="203" w:lineRule="auto"/>
        <w:rPr>
          <w:sz w:val="20"/>
          <w:szCs w:val="20"/>
          <w:color w:val="auto"/>
        </w:rPr>
      </w:pPr>
      <w:r>
        <w:rPr>
          <w:rFonts w:ascii="Times New Roman" w:cs="Times New Roman" w:eastAsia="Times New Roman" w:hAnsi="Times New Roman"/>
          <w:sz w:val="16"/>
          <w:szCs w:val="16"/>
          <w:color w:val="auto"/>
        </w:rPr>
        <w:t>period to certain eligible executives at the senior vice</w:t>
      </w:r>
    </w:p>
    <w:p>
      <w:pPr>
        <w:spacing w:after="0" w:line="204" w:lineRule="auto"/>
        <w:rPr>
          <w:sz w:val="20"/>
          <w:szCs w:val="20"/>
          <w:color w:val="auto"/>
        </w:rPr>
      </w:pPr>
      <w:r>
        <w:rPr>
          <w:rFonts w:ascii="Times New Roman" w:cs="Times New Roman" w:eastAsia="Times New Roman" w:hAnsi="Times New Roman"/>
          <w:sz w:val="16"/>
          <w:szCs w:val="16"/>
          <w:color w:val="auto"/>
        </w:rPr>
        <w:t>president level and above. These PSUs are based on</w:t>
      </w:r>
    </w:p>
    <w:p>
      <w:pPr>
        <w:spacing w:after="0" w:line="203" w:lineRule="auto"/>
        <w:rPr>
          <w:sz w:val="20"/>
          <w:szCs w:val="20"/>
          <w:color w:val="auto"/>
        </w:rPr>
      </w:pPr>
      <w:r>
        <w:rPr>
          <w:rFonts w:ascii="Times New Roman" w:cs="Times New Roman" w:eastAsia="Times New Roman" w:hAnsi="Times New Roman"/>
          <w:sz w:val="16"/>
          <w:szCs w:val="16"/>
          <w:color w:val="auto"/>
        </w:rPr>
        <w:t>performance measures relating to the implementation of</w:t>
      </w:r>
    </w:p>
    <w:p>
      <w:pPr>
        <w:spacing w:after="0" w:line="204" w:lineRule="auto"/>
        <w:rPr>
          <w:sz w:val="20"/>
          <w:szCs w:val="20"/>
          <w:color w:val="auto"/>
        </w:rPr>
      </w:pPr>
      <w:r>
        <w:rPr>
          <w:rFonts w:ascii="Times New Roman" w:cs="Times New Roman" w:eastAsia="Times New Roman" w:hAnsi="Times New Roman"/>
          <w:sz w:val="16"/>
          <w:szCs w:val="16"/>
          <w:color w:val="auto"/>
        </w:rPr>
        <w:t>certain integration actions in connection with the Adenza</w:t>
      </w:r>
    </w:p>
    <w:p>
      <w:pPr>
        <w:spacing w:after="0" w:line="204" w:lineRule="auto"/>
        <w:rPr>
          <w:sz w:val="20"/>
          <w:szCs w:val="20"/>
          <w:color w:val="auto"/>
        </w:rPr>
      </w:pPr>
      <w:r>
        <w:rPr>
          <w:rFonts w:ascii="Times New Roman" w:cs="Times New Roman" w:eastAsia="Times New Roman" w:hAnsi="Times New Roman"/>
          <w:sz w:val="16"/>
          <w:szCs w:val="16"/>
          <w:color w:val="auto"/>
        </w:rPr>
        <w:t>acquisition. Achievement of the targets impacts the amount</w:t>
      </w:r>
    </w:p>
    <w:p>
      <w:pPr>
        <w:spacing w:after="0" w:line="203" w:lineRule="auto"/>
        <w:rPr>
          <w:sz w:val="20"/>
          <w:szCs w:val="20"/>
          <w:color w:val="auto"/>
        </w:rPr>
      </w:pPr>
      <w:r>
        <w:rPr>
          <w:rFonts w:ascii="Times New Roman" w:cs="Times New Roman" w:eastAsia="Times New Roman" w:hAnsi="Times New Roman"/>
          <w:sz w:val="16"/>
          <w:szCs w:val="16"/>
          <w:color w:val="auto"/>
        </w:rPr>
        <w:t>of shares that each PSU eligible individual receives. The</w:t>
      </w:r>
    </w:p>
    <w:p>
      <w:pPr>
        <w:spacing w:after="0" w:line="204" w:lineRule="auto"/>
        <w:rPr>
          <w:sz w:val="20"/>
          <w:szCs w:val="20"/>
          <w:color w:val="auto"/>
        </w:rPr>
      </w:pPr>
      <w:r>
        <w:rPr>
          <w:rFonts w:ascii="Times New Roman" w:cs="Times New Roman" w:eastAsia="Times New Roman" w:hAnsi="Times New Roman"/>
          <w:sz w:val="16"/>
          <w:szCs w:val="16"/>
          <w:color w:val="auto"/>
        </w:rPr>
        <w:t>PSUs have a two-year performance period and will vest one</w:t>
      </w:r>
    </w:p>
    <w:p>
      <w:pPr>
        <w:spacing w:after="0" w:line="203" w:lineRule="auto"/>
        <w:rPr>
          <w:sz w:val="20"/>
          <w:szCs w:val="20"/>
          <w:color w:val="auto"/>
        </w:rPr>
      </w:pPr>
      <w:r>
        <w:rPr>
          <w:rFonts w:ascii="Times New Roman" w:cs="Times New Roman" w:eastAsia="Times New Roman" w:hAnsi="Times New Roman"/>
          <w:sz w:val="16"/>
          <w:szCs w:val="16"/>
          <w:color w:val="auto"/>
        </w:rPr>
        <w:t>year after the end of the performance period, and settle in</w:t>
      </w:r>
    </w:p>
    <w:p>
      <w:pPr>
        <w:spacing w:after="0" w:line="204" w:lineRule="auto"/>
        <w:rPr>
          <w:sz w:val="20"/>
          <w:szCs w:val="20"/>
          <w:color w:val="auto"/>
        </w:rPr>
      </w:pPr>
      <w:r>
        <w:rPr>
          <w:rFonts w:ascii="Times New Roman" w:cs="Times New Roman" w:eastAsia="Times New Roman" w:hAnsi="Times New Roman"/>
          <w:sz w:val="16"/>
          <w:szCs w:val="16"/>
          <w:color w:val="auto"/>
        </w:rPr>
        <w:t>shares of our common stock. The award issuance under this</w:t>
      </w:r>
    </w:p>
    <w:p>
      <w:pPr>
        <w:spacing w:after="0" w:line="203" w:lineRule="auto"/>
        <w:rPr>
          <w:sz w:val="20"/>
          <w:szCs w:val="20"/>
          <w:color w:val="auto"/>
        </w:rPr>
      </w:pPr>
      <w:r>
        <w:rPr>
          <w:rFonts w:ascii="Times New Roman" w:cs="Times New Roman" w:eastAsia="Times New Roman" w:hAnsi="Times New Roman"/>
          <w:sz w:val="16"/>
          <w:szCs w:val="16"/>
          <w:color w:val="auto"/>
        </w:rPr>
        <w:t>program will be between 0.0% and 200.0% of the number of</w:t>
      </w:r>
    </w:p>
    <w:p>
      <w:pPr>
        <w:spacing w:after="0" w:line="204" w:lineRule="auto"/>
        <w:rPr>
          <w:sz w:val="20"/>
          <w:szCs w:val="20"/>
          <w:color w:val="auto"/>
        </w:rPr>
      </w:pPr>
      <w:r>
        <w:rPr>
          <w:rFonts w:ascii="Times New Roman" w:cs="Times New Roman" w:eastAsia="Times New Roman" w:hAnsi="Times New Roman"/>
          <w:sz w:val="16"/>
          <w:szCs w:val="16"/>
          <w:color w:val="auto"/>
        </w:rPr>
        <w:t>PSUs granted.</w:t>
      </w:r>
    </w:p>
    <w:p>
      <w:pPr>
        <w:spacing w:after="0" w:line="203" w:lineRule="auto"/>
        <w:rPr>
          <w:sz w:val="20"/>
          <w:szCs w:val="20"/>
          <w:color w:val="auto"/>
        </w:rPr>
      </w:pPr>
      <w:r>
        <w:rPr>
          <w:rFonts w:ascii="Times New Roman" w:cs="Times New Roman" w:eastAsia="Times New Roman" w:hAnsi="Times New Roman"/>
          <w:sz w:val="16"/>
          <w:szCs w:val="16"/>
          <w:color w:val="auto"/>
        </w:rPr>
        <w:t>Grants of PSUs that were issued in 2022 with a three-year</w:t>
      </w:r>
    </w:p>
    <w:p>
      <w:pPr>
        <w:spacing w:after="0" w:line="204" w:lineRule="auto"/>
        <w:rPr>
          <w:sz w:val="20"/>
          <w:szCs w:val="20"/>
          <w:color w:val="auto"/>
        </w:rPr>
      </w:pPr>
      <w:r>
        <w:rPr>
          <w:rFonts w:ascii="Times New Roman" w:cs="Times New Roman" w:eastAsia="Times New Roman" w:hAnsi="Times New Roman"/>
          <w:sz w:val="16"/>
          <w:szCs w:val="16"/>
          <w:color w:val="auto"/>
        </w:rPr>
        <w:t>performance period exceeded the applicable performance</w:t>
      </w:r>
    </w:p>
    <w:p>
      <w:pPr>
        <w:spacing w:after="0" w:line="204" w:lineRule="auto"/>
        <w:rPr>
          <w:sz w:val="20"/>
          <w:szCs w:val="20"/>
          <w:color w:val="auto"/>
        </w:rPr>
      </w:pPr>
      <w:r>
        <w:rPr>
          <w:rFonts w:ascii="Times New Roman" w:cs="Times New Roman" w:eastAsia="Times New Roman" w:hAnsi="Times New Roman"/>
          <w:sz w:val="16"/>
          <w:szCs w:val="16"/>
          <w:color w:val="auto"/>
        </w:rPr>
        <w:t>metrics. As a result, an additional 32,802 units above the</w:t>
      </w:r>
    </w:p>
    <w:p>
      <w:pPr>
        <w:spacing w:after="0" w:line="203" w:lineRule="auto"/>
        <w:rPr>
          <w:sz w:val="20"/>
          <w:szCs w:val="20"/>
          <w:color w:val="auto"/>
        </w:rPr>
      </w:pPr>
      <w:r>
        <w:rPr>
          <w:rFonts w:ascii="Times New Roman" w:cs="Times New Roman" w:eastAsia="Times New Roman" w:hAnsi="Times New Roman"/>
          <w:sz w:val="16"/>
          <w:szCs w:val="16"/>
          <w:color w:val="auto"/>
        </w:rPr>
        <w:t>original aggregate target amount were granted in the first</w:t>
      </w:r>
    </w:p>
    <w:p>
      <w:pPr>
        <w:spacing w:after="0" w:line="204" w:lineRule="auto"/>
        <w:rPr>
          <w:sz w:val="20"/>
          <w:szCs w:val="20"/>
          <w:color w:val="auto"/>
        </w:rPr>
      </w:pPr>
      <w:r>
        <w:rPr>
          <w:rFonts w:ascii="Times New Roman" w:cs="Times New Roman" w:eastAsia="Times New Roman" w:hAnsi="Times New Roman"/>
          <w:sz w:val="16"/>
          <w:szCs w:val="16"/>
          <w:color w:val="auto"/>
        </w:rPr>
        <w:t>quarter of 2025 and were fully vested upon issuance.</w:t>
      </w:r>
    </w:p>
    <w:p>
      <w:pPr>
        <w:spacing w:after="0" w:line="203" w:lineRule="auto"/>
        <w:rPr>
          <w:sz w:val="20"/>
          <w:szCs w:val="20"/>
          <w:color w:val="auto"/>
        </w:rPr>
      </w:pPr>
      <w:r>
        <w:rPr>
          <w:rFonts w:ascii="Times New Roman" w:cs="Times New Roman" w:eastAsia="Times New Roman" w:hAnsi="Times New Roman"/>
          <w:sz w:val="16"/>
          <w:szCs w:val="16"/>
          <w:color w:val="auto"/>
        </w:rPr>
        <w:t>Grants of PSUs that were issued in 2023 with a three-year</w:t>
      </w:r>
    </w:p>
    <w:p>
      <w:pPr>
        <w:spacing w:after="0" w:line="204" w:lineRule="auto"/>
        <w:rPr>
          <w:sz w:val="20"/>
          <w:szCs w:val="20"/>
          <w:color w:val="auto"/>
        </w:rPr>
      </w:pPr>
      <w:r>
        <w:rPr>
          <w:rFonts w:ascii="Times New Roman" w:cs="Times New Roman" w:eastAsia="Times New Roman" w:hAnsi="Times New Roman"/>
          <w:sz w:val="16"/>
          <w:szCs w:val="16"/>
          <w:color w:val="auto"/>
        </w:rPr>
        <w:t>performance period exceeded the applicable performance</w:t>
      </w:r>
    </w:p>
    <w:p>
      <w:pPr>
        <w:spacing w:after="0" w:line="203" w:lineRule="auto"/>
        <w:rPr>
          <w:sz w:val="20"/>
          <w:szCs w:val="20"/>
          <w:color w:val="auto"/>
        </w:rPr>
      </w:pPr>
      <w:r>
        <w:rPr>
          <w:rFonts w:ascii="Times New Roman" w:cs="Times New Roman" w:eastAsia="Times New Roman" w:hAnsi="Times New Roman"/>
          <w:sz w:val="16"/>
          <w:szCs w:val="16"/>
          <w:color w:val="auto"/>
        </w:rPr>
        <w:t>metrics. As a result, an additional 121,475 units above the</w:t>
      </w:r>
    </w:p>
    <w:p>
      <w:pPr>
        <w:spacing w:after="0" w:line="204" w:lineRule="auto"/>
        <w:rPr>
          <w:sz w:val="20"/>
          <w:szCs w:val="20"/>
          <w:color w:val="auto"/>
        </w:rPr>
      </w:pPr>
      <w:r>
        <w:rPr>
          <w:rFonts w:ascii="Times New Roman" w:cs="Times New Roman" w:eastAsia="Times New Roman" w:hAnsi="Times New Roman"/>
          <w:sz w:val="16"/>
          <w:szCs w:val="16"/>
          <w:color w:val="auto"/>
        </w:rPr>
        <w:t>original target amount were granted in the first quarter of</w:t>
      </w:r>
    </w:p>
    <w:p>
      <w:pPr>
        <w:spacing w:after="0" w:line="203" w:lineRule="auto"/>
        <w:rPr>
          <w:sz w:val="20"/>
          <w:szCs w:val="20"/>
          <w:color w:val="auto"/>
        </w:rPr>
      </w:pPr>
      <w:r>
        <w:rPr>
          <w:rFonts w:ascii="Times New Roman" w:cs="Times New Roman" w:eastAsia="Times New Roman" w:hAnsi="Times New Roman"/>
          <w:sz w:val="16"/>
          <w:szCs w:val="16"/>
          <w:color w:val="auto"/>
        </w:rPr>
        <w:t>2026 and were fully vested upon issuance. In addition, the</w:t>
      </w:r>
    </w:p>
    <w:p>
      <w:pPr>
        <w:spacing w:after="0" w:line="204" w:lineRule="auto"/>
        <w:rPr>
          <w:sz w:val="20"/>
          <w:szCs w:val="20"/>
          <w:color w:val="auto"/>
        </w:rPr>
      </w:pPr>
      <w:r>
        <w:rPr>
          <w:rFonts w:ascii="Times New Roman" w:cs="Times New Roman" w:eastAsia="Times New Roman" w:hAnsi="Times New Roman"/>
          <w:sz w:val="16"/>
          <w:szCs w:val="16"/>
          <w:color w:val="auto"/>
        </w:rPr>
        <w:t>performance period for the two-year PSUs has ended and</w:t>
      </w:r>
    </w:p>
    <w:p>
      <w:pPr>
        <w:spacing w:after="0" w:line="203" w:lineRule="auto"/>
        <w:rPr>
          <w:sz w:val="20"/>
          <w:szCs w:val="20"/>
          <w:color w:val="auto"/>
        </w:rPr>
      </w:pPr>
      <w:r>
        <w:rPr>
          <w:rFonts w:ascii="Times New Roman" w:cs="Times New Roman" w:eastAsia="Times New Roman" w:hAnsi="Times New Roman"/>
          <w:sz w:val="16"/>
          <w:szCs w:val="16"/>
          <w:color w:val="auto"/>
        </w:rPr>
        <w:t>exceeded the applicable performance metrics, and resulted in</w:t>
      </w:r>
    </w:p>
    <w:p>
      <w:pPr>
        <w:spacing w:after="0" w:line="204" w:lineRule="auto"/>
        <w:rPr>
          <w:sz w:val="20"/>
          <w:szCs w:val="20"/>
          <w:color w:val="auto"/>
        </w:rPr>
      </w:pPr>
      <w:r>
        <w:rPr>
          <w:rFonts w:ascii="Times New Roman" w:cs="Times New Roman" w:eastAsia="Times New Roman" w:hAnsi="Times New Roman"/>
          <w:sz w:val="16"/>
          <w:szCs w:val="16"/>
          <w:color w:val="auto"/>
        </w:rPr>
        <w:t>the issuance of an additional 87,460 shares for</w:t>
      </w:r>
    </w:p>
    <w:p>
      <w:pPr>
        <w:spacing w:after="0" w:line="204" w:lineRule="auto"/>
        <w:rPr>
          <w:sz w:val="20"/>
          <w:szCs w:val="20"/>
          <w:color w:val="auto"/>
        </w:rPr>
      </w:pPr>
      <w:r>
        <w:rPr>
          <w:rFonts w:ascii="Times New Roman" w:cs="Times New Roman" w:eastAsia="Times New Roman" w:hAnsi="Times New Roman"/>
          <w:sz w:val="16"/>
          <w:szCs w:val="16"/>
          <w:color w:val="auto"/>
        </w:rPr>
        <w:t>overachievement. These shares were granted in the first</w:t>
      </w:r>
    </w:p>
    <w:p>
      <w:pPr>
        <w:spacing w:after="0" w:line="203" w:lineRule="auto"/>
        <w:rPr>
          <w:sz w:val="20"/>
          <w:szCs w:val="20"/>
          <w:color w:val="auto"/>
        </w:rPr>
      </w:pPr>
      <w:r>
        <w:rPr>
          <w:rFonts w:ascii="Times New Roman" w:cs="Times New Roman" w:eastAsia="Times New Roman" w:hAnsi="Times New Roman"/>
          <w:sz w:val="16"/>
          <w:szCs w:val="16"/>
          <w:color w:val="auto"/>
        </w:rPr>
        <w:t>quarter of 2026 and will vest in January 2027.</w:t>
      </w:r>
    </w:p>
    <w:p>
      <w:pPr>
        <w:spacing w:after="0" w:line="204" w:lineRule="auto"/>
        <w:rPr>
          <w:sz w:val="20"/>
          <w:szCs w:val="20"/>
          <w:color w:val="auto"/>
        </w:rPr>
      </w:pPr>
      <w:r>
        <w:rPr>
          <w:rFonts w:ascii="Times New Roman" w:cs="Times New Roman" w:eastAsia="Times New Roman" w:hAnsi="Times New Roman"/>
          <w:sz w:val="16"/>
          <w:szCs w:val="16"/>
          <w:color w:val="auto"/>
        </w:rPr>
        <w:t>The following weighted-average assumptions were used to</w:t>
      </w:r>
    </w:p>
    <w:p>
      <w:pPr>
        <w:spacing w:after="0" w:line="203" w:lineRule="auto"/>
        <w:rPr>
          <w:sz w:val="20"/>
          <w:szCs w:val="20"/>
          <w:color w:val="auto"/>
        </w:rPr>
      </w:pPr>
      <w:r>
        <w:rPr>
          <w:rFonts w:ascii="Times New Roman" w:cs="Times New Roman" w:eastAsia="Times New Roman" w:hAnsi="Times New Roman"/>
          <w:sz w:val="16"/>
          <w:szCs w:val="16"/>
          <w:color w:val="auto"/>
        </w:rPr>
        <w:t>determine the weighted-average fair values of the outstanding</w:t>
      </w:r>
    </w:p>
    <w:p>
      <w:pPr>
        <w:spacing w:after="0" w:line="204" w:lineRule="auto"/>
        <w:rPr>
          <w:sz w:val="20"/>
          <w:szCs w:val="20"/>
          <w:color w:val="auto"/>
        </w:rPr>
      </w:pPr>
      <w:r>
        <w:rPr>
          <w:rFonts w:ascii="Times New Roman" w:cs="Times New Roman" w:eastAsia="Times New Roman" w:hAnsi="Times New Roman"/>
          <w:sz w:val="16"/>
          <w:szCs w:val="16"/>
          <w:color w:val="auto"/>
        </w:rPr>
        <w:t>PSU awards granted under the three-year PSU program</w:t>
      </w:r>
    </w:p>
    <w:p>
      <w:pPr>
        <w:spacing w:after="0" w:line="212" w:lineRule="auto"/>
        <w:rPr>
          <w:sz w:val="20"/>
          <w:szCs w:val="20"/>
          <w:color w:val="auto"/>
        </w:rPr>
      </w:pPr>
      <w:r>
        <w:rPr>
          <w:rFonts w:ascii="Times New Roman" w:cs="Times New Roman" w:eastAsia="Times New Roman" w:hAnsi="Times New Roman"/>
          <w:sz w:val="16"/>
          <w:szCs w:val="16"/>
          <w:color w:val="auto"/>
        </w:rPr>
        <w:t>during the years ended December 31, 2025 and 2024:</w:t>
      </w:r>
    </w:p>
    <w:tbl>
      <w:tblPr>
        <w:tblLayout w:type="fixed"/>
        <w:tblInd w:w="0" w:type="dxa"/>
        <w:tblCellMar>
          <w:top w:w="0" w:type="dxa"/>
          <w:left w:w="0" w:type="dxa"/>
          <w:bottom w:w="0" w:type="dxa"/>
          <w:right w:w="0" w:type="dxa"/>
        </w:tblCellMar>
      </w:tblPr>
      <w:tr>
        <w:trPr>
          <w:trHeight w:val="157"/>
        </w:trPr>
        <w:tc>
          <w:tcPr>
            <w:tcW w:w="18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ind w:left="80"/>
              <w:spacing w:after="0" w:line="157" w:lineRule="exact"/>
              <w:rPr>
                <w:sz w:val="20"/>
                <w:szCs w:val="20"/>
                <w:color w:val="auto"/>
              </w:rPr>
            </w:pPr>
            <w:r>
              <w:rPr>
                <w:rFonts w:ascii="Times New Roman" w:cs="Times New Roman" w:eastAsia="Times New Roman" w:hAnsi="Times New Roman"/>
                <w:sz w:val="16"/>
                <w:szCs w:val="16"/>
                <w:color w:val="auto"/>
                <w:w w:val="99"/>
              </w:rPr>
              <w:t>2025 Grants</w:t>
            </w:r>
          </w:p>
        </w:tc>
        <w:tc>
          <w:tcPr>
            <w:tcW w:w="24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auto"/>
              </w:rPr>
              <w:t>2024 Grants</w:t>
            </w:r>
          </w:p>
        </w:tc>
      </w:tr>
      <w:tr>
        <w:trPr>
          <w:trHeight w:val="76"/>
        </w:trPr>
        <w:tc>
          <w:tcPr>
            <w:tcW w:w="18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r>
      <w:tr>
        <w:trPr>
          <w:trHeight w:val="144"/>
        </w:trPr>
        <w:tc>
          <w:tcPr>
            <w:tcW w:w="186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Weighted-average risk-free</w:t>
            </w:r>
          </w:p>
        </w:tc>
        <w:tc>
          <w:tcPr>
            <w:tcW w:w="88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6"/>
                <w:szCs w:val="16"/>
                <w:color w:val="auto"/>
              </w:rPr>
              <w:t>3.82%</w:t>
            </w:r>
          </w:p>
        </w:tc>
        <w:tc>
          <w:tcPr>
            <w:tcW w:w="64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6"/>
                <w:szCs w:val="16"/>
                <w:color w:val="auto"/>
                <w:w w:val="91"/>
              </w:rPr>
              <w:t>4.50%</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9"/>
        </w:trPr>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23.27%</w:t>
            </w:r>
          </w:p>
        </w:tc>
        <w:tc>
          <w:tcPr>
            <w:tcW w:w="10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24.50%</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144"/>
        </w:trPr>
        <w:tc>
          <w:tcPr>
            <w:tcW w:w="186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Weighted-average grant</w:t>
            </w:r>
          </w:p>
        </w:tc>
        <w:tc>
          <w:tcPr>
            <w:tcW w:w="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76.10</w:t>
            </w:r>
          </w:p>
        </w:tc>
        <w:tc>
          <w:tcPr>
            <w:tcW w:w="64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w w:val="94"/>
              </w:rPr>
              <w:t>62.38</w:t>
            </w:r>
          </w:p>
        </w:tc>
        <w:tc>
          <w:tcPr>
            <w:tcW w:w="260" w:type="dxa"/>
            <w:vAlign w:val="bottom"/>
          </w:tcPr>
          <w:p>
            <w:pPr>
              <w:spacing w:after="0"/>
              <w:rPr>
                <w:sz w:val="12"/>
                <w:szCs w:val="12"/>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date share price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fair value</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92.57</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78.67</w:t>
            </w:r>
          </w:p>
        </w:tc>
        <w:tc>
          <w:tcPr>
            <w:tcW w:w="260" w:type="dxa"/>
            <w:vAlign w:val="bottom"/>
          </w:tcPr>
          <w:p>
            <w:pPr>
              <w:spacing w:after="0"/>
              <w:rPr>
                <w:sz w:val="16"/>
                <w:szCs w:val="16"/>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at grant date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2545715" cy="2514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2545715" cy="2514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The following table summarizes our PSU activity for the</w:t>
      </w:r>
    </w:p>
    <w:p>
      <w:pPr>
        <w:spacing w:after="0" w:line="228" w:lineRule="auto"/>
        <w:rPr>
          <w:sz w:val="20"/>
          <w:szCs w:val="20"/>
          <w:color w:val="auto"/>
        </w:rPr>
      </w:pPr>
      <w:r>
        <w:rPr>
          <w:rFonts w:ascii="Times New Roman" w:cs="Times New Roman" w:eastAsia="Times New Roman" w:hAnsi="Times New Roman"/>
          <w:sz w:val="16"/>
          <w:szCs w:val="16"/>
          <w:color w:val="auto"/>
        </w:rPr>
        <w:t>years ended December 31, 2025, 2024 and 2023:</w:t>
      </w:r>
    </w:p>
    <w:tbl>
      <w:tblPr>
        <w:tblLayout w:type="fixed"/>
        <w:tblInd w:w="0" w:type="dxa"/>
        <w:tblCellMar>
          <w:top w:w="0" w:type="dxa"/>
          <w:left w:w="0" w:type="dxa"/>
          <w:bottom w:w="0" w:type="dxa"/>
          <w:right w:w="0" w:type="dxa"/>
        </w:tblCellMar>
      </w:tblPr>
      <w:tr>
        <w:trPr>
          <w:trHeight w:val="142"/>
        </w:trPr>
        <w:tc>
          <w:tcPr>
            <w:tcW w:w="194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PSUs</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38"/>
        </w:trPr>
        <w:tc>
          <w:tcPr>
            <w:tcW w:w="19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34"/>
        </w:trPr>
        <w:tc>
          <w:tcPr>
            <w:tcW w:w="194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Three-Year Program</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38"/>
        </w:trPr>
        <w:tc>
          <w:tcPr>
            <w:tcW w:w="19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00"/>
        </w:trPr>
        <w:tc>
          <w:tcPr>
            <w:tcW w:w="1940" w:type="dxa"/>
            <w:vAlign w:val="bottom"/>
          </w:tcPr>
          <w:p>
            <w:pPr>
              <w:spacing w:after="0"/>
              <w:rPr>
                <w:sz w:val="8"/>
                <w:szCs w:val="8"/>
                <w:color w:val="auto"/>
              </w:rPr>
            </w:pPr>
          </w:p>
        </w:tc>
        <w:tc>
          <w:tcPr>
            <w:tcW w:w="110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3"/>
              </w:rPr>
              <w:t>Weighted-</w:t>
            </w:r>
          </w:p>
        </w:tc>
        <w:tc>
          <w:tcPr>
            <w:tcW w:w="480" w:type="dxa"/>
            <w:vAlign w:val="bottom"/>
          </w:tcPr>
          <w:p>
            <w:pPr>
              <w:spacing w:after="0"/>
              <w:rPr>
                <w:sz w:val="8"/>
                <w:szCs w:val="8"/>
                <w:color w:val="auto"/>
              </w:rPr>
            </w:pPr>
          </w:p>
        </w:tc>
      </w:tr>
      <w:tr>
        <w:trPr>
          <w:trHeight w:val="108"/>
        </w:trPr>
        <w:tc>
          <w:tcPr>
            <w:tcW w:w="1940" w:type="dxa"/>
            <w:vAlign w:val="bottom"/>
          </w:tcPr>
          <w:p>
            <w:pPr>
              <w:spacing w:after="0"/>
              <w:rPr>
                <w:sz w:val="9"/>
                <w:szCs w:val="9"/>
                <w:color w:val="auto"/>
              </w:rPr>
            </w:pPr>
          </w:p>
        </w:tc>
        <w:tc>
          <w:tcPr>
            <w:tcW w:w="11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Awards</w:t>
            </w:r>
          </w:p>
        </w:tc>
        <w:tc>
          <w:tcPr>
            <w:tcW w:w="98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Average Grant</w:t>
            </w:r>
          </w:p>
        </w:tc>
      </w:tr>
      <w:tr>
        <w:trPr>
          <w:trHeight w:val="142"/>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Date Fair Value</w:t>
            </w:r>
          </w:p>
        </w:tc>
      </w:tr>
      <w:tr>
        <w:trPr>
          <w:trHeight w:val="50"/>
        </w:trPr>
        <w:tc>
          <w:tcPr>
            <w:tcW w:w="19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136"/>
        </w:trPr>
        <w:tc>
          <w:tcPr>
            <w:tcW w:w="19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Unvested at December 31,</w:t>
            </w:r>
          </w:p>
        </w:tc>
        <w:tc>
          <w:tcPr>
            <w:tcW w:w="1020" w:type="dxa"/>
            <w:vAlign w:val="bottom"/>
            <w:shd w:val="clear" w:color="auto" w:fill="CCEEFF"/>
          </w:tcPr>
          <w:p>
            <w:pPr>
              <w:jc w:val="right"/>
              <w:ind w:right="69"/>
              <w:spacing w:after="0" w:line="136" w:lineRule="exact"/>
              <w:rPr>
                <w:sz w:val="20"/>
                <w:szCs w:val="20"/>
                <w:color w:val="auto"/>
              </w:rPr>
            </w:pPr>
            <w:r>
              <w:rPr>
                <w:rFonts w:ascii="Times New Roman" w:cs="Times New Roman" w:eastAsia="Times New Roman" w:hAnsi="Times New Roman"/>
                <w:sz w:val="14"/>
                <w:szCs w:val="14"/>
                <w:color w:val="auto"/>
              </w:rPr>
              <w:t>1,966,542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56.44</w:t>
            </w:r>
          </w:p>
        </w:tc>
      </w:tr>
      <w:tr>
        <w:trPr>
          <w:trHeight w:val="203"/>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61"/>
        </w:trPr>
        <w:tc>
          <w:tcPr>
            <w:tcW w:w="19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1,693,065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4"/>
              </w:rPr>
              <w:t>47.14</w:t>
            </w:r>
          </w:p>
        </w:tc>
      </w:tr>
      <w:tr>
        <w:trPr>
          <w:trHeight w:val="37"/>
        </w:trPr>
        <w:tc>
          <w:tcPr>
            <w:tcW w:w="19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20"/>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(1,552,311)</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4"/>
              </w:rPr>
              <w:t>37.59</w:t>
            </w: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(98,974)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4"/>
              </w:rPr>
              <w:t>57.51</w:t>
            </w:r>
          </w:p>
        </w:tc>
      </w:tr>
      <w:tr>
        <w:trPr>
          <w:trHeight w:val="37"/>
        </w:trPr>
        <w:tc>
          <w:tcPr>
            <w:tcW w:w="19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r>
      <w:tr>
        <w:trPr>
          <w:trHeight w:val="136"/>
        </w:trPr>
        <w:tc>
          <w:tcPr>
            <w:tcW w:w="19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Unvested at December 31,</w:t>
            </w:r>
          </w:p>
        </w:tc>
        <w:tc>
          <w:tcPr>
            <w:tcW w:w="1020" w:type="dxa"/>
            <w:vAlign w:val="bottom"/>
            <w:shd w:val="clear" w:color="auto" w:fill="CCEEFF"/>
          </w:tcPr>
          <w:p>
            <w:pPr>
              <w:jc w:val="right"/>
              <w:ind w:right="69"/>
              <w:spacing w:after="0" w:line="136" w:lineRule="exact"/>
              <w:rPr>
                <w:sz w:val="20"/>
                <w:szCs w:val="20"/>
                <w:color w:val="auto"/>
              </w:rPr>
            </w:pPr>
            <w:r>
              <w:rPr>
                <w:rFonts w:ascii="Times New Roman" w:cs="Times New Roman" w:eastAsia="Times New Roman" w:hAnsi="Times New Roman"/>
                <w:sz w:val="14"/>
                <w:szCs w:val="14"/>
                <w:color w:val="auto"/>
              </w:rPr>
              <w:t>2,008,322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62.86</w:t>
            </w:r>
          </w:p>
        </w:tc>
      </w:tr>
      <w:tr>
        <w:trPr>
          <w:trHeight w:val="203"/>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61"/>
        </w:trPr>
        <w:tc>
          <w:tcPr>
            <w:tcW w:w="19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1,282,300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4"/>
              </w:rPr>
              <w:t>73.91</w:t>
            </w:r>
          </w:p>
        </w:tc>
      </w:tr>
      <w:tr>
        <w:trPr>
          <w:trHeight w:val="37"/>
        </w:trPr>
        <w:tc>
          <w:tcPr>
            <w:tcW w:w="19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20"/>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(961,331)</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4"/>
              </w:rPr>
              <w:t>73.14</w:t>
            </w: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(155,140)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4"/>
              </w:rPr>
              <w:t>62.80</w:t>
            </w:r>
          </w:p>
        </w:tc>
      </w:tr>
      <w:tr>
        <w:trPr>
          <w:trHeight w:val="37"/>
        </w:trPr>
        <w:tc>
          <w:tcPr>
            <w:tcW w:w="19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r>
      <w:tr>
        <w:trPr>
          <w:trHeight w:val="136"/>
        </w:trPr>
        <w:tc>
          <w:tcPr>
            <w:tcW w:w="19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Unvested at December 31,</w:t>
            </w:r>
          </w:p>
        </w:tc>
        <w:tc>
          <w:tcPr>
            <w:tcW w:w="1020" w:type="dxa"/>
            <w:vAlign w:val="bottom"/>
            <w:shd w:val="clear" w:color="auto" w:fill="CCEEFF"/>
          </w:tcPr>
          <w:p>
            <w:pPr>
              <w:jc w:val="right"/>
              <w:ind w:right="69"/>
              <w:spacing w:after="0" w:line="136" w:lineRule="exact"/>
              <w:rPr>
                <w:sz w:val="20"/>
                <w:szCs w:val="20"/>
                <w:color w:val="auto"/>
              </w:rPr>
            </w:pPr>
            <w:r>
              <w:rPr>
                <w:rFonts w:ascii="Times New Roman" w:cs="Times New Roman" w:eastAsia="Times New Roman" w:hAnsi="Times New Roman"/>
                <w:sz w:val="14"/>
                <w:szCs w:val="14"/>
                <w:color w:val="auto"/>
              </w:rPr>
              <w:t>2,174,151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64.83</w:t>
            </w:r>
          </w:p>
        </w:tc>
      </w:tr>
      <w:tr>
        <w:trPr>
          <w:trHeight w:val="220"/>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r>
      <w:tr>
        <w:trPr>
          <w:trHeight w:val="192"/>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886,656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4"/>
              </w:rPr>
              <w:t>90.84</w:t>
            </w:r>
          </w:p>
        </w:tc>
      </w:tr>
      <w:tr>
        <w:trPr>
          <w:trHeight w:val="19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(620,515)</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4"/>
              </w:rPr>
              <w:t>62.89</w:t>
            </w:r>
          </w:p>
        </w:tc>
      </w:tr>
      <w:tr>
        <w:trPr>
          <w:trHeight w:val="192"/>
        </w:trPr>
        <w:tc>
          <w:tcPr>
            <w:tcW w:w="1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6"/>
                <w:szCs w:val="16"/>
                <w:color w:val="auto"/>
              </w:rPr>
              <w:t>(62,162)</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jc w:val="right"/>
              <w:ind w:right="44"/>
              <w:spacing w:after="0"/>
              <w:rPr>
                <w:sz w:val="20"/>
                <w:szCs w:val="20"/>
                <w:color w:val="auto"/>
              </w:rPr>
            </w:pPr>
            <w:r>
              <w:rPr>
                <w:rFonts w:ascii="Times New Roman" w:cs="Times New Roman" w:eastAsia="Times New Roman" w:hAnsi="Times New Roman"/>
                <w:sz w:val="16"/>
                <w:szCs w:val="16"/>
                <w:color w:val="auto"/>
                <w:w w:val="94"/>
              </w:rPr>
              <w:t>69.68</w:t>
            </w:r>
          </w:p>
        </w:tc>
      </w:tr>
      <w:tr>
        <w:trPr>
          <w:trHeight w:val="136"/>
        </w:trPr>
        <w:tc>
          <w:tcPr>
            <w:tcW w:w="19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Unvested at December 31,</w:t>
            </w:r>
          </w:p>
        </w:tc>
        <w:tc>
          <w:tcPr>
            <w:tcW w:w="1020" w:type="dxa"/>
            <w:vAlign w:val="bottom"/>
            <w:shd w:val="clear" w:color="auto" w:fill="CCEEFF"/>
          </w:tcPr>
          <w:p>
            <w:pPr>
              <w:jc w:val="right"/>
              <w:ind w:right="69"/>
              <w:spacing w:after="0" w:line="136" w:lineRule="exact"/>
              <w:rPr>
                <w:sz w:val="20"/>
                <w:szCs w:val="20"/>
                <w:color w:val="auto"/>
              </w:rPr>
            </w:pPr>
            <w:r>
              <w:rPr>
                <w:rFonts w:ascii="Times New Roman" w:cs="Times New Roman" w:eastAsia="Times New Roman" w:hAnsi="Times New Roman"/>
                <w:sz w:val="14"/>
                <w:szCs w:val="14"/>
                <w:color w:val="auto"/>
              </w:rPr>
              <w:t>2,378,130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74.91</w:t>
            </w:r>
          </w:p>
        </w:tc>
      </w:tr>
      <w:tr>
        <w:trPr>
          <w:trHeight w:val="220"/>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r>
    </w:tbl>
    <w:p>
      <w:pPr>
        <w:spacing w:after="0" w:line="225" w:lineRule="auto"/>
        <w:rPr>
          <w:sz w:val="20"/>
          <w:szCs w:val="20"/>
          <w:color w:val="auto"/>
        </w:rPr>
      </w:pPr>
      <w:r>
        <w:rPr>
          <w:rFonts w:ascii="Times New Roman" w:cs="Times New Roman" w:eastAsia="Times New Roman" w:hAnsi="Times New Roman"/>
          <w:sz w:val="16"/>
          <w:szCs w:val="16"/>
          <w:color w:val="auto"/>
        </w:rPr>
        <w:t>In the table above, in addition to the annual employee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-100965</wp:posOffset>
            </wp:positionV>
            <wp:extent cx="647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647700"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described above, the granted amount also includes additional</w:t>
      </w:r>
    </w:p>
    <w:p>
      <w:pPr>
        <w:spacing w:after="0"/>
        <w:rPr>
          <w:sz w:val="20"/>
          <w:szCs w:val="20"/>
          <w:color w:val="auto"/>
        </w:rPr>
      </w:pPr>
      <w:r>
        <w:rPr>
          <w:rFonts w:ascii="Times New Roman" w:cs="Times New Roman" w:eastAsia="Times New Roman" w:hAnsi="Times New Roman"/>
          <w:sz w:val="16"/>
          <w:szCs w:val="16"/>
          <w:color w:val="auto"/>
        </w:rPr>
        <w:t>awards granted based on overachievement of performance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F-30</w:t>
      </w:r>
    </w:p>
    <w:p>
      <w:pPr>
        <w:spacing w:after="0" w:line="203" w:lineRule="auto"/>
        <w:rPr>
          <w:sz w:val="20"/>
          <w:szCs w:val="20"/>
          <w:color w:val="auto"/>
        </w:rPr>
      </w:pPr>
      <w:r>
        <w:rPr>
          <w:rFonts w:ascii="Times New Roman" w:cs="Times New Roman" w:eastAsia="Times New Roman" w:hAnsi="Times New Roman"/>
          <w:sz w:val="16"/>
          <w:szCs w:val="16"/>
          <w:color w:val="auto"/>
        </w:rPr>
        <w:t>As of December 31, 2025, the aggregate pre-tax intrinsic</w:t>
      </w:r>
    </w:p>
    <w:p>
      <w:pPr>
        <w:spacing w:after="0" w:line="204" w:lineRule="auto"/>
        <w:rPr>
          <w:sz w:val="20"/>
          <w:szCs w:val="20"/>
          <w:color w:val="auto"/>
        </w:rPr>
      </w:pPr>
      <w:r>
        <w:rPr>
          <w:rFonts w:ascii="Times New Roman" w:cs="Times New Roman" w:eastAsia="Times New Roman" w:hAnsi="Times New Roman"/>
          <w:sz w:val="16"/>
          <w:szCs w:val="16"/>
          <w:color w:val="auto"/>
        </w:rPr>
        <w:t>value represents the difference between our closing stock</w:t>
      </w:r>
    </w:p>
    <w:p>
      <w:pPr>
        <w:spacing w:after="0" w:line="203" w:lineRule="auto"/>
        <w:rPr>
          <w:sz w:val="20"/>
          <w:szCs w:val="20"/>
          <w:color w:val="auto"/>
        </w:rPr>
      </w:pPr>
      <w:r>
        <w:rPr>
          <w:rFonts w:ascii="Times New Roman" w:cs="Times New Roman" w:eastAsia="Times New Roman" w:hAnsi="Times New Roman"/>
          <w:sz w:val="16"/>
          <w:szCs w:val="16"/>
          <w:color w:val="auto"/>
        </w:rPr>
        <w:t>price on December 31, 2025 of $97.13 and the exercise price,</w:t>
      </w:r>
    </w:p>
    <w:p>
      <w:pPr>
        <w:spacing w:after="0" w:line="204" w:lineRule="auto"/>
        <w:rPr>
          <w:sz w:val="20"/>
          <w:szCs w:val="20"/>
          <w:color w:val="auto"/>
        </w:rPr>
      </w:pPr>
      <w:r>
        <w:rPr>
          <w:rFonts w:ascii="Times New Roman" w:cs="Times New Roman" w:eastAsia="Times New Roman" w:hAnsi="Times New Roman"/>
          <w:sz w:val="16"/>
          <w:szCs w:val="16"/>
          <w:color w:val="auto"/>
        </w:rPr>
        <w:t>times the number of shares that would have been received by</w:t>
      </w:r>
    </w:p>
    <w:p>
      <w:pPr>
        <w:spacing w:after="0" w:line="203" w:lineRule="auto"/>
        <w:rPr>
          <w:sz w:val="20"/>
          <w:szCs w:val="20"/>
          <w:color w:val="auto"/>
        </w:rPr>
      </w:pPr>
      <w:r>
        <w:rPr>
          <w:rFonts w:ascii="Times New Roman" w:cs="Times New Roman" w:eastAsia="Times New Roman" w:hAnsi="Times New Roman"/>
          <w:sz w:val="16"/>
          <w:szCs w:val="16"/>
          <w:color w:val="auto"/>
        </w:rPr>
        <w:t>the option holder had the option holder exercised the stock</w:t>
      </w:r>
    </w:p>
    <w:p>
      <w:pPr>
        <w:spacing w:after="0" w:line="204" w:lineRule="auto"/>
        <w:rPr>
          <w:sz w:val="20"/>
          <w:szCs w:val="20"/>
          <w:color w:val="auto"/>
        </w:rPr>
      </w:pPr>
      <w:r>
        <w:rPr>
          <w:rFonts w:ascii="Times New Roman" w:cs="Times New Roman" w:eastAsia="Times New Roman" w:hAnsi="Times New Roman"/>
          <w:sz w:val="16"/>
          <w:szCs w:val="16"/>
          <w:color w:val="auto"/>
        </w:rPr>
        <w:t>options on that date. This amount can change based on the</w:t>
      </w:r>
    </w:p>
    <w:p>
      <w:pPr>
        <w:spacing w:after="0" w:line="203" w:lineRule="auto"/>
        <w:rPr>
          <w:sz w:val="20"/>
          <w:szCs w:val="20"/>
          <w:color w:val="auto"/>
        </w:rPr>
      </w:pPr>
      <w:r>
        <w:rPr>
          <w:rFonts w:ascii="Times New Roman" w:cs="Times New Roman" w:eastAsia="Times New Roman" w:hAnsi="Times New Roman"/>
          <w:sz w:val="16"/>
          <w:szCs w:val="16"/>
          <w:color w:val="auto"/>
        </w:rPr>
        <w:t>fair market value of our common stock. As of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and 2024, 0.8 million outstanding stock options were</w:t>
      </w:r>
    </w:p>
    <w:p>
      <w:pPr>
        <w:spacing w:after="0" w:line="203" w:lineRule="auto"/>
        <w:rPr>
          <w:sz w:val="20"/>
          <w:szCs w:val="20"/>
          <w:color w:val="auto"/>
        </w:rPr>
      </w:pPr>
      <w:r>
        <w:rPr>
          <w:rFonts w:ascii="Times New Roman" w:cs="Times New Roman" w:eastAsia="Times New Roman" w:hAnsi="Times New Roman"/>
          <w:sz w:val="16"/>
          <w:szCs w:val="16"/>
          <w:color w:val="auto"/>
        </w:rPr>
        <w:t>exercisable and the exercise price was $22.23.</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ESPP</w:t>
      </w:r>
    </w:p>
    <w:p>
      <w:pPr>
        <w:spacing w:after="0" w:line="204" w:lineRule="auto"/>
        <w:rPr>
          <w:sz w:val="20"/>
          <w:szCs w:val="20"/>
          <w:color w:val="auto"/>
        </w:rPr>
      </w:pPr>
      <w:r>
        <w:rPr>
          <w:rFonts w:ascii="Times New Roman" w:cs="Times New Roman" w:eastAsia="Times New Roman" w:hAnsi="Times New Roman"/>
          <w:sz w:val="16"/>
          <w:szCs w:val="16"/>
          <w:color w:val="auto"/>
        </w:rPr>
        <w:t>We have an ESPP under which approximately 10.1 million</w:t>
      </w:r>
    </w:p>
    <w:p>
      <w:pPr>
        <w:spacing w:after="0" w:line="203" w:lineRule="auto"/>
        <w:rPr>
          <w:sz w:val="20"/>
          <w:szCs w:val="20"/>
          <w:color w:val="auto"/>
        </w:rPr>
      </w:pPr>
      <w:r>
        <w:rPr>
          <w:rFonts w:ascii="Times New Roman" w:cs="Times New Roman" w:eastAsia="Times New Roman" w:hAnsi="Times New Roman"/>
          <w:sz w:val="16"/>
          <w:szCs w:val="16"/>
          <w:color w:val="auto"/>
        </w:rPr>
        <w:t>shares of our common stock were available for future</w:t>
      </w:r>
    </w:p>
    <w:p>
      <w:pPr>
        <w:spacing w:after="0"/>
        <w:rPr>
          <w:sz w:val="20"/>
          <w:szCs w:val="20"/>
          <w:color w:val="auto"/>
        </w:rPr>
      </w:pPr>
      <w:r>
        <w:rPr>
          <w:rFonts w:ascii="Times New Roman" w:cs="Times New Roman" w:eastAsia="Times New Roman" w:hAnsi="Times New Roman"/>
          <w:sz w:val="16"/>
          <w:szCs w:val="16"/>
          <w:color w:val="auto"/>
        </w:rPr>
        <w:t>issuance as of December 31, 2025. Under our ESPP,</w:t>
      </w:r>
    </w:p>
    <w:p>
      <w:pPr>
        <w:sectPr>
          <w:pgSz w:w="11900" w:h="16840" w:orient="portrait"/>
          <w:cols w:equalWidth="0" w:num="1">
            <w:col w:w="9400"/>
          </w:cols>
          <w:pgMar w:left="1060" w:top="547" w:right="1440" w:bottom="68" w:gutter="0" w:footer="0" w:header="0"/>
        </w:sectPr>
      </w:pPr>
    </w:p>
    <w:bookmarkStart w:id="80" w:name="page81"/>
    <w:bookmarkEnd w:id="80"/>
    <w:p>
      <w:pPr>
        <w:ind w:left="10"/>
        <w:spacing w:after="0"/>
        <w:rPr>
          <w:sz w:val="20"/>
          <w:szCs w:val="20"/>
          <w:color w:val="auto"/>
        </w:rPr>
      </w:pPr>
      <w:r>
        <w:rPr>
          <w:rFonts w:ascii="Times New Roman" w:cs="Times New Roman" w:eastAsia="Times New Roman" w:hAnsi="Times New Roman"/>
          <w:sz w:val="16"/>
          <w:szCs w:val="16"/>
          <w:color w:val="auto"/>
        </w:rPr>
        <w:t>employees may purchase shares having a value not exceeding</w:t>
      </w:r>
    </w:p>
    <w:p>
      <w:pPr>
        <w:ind w:left="10"/>
        <w:spacing w:after="0" w:line="203" w:lineRule="auto"/>
        <w:rPr>
          <w:sz w:val="20"/>
          <w:szCs w:val="20"/>
          <w:color w:val="auto"/>
        </w:rPr>
      </w:pPr>
      <w:r>
        <w:rPr>
          <w:rFonts w:ascii="Times New Roman" w:cs="Times New Roman" w:eastAsia="Times New Roman" w:hAnsi="Times New Roman"/>
          <w:sz w:val="16"/>
          <w:szCs w:val="16"/>
          <w:color w:val="auto"/>
        </w:rPr>
        <w:t>10.0% of their annual compensation, subject to applicable</w:t>
      </w:r>
    </w:p>
    <w:p>
      <w:pPr>
        <w:ind w:left="10"/>
        <w:spacing w:after="0" w:line="204" w:lineRule="auto"/>
        <w:rPr>
          <w:sz w:val="20"/>
          <w:szCs w:val="20"/>
          <w:color w:val="auto"/>
        </w:rPr>
      </w:pPr>
      <w:r>
        <w:rPr>
          <w:rFonts w:ascii="Times New Roman" w:cs="Times New Roman" w:eastAsia="Times New Roman" w:hAnsi="Times New Roman"/>
          <w:sz w:val="16"/>
          <w:szCs w:val="16"/>
          <w:color w:val="auto"/>
        </w:rPr>
        <w:t>annual Internal Revenue Service limitations. We record</w:t>
      </w:r>
    </w:p>
    <w:p>
      <w:pPr>
        <w:ind w:left="10"/>
        <w:spacing w:after="0" w:line="203" w:lineRule="auto"/>
        <w:rPr>
          <w:sz w:val="20"/>
          <w:szCs w:val="20"/>
          <w:color w:val="auto"/>
        </w:rPr>
      </w:pPr>
      <w:r>
        <w:rPr>
          <w:rFonts w:ascii="Times New Roman" w:cs="Times New Roman" w:eastAsia="Times New Roman" w:hAnsi="Times New Roman"/>
          <w:sz w:val="16"/>
          <w:szCs w:val="16"/>
          <w:color w:val="auto"/>
        </w:rPr>
        <w:t>compensation expense related to the 15.0% discount that is</w:t>
      </w:r>
    </w:p>
    <w:p>
      <w:pPr>
        <w:ind w:left="10"/>
        <w:spacing w:after="0" w:line="228" w:lineRule="auto"/>
        <w:rPr>
          <w:sz w:val="20"/>
          <w:szCs w:val="20"/>
          <w:color w:val="auto"/>
        </w:rPr>
      </w:pPr>
      <w:r>
        <w:rPr>
          <w:rFonts w:ascii="Times New Roman" w:cs="Times New Roman" w:eastAsia="Times New Roman" w:hAnsi="Times New Roman"/>
          <w:sz w:val="16"/>
          <w:szCs w:val="16"/>
          <w:color w:val="auto"/>
        </w:rPr>
        <w:t>given to our employees.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8"/>
        </w:trPr>
        <w:tc>
          <w:tcPr>
            <w:tcW w:w="1720" w:type="dxa"/>
            <w:vAlign w:val="bottom"/>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r>
      <w:tr>
        <w:trPr>
          <w:trHeight w:val="134"/>
        </w:trPr>
        <w:tc>
          <w:tcPr>
            <w:tcW w:w="17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8"/>
        </w:trPr>
        <w:tc>
          <w:tcPr>
            <w:tcW w:w="17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36"/>
        </w:trPr>
        <w:tc>
          <w:tcPr>
            <w:tcW w:w="17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Number of shares</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4"/>
              <w:spacing w:after="0" w:line="136" w:lineRule="exact"/>
              <w:rPr>
                <w:sz w:val="20"/>
                <w:szCs w:val="20"/>
                <w:color w:val="auto"/>
              </w:rPr>
            </w:pPr>
            <w:r>
              <w:rPr>
                <w:rFonts w:ascii="Times New Roman" w:cs="Times New Roman" w:eastAsia="Times New Roman" w:hAnsi="Times New Roman"/>
                <w:sz w:val="14"/>
                <w:szCs w:val="14"/>
                <w:color w:val="auto"/>
              </w:rPr>
              <w:t>652,291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84"/>
              <w:spacing w:after="0" w:line="136" w:lineRule="exact"/>
              <w:rPr>
                <w:sz w:val="20"/>
                <w:szCs w:val="20"/>
                <w:color w:val="auto"/>
              </w:rPr>
            </w:pPr>
            <w:r>
              <w:rPr>
                <w:rFonts w:ascii="Times New Roman" w:cs="Times New Roman" w:eastAsia="Times New Roman" w:hAnsi="Times New Roman"/>
                <w:sz w:val="14"/>
                <w:szCs w:val="14"/>
                <w:color w:val="auto"/>
              </w:rPr>
              <w:t>675,064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64"/>
              <w:spacing w:after="0" w:line="136" w:lineRule="exact"/>
              <w:rPr>
                <w:sz w:val="20"/>
                <w:szCs w:val="20"/>
                <w:color w:val="auto"/>
              </w:rPr>
            </w:pPr>
            <w:r>
              <w:rPr>
                <w:rFonts w:ascii="Times New Roman" w:cs="Times New Roman" w:eastAsia="Times New Roman" w:hAnsi="Times New Roman"/>
                <w:sz w:val="14"/>
                <w:szCs w:val="14"/>
                <w:color w:val="auto"/>
              </w:rPr>
              <w:t>687,688</w:t>
            </w:r>
          </w:p>
        </w:tc>
      </w:tr>
      <w:tr>
        <w:trPr>
          <w:trHeight w:val="196"/>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by employees</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44"/>
        </w:trPr>
        <w:tc>
          <w:tcPr>
            <w:tcW w:w="17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Weighted-average price of</w:t>
            </w:r>
          </w:p>
        </w:tc>
        <w:tc>
          <w:tcPr>
            <w:tcW w:w="10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44"/>
              <w:spacing w:after="0" w:line="144" w:lineRule="exact"/>
              <w:rPr>
                <w:sz w:val="20"/>
                <w:szCs w:val="20"/>
                <w:color w:val="auto"/>
              </w:rPr>
            </w:pPr>
            <w:r>
              <w:rPr>
                <w:rFonts w:ascii="Times New Roman" w:cs="Times New Roman" w:eastAsia="Times New Roman" w:hAnsi="Times New Roman"/>
                <w:sz w:val="16"/>
                <w:szCs w:val="16"/>
                <w:color w:val="auto"/>
              </w:rPr>
              <w:t>69.33</w:t>
            </w:r>
          </w:p>
        </w:tc>
        <w:tc>
          <w:tcPr>
            <w:tcW w:w="1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64"/>
              <w:spacing w:after="0" w:line="144" w:lineRule="exact"/>
              <w:rPr>
                <w:sz w:val="20"/>
                <w:szCs w:val="20"/>
                <w:color w:val="auto"/>
              </w:rPr>
            </w:pPr>
            <w:r>
              <w:rPr>
                <w:rFonts w:ascii="Times New Roman" w:cs="Times New Roman" w:eastAsia="Times New Roman" w:hAnsi="Times New Roman"/>
                <w:sz w:val="16"/>
                <w:szCs w:val="16"/>
                <w:color w:val="auto"/>
              </w:rPr>
              <w:t>49.16</w:t>
            </w:r>
          </w:p>
        </w:tc>
        <w:tc>
          <w:tcPr>
            <w:tcW w:w="10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64"/>
              <w:spacing w:after="0" w:line="144" w:lineRule="exact"/>
              <w:rPr>
                <w:sz w:val="20"/>
                <w:szCs w:val="20"/>
                <w:color w:val="auto"/>
              </w:rPr>
            </w:pPr>
            <w:r>
              <w:rPr>
                <w:rFonts w:ascii="Times New Roman" w:cs="Times New Roman" w:eastAsia="Times New Roman" w:hAnsi="Times New Roman"/>
                <w:sz w:val="16"/>
                <w:szCs w:val="16"/>
                <w:color w:val="auto"/>
              </w:rPr>
              <w:t>42.33</w:t>
            </w: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shares purchased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4"/>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 (in</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w:t>
            </w: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millions)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545715" cy="2362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2545715" cy="23622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The impact of the activity above is included in Other</w:t>
      </w:r>
    </w:p>
    <w:p>
      <w:pPr>
        <w:ind w:left="10"/>
        <w:spacing w:after="0" w:line="203" w:lineRule="auto"/>
        <w:rPr>
          <w:sz w:val="20"/>
          <w:szCs w:val="20"/>
          <w:color w:val="auto"/>
        </w:rPr>
      </w:pPr>
      <w:r>
        <w:rPr>
          <w:rFonts w:ascii="Times New Roman" w:cs="Times New Roman" w:eastAsia="Times New Roman" w:hAnsi="Times New Roman"/>
          <w:sz w:val="16"/>
          <w:szCs w:val="16"/>
          <w:color w:val="auto"/>
        </w:rPr>
        <w:t>issuances of common stock, net in the Consolidated</w:t>
      </w:r>
    </w:p>
    <w:p>
      <w:pPr>
        <w:ind w:left="10"/>
        <w:spacing w:after="0" w:line="204" w:lineRule="auto"/>
        <w:rPr>
          <w:sz w:val="20"/>
          <w:szCs w:val="20"/>
          <w:color w:val="auto"/>
        </w:rPr>
      </w:pPr>
      <w:r>
        <w:rPr>
          <w:rFonts w:ascii="Times New Roman" w:cs="Times New Roman" w:eastAsia="Times New Roman" w:hAnsi="Times New Roman"/>
          <w:sz w:val="16"/>
          <w:szCs w:val="16"/>
          <w:color w:val="auto"/>
        </w:rPr>
        <w:t>Statements of Changes in Stockholders’ Equity.</w:t>
      </w:r>
    </w:p>
    <w:p>
      <w:pPr>
        <w:ind w:left="230" w:hanging="230"/>
        <w:spacing w:after="0" w:line="203" w:lineRule="auto"/>
        <w:tabs>
          <w:tab w:leader="none" w:pos="230"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NASDAQ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Stock</w:t>
      </w:r>
    </w:p>
    <w:p>
      <w:pPr>
        <w:ind w:left="10" w:right="560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900,000,000 shares of our common stock were authorized, 594,620,320 shares were issued and 569,894,024 shares were outstanding. As of December 31, 2024, 900,000,000 shares of our common stock were authorized, 598,920,378 shares were issued and 575,062,217 shares were outstanding. The holders of common stock are entitled to one vote per share, except that our certificate of incorporation limits the ability of any shareholder to vote in excess of 5.0% of the then-outstanding shares of Nasdaq common stock.</w:t>
      </w:r>
    </w:p>
    <w:p>
      <w:pPr>
        <w:spacing w:after="0" w:line="4"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Stock in Treasury, at Cost</w:t>
      </w:r>
    </w:p>
    <w:p>
      <w:pPr>
        <w:ind w:left="10" w:right="554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account for the purchase of treasury stock under the cost method with the shares of stock repurchased reflected as a reduction to Nasdaq stockholders’ equity and included in common stock in treasury, at cost in the Consolidated Balance Sheets. Shares repurchased under our share repurchase program are currently retired and canceled and are therefore not included in the common stock in treasury balance. If treasury shares are reissued, they are recorded at the average cost of the treasury shares acquired. We held 24,726,296 shares of common stock in treasury as of December 31, 2025 and 23,858,161 shares as of December 31, 2024, most of which are related to shares of our common stock withheld for the settlement of employee tax withholding obligations arising from the vesting of restricted stock and PSUs.</w:t>
      </w:r>
    </w:p>
    <w:p>
      <w:pPr>
        <w:spacing w:after="0" w:line="6"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Repurchase Program</w:t>
      </w:r>
    </w:p>
    <w:p>
      <w:pPr>
        <w:ind w:left="10" w:right="600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the remaining aggregate authorized amount under the existing share repurchase program was $1.1 billion.</w:t>
      </w:r>
    </w:p>
    <w:p>
      <w:pPr>
        <w:spacing w:after="0" w:line="1" w:lineRule="exact"/>
        <w:rPr>
          <w:rFonts w:ascii="Times New Roman" w:cs="Times New Roman" w:eastAsia="Times New Roman" w:hAnsi="Times New Roman"/>
          <w:sz w:val="16"/>
          <w:szCs w:val="16"/>
          <w:b w:val="1"/>
          <w:bCs w:val="1"/>
          <w:color w:val="auto"/>
        </w:rPr>
      </w:pPr>
    </w:p>
    <w:p>
      <w:pPr>
        <w:ind w:left="10" w:right="5600"/>
        <w:spacing w:after="0" w:line="20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part of this program, repurchases may be made from time to time at prevailing market prices in open market purchases, privately-negotiated transactions, block purchase techniques, an accelerated share repurchase program or otherwise, as determined by our management. The repurchases are primarily funded from existing cash balances. The share repurchase program may be suspended, modified or discontinued at any time, and has no defined expiration date. The following is a summary of our share repurchase activity, reported based on settlement date, for the year ended December 31, 2025:</w:t>
      </w:r>
    </w:p>
    <w:tbl>
      <w:tblPr>
        <w:tblLayout w:type="fixed"/>
        <w:tblInd w:w="10" w:type="dxa"/>
        <w:tblCellMar>
          <w:top w:w="0" w:type="dxa"/>
          <w:left w:w="0" w:type="dxa"/>
          <w:bottom w:w="0" w:type="dxa"/>
          <w:right w:w="0" w:type="dxa"/>
        </w:tblCellMar>
      </w:tblPr>
      <w:tr>
        <w:trPr>
          <w:trHeight w:val="103"/>
        </w:trPr>
        <w:tc>
          <w:tcPr>
            <w:tcW w:w="2820" w:type="dxa"/>
            <w:vAlign w:val="bottom"/>
          </w:tcPr>
          <w:p>
            <w:pPr>
              <w:spacing w:after="0"/>
              <w:rPr>
                <w:sz w:val="8"/>
                <w:szCs w:val="8"/>
                <w:color w:val="auto"/>
              </w:rPr>
            </w:pPr>
          </w:p>
        </w:tc>
        <w:tc>
          <w:tcPr>
            <w:tcW w:w="11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2"/>
        </w:trPr>
        <w:tc>
          <w:tcPr>
            <w:tcW w:w="282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50"/>
        </w:trPr>
        <w:tc>
          <w:tcPr>
            <w:tcW w:w="2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36"/>
        </w:trPr>
        <w:tc>
          <w:tcPr>
            <w:tcW w:w="28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Number of shares of common stock</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65"/>
              <w:spacing w:after="0" w:line="136" w:lineRule="exact"/>
              <w:rPr>
                <w:sz w:val="20"/>
                <w:szCs w:val="20"/>
                <w:color w:val="auto"/>
              </w:rPr>
            </w:pPr>
            <w:r>
              <w:rPr>
                <w:rFonts w:ascii="Times New Roman" w:cs="Times New Roman" w:eastAsia="Times New Roman" w:hAnsi="Times New Roman"/>
                <w:sz w:val="14"/>
                <w:szCs w:val="14"/>
                <w:color w:val="auto"/>
              </w:rPr>
              <w:t>7,202,346</w:t>
            </w:r>
          </w:p>
        </w:tc>
      </w:tr>
      <w:tr>
        <w:trPr>
          <w:trHeight w:val="220"/>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repurchased</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0"/>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jc w:val="right"/>
              <w:ind w:right="65"/>
              <w:spacing w:after="0"/>
              <w:rPr>
                <w:sz w:val="20"/>
                <w:szCs w:val="20"/>
                <w:color w:val="auto"/>
              </w:rPr>
            </w:pPr>
            <w:r>
              <w:rPr>
                <w:rFonts w:ascii="Times New Roman" w:cs="Times New Roman" w:eastAsia="Times New Roman" w:hAnsi="Times New Roman"/>
                <w:sz w:val="16"/>
                <w:szCs w:val="16"/>
                <w:color w:val="auto"/>
              </w:rPr>
              <w:t>85.47</w:t>
            </w:r>
          </w:p>
        </w:tc>
      </w:tr>
    </w:tbl>
    <w:p>
      <w:pPr>
        <w:spacing w:after="0" w:line="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F-31</w:t>
      </w:r>
    </w:p>
    <w:p>
      <w:pPr>
        <w:ind w:left="10"/>
        <w:spacing w:after="0" w:line="203" w:lineRule="auto"/>
        <w:rPr>
          <w:sz w:val="20"/>
          <w:szCs w:val="20"/>
          <w:color w:val="auto"/>
        </w:rPr>
      </w:pPr>
      <w:r>
        <w:rPr>
          <w:rFonts w:ascii="Times New Roman" w:cs="Times New Roman" w:eastAsia="Times New Roman" w:hAnsi="Times New Roman"/>
          <w:sz w:val="16"/>
          <w:szCs w:val="16"/>
          <w:color w:val="auto"/>
        </w:rPr>
        <w:t>Under ASR agreements, we make payments to our</w:t>
      </w:r>
    </w:p>
    <w:p>
      <w:pPr>
        <w:ind w:left="10"/>
        <w:spacing w:after="0" w:line="204" w:lineRule="auto"/>
        <w:rPr>
          <w:sz w:val="20"/>
          <w:szCs w:val="20"/>
          <w:color w:val="auto"/>
        </w:rPr>
      </w:pPr>
      <w:r>
        <w:rPr>
          <w:rFonts w:ascii="Times New Roman" w:cs="Times New Roman" w:eastAsia="Times New Roman" w:hAnsi="Times New Roman"/>
          <w:sz w:val="16"/>
          <w:szCs w:val="16"/>
          <w:color w:val="auto"/>
        </w:rPr>
        <w:t>counterparties and receive an initial delivery of shares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common stock. The final number of shares to be repurchased</w:t>
      </w:r>
    </w:p>
    <w:p>
      <w:pPr>
        <w:ind w:left="10"/>
        <w:spacing w:after="0" w:line="204" w:lineRule="auto"/>
        <w:rPr>
          <w:sz w:val="20"/>
          <w:szCs w:val="20"/>
          <w:color w:val="auto"/>
        </w:rPr>
      </w:pPr>
      <w:r>
        <w:rPr>
          <w:rFonts w:ascii="Times New Roman" w:cs="Times New Roman" w:eastAsia="Times New Roman" w:hAnsi="Times New Roman"/>
          <w:sz w:val="16"/>
          <w:szCs w:val="16"/>
          <w:color w:val="auto"/>
        </w:rPr>
        <w:t>is based on the volume-weighted average price of Nasdaq's</w:t>
      </w:r>
    </w:p>
    <w:p>
      <w:pPr>
        <w:ind w:left="10"/>
        <w:spacing w:after="0" w:line="203" w:lineRule="auto"/>
        <w:rPr>
          <w:sz w:val="20"/>
          <w:szCs w:val="20"/>
          <w:color w:val="auto"/>
        </w:rPr>
      </w:pPr>
      <w:r>
        <w:rPr>
          <w:rFonts w:ascii="Times New Roman" w:cs="Times New Roman" w:eastAsia="Times New Roman" w:hAnsi="Times New Roman"/>
          <w:sz w:val="16"/>
          <w:szCs w:val="16"/>
          <w:color w:val="auto"/>
        </w:rPr>
        <w:t>common stock during the term of the ASR agreement, less a</w:t>
      </w:r>
    </w:p>
    <w:p>
      <w:pPr>
        <w:ind w:left="10"/>
        <w:spacing w:after="0" w:line="204" w:lineRule="auto"/>
        <w:rPr>
          <w:sz w:val="20"/>
          <w:szCs w:val="20"/>
          <w:color w:val="auto"/>
        </w:rPr>
      </w:pPr>
      <w:r>
        <w:rPr>
          <w:rFonts w:ascii="Times New Roman" w:cs="Times New Roman" w:eastAsia="Times New Roman" w:hAnsi="Times New Roman"/>
          <w:sz w:val="16"/>
          <w:szCs w:val="16"/>
          <w:color w:val="auto"/>
        </w:rPr>
        <w:t>discount and subject to adjustments pursuant to the terms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ASR agreement. At settlement, our counterparty may be</w:t>
      </w:r>
    </w:p>
    <w:p>
      <w:pPr>
        <w:ind w:left="10"/>
        <w:spacing w:after="0" w:line="204" w:lineRule="auto"/>
        <w:rPr>
          <w:sz w:val="20"/>
          <w:szCs w:val="20"/>
          <w:color w:val="auto"/>
        </w:rPr>
      </w:pPr>
      <w:r>
        <w:rPr>
          <w:rFonts w:ascii="Times New Roman" w:cs="Times New Roman" w:eastAsia="Times New Roman" w:hAnsi="Times New Roman"/>
          <w:sz w:val="16"/>
          <w:szCs w:val="16"/>
          <w:color w:val="auto"/>
        </w:rPr>
        <w:t>required to deliver additional shares of common stock to us,</w:t>
      </w:r>
    </w:p>
    <w:p>
      <w:pPr>
        <w:ind w:left="10"/>
        <w:spacing w:after="0" w:line="203" w:lineRule="auto"/>
        <w:rPr>
          <w:sz w:val="20"/>
          <w:szCs w:val="20"/>
          <w:color w:val="auto"/>
        </w:rPr>
      </w:pPr>
      <w:r>
        <w:rPr>
          <w:rFonts w:ascii="Times New Roman" w:cs="Times New Roman" w:eastAsia="Times New Roman" w:hAnsi="Times New Roman"/>
          <w:sz w:val="16"/>
          <w:szCs w:val="16"/>
          <w:color w:val="auto"/>
        </w:rPr>
        <w:t>or, under certain circumstances, we may be required to</w:t>
      </w:r>
    </w:p>
    <w:p>
      <w:pPr>
        <w:ind w:left="10"/>
        <w:spacing w:after="0" w:line="204" w:lineRule="auto"/>
        <w:rPr>
          <w:sz w:val="20"/>
          <w:szCs w:val="20"/>
          <w:color w:val="auto"/>
        </w:rPr>
      </w:pPr>
      <w:r>
        <w:rPr>
          <w:rFonts w:ascii="Times New Roman" w:cs="Times New Roman" w:eastAsia="Times New Roman" w:hAnsi="Times New Roman"/>
          <w:sz w:val="16"/>
          <w:szCs w:val="16"/>
          <w:color w:val="auto"/>
        </w:rPr>
        <w:t>deliver shares of our common stock or may elect to make a</w:t>
      </w:r>
    </w:p>
    <w:p>
      <w:pPr>
        <w:ind w:left="10"/>
        <w:spacing w:after="0" w:line="204" w:lineRule="auto"/>
        <w:rPr>
          <w:sz w:val="20"/>
          <w:szCs w:val="20"/>
          <w:color w:val="auto"/>
        </w:rPr>
      </w:pPr>
      <w:r>
        <w:rPr>
          <w:rFonts w:ascii="Times New Roman" w:cs="Times New Roman" w:eastAsia="Times New Roman" w:hAnsi="Times New Roman"/>
          <w:sz w:val="16"/>
          <w:szCs w:val="16"/>
          <w:color w:val="auto"/>
        </w:rPr>
        <w:t>cash payment to our counterparty. Receiving our shares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common stock, during initial delivery and the final receipt of</w:t>
      </w:r>
    </w:p>
    <w:p>
      <w:pPr>
        <w:ind w:left="10"/>
        <w:spacing w:after="0" w:line="204" w:lineRule="auto"/>
        <w:rPr>
          <w:sz w:val="20"/>
          <w:szCs w:val="20"/>
          <w:color w:val="auto"/>
        </w:rPr>
      </w:pPr>
      <w:r>
        <w:rPr>
          <w:rFonts w:ascii="Times New Roman" w:cs="Times New Roman" w:eastAsia="Times New Roman" w:hAnsi="Times New Roman"/>
          <w:sz w:val="16"/>
          <w:szCs w:val="16"/>
          <w:color w:val="auto"/>
        </w:rPr>
        <w:t>shares upon settlement of the ASR agreements, results in an</w:t>
      </w:r>
    </w:p>
    <w:p>
      <w:pPr>
        <w:ind w:left="10"/>
        <w:spacing w:after="0" w:line="203" w:lineRule="auto"/>
        <w:rPr>
          <w:sz w:val="20"/>
          <w:szCs w:val="20"/>
          <w:color w:val="auto"/>
        </w:rPr>
      </w:pPr>
      <w:r>
        <w:rPr>
          <w:rFonts w:ascii="Times New Roman" w:cs="Times New Roman" w:eastAsia="Times New Roman" w:hAnsi="Times New Roman"/>
          <w:sz w:val="16"/>
          <w:szCs w:val="16"/>
          <w:color w:val="auto"/>
        </w:rPr>
        <w:t>immediate reduction of the outstanding shares used to</w:t>
      </w:r>
    </w:p>
    <w:p>
      <w:pPr>
        <w:ind w:left="10"/>
        <w:spacing w:after="0" w:line="204" w:lineRule="auto"/>
        <w:rPr>
          <w:sz w:val="20"/>
          <w:szCs w:val="20"/>
          <w:color w:val="auto"/>
        </w:rPr>
      </w:pPr>
      <w:r>
        <w:rPr>
          <w:rFonts w:ascii="Times New Roman" w:cs="Times New Roman" w:eastAsia="Times New Roman" w:hAnsi="Times New Roman"/>
          <w:sz w:val="16"/>
          <w:szCs w:val="16"/>
          <w:color w:val="auto"/>
        </w:rPr>
        <w:t>calculate the weighted-average common shares outstanding</w:t>
      </w:r>
    </w:p>
    <w:p>
      <w:pPr>
        <w:ind w:left="10"/>
        <w:spacing w:after="0" w:line="203" w:lineRule="auto"/>
        <w:rPr>
          <w:sz w:val="20"/>
          <w:szCs w:val="20"/>
          <w:color w:val="auto"/>
        </w:rPr>
      </w:pPr>
      <w:r>
        <w:rPr>
          <w:rFonts w:ascii="Times New Roman" w:cs="Times New Roman" w:eastAsia="Times New Roman" w:hAnsi="Times New Roman"/>
          <w:sz w:val="16"/>
          <w:szCs w:val="16"/>
          <w:color w:val="auto"/>
        </w:rPr>
        <w:t>for basic and diluted earnings per share.</w:t>
      </w:r>
    </w:p>
    <w:p>
      <w:pPr>
        <w:ind w:left="10"/>
        <w:spacing w:after="0" w:line="204" w:lineRule="auto"/>
        <w:rPr>
          <w:sz w:val="20"/>
          <w:szCs w:val="20"/>
          <w:color w:val="auto"/>
        </w:rPr>
      </w:pPr>
      <w:r>
        <w:rPr>
          <w:rFonts w:ascii="Times New Roman" w:cs="Times New Roman" w:eastAsia="Times New Roman" w:hAnsi="Times New Roman"/>
          <w:sz w:val="16"/>
          <w:szCs w:val="16"/>
          <w:color w:val="auto"/>
        </w:rPr>
        <w:t>In October 2025, we entered into a variable notional ASR</w:t>
      </w:r>
    </w:p>
    <w:p>
      <w:pPr>
        <w:ind w:left="10"/>
        <w:spacing w:after="0" w:line="203" w:lineRule="auto"/>
        <w:rPr>
          <w:sz w:val="20"/>
          <w:szCs w:val="20"/>
          <w:color w:val="auto"/>
        </w:rPr>
      </w:pPr>
      <w:r>
        <w:rPr>
          <w:rFonts w:ascii="Times New Roman" w:cs="Times New Roman" w:eastAsia="Times New Roman" w:hAnsi="Times New Roman"/>
          <w:sz w:val="16"/>
          <w:szCs w:val="16"/>
          <w:color w:val="auto"/>
        </w:rPr>
        <w:t>agreement, in which we paid $250 million to a third-party</w:t>
      </w:r>
    </w:p>
    <w:p>
      <w:pPr>
        <w:ind w:left="10"/>
        <w:spacing w:after="0" w:line="204" w:lineRule="auto"/>
        <w:rPr>
          <w:sz w:val="20"/>
          <w:szCs w:val="20"/>
          <w:color w:val="auto"/>
        </w:rPr>
      </w:pPr>
      <w:r>
        <w:rPr>
          <w:rFonts w:ascii="Times New Roman" w:cs="Times New Roman" w:eastAsia="Times New Roman" w:hAnsi="Times New Roman"/>
          <w:sz w:val="16"/>
          <w:szCs w:val="16"/>
          <w:color w:val="auto"/>
        </w:rPr>
        <w:t>financial institution and initially received and immediately</w:t>
      </w:r>
    </w:p>
    <w:p>
      <w:pPr>
        <w:ind w:left="10"/>
        <w:spacing w:after="0" w:line="204" w:lineRule="auto"/>
        <w:rPr>
          <w:sz w:val="20"/>
          <w:szCs w:val="20"/>
          <w:color w:val="auto"/>
        </w:rPr>
      </w:pPr>
      <w:r>
        <w:rPr>
          <w:rFonts w:ascii="Times New Roman" w:cs="Times New Roman" w:eastAsia="Times New Roman" w:hAnsi="Times New Roman"/>
          <w:sz w:val="16"/>
          <w:szCs w:val="16"/>
          <w:color w:val="auto"/>
        </w:rPr>
        <w:t>retired 1,812,219 shares of our common stock. In December</w:t>
      </w:r>
    </w:p>
    <w:p>
      <w:pPr>
        <w:ind w:left="10"/>
        <w:spacing w:after="0" w:line="203" w:lineRule="auto"/>
        <w:rPr>
          <w:sz w:val="20"/>
          <w:szCs w:val="20"/>
          <w:color w:val="auto"/>
        </w:rPr>
      </w:pPr>
      <w:r>
        <w:rPr>
          <w:rFonts w:ascii="Times New Roman" w:cs="Times New Roman" w:eastAsia="Times New Roman" w:hAnsi="Times New Roman"/>
          <w:sz w:val="16"/>
          <w:szCs w:val="16"/>
          <w:color w:val="auto"/>
        </w:rPr>
        <w:t>2025, upon the final settlement of this transaction, we</w:t>
      </w:r>
    </w:p>
    <w:p>
      <w:pPr>
        <w:ind w:left="10"/>
        <w:spacing w:after="0" w:line="204" w:lineRule="auto"/>
        <w:rPr>
          <w:sz w:val="20"/>
          <w:szCs w:val="20"/>
          <w:color w:val="auto"/>
        </w:rPr>
      </w:pPr>
      <w:r>
        <w:rPr>
          <w:rFonts w:ascii="Times New Roman" w:cs="Times New Roman" w:eastAsia="Times New Roman" w:hAnsi="Times New Roman"/>
          <w:sz w:val="16"/>
          <w:szCs w:val="16"/>
          <w:color w:val="auto"/>
        </w:rPr>
        <w:t>received an additional 504,401 shares, which were</w:t>
      </w:r>
    </w:p>
    <w:p>
      <w:pPr>
        <w:ind w:left="10"/>
        <w:spacing w:after="0" w:line="203" w:lineRule="auto"/>
        <w:rPr>
          <w:sz w:val="20"/>
          <w:szCs w:val="20"/>
          <w:color w:val="auto"/>
        </w:rPr>
      </w:pPr>
      <w:r>
        <w:rPr>
          <w:rFonts w:ascii="Times New Roman" w:cs="Times New Roman" w:eastAsia="Times New Roman" w:hAnsi="Times New Roman"/>
          <w:sz w:val="16"/>
          <w:szCs w:val="16"/>
          <w:color w:val="auto"/>
        </w:rPr>
        <w:t>immediately retired, and a $45 million cash payment, which</w:t>
      </w:r>
    </w:p>
    <w:p>
      <w:pPr>
        <w:ind w:left="10"/>
        <w:spacing w:after="0" w:line="204" w:lineRule="auto"/>
        <w:rPr>
          <w:sz w:val="20"/>
          <w:szCs w:val="20"/>
          <w:color w:val="auto"/>
        </w:rPr>
      </w:pPr>
      <w:r>
        <w:rPr>
          <w:rFonts w:ascii="Times New Roman" w:cs="Times New Roman" w:eastAsia="Times New Roman" w:hAnsi="Times New Roman"/>
          <w:sz w:val="16"/>
          <w:szCs w:val="16"/>
          <w:color w:val="auto"/>
        </w:rPr>
        <w:t>reflects the difference between the prepayment amount</w:t>
      </w:r>
    </w:p>
    <w:p>
      <w:pPr>
        <w:ind w:left="10"/>
        <w:spacing w:after="0" w:line="203" w:lineRule="auto"/>
        <w:rPr>
          <w:sz w:val="20"/>
          <w:szCs w:val="20"/>
          <w:color w:val="auto"/>
        </w:rPr>
      </w:pPr>
      <w:r>
        <w:rPr>
          <w:rFonts w:ascii="Times New Roman" w:cs="Times New Roman" w:eastAsia="Times New Roman" w:hAnsi="Times New Roman"/>
          <w:sz w:val="16"/>
          <w:szCs w:val="16"/>
          <w:color w:val="auto"/>
        </w:rPr>
        <w:t>(maximum notional amount) and the final notional amount.</w:t>
      </w:r>
    </w:p>
    <w:p>
      <w:pPr>
        <w:ind w:left="10"/>
        <w:spacing w:after="0" w:line="204" w:lineRule="auto"/>
        <w:rPr>
          <w:sz w:val="20"/>
          <w:szCs w:val="20"/>
          <w:color w:val="auto"/>
        </w:rPr>
      </w:pPr>
      <w:r>
        <w:rPr>
          <w:rFonts w:ascii="Times New Roman" w:cs="Times New Roman" w:eastAsia="Times New Roman" w:hAnsi="Times New Roman"/>
          <w:sz w:val="16"/>
          <w:szCs w:val="16"/>
          <w:color w:val="auto"/>
        </w:rPr>
        <w:t>In November 2025, we entered into an ASR agreement, in</w:t>
      </w:r>
    </w:p>
    <w:p>
      <w:pPr>
        <w:ind w:left="10"/>
        <w:spacing w:after="0" w:line="203" w:lineRule="auto"/>
        <w:rPr>
          <w:sz w:val="20"/>
          <w:szCs w:val="20"/>
          <w:color w:val="auto"/>
        </w:rPr>
      </w:pPr>
      <w:r>
        <w:rPr>
          <w:rFonts w:ascii="Times New Roman" w:cs="Times New Roman" w:eastAsia="Times New Roman" w:hAnsi="Times New Roman"/>
          <w:sz w:val="16"/>
          <w:szCs w:val="16"/>
          <w:color w:val="auto"/>
        </w:rPr>
        <w:t>which we paid $75 million to a third-party financial</w:t>
      </w:r>
    </w:p>
    <w:p>
      <w:pPr>
        <w:ind w:left="10"/>
        <w:spacing w:after="0" w:line="204" w:lineRule="auto"/>
        <w:rPr>
          <w:sz w:val="20"/>
          <w:szCs w:val="20"/>
          <w:color w:val="auto"/>
        </w:rPr>
      </w:pPr>
      <w:r>
        <w:rPr>
          <w:rFonts w:ascii="Times New Roman" w:cs="Times New Roman" w:eastAsia="Times New Roman" w:hAnsi="Times New Roman"/>
          <w:sz w:val="16"/>
          <w:szCs w:val="16"/>
          <w:color w:val="auto"/>
        </w:rPr>
        <w:t>institution and initially received and immediately retired</w:t>
      </w:r>
    </w:p>
    <w:p>
      <w:pPr>
        <w:ind w:left="10"/>
        <w:spacing w:after="0" w:line="203" w:lineRule="auto"/>
        <w:rPr>
          <w:sz w:val="20"/>
          <w:szCs w:val="20"/>
          <w:color w:val="auto"/>
        </w:rPr>
      </w:pPr>
      <w:r>
        <w:rPr>
          <w:rFonts w:ascii="Times New Roman" w:cs="Times New Roman" w:eastAsia="Times New Roman" w:hAnsi="Times New Roman"/>
          <w:sz w:val="16"/>
          <w:szCs w:val="16"/>
          <w:color w:val="auto"/>
        </w:rPr>
        <w:t>697,512 shares of our common stock. In December 2025,</w:t>
      </w:r>
    </w:p>
    <w:p>
      <w:pPr>
        <w:ind w:left="10"/>
        <w:spacing w:after="0" w:line="204" w:lineRule="auto"/>
        <w:rPr>
          <w:sz w:val="20"/>
          <w:szCs w:val="20"/>
          <w:color w:val="auto"/>
        </w:rPr>
      </w:pPr>
      <w:r>
        <w:rPr>
          <w:rFonts w:ascii="Times New Roman" w:cs="Times New Roman" w:eastAsia="Times New Roman" w:hAnsi="Times New Roman"/>
          <w:sz w:val="16"/>
          <w:szCs w:val="16"/>
          <w:color w:val="auto"/>
        </w:rPr>
        <w:t>upon the final settlement of this transaction, we received an</w:t>
      </w:r>
    </w:p>
    <w:p>
      <w:pPr>
        <w:ind w:left="10"/>
        <w:spacing w:after="0" w:line="204" w:lineRule="auto"/>
        <w:rPr>
          <w:sz w:val="20"/>
          <w:szCs w:val="20"/>
          <w:color w:val="auto"/>
        </w:rPr>
      </w:pPr>
      <w:r>
        <w:rPr>
          <w:rFonts w:ascii="Times New Roman" w:cs="Times New Roman" w:eastAsia="Times New Roman" w:hAnsi="Times New Roman"/>
          <w:sz w:val="16"/>
          <w:szCs w:val="16"/>
          <w:color w:val="auto"/>
        </w:rPr>
        <w:t>additional 117,855 shares which were immediately retired.</w:t>
      </w:r>
    </w:p>
    <w:p>
      <w:pPr>
        <w:ind w:left="10"/>
        <w:spacing w:after="0"/>
        <w:rPr>
          <w:sz w:val="20"/>
          <w:szCs w:val="20"/>
          <w:color w:val="auto"/>
        </w:rPr>
      </w:pPr>
      <w:r>
        <w:rPr>
          <w:rFonts w:ascii="Times New Roman" w:cs="Times New Roman" w:eastAsia="Times New Roman" w:hAnsi="Times New Roman"/>
          <w:sz w:val="16"/>
          <w:szCs w:val="16"/>
          <w:color w:val="auto"/>
        </w:rPr>
        <w:t>In January 2026, we entered into a variable notional ASR</w:t>
      </w:r>
    </w:p>
    <w:p>
      <w:pPr>
        <w:sectPr>
          <w:pgSz w:w="11900" w:h="16840" w:orient="portrait"/>
          <w:cols w:equalWidth="0" w:num="1">
            <w:col w:w="9410"/>
          </w:cols>
          <w:pgMar w:left="1050" w:top="547" w:right="1440" w:bottom="8" w:gutter="0" w:footer="0" w:header="0"/>
        </w:sectPr>
      </w:pPr>
    </w:p>
    <w:bookmarkStart w:id="81" w:name="page82"/>
    <w:bookmarkEnd w:id="81"/>
    <w:p>
      <w:pPr>
        <w:ind w:left="10"/>
        <w:spacing w:after="0"/>
        <w:rPr>
          <w:sz w:val="20"/>
          <w:szCs w:val="20"/>
          <w:color w:val="auto"/>
        </w:rPr>
      </w:pPr>
      <w:r>
        <w:rPr>
          <w:rFonts w:ascii="Times New Roman" w:cs="Times New Roman" w:eastAsia="Times New Roman" w:hAnsi="Times New Roman"/>
          <w:sz w:val="16"/>
          <w:szCs w:val="16"/>
          <w:color w:val="auto"/>
        </w:rPr>
        <w:t>agreement, for which we paid $300 million to a third-party</w:t>
      </w:r>
    </w:p>
    <w:p>
      <w:pPr>
        <w:ind w:left="10"/>
        <w:spacing w:after="0" w:line="203" w:lineRule="auto"/>
        <w:rPr>
          <w:sz w:val="20"/>
          <w:szCs w:val="20"/>
          <w:color w:val="auto"/>
        </w:rPr>
      </w:pPr>
      <w:r>
        <w:rPr>
          <w:rFonts w:ascii="Times New Roman" w:cs="Times New Roman" w:eastAsia="Times New Roman" w:hAnsi="Times New Roman"/>
          <w:sz w:val="16"/>
          <w:szCs w:val="16"/>
          <w:color w:val="auto"/>
        </w:rPr>
        <w:t>financial institution in exchange for an initial delivery of</w:t>
      </w:r>
    </w:p>
    <w:p>
      <w:pPr>
        <w:ind w:left="10"/>
        <w:spacing w:after="0" w:line="204" w:lineRule="auto"/>
        <w:rPr>
          <w:sz w:val="20"/>
          <w:szCs w:val="20"/>
          <w:color w:val="auto"/>
        </w:rPr>
      </w:pPr>
      <w:r>
        <w:rPr>
          <w:rFonts w:ascii="Times New Roman" w:cs="Times New Roman" w:eastAsia="Times New Roman" w:hAnsi="Times New Roman"/>
          <w:sz w:val="16"/>
          <w:szCs w:val="16"/>
          <w:color w:val="auto"/>
        </w:rPr>
        <w:t>shares of common stock. The final notional amount is subject</w:t>
      </w:r>
    </w:p>
    <w:p>
      <w:pPr>
        <w:ind w:left="10"/>
        <w:spacing w:after="0" w:line="203" w:lineRule="auto"/>
        <w:rPr>
          <w:sz w:val="20"/>
          <w:szCs w:val="20"/>
          <w:color w:val="auto"/>
        </w:rPr>
      </w:pPr>
      <w:r>
        <w:rPr>
          <w:rFonts w:ascii="Times New Roman" w:cs="Times New Roman" w:eastAsia="Times New Roman" w:hAnsi="Times New Roman"/>
          <w:sz w:val="16"/>
          <w:szCs w:val="16"/>
          <w:color w:val="auto"/>
        </w:rPr>
        <w:t>to a minimum and maximum and will depend on the price of</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shares of common stock during the term of the ASR.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final settlement of the ASR agreement is expected to be</w:t>
      </w:r>
    </w:p>
    <w:p>
      <w:pPr>
        <w:ind w:left="10"/>
        <w:spacing w:after="0" w:line="204" w:lineRule="auto"/>
        <w:rPr>
          <w:sz w:val="20"/>
          <w:szCs w:val="20"/>
          <w:color w:val="auto"/>
        </w:rPr>
      </w:pPr>
      <w:r>
        <w:rPr>
          <w:rFonts w:ascii="Times New Roman" w:cs="Times New Roman" w:eastAsia="Times New Roman" w:hAnsi="Times New Roman"/>
          <w:sz w:val="16"/>
          <w:szCs w:val="16"/>
          <w:color w:val="auto"/>
        </w:rPr>
        <w:t>completed in the first quarter of 2026. At settlement,</w:t>
      </w:r>
    </w:p>
    <w:p>
      <w:pPr>
        <w:ind w:left="10"/>
        <w:spacing w:after="0" w:line="203" w:lineRule="auto"/>
        <w:rPr>
          <w:sz w:val="20"/>
          <w:szCs w:val="20"/>
          <w:color w:val="auto"/>
        </w:rPr>
      </w:pPr>
      <w:r>
        <w:rPr>
          <w:rFonts w:ascii="Times New Roman" w:cs="Times New Roman" w:eastAsia="Times New Roman" w:hAnsi="Times New Roman"/>
          <w:sz w:val="16"/>
          <w:szCs w:val="16"/>
          <w:color w:val="auto"/>
        </w:rPr>
        <w:t>additional shares of common stock may be delivered to us or,</w:t>
      </w:r>
    </w:p>
    <w:p>
      <w:pPr>
        <w:ind w:left="10"/>
        <w:spacing w:after="0" w:line="204" w:lineRule="auto"/>
        <w:rPr>
          <w:sz w:val="20"/>
          <w:szCs w:val="20"/>
          <w:color w:val="auto"/>
        </w:rPr>
      </w:pPr>
      <w:r>
        <w:rPr>
          <w:rFonts w:ascii="Times New Roman" w:cs="Times New Roman" w:eastAsia="Times New Roman" w:hAnsi="Times New Roman"/>
          <w:sz w:val="16"/>
          <w:szCs w:val="16"/>
          <w:color w:val="auto"/>
        </w:rPr>
        <w:t>under certain circumstances, we may be required to deliver</w:t>
      </w:r>
    </w:p>
    <w:p>
      <w:pPr>
        <w:ind w:left="10"/>
        <w:spacing w:after="0" w:line="203" w:lineRule="auto"/>
        <w:rPr>
          <w:sz w:val="20"/>
          <w:szCs w:val="20"/>
          <w:color w:val="auto"/>
        </w:rPr>
      </w:pPr>
      <w:r>
        <w:rPr>
          <w:rFonts w:ascii="Times New Roman" w:cs="Times New Roman" w:eastAsia="Times New Roman" w:hAnsi="Times New Roman"/>
          <w:sz w:val="16"/>
          <w:szCs w:val="16"/>
          <w:color w:val="auto"/>
        </w:rPr>
        <w:t>shares of our common stock or may elect to make a cash</w:t>
      </w:r>
    </w:p>
    <w:p>
      <w:pPr>
        <w:ind w:left="10"/>
        <w:spacing w:after="0" w:line="204" w:lineRule="auto"/>
        <w:rPr>
          <w:sz w:val="20"/>
          <w:szCs w:val="20"/>
          <w:color w:val="auto"/>
        </w:rPr>
      </w:pPr>
      <w:r>
        <w:rPr>
          <w:rFonts w:ascii="Times New Roman" w:cs="Times New Roman" w:eastAsia="Times New Roman" w:hAnsi="Times New Roman"/>
          <w:sz w:val="16"/>
          <w:szCs w:val="16"/>
          <w:color w:val="auto"/>
        </w:rPr>
        <w:t>payment. In addition, we may receive the excess of the</w:t>
      </w:r>
    </w:p>
    <w:p>
      <w:pPr>
        <w:ind w:left="10"/>
        <w:spacing w:after="0" w:line="204" w:lineRule="auto"/>
        <w:rPr>
          <w:sz w:val="20"/>
          <w:szCs w:val="20"/>
          <w:color w:val="auto"/>
        </w:rPr>
      </w:pPr>
      <w:r>
        <w:rPr>
          <w:rFonts w:ascii="Times New Roman" w:cs="Times New Roman" w:eastAsia="Times New Roman" w:hAnsi="Times New Roman"/>
          <w:sz w:val="16"/>
          <w:szCs w:val="16"/>
          <w:color w:val="auto"/>
        </w:rPr>
        <w:t>amount we prepaid over the final notional amount of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ASR in cash or, at our election, in shares of our common</w:t>
      </w:r>
    </w:p>
    <w:p>
      <w:pPr>
        <w:ind w:left="10"/>
        <w:spacing w:after="0" w:line="204" w:lineRule="auto"/>
        <w:rPr>
          <w:sz w:val="20"/>
          <w:szCs w:val="20"/>
          <w:color w:val="auto"/>
        </w:rPr>
      </w:pPr>
      <w:r>
        <w:rPr>
          <w:rFonts w:ascii="Times New Roman" w:cs="Times New Roman" w:eastAsia="Times New Roman" w:hAnsi="Times New Roman"/>
          <w:sz w:val="16"/>
          <w:szCs w:val="16"/>
          <w:color w:val="auto"/>
        </w:rPr>
        <w:t>stock.</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Preferred Stock</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certificate of incorporation authorizes the issuance of</w:t>
      </w:r>
    </w:p>
    <w:p>
      <w:pPr>
        <w:ind w:left="10"/>
        <w:spacing w:after="0" w:line="203" w:lineRule="auto"/>
        <w:rPr>
          <w:sz w:val="20"/>
          <w:szCs w:val="20"/>
          <w:color w:val="auto"/>
        </w:rPr>
      </w:pPr>
      <w:r>
        <w:rPr>
          <w:rFonts w:ascii="Times New Roman" w:cs="Times New Roman" w:eastAsia="Times New Roman" w:hAnsi="Times New Roman"/>
          <w:sz w:val="16"/>
          <w:szCs w:val="16"/>
          <w:color w:val="auto"/>
        </w:rPr>
        <w:t>30,000,000 shares of preferred stock, par value $0.01 per</w:t>
      </w:r>
    </w:p>
    <w:p>
      <w:pPr>
        <w:ind w:left="10"/>
        <w:spacing w:after="0" w:line="204" w:lineRule="auto"/>
        <w:rPr>
          <w:sz w:val="20"/>
          <w:szCs w:val="20"/>
          <w:color w:val="auto"/>
        </w:rPr>
      </w:pPr>
      <w:r>
        <w:rPr>
          <w:rFonts w:ascii="Times New Roman" w:cs="Times New Roman" w:eastAsia="Times New Roman" w:hAnsi="Times New Roman"/>
          <w:sz w:val="16"/>
          <w:szCs w:val="16"/>
          <w:color w:val="auto"/>
        </w:rPr>
        <w:t>share, issuable from time to time in one or more series. As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December 31, 2025 and December 31, 2024, no shares of</w:t>
      </w:r>
    </w:p>
    <w:p>
      <w:pPr>
        <w:ind w:left="10"/>
        <w:spacing w:after="0" w:line="204" w:lineRule="auto"/>
        <w:rPr>
          <w:sz w:val="20"/>
          <w:szCs w:val="20"/>
          <w:color w:val="auto"/>
        </w:rPr>
      </w:pPr>
      <w:r>
        <w:rPr>
          <w:rFonts w:ascii="Times New Roman" w:cs="Times New Roman" w:eastAsia="Times New Roman" w:hAnsi="Times New Roman"/>
          <w:sz w:val="16"/>
          <w:szCs w:val="16"/>
          <w:color w:val="auto"/>
        </w:rPr>
        <w:t>preferred stock were issued or outstanding.</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Cash Dividends on Common Stock</w:t>
      </w:r>
    </w:p>
    <w:p>
      <w:pPr>
        <w:ind w:left="10"/>
        <w:spacing w:after="0" w:line="203" w:lineRule="auto"/>
        <w:rPr>
          <w:sz w:val="20"/>
          <w:szCs w:val="20"/>
          <w:color w:val="auto"/>
        </w:rPr>
      </w:pPr>
      <w:r>
        <w:rPr>
          <w:rFonts w:ascii="Times New Roman" w:cs="Times New Roman" w:eastAsia="Times New Roman" w:hAnsi="Times New Roman"/>
          <w:sz w:val="16"/>
          <w:szCs w:val="16"/>
          <w:color w:val="auto"/>
        </w:rPr>
        <w:t>During 2025, our board of directors declared and paid the</w:t>
      </w:r>
    </w:p>
    <w:p>
      <w:pPr>
        <w:ind w:left="10"/>
        <w:spacing w:after="0" w:line="228" w:lineRule="auto"/>
        <w:rPr>
          <w:sz w:val="20"/>
          <w:szCs w:val="20"/>
          <w:color w:val="auto"/>
        </w:rPr>
      </w:pPr>
      <w:r>
        <w:rPr>
          <w:rFonts w:ascii="Times New Roman" w:cs="Times New Roman" w:eastAsia="Times New Roman" w:hAnsi="Times New Roman"/>
          <w:sz w:val="16"/>
          <w:szCs w:val="16"/>
          <w:color w:val="auto"/>
        </w:rPr>
        <w:t>following cash dividends:</w:t>
      </w:r>
    </w:p>
    <w:tbl>
      <w:tblPr>
        <w:tblLayout w:type="fixed"/>
        <w:tblInd w:w="10" w:type="dxa"/>
        <w:tblCellMar>
          <w:top w:w="0" w:type="dxa"/>
          <w:left w:w="0" w:type="dxa"/>
          <w:bottom w:w="0" w:type="dxa"/>
          <w:right w:w="0" w:type="dxa"/>
        </w:tblCellMar>
      </w:tblPr>
      <w:tr>
        <w:trPr>
          <w:trHeight w:val="97"/>
        </w:trPr>
        <w:tc>
          <w:tcPr>
            <w:tcW w:w="96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Declaration Date</w:t>
            </w:r>
          </w:p>
        </w:tc>
        <w:tc>
          <w:tcPr>
            <w:tcW w:w="20" w:type="dxa"/>
            <w:vAlign w:val="bottom"/>
          </w:tcPr>
          <w:p>
            <w:pPr>
              <w:spacing w:after="0"/>
              <w:rPr>
                <w:sz w:val="8"/>
                <w:szCs w:val="8"/>
                <w:color w:val="auto"/>
              </w:rPr>
            </w:pPr>
          </w:p>
        </w:tc>
        <w:tc>
          <w:tcPr>
            <w:tcW w:w="80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Dividend Per</w:t>
            </w:r>
          </w:p>
        </w:tc>
        <w:tc>
          <w:tcPr>
            <w:tcW w:w="20" w:type="dxa"/>
            <w:vAlign w:val="bottom"/>
          </w:tcPr>
          <w:p>
            <w:pPr>
              <w:spacing w:after="0"/>
              <w:rPr>
                <w:sz w:val="8"/>
                <w:szCs w:val="8"/>
                <w:color w:val="auto"/>
              </w:rPr>
            </w:pPr>
          </w:p>
        </w:tc>
        <w:tc>
          <w:tcPr>
            <w:tcW w:w="74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Record Date</w:t>
            </w:r>
          </w:p>
        </w:tc>
        <w:tc>
          <w:tcPr>
            <w:tcW w:w="60" w:type="dxa"/>
            <w:vAlign w:val="bottom"/>
          </w:tcPr>
          <w:p>
            <w:pPr>
              <w:spacing w:after="0"/>
              <w:rPr>
                <w:sz w:val="8"/>
                <w:szCs w:val="8"/>
                <w:color w:val="auto"/>
              </w:rPr>
            </w:pPr>
          </w:p>
        </w:tc>
        <w:tc>
          <w:tcPr>
            <w:tcW w:w="28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Payment</w:t>
            </w:r>
          </w:p>
        </w:tc>
      </w:tr>
      <w:tr>
        <w:trPr>
          <w:trHeight w:val="108"/>
        </w:trPr>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9"/>
                <w:szCs w:val="9"/>
                <w:color w:val="auto"/>
              </w:rPr>
            </w:pPr>
          </w:p>
        </w:tc>
        <w:tc>
          <w:tcPr>
            <w:tcW w:w="72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Date</w:t>
            </w:r>
          </w:p>
        </w:tc>
      </w:tr>
      <w:tr>
        <w:trPr>
          <w:trHeight w:val="142"/>
        </w:trPr>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Paid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62"/>
        </w:trPr>
        <w:tc>
          <w:tcPr>
            <w:tcW w:w="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134"/>
        </w:trPr>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3"/>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74"/>
        </w:trPr>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32"/>
        </w:trPr>
        <w:tc>
          <w:tcPr>
            <w:tcW w:w="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January 28,</w:t>
            </w:r>
          </w:p>
        </w:tc>
        <w:tc>
          <w:tcPr>
            <w:tcW w:w="38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0.24</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March 14,</w:t>
            </w:r>
          </w:p>
        </w:tc>
        <w:tc>
          <w:tcPr>
            <w:tcW w:w="3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138</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March 28,</w:t>
            </w:r>
          </w:p>
        </w:tc>
      </w:tr>
      <w:tr>
        <w:trPr>
          <w:trHeight w:val="220"/>
        </w:trPr>
        <w:tc>
          <w:tcPr>
            <w:tcW w:w="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2025</w:t>
            </w:r>
          </w:p>
        </w:tc>
      </w:tr>
      <w:tr>
        <w:trPr>
          <w:trHeight w:val="132"/>
        </w:trPr>
        <w:tc>
          <w:tcPr>
            <w:tcW w:w="9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April 23, 2025</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0.27</w:t>
            </w:r>
          </w:p>
        </w:tc>
        <w:tc>
          <w:tcPr>
            <w:tcW w:w="2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June 13,</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155</w:t>
            </w:r>
          </w:p>
        </w:tc>
        <w:tc>
          <w:tcPr>
            <w:tcW w:w="6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June 27,</w:t>
            </w:r>
          </w:p>
        </w:tc>
      </w:tr>
      <w:tr>
        <w:trPr>
          <w:trHeight w:val="188"/>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2025</w:t>
            </w:r>
          </w:p>
        </w:tc>
      </w:tr>
      <w:tr>
        <w:trPr>
          <w:trHeight w:val="52"/>
        </w:trPr>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132"/>
        </w:trPr>
        <w:tc>
          <w:tcPr>
            <w:tcW w:w="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July 23, 2025</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0.27</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September</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155</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September</w:t>
            </w:r>
          </w:p>
        </w:tc>
      </w:tr>
      <w:tr>
        <w:trPr>
          <w:trHeight w:val="220"/>
        </w:trPr>
        <w:tc>
          <w:tcPr>
            <w:tcW w:w="9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12, 2025</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26, 2025</w:t>
            </w:r>
          </w:p>
        </w:tc>
      </w:tr>
      <w:tr>
        <w:trPr>
          <w:trHeight w:val="132"/>
        </w:trPr>
        <w:tc>
          <w:tcPr>
            <w:tcW w:w="9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October 20,</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0.27</w:t>
            </w:r>
          </w:p>
        </w:tc>
        <w:tc>
          <w:tcPr>
            <w:tcW w:w="2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December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153</w:t>
            </w:r>
          </w:p>
        </w:tc>
        <w:tc>
          <w:tcPr>
            <w:tcW w:w="6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December</w:t>
            </w:r>
          </w:p>
        </w:tc>
      </w:tr>
      <w:tr>
        <w:trPr>
          <w:trHeight w:val="188"/>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5, 2025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19, 2025</w:t>
            </w:r>
          </w:p>
        </w:tc>
      </w:tr>
      <w:tr>
        <w:trPr>
          <w:trHeight w:val="52"/>
        </w:trPr>
        <w:tc>
          <w:tcPr>
            <w:tcW w:w="9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r>
      <w:tr>
        <w:trPr>
          <w:trHeight w:val="188"/>
        </w:trPr>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601</w:t>
            </w: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bl>
    <w:p>
      <w:pPr>
        <w:ind w:left="10"/>
        <w:spacing w:after="0" w:line="225" w:lineRule="auto"/>
        <w:rPr>
          <w:sz w:val="20"/>
          <w:szCs w:val="20"/>
          <w:color w:val="auto"/>
        </w:rPr>
      </w:pPr>
      <w:r>
        <w:rPr>
          <w:rFonts w:ascii="Times New Roman" w:cs="Times New Roman" w:eastAsia="Times New Roman" w:hAnsi="Times New Roman"/>
          <w:sz w:val="16"/>
          <w:szCs w:val="16"/>
          <w:color w:val="auto"/>
        </w:rPr>
        <w:t>The total amount paid of $601 million was recorded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-100965</wp:posOffset>
            </wp:positionV>
            <wp:extent cx="41148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411480" cy="7620"/>
                    </a:xfrm>
                    <a:prstGeom prst="rect">
                      <a:avLst/>
                    </a:prstGeom>
                    <a:noFill/>
                  </pic:spPr>
                </pic:pic>
              </a:graphicData>
            </a:graphic>
          </wp:anchor>
        </w:drawing>
      </w:r>
    </w:p>
    <w:p>
      <w:pPr>
        <w:ind w:left="10"/>
        <w:spacing w:after="0" w:line="204" w:lineRule="auto"/>
        <w:rPr>
          <w:sz w:val="20"/>
          <w:szCs w:val="20"/>
          <w:color w:val="auto"/>
        </w:rPr>
      </w:pPr>
      <w:r>
        <w:rPr>
          <w:rFonts w:ascii="Times New Roman" w:cs="Times New Roman" w:eastAsia="Times New Roman" w:hAnsi="Times New Roman"/>
          <w:sz w:val="16"/>
          <w:szCs w:val="16"/>
          <w:color w:val="auto"/>
        </w:rPr>
        <w:t>retained earnings in the Consolidated Balance Sheets at</w:t>
      </w:r>
    </w:p>
    <w:p>
      <w:pPr>
        <w:ind w:left="10"/>
        <w:spacing w:after="0" w:line="203" w:lineRule="auto"/>
        <w:rPr>
          <w:sz w:val="20"/>
          <w:szCs w:val="20"/>
          <w:color w:val="auto"/>
        </w:rPr>
      </w:pPr>
      <w:r>
        <w:rPr>
          <w:rFonts w:ascii="Times New Roman" w:cs="Times New Roman" w:eastAsia="Times New Roman" w:hAnsi="Times New Roman"/>
          <w:sz w:val="16"/>
          <w:szCs w:val="16"/>
          <w:color w:val="auto"/>
        </w:rPr>
        <w:t>December 31, 2025.</w:t>
      </w:r>
    </w:p>
    <w:p>
      <w:pPr>
        <w:ind w:left="10"/>
        <w:spacing w:after="0" w:line="204" w:lineRule="auto"/>
        <w:rPr>
          <w:sz w:val="20"/>
          <w:szCs w:val="20"/>
          <w:color w:val="auto"/>
        </w:rPr>
      </w:pPr>
      <w:r>
        <w:rPr>
          <w:rFonts w:ascii="Times New Roman" w:cs="Times New Roman" w:eastAsia="Times New Roman" w:hAnsi="Times New Roman"/>
          <w:sz w:val="16"/>
          <w:szCs w:val="16"/>
          <w:color w:val="auto"/>
        </w:rPr>
        <w:t>In January 2026, the board of directors approved a regular</w:t>
      </w:r>
    </w:p>
    <w:p>
      <w:pPr>
        <w:ind w:left="10"/>
        <w:spacing w:after="0" w:line="203" w:lineRule="auto"/>
        <w:rPr>
          <w:sz w:val="20"/>
          <w:szCs w:val="20"/>
          <w:color w:val="auto"/>
        </w:rPr>
      </w:pPr>
      <w:r>
        <w:rPr>
          <w:rFonts w:ascii="Times New Roman" w:cs="Times New Roman" w:eastAsia="Times New Roman" w:hAnsi="Times New Roman"/>
          <w:sz w:val="16"/>
          <w:szCs w:val="16"/>
          <w:color w:val="auto"/>
        </w:rPr>
        <w:t>quarterly cash dividend of $0.27 per share on our outstanding</w:t>
      </w:r>
    </w:p>
    <w:p>
      <w:pPr>
        <w:ind w:left="10"/>
        <w:spacing w:after="0" w:line="204" w:lineRule="auto"/>
        <w:rPr>
          <w:sz w:val="20"/>
          <w:szCs w:val="20"/>
          <w:color w:val="auto"/>
        </w:rPr>
      </w:pPr>
      <w:r>
        <w:rPr>
          <w:rFonts w:ascii="Times New Roman" w:cs="Times New Roman" w:eastAsia="Times New Roman" w:hAnsi="Times New Roman"/>
          <w:sz w:val="16"/>
          <w:szCs w:val="16"/>
          <w:color w:val="auto"/>
        </w:rPr>
        <w:t>common stock. The dividend is payable on March 30, 2026</w:t>
      </w:r>
    </w:p>
    <w:p>
      <w:pPr>
        <w:ind w:left="10"/>
        <w:spacing w:after="0" w:line="204" w:lineRule="auto"/>
        <w:rPr>
          <w:sz w:val="20"/>
          <w:szCs w:val="20"/>
          <w:color w:val="auto"/>
        </w:rPr>
      </w:pPr>
      <w:r>
        <w:rPr>
          <w:rFonts w:ascii="Times New Roman" w:cs="Times New Roman" w:eastAsia="Times New Roman" w:hAnsi="Times New Roman"/>
          <w:sz w:val="16"/>
          <w:szCs w:val="16"/>
          <w:color w:val="auto"/>
        </w:rPr>
        <w:t>to shareholders of record at the close of business on March</w:t>
      </w:r>
    </w:p>
    <w:p>
      <w:pPr>
        <w:ind w:left="10"/>
        <w:spacing w:after="0" w:line="203" w:lineRule="auto"/>
        <w:rPr>
          <w:sz w:val="20"/>
          <w:szCs w:val="20"/>
          <w:color w:val="auto"/>
        </w:rPr>
      </w:pPr>
      <w:r>
        <w:rPr>
          <w:rFonts w:ascii="Times New Roman" w:cs="Times New Roman" w:eastAsia="Times New Roman" w:hAnsi="Times New Roman"/>
          <w:sz w:val="16"/>
          <w:szCs w:val="16"/>
          <w:color w:val="auto"/>
        </w:rPr>
        <w:t>16, 2026. The estimated aggregate payment of this dividend</w:t>
      </w:r>
    </w:p>
    <w:p>
      <w:pPr>
        <w:ind w:left="10"/>
        <w:spacing w:after="0" w:line="204" w:lineRule="auto"/>
        <w:rPr>
          <w:sz w:val="20"/>
          <w:szCs w:val="20"/>
          <w:color w:val="auto"/>
        </w:rPr>
      </w:pPr>
      <w:r>
        <w:rPr>
          <w:rFonts w:ascii="Times New Roman" w:cs="Times New Roman" w:eastAsia="Times New Roman" w:hAnsi="Times New Roman"/>
          <w:sz w:val="16"/>
          <w:szCs w:val="16"/>
          <w:color w:val="auto"/>
        </w:rPr>
        <w:t>is $154 million. Future declarations of quarterly dividends</w:t>
      </w:r>
    </w:p>
    <w:p>
      <w:pPr>
        <w:ind w:left="10"/>
        <w:spacing w:after="0"/>
        <w:rPr>
          <w:sz w:val="20"/>
          <w:szCs w:val="20"/>
          <w:color w:val="auto"/>
        </w:rPr>
      </w:pPr>
      <w:r>
        <w:rPr>
          <w:rFonts w:ascii="Times New Roman" w:cs="Times New Roman" w:eastAsia="Times New Roman" w:hAnsi="Times New Roman"/>
          <w:sz w:val="16"/>
          <w:szCs w:val="16"/>
          <w:color w:val="auto"/>
        </w:rPr>
        <w:t>and the establishment of future record and payment dates are</w:t>
      </w:r>
    </w:p>
    <w:p>
      <w:pPr>
        <w:spacing w:after="0" w:line="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F-32</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13. EARNINGS PER SHARE</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following table sets forth the computation of basic and</w:t>
      </w:r>
    </w:p>
    <w:p>
      <w:pPr>
        <w:ind w:left="10"/>
        <w:spacing w:after="0" w:line="228" w:lineRule="auto"/>
        <w:rPr>
          <w:sz w:val="20"/>
          <w:szCs w:val="20"/>
          <w:color w:val="auto"/>
        </w:rPr>
      </w:pPr>
      <w:r>
        <w:rPr>
          <w:rFonts w:ascii="Times New Roman" w:cs="Times New Roman" w:eastAsia="Times New Roman" w:hAnsi="Times New Roman"/>
          <w:sz w:val="16"/>
          <w:szCs w:val="16"/>
          <w:color w:val="auto"/>
        </w:rPr>
        <w:t>diluted earnings per share:</w:t>
      </w:r>
    </w:p>
    <w:tbl>
      <w:tblPr>
        <w:tblLayout w:type="fixed"/>
        <w:tblInd w:w="10" w:type="dxa"/>
        <w:tblCellMar>
          <w:top w:w="0" w:type="dxa"/>
          <w:left w:w="0" w:type="dxa"/>
          <w:bottom w:w="0" w:type="dxa"/>
          <w:right w:w="0" w:type="dxa"/>
        </w:tblCellMar>
      </w:tblPr>
      <w:tr>
        <w:trPr>
          <w:trHeight w:val="142"/>
        </w:trPr>
        <w:tc>
          <w:tcPr>
            <w:tcW w:w="1460" w:type="dxa"/>
            <w:vAlign w:val="bottom"/>
          </w:tcPr>
          <w:p>
            <w:pPr>
              <w:spacing w:after="0"/>
              <w:rPr>
                <w:sz w:val="12"/>
                <w:szCs w:val="12"/>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8"/>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8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60" w:type="dxa"/>
            <w:vAlign w:val="bottom"/>
            <w:vMerge w:val="continue"/>
          </w:tcPr>
          <w:p>
            <w:pPr>
              <w:spacing w:after="0"/>
              <w:rPr>
                <w:sz w:val="13"/>
                <w:szCs w:val="13"/>
                <w:color w:val="auto"/>
              </w:rPr>
            </w:pPr>
          </w:p>
        </w:tc>
        <w:tc>
          <w:tcPr>
            <w:tcW w:w="2540" w:type="dxa"/>
            <w:vAlign w:val="bottom"/>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share and per share amounts)</w:t>
            </w: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income attributable</w:t>
            </w:r>
          </w:p>
        </w:tc>
        <w:tc>
          <w:tcPr>
            <w:tcW w:w="1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line="144" w:lineRule="exact"/>
              <w:rPr>
                <w:sz w:val="20"/>
                <w:szCs w:val="20"/>
                <w:color w:val="auto"/>
              </w:rPr>
            </w:pPr>
            <w:r>
              <w:rPr>
                <w:rFonts w:ascii="Times New Roman" w:cs="Times New Roman" w:eastAsia="Times New Roman" w:hAnsi="Times New Roman"/>
                <w:sz w:val="14"/>
                <w:szCs w:val="14"/>
                <w:color w:val="auto"/>
              </w:rPr>
              <w:t>1,788</w:t>
            </w:r>
          </w:p>
        </w:tc>
        <w:tc>
          <w:tcPr>
            <w:tcW w:w="12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1,117</w:t>
            </w:r>
          </w:p>
        </w:tc>
        <w:tc>
          <w:tcPr>
            <w:tcW w:w="14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line="144" w:lineRule="exact"/>
              <w:rPr>
                <w:sz w:val="20"/>
                <w:szCs w:val="20"/>
                <w:color w:val="auto"/>
              </w:rPr>
            </w:pPr>
            <w:r>
              <w:rPr>
                <w:rFonts w:ascii="Times New Roman" w:cs="Times New Roman" w:eastAsia="Times New Roman" w:hAnsi="Times New Roman"/>
                <w:sz w:val="14"/>
                <w:szCs w:val="14"/>
                <w:color w:val="auto"/>
              </w:rPr>
              <w:t>1,059</w:t>
            </w:r>
          </w:p>
        </w:tc>
        <w:tc>
          <w:tcPr>
            <w:tcW w:w="0" w:type="dxa"/>
            <w:vAlign w:val="bottom"/>
          </w:tcPr>
          <w:p>
            <w:pPr>
              <w:spacing w:after="0"/>
              <w:rPr>
                <w:sz w:val="1"/>
                <w:szCs w:val="1"/>
                <w:color w:val="auto"/>
              </w:rPr>
            </w:pPr>
          </w:p>
        </w:tc>
      </w:tr>
      <w:tr>
        <w:trPr>
          <w:trHeight w:val="132"/>
        </w:trPr>
        <w:tc>
          <w:tcPr>
            <w:tcW w:w="14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to common</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14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Weighted-average</w:t>
            </w:r>
          </w:p>
        </w:tc>
        <w:tc>
          <w:tcPr>
            <w:tcW w:w="84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573,257,760</w:t>
            </w:r>
          </w:p>
        </w:tc>
        <w:tc>
          <w:tcPr>
            <w:tcW w:w="840" w:type="dxa"/>
            <w:vAlign w:val="bottom"/>
            <w:gridSpan w:val="3"/>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rPr>
              <w:t>575,428,536</w:t>
            </w:r>
          </w:p>
        </w:tc>
        <w:tc>
          <w:tcPr>
            <w:tcW w:w="860" w:type="dxa"/>
            <w:vAlign w:val="bottom"/>
            <w:gridSpan w:val="3"/>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rPr>
              <w:t>504,909,392</w:t>
            </w: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outstanding for basic</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per share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Weighted-average</w:t>
            </w:r>
          </w:p>
        </w:tc>
        <w:tc>
          <w:tcPr>
            <w:tcW w:w="120" w:type="dxa"/>
            <w:vAlign w:val="bottom"/>
          </w:tcPr>
          <w:p>
            <w:pPr>
              <w:spacing w:after="0"/>
              <w:rPr>
                <w:sz w:val="11"/>
                <w:szCs w:val="11"/>
                <w:color w:val="auto"/>
              </w:rPr>
            </w:pPr>
          </w:p>
        </w:tc>
        <w:tc>
          <w:tcPr>
            <w:tcW w:w="72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5,339,927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45"/>
              <w:spacing w:after="0" w:line="132" w:lineRule="exact"/>
              <w:rPr>
                <w:sz w:val="20"/>
                <w:szCs w:val="20"/>
                <w:color w:val="auto"/>
              </w:rPr>
            </w:pPr>
            <w:r>
              <w:rPr>
                <w:rFonts w:ascii="Times New Roman" w:cs="Times New Roman" w:eastAsia="Times New Roman" w:hAnsi="Times New Roman"/>
                <w:sz w:val="14"/>
                <w:szCs w:val="14"/>
                <w:color w:val="auto"/>
              </w:rPr>
              <w:t>3,760,986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3,483,590</w:t>
            </w:r>
          </w:p>
        </w:tc>
        <w:tc>
          <w:tcPr>
            <w:tcW w:w="0" w:type="dxa"/>
            <w:vAlign w:val="bottom"/>
          </w:tcPr>
          <w:p>
            <w:pPr>
              <w:spacing w:after="0"/>
              <w:rPr>
                <w:sz w:val="1"/>
                <w:szCs w:val="1"/>
                <w:color w:val="auto"/>
              </w:rPr>
            </w:pPr>
          </w:p>
        </w:tc>
      </w:tr>
      <w:tr>
        <w:trPr>
          <w:trHeight w:val="144"/>
        </w:trPr>
        <w:tc>
          <w:tcPr>
            <w:tcW w:w="14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effect of dilutive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securities - Employee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equity awards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Weighted-average</w:t>
            </w:r>
          </w:p>
        </w:tc>
        <w:tc>
          <w:tcPr>
            <w:tcW w:w="840" w:type="dxa"/>
            <w:vAlign w:val="bottom"/>
            <w:gridSpan w:val="2"/>
          </w:tcPr>
          <w:p>
            <w:pPr>
              <w:spacing w:after="0"/>
              <w:rPr>
                <w:sz w:val="4"/>
                <w:szCs w:val="4"/>
                <w:color w:val="auto"/>
              </w:rPr>
            </w:pPr>
          </w:p>
        </w:tc>
        <w:tc>
          <w:tcPr>
            <w:tcW w:w="840" w:type="dxa"/>
            <w:vAlign w:val="bottom"/>
            <w:gridSpan w:val="3"/>
          </w:tcPr>
          <w:p>
            <w:pPr>
              <w:spacing w:after="0"/>
              <w:rPr>
                <w:sz w:val="4"/>
                <w:szCs w:val="4"/>
                <w:color w:val="auto"/>
              </w:rPr>
            </w:pPr>
          </w:p>
        </w:tc>
        <w:tc>
          <w:tcPr>
            <w:tcW w:w="86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460" w:type="dxa"/>
            <w:vAlign w:val="bottom"/>
            <w:vMerge w:val="continue"/>
          </w:tcPr>
          <w:p>
            <w:pPr>
              <w:spacing w:after="0"/>
              <w:rPr>
                <w:sz w:val="11"/>
                <w:szCs w:val="11"/>
                <w:color w:val="auto"/>
              </w:rPr>
            </w:pPr>
          </w:p>
        </w:tc>
        <w:tc>
          <w:tcPr>
            <w:tcW w:w="84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4"/>
                <w:szCs w:val="14"/>
                <w:color w:val="auto"/>
              </w:rPr>
              <w:t>578,597,687</w:t>
            </w:r>
          </w:p>
        </w:tc>
        <w:tc>
          <w:tcPr>
            <w:tcW w:w="20" w:type="dxa"/>
            <w:vAlign w:val="bottom"/>
          </w:tcPr>
          <w:p>
            <w:pPr>
              <w:spacing w:after="0"/>
              <w:rPr>
                <w:sz w:val="11"/>
                <w:szCs w:val="11"/>
                <w:color w:val="auto"/>
              </w:rPr>
            </w:pPr>
          </w:p>
        </w:tc>
        <w:tc>
          <w:tcPr>
            <w:tcW w:w="8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4"/>
                <w:szCs w:val="14"/>
                <w:color w:val="auto"/>
              </w:rPr>
              <w:t>579,189,522</w:t>
            </w:r>
          </w:p>
        </w:tc>
        <w:tc>
          <w:tcPr>
            <w:tcW w:w="860" w:type="dxa"/>
            <w:vAlign w:val="bottom"/>
            <w:tcBorders>
              <w:top w:val="single" w:sz="8" w:color="auto"/>
            </w:tcBorders>
            <w:gridSpan w:val="3"/>
          </w:tcPr>
          <w:p>
            <w:pPr>
              <w:ind w:left="40"/>
              <w:spacing w:after="0" w:line="128" w:lineRule="exact"/>
              <w:rPr>
                <w:sz w:val="20"/>
                <w:szCs w:val="20"/>
                <w:color w:val="auto"/>
              </w:rPr>
            </w:pPr>
            <w:r>
              <w:rPr>
                <w:rFonts w:ascii="Times New Roman" w:cs="Times New Roman" w:eastAsia="Times New Roman" w:hAnsi="Times New Roman"/>
                <w:sz w:val="14"/>
                <w:szCs w:val="14"/>
                <w:color w:val="auto"/>
              </w:rPr>
              <w:t>508,392,982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2545715" cy="533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2545715" cy="533400"/>
                    </a:xfrm>
                    <a:prstGeom prst="rect">
                      <a:avLst/>
                    </a:prstGeom>
                    <a:noFill/>
                  </pic:spPr>
                </pic:pic>
              </a:graphicData>
            </a:graphic>
          </wp:anchor>
        </w:drawing>
      </w:r>
    </w:p>
    <w:p>
      <w:pPr>
        <w:ind w:left="10"/>
        <w:spacing w:after="0" w:line="214" w:lineRule="auto"/>
        <w:rPr>
          <w:sz w:val="20"/>
          <w:szCs w:val="20"/>
          <w:color w:val="auto"/>
        </w:rPr>
      </w:pPr>
      <w:r>
        <w:rPr>
          <w:rFonts w:ascii="Times New Roman" w:cs="Times New Roman" w:eastAsia="Times New Roman" w:hAnsi="Times New Roman"/>
          <w:sz w:val="14"/>
          <w:szCs w:val="14"/>
          <w:color w:val="auto"/>
        </w:rPr>
        <w:t>common shares</w:t>
      </w:r>
    </w:p>
    <w:p>
      <w:pPr>
        <w:ind w:left="10"/>
        <w:spacing w:after="0" w:line="215" w:lineRule="auto"/>
        <w:rPr>
          <w:sz w:val="20"/>
          <w:szCs w:val="20"/>
          <w:color w:val="auto"/>
        </w:rPr>
      </w:pPr>
      <w:r>
        <w:rPr>
          <w:rFonts w:ascii="Times New Roman" w:cs="Times New Roman" w:eastAsia="Times New Roman" w:hAnsi="Times New Roman"/>
          <w:sz w:val="14"/>
          <w:szCs w:val="14"/>
          <w:color w:val="auto"/>
        </w:rPr>
        <w:t>outstanding for</w:t>
      </w:r>
    </w:p>
    <w:p>
      <w:pPr>
        <w:ind w:left="10"/>
        <w:spacing w:after="0" w:line="215" w:lineRule="auto"/>
        <w:rPr>
          <w:sz w:val="20"/>
          <w:szCs w:val="20"/>
          <w:color w:val="auto"/>
        </w:rPr>
      </w:pPr>
      <w:r>
        <w:rPr>
          <w:rFonts w:ascii="Times New Roman" w:cs="Times New Roman" w:eastAsia="Times New Roman" w:hAnsi="Times New Roman"/>
          <w:sz w:val="14"/>
          <w:szCs w:val="14"/>
          <w:color w:val="auto"/>
        </w:rPr>
        <w:t>diluted earnings per</w:t>
      </w:r>
    </w:p>
    <w:p>
      <w:pPr>
        <w:ind w:left="10"/>
        <w:spacing w:after="0"/>
        <w:rPr>
          <w:sz w:val="20"/>
          <w:szCs w:val="20"/>
          <w:color w:val="auto"/>
        </w:rPr>
      </w:pPr>
      <w:r>
        <w:rPr>
          <w:rFonts w:ascii="Times New Roman" w:cs="Times New Roman" w:eastAsia="Times New Roman" w:hAnsi="Times New Roman"/>
          <w:sz w:val="14"/>
          <w:szCs w:val="14"/>
          <w:color w:val="auto"/>
        </w:rPr>
        <w:t>share</w:t>
      </w:r>
    </w:p>
    <w:p>
      <w:pPr>
        <w:spacing w:after="0" w:line="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Basic and diluted earnings per share:</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3.12</w:t>
            </w:r>
          </w:p>
        </w:tc>
        <w:tc>
          <w:tcPr>
            <w:tcW w:w="2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1.94</w:t>
            </w:r>
          </w:p>
        </w:tc>
        <w:tc>
          <w:tcPr>
            <w:tcW w:w="3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41"/>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vMerge w:val="restart"/>
          </w:tcPr>
          <w:p>
            <w:pPr>
              <w:spacing w:after="0" w:line="132" w:lineRule="exact"/>
              <w:rPr>
                <w:sz w:val="20"/>
                <w:szCs w:val="20"/>
                <w:color w:val="auto"/>
              </w:rPr>
            </w:pPr>
            <w:r>
              <w:rPr>
                <w:rFonts w:ascii="Times New Roman" w:cs="Times New Roman" w:eastAsia="Times New Roman" w:hAnsi="Times New Roman"/>
                <w:sz w:val="14"/>
                <w:szCs w:val="14"/>
                <w:color w:val="auto"/>
              </w:rPr>
              <w:t>Diluted earnings per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460" w:type="dxa"/>
            <w:vAlign w:val="bottom"/>
            <w:vMerge w:val="continue"/>
          </w:tcPr>
          <w:p>
            <w:pPr>
              <w:spacing w:after="0"/>
              <w:rPr>
                <w:sz w:val="7"/>
                <w:szCs w:val="7"/>
                <w:color w:val="auto"/>
              </w:rPr>
            </w:pPr>
          </w:p>
        </w:tc>
        <w:tc>
          <w:tcPr>
            <w:tcW w:w="280" w:type="dxa"/>
            <w:vAlign w:val="bottom"/>
          </w:tcPr>
          <w:p>
            <w:pPr>
              <w:jc w:val="right"/>
              <w:ind w:right="118"/>
              <w:spacing w:after="0" w:line="92"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8"/>
              <w:spacing w:after="0" w:line="92" w:lineRule="exact"/>
              <w:rPr>
                <w:sz w:val="20"/>
                <w:szCs w:val="20"/>
                <w:color w:val="auto"/>
              </w:rPr>
            </w:pPr>
            <w:r>
              <w:rPr>
                <w:rFonts w:ascii="Times New Roman" w:cs="Times New Roman" w:eastAsia="Times New Roman" w:hAnsi="Times New Roman"/>
                <w:sz w:val="10"/>
                <w:szCs w:val="10"/>
                <w:color w:val="auto"/>
              </w:rPr>
              <w:t>3.09</w:t>
            </w:r>
          </w:p>
        </w:tc>
        <w:tc>
          <w:tcPr>
            <w:tcW w:w="20" w:type="dxa"/>
            <w:vAlign w:val="bottom"/>
            <w:vMerge w:val="continue"/>
          </w:tcPr>
          <w:p>
            <w:pPr>
              <w:spacing w:after="0"/>
              <w:rPr>
                <w:sz w:val="7"/>
                <w:szCs w:val="7"/>
                <w:color w:val="auto"/>
              </w:rPr>
            </w:pPr>
          </w:p>
        </w:tc>
        <w:tc>
          <w:tcPr>
            <w:tcW w:w="260" w:type="dxa"/>
            <w:vAlign w:val="bottom"/>
          </w:tcPr>
          <w:p>
            <w:pPr>
              <w:jc w:val="right"/>
              <w:ind w:right="129"/>
              <w:spacing w:after="0" w:line="92"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8"/>
              <w:spacing w:after="0" w:line="92" w:lineRule="exact"/>
              <w:rPr>
                <w:sz w:val="20"/>
                <w:szCs w:val="20"/>
                <w:color w:val="auto"/>
              </w:rPr>
            </w:pPr>
            <w:r>
              <w:rPr>
                <w:rFonts w:ascii="Times New Roman" w:cs="Times New Roman" w:eastAsia="Times New Roman" w:hAnsi="Times New Roman"/>
                <w:sz w:val="10"/>
                <w:szCs w:val="10"/>
                <w:color w:val="auto"/>
              </w:rPr>
              <w:t>1.93</w:t>
            </w:r>
          </w:p>
        </w:tc>
        <w:tc>
          <w:tcPr>
            <w:tcW w:w="40" w:type="dxa"/>
            <w:vAlign w:val="bottom"/>
            <w:vMerge w:val="continue"/>
          </w:tcPr>
          <w:p>
            <w:pPr>
              <w:spacing w:after="0"/>
              <w:rPr>
                <w:sz w:val="7"/>
                <w:szCs w:val="7"/>
                <w:color w:val="auto"/>
              </w:rPr>
            </w:pPr>
          </w:p>
        </w:tc>
        <w:tc>
          <w:tcPr>
            <w:tcW w:w="260" w:type="dxa"/>
            <w:vAlign w:val="bottom"/>
          </w:tcPr>
          <w:p>
            <w:pPr>
              <w:jc w:val="right"/>
              <w:ind w:right="129"/>
              <w:spacing w:after="0" w:line="92"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8"/>
              <w:spacing w:after="0" w:line="92" w:lineRule="exact"/>
              <w:rPr>
                <w:sz w:val="20"/>
                <w:szCs w:val="20"/>
                <w:color w:val="auto"/>
              </w:rPr>
            </w:pPr>
            <w:r>
              <w:rPr>
                <w:rFonts w:ascii="Times New Roman" w:cs="Times New Roman" w:eastAsia="Times New Roman" w:hAnsi="Times New Roman"/>
                <w:sz w:val="10"/>
                <w:szCs w:val="10"/>
                <w:color w:val="auto"/>
              </w:rPr>
              <w:t>2.08</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share</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7620</wp:posOffset>
            </wp:positionV>
            <wp:extent cx="160845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1608455" cy="7620"/>
                    </a:xfrm>
                    <a:prstGeom prst="rect">
                      <a:avLst/>
                    </a:prstGeom>
                    <a:noFill/>
                  </pic:spPr>
                </pic:pic>
              </a:graphicData>
            </a:graphic>
          </wp:anchor>
        </w:drawing>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 the table above, employee equity awards from our PSU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-101600</wp:posOffset>
            </wp:positionV>
            <wp:extent cx="160845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1608455" cy="7620"/>
                    </a:xfrm>
                    <a:prstGeom prst="rect">
                      <a:avLst/>
                    </a:prstGeom>
                    <a:noFill/>
                  </pic:spPr>
                </pic:pic>
              </a:graphicData>
            </a:graphic>
          </wp:anchor>
        </w:drawing>
      </w:r>
    </w:p>
    <w:p>
      <w:pPr>
        <w:ind w:left="10"/>
        <w:spacing w:after="0" w:line="203" w:lineRule="auto"/>
        <w:rPr>
          <w:sz w:val="20"/>
          <w:szCs w:val="20"/>
          <w:color w:val="auto"/>
        </w:rPr>
      </w:pPr>
      <w:r>
        <w:rPr>
          <w:rFonts w:ascii="Times New Roman" w:cs="Times New Roman" w:eastAsia="Times New Roman" w:hAnsi="Times New Roman"/>
          <w:sz w:val="16"/>
          <w:szCs w:val="16"/>
          <w:color w:val="auto"/>
        </w:rPr>
        <w:t>program, which are considered contingently issuable, are</w:t>
      </w:r>
    </w:p>
    <w:p>
      <w:pPr>
        <w:ind w:left="10"/>
        <w:spacing w:after="0" w:line="204" w:lineRule="auto"/>
        <w:rPr>
          <w:sz w:val="20"/>
          <w:szCs w:val="20"/>
          <w:color w:val="auto"/>
        </w:rPr>
      </w:pPr>
      <w:r>
        <w:rPr>
          <w:rFonts w:ascii="Times New Roman" w:cs="Times New Roman" w:eastAsia="Times New Roman" w:hAnsi="Times New Roman"/>
          <w:sz w:val="16"/>
          <w:szCs w:val="16"/>
          <w:color w:val="auto"/>
        </w:rPr>
        <w:t>included in the computation of dilutive earnings per share on</w:t>
      </w:r>
    </w:p>
    <w:p>
      <w:pPr>
        <w:ind w:left="10"/>
        <w:spacing w:after="0" w:line="203" w:lineRule="auto"/>
        <w:rPr>
          <w:sz w:val="20"/>
          <w:szCs w:val="20"/>
          <w:color w:val="auto"/>
        </w:rPr>
      </w:pPr>
      <w:r>
        <w:rPr>
          <w:rFonts w:ascii="Times New Roman" w:cs="Times New Roman" w:eastAsia="Times New Roman" w:hAnsi="Times New Roman"/>
          <w:sz w:val="16"/>
          <w:szCs w:val="16"/>
          <w:color w:val="auto"/>
        </w:rPr>
        <w:t>a weighted average basis when management determines that</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applicable performance criteria would have been met if</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performance period ended as of the date of the relevant</w:t>
      </w:r>
    </w:p>
    <w:p>
      <w:pPr>
        <w:ind w:left="10"/>
        <w:spacing w:after="0" w:line="204" w:lineRule="auto"/>
        <w:rPr>
          <w:sz w:val="20"/>
          <w:szCs w:val="20"/>
          <w:color w:val="auto"/>
        </w:rPr>
      </w:pPr>
      <w:r>
        <w:rPr>
          <w:rFonts w:ascii="Times New Roman" w:cs="Times New Roman" w:eastAsia="Times New Roman" w:hAnsi="Times New Roman"/>
          <w:sz w:val="16"/>
          <w:szCs w:val="16"/>
          <w:color w:val="auto"/>
        </w:rPr>
        <w:t>computation.</w:t>
      </w:r>
    </w:p>
    <w:p>
      <w:pPr>
        <w:ind w:left="10"/>
        <w:spacing w:after="0" w:line="203" w:lineRule="auto"/>
        <w:rPr>
          <w:sz w:val="20"/>
          <w:szCs w:val="20"/>
          <w:color w:val="auto"/>
        </w:rPr>
      </w:pPr>
      <w:r>
        <w:rPr>
          <w:rFonts w:ascii="Times New Roman" w:cs="Times New Roman" w:eastAsia="Times New Roman" w:hAnsi="Times New Roman"/>
          <w:sz w:val="16"/>
          <w:szCs w:val="16"/>
          <w:color w:val="auto"/>
        </w:rPr>
        <w:t>Securities that were not included in the computation of</w:t>
      </w:r>
    </w:p>
    <w:p>
      <w:pPr>
        <w:ind w:left="10"/>
        <w:spacing w:after="0" w:line="204" w:lineRule="auto"/>
        <w:rPr>
          <w:sz w:val="20"/>
          <w:szCs w:val="20"/>
          <w:color w:val="auto"/>
        </w:rPr>
      </w:pPr>
      <w:r>
        <w:rPr>
          <w:rFonts w:ascii="Times New Roman" w:cs="Times New Roman" w:eastAsia="Times New Roman" w:hAnsi="Times New Roman"/>
          <w:sz w:val="16"/>
          <w:szCs w:val="16"/>
          <w:color w:val="auto"/>
        </w:rPr>
        <w:t>diluted earnings per share because their effect was</w:t>
      </w:r>
    </w:p>
    <w:p>
      <w:pPr>
        <w:ind w:left="10"/>
        <w:spacing w:after="0" w:line="203" w:lineRule="auto"/>
        <w:rPr>
          <w:sz w:val="20"/>
          <w:szCs w:val="20"/>
          <w:color w:val="auto"/>
        </w:rPr>
      </w:pPr>
      <w:r>
        <w:rPr>
          <w:rFonts w:ascii="Times New Roman" w:cs="Times New Roman" w:eastAsia="Times New Roman" w:hAnsi="Times New Roman"/>
          <w:sz w:val="16"/>
          <w:szCs w:val="16"/>
          <w:color w:val="auto"/>
        </w:rPr>
        <w:t>antidilutive were immaterial for the years ended December</w:t>
      </w:r>
    </w:p>
    <w:p>
      <w:pPr>
        <w:ind w:left="10"/>
        <w:spacing w:after="0" w:line="204" w:lineRule="auto"/>
        <w:rPr>
          <w:sz w:val="20"/>
          <w:szCs w:val="20"/>
          <w:color w:val="auto"/>
        </w:rPr>
      </w:pPr>
      <w:r>
        <w:rPr>
          <w:rFonts w:ascii="Times New Roman" w:cs="Times New Roman" w:eastAsia="Times New Roman" w:hAnsi="Times New Roman"/>
          <w:sz w:val="16"/>
          <w:szCs w:val="16"/>
          <w:color w:val="auto"/>
        </w:rPr>
        <w:t>31, 2025, 2024 and 2023.</w:t>
      </w:r>
    </w:p>
    <w:p>
      <w:pPr>
        <w:ind w:left="10" w:right="5540" w:hanging="10"/>
        <w:spacing w:after="0" w:line="244" w:lineRule="auto"/>
        <w:tabs>
          <w:tab w:leader="none" w:pos="25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FAIR VALUE OF FINANCIAL INSTRUMENTS </w:t>
      </w:r>
      <w:r>
        <w:rPr>
          <w:rFonts w:ascii="Times New Roman" w:cs="Times New Roman" w:eastAsia="Times New Roman" w:hAnsi="Times New Roman"/>
          <w:sz w:val="14"/>
          <w:szCs w:val="14"/>
          <w:color w:val="auto"/>
        </w:rPr>
        <w:t>The following tables present our financial assets and financial liabilities that were measured at fair value on a recurring basis as of December 31, 2025 and December 31, 2024.</w:t>
      </w:r>
    </w:p>
    <w:p>
      <w:pPr>
        <w:sectPr>
          <w:pgSz w:w="11900" w:h="16840" w:orient="portrait"/>
          <w:cols w:equalWidth="0" w:num="1">
            <w:col w:w="9410"/>
          </w:cols>
          <w:pgMar w:left="1050" w:top="547" w:right="1440" w:bottom="486" w:gutter="0" w:footer="0" w:header="0"/>
        </w:sectPr>
      </w:pPr>
    </w:p>
    <w:bookmarkStart w:id="82" w:name="page83"/>
    <w:bookmarkEnd w:id="82"/>
    <w:tbl>
      <w:tblPr>
        <w:tblLayout w:type="fixed"/>
        <w:tblInd w:w="1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76"/>
        </w:trPr>
        <w:tc>
          <w:tcPr>
            <w:tcW w:w="13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r>
      <w:tr>
        <w:trPr>
          <w:trHeight w:val="134"/>
        </w:trPr>
        <w:tc>
          <w:tcPr>
            <w:tcW w:w="138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8"/>
              </w:rPr>
              <w:t>Level 2</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8"/>
              </w:rPr>
              <w:t>Level 3</w:t>
            </w:r>
          </w:p>
        </w:tc>
        <w:tc>
          <w:tcPr>
            <w:tcW w:w="300" w:type="dxa"/>
            <w:vAlign w:val="bottom"/>
          </w:tcPr>
          <w:p>
            <w:pPr>
              <w:spacing w:after="0"/>
              <w:rPr>
                <w:sz w:val="11"/>
                <w:szCs w:val="11"/>
                <w:color w:val="auto"/>
              </w:rPr>
            </w:pPr>
          </w:p>
        </w:tc>
      </w:tr>
      <w:tr>
        <w:trPr>
          <w:trHeight w:val="62"/>
        </w:trPr>
        <w:tc>
          <w:tcPr>
            <w:tcW w:w="1380" w:type="dxa"/>
            <w:vAlign w:val="bottom"/>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r>
      <w:tr>
        <w:trPr>
          <w:trHeight w:val="134"/>
        </w:trPr>
        <w:tc>
          <w:tcPr>
            <w:tcW w:w="138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38"/>
        </w:trPr>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144"/>
        </w:trPr>
        <w:tc>
          <w:tcPr>
            <w:tcW w:w="13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European</w:t>
            </w:r>
          </w:p>
        </w:tc>
        <w:tc>
          <w:tcPr>
            <w:tcW w:w="2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44"/>
              <w:spacing w:after="0" w:line="144" w:lineRule="exact"/>
              <w:rPr>
                <w:sz w:val="20"/>
                <w:szCs w:val="20"/>
                <w:color w:val="auto"/>
              </w:rPr>
            </w:pPr>
            <w:r>
              <w:rPr>
                <w:rFonts w:ascii="Times New Roman" w:cs="Times New Roman" w:eastAsia="Times New Roman" w:hAnsi="Times New Roman"/>
                <w:sz w:val="16"/>
                <w:szCs w:val="16"/>
                <w:color w:val="auto"/>
              </w:rPr>
              <w:t>28</w:t>
            </w:r>
          </w:p>
        </w:tc>
        <w:tc>
          <w:tcPr>
            <w:tcW w:w="2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44"/>
              <w:spacing w:after="0" w:line="144" w:lineRule="exact"/>
              <w:rPr>
                <w:sz w:val="20"/>
                <w:szCs w:val="20"/>
                <w:color w:val="auto"/>
              </w:rPr>
            </w:pPr>
            <w:r>
              <w:rPr>
                <w:rFonts w:ascii="Times New Roman" w:cs="Times New Roman" w:eastAsia="Times New Roman" w:hAnsi="Times New Roman"/>
                <w:sz w:val="16"/>
                <w:szCs w:val="16"/>
                <w:color w:val="auto"/>
              </w:rPr>
              <w:t>28</w:t>
            </w:r>
          </w:p>
        </w:tc>
        <w:tc>
          <w:tcPr>
            <w:tcW w:w="36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44"/>
              <w:spacing w:after="0" w:line="144" w:lineRule="exact"/>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w:t>
            </w:r>
          </w:p>
        </w:tc>
      </w:tr>
      <w:tr>
        <w:trPr>
          <w:trHeight w:val="156"/>
        </w:trPr>
        <w:tc>
          <w:tcPr>
            <w:tcW w:w="13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government debt</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28"/>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r>
      <w:tr>
        <w:trPr>
          <w:trHeight w:val="136"/>
        </w:trPr>
        <w:tc>
          <w:tcPr>
            <w:tcW w:w="13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financial</w:t>
            </w:r>
          </w:p>
        </w:tc>
        <w:tc>
          <w:tcPr>
            <w:tcW w:w="26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1"/>
                <w:szCs w:val="11"/>
                <w:color w:val="auto"/>
              </w:rPr>
            </w:pPr>
          </w:p>
        </w:tc>
        <w:tc>
          <w:tcPr>
            <w:tcW w:w="26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1"/>
                <w:szCs w:val="11"/>
                <w:color w:val="auto"/>
              </w:rPr>
            </w:pPr>
          </w:p>
        </w:tc>
        <w:tc>
          <w:tcPr>
            <w:tcW w:w="34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34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7"/>
        </w:trPr>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136"/>
        </w:trPr>
        <w:tc>
          <w:tcPr>
            <w:tcW w:w="13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assets at fair</w:t>
            </w:r>
          </w:p>
        </w:tc>
        <w:tc>
          <w:tcPr>
            <w:tcW w:w="26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1"/>
                <w:szCs w:val="11"/>
                <w:color w:val="auto"/>
              </w:rPr>
            </w:pPr>
          </w:p>
        </w:tc>
        <w:tc>
          <w:tcPr>
            <w:tcW w:w="26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1"/>
                <w:szCs w:val="11"/>
                <w:color w:val="auto"/>
              </w:rPr>
            </w:pPr>
          </w:p>
        </w:tc>
        <w:tc>
          <w:tcPr>
            <w:tcW w:w="34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34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3"/>
        </w:trPr>
        <w:tc>
          <w:tcPr>
            <w:tcW w:w="1380" w:type="dxa"/>
            <w:vAlign w:val="bottom"/>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34"/>
        </w:trPr>
        <w:tc>
          <w:tcPr>
            <w:tcW w:w="1380" w:type="dxa"/>
            <w:vAlign w:val="bottom"/>
          </w:tcPr>
          <w:p>
            <w:pPr>
              <w:spacing w:after="0"/>
              <w:rPr>
                <w:sz w:val="11"/>
                <w:szCs w:val="1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26"/>
        </w:trPr>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34"/>
        </w:trPr>
        <w:tc>
          <w:tcPr>
            <w:tcW w:w="138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8"/>
              </w:rPr>
              <w:t>Level 2</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8"/>
              </w:rPr>
              <w:t>Level 3</w:t>
            </w:r>
          </w:p>
        </w:tc>
        <w:tc>
          <w:tcPr>
            <w:tcW w:w="300" w:type="dxa"/>
            <w:vAlign w:val="bottom"/>
          </w:tcPr>
          <w:p>
            <w:pPr>
              <w:spacing w:after="0"/>
              <w:rPr>
                <w:sz w:val="11"/>
                <w:szCs w:val="11"/>
                <w:color w:val="auto"/>
              </w:rPr>
            </w:pPr>
          </w:p>
        </w:tc>
      </w:tr>
      <w:tr>
        <w:trPr>
          <w:trHeight w:val="38"/>
        </w:trPr>
        <w:tc>
          <w:tcPr>
            <w:tcW w:w="1380" w:type="dxa"/>
            <w:vAlign w:val="bottom"/>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34"/>
        </w:trPr>
        <w:tc>
          <w:tcPr>
            <w:tcW w:w="138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38"/>
        </w:trPr>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144"/>
        </w:trPr>
        <w:tc>
          <w:tcPr>
            <w:tcW w:w="13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European</w:t>
            </w:r>
          </w:p>
        </w:tc>
        <w:tc>
          <w:tcPr>
            <w:tcW w:w="2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44"/>
              <w:spacing w:after="0" w:line="144" w:lineRule="exact"/>
              <w:rPr>
                <w:sz w:val="20"/>
                <w:szCs w:val="20"/>
                <w:color w:val="auto"/>
              </w:rPr>
            </w:pPr>
            <w:r>
              <w:rPr>
                <w:rFonts w:ascii="Times New Roman" w:cs="Times New Roman" w:eastAsia="Times New Roman" w:hAnsi="Times New Roman"/>
                <w:sz w:val="16"/>
                <w:szCs w:val="16"/>
                <w:color w:val="auto"/>
                <w:w w:val="99"/>
              </w:rPr>
              <w:t>166</w:t>
            </w:r>
          </w:p>
        </w:tc>
        <w:tc>
          <w:tcPr>
            <w:tcW w:w="2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44"/>
              <w:spacing w:after="0" w:line="144" w:lineRule="exact"/>
              <w:rPr>
                <w:sz w:val="20"/>
                <w:szCs w:val="20"/>
                <w:color w:val="auto"/>
              </w:rPr>
            </w:pPr>
            <w:r>
              <w:rPr>
                <w:rFonts w:ascii="Times New Roman" w:cs="Times New Roman" w:eastAsia="Times New Roman" w:hAnsi="Times New Roman"/>
                <w:sz w:val="16"/>
                <w:szCs w:val="16"/>
                <w:color w:val="auto"/>
                <w:w w:val="99"/>
              </w:rPr>
              <w:t>166</w:t>
            </w:r>
          </w:p>
        </w:tc>
        <w:tc>
          <w:tcPr>
            <w:tcW w:w="36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44"/>
              <w:spacing w:after="0" w:line="144" w:lineRule="exact"/>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w:t>
            </w:r>
          </w:p>
        </w:tc>
      </w:tr>
      <w:tr>
        <w:trPr>
          <w:trHeight w:val="156"/>
        </w:trPr>
        <w:tc>
          <w:tcPr>
            <w:tcW w:w="13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government debt</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08"/>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w:t>
            </w: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r>
      <w:tr>
        <w:trPr>
          <w:trHeight w:val="144"/>
        </w:trPr>
        <w:tc>
          <w:tcPr>
            <w:tcW w:w="13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Swedish mortgage</w:t>
            </w:r>
          </w:p>
        </w:tc>
        <w:tc>
          <w:tcPr>
            <w:tcW w:w="260" w:type="dxa"/>
            <w:vAlign w:val="bottom"/>
          </w:tcPr>
          <w:p>
            <w:pPr>
              <w:spacing w:after="0"/>
              <w:rPr>
                <w:sz w:val="12"/>
                <w:szCs w:val="12"/>
                <w:color w:val="auto"/>
              </w:rPr>
            </w:pPr>
          </w:p>
        </w:tc>
        <w:tc>
          <w:tcPr>
            <w:tcW w:w="380" w:type="dxa"/>
            <w:vAlign w:val="bottom"/>
          </w:tcPr>
          <w:p>
            <w:pPr>
              <w:jc w:val="right"/>
              <w:ind w:right="64"/>
              <w:spacing w:after="0" w:line="144" w:lineRule="exact"/>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right"/>
              <w:ind w:right="64"/>
              <w:spacing w:after="0" w:line="144"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jc w:val="right"/>
              <w:ind w:right="64"/>
              <w:spacing w:after="0" w:line="144" w:lineRule="exact"/>
              <w:rPr>
                <w:sz w:val="20"/>
                <w:szCs w:val="20"/>
                <w:color w:val="auto"/>
              </w:rPr>
            </w:pPr>
            <w:r>
              <w:rPr>
                <w:rFonts w:ascii="Times New Roman" w:cs="Times New Roman" w:eastAsia="Times New Roman" w:hAnsi="Times New Roman"/>
                <w:sz w:val="16"/>
                <w:szCs w:val="16"/>
                <w:color w:val="auto"/>
                <w:w w:val="87"/>
              </w:rPr>
              <w:t>13</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ind w:left="20"/>
              <w:spacing w:after="0" w:line="144"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bonds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5"/>
        </w:trPr>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04"/>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136"/>
        </w:trPr>
        <w:tc>
          <w:tcPr>
            <w:tcW w:w="13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financial</w:t>
            </w:r>
          </w:p>
        </w:tc>
        <w:tc>
          <w:tcPr>
            <w:tcW w:w="2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184</w:t>
            </w:r>
          </w:p>
        </w:tc>
        <w:tc>
          <w:tcPr>
            <w:tcW w:w="20" w:type="dxa"/>
            <w:vAlign w:val="bottom"/>
          </w:tcPr>
          <w:p>
            <w:pPr>
              <w:spacing w:after="0"/>
              <w:rPr>
                <w:sz w:val="11"/>
                <w:szCs w:val="11"/>
                <w:color w:val="auto"/>
              </w:rPr>
            </w:pPr>
          </w:p>
        </w:tc>
        <w:tc>
          <w:tcPr>
            <w:tcW w:w="2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1"/>
                <w:szCs w:val="11"/>
                <w:color w:val="auto"/>
              </w:rPr>
            </w:pPr>
          </w:p>
        </w:tc>
        <w:tc>
          <w:tcPr>
            <w:tcW w:w="3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1"/>
                <w:szCs w:val="11"/>
                <w:color w:val="auto"/>
              </w:rPr>
            </w:pPr>
          </w:p>
        </w:tc>
        <w:tc>
          <w:tcPr>
            <w:tcW w:w="3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7"/>
        </w:trPr>
        <w:tc>
          <w:tcPr>
            <w:tcW w:w="1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 at fair</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186</w:t>
            </w:r>
          </w:p>
        </w:tc>
        <w:tc>
          <w:tcPr>
            <w:tcW w:w="20" w:type="dxa"/>
            <w:vAlign w:val="bottom"/>
          </w:tcPr>
          <w:p>
            <w:pPr>
              <w:spacing w:after="0"/>
              <w:rPr>
                <w:sz w:val="16"/>
                <w:szCs w:val="16"/>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168</w:t>
            </w:r>
          </w:p>
        </w:tc>
        <w:tc>
          <w:tcPr>
            <w:tcW w:w="20" w:type="dxa"/>
            <w:vAlign w:val="bottom"/>
          </w:tcPr>
          <w:p>
            <w:pPr>
              <w:spacing w:after="0"/>
              <w:rPr>
                <w:sz w:val="16"/>
                <w:szCs w:val="16"/>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18</w:t>
            </w:r>
          </w:p>
        </w:tc>
        <w:tc>
          <w:tcPr>
            <w:tcW w:w="20" w:type="dxa"/>
            <w:vAlign w:val="bottom"/>
          </w:tcPr>
          <w:p>
            <w:pPr>
              <w:spacing w:after="0"/>
              <w:rPr>
                <w:sz w:val="16"/>
                <w:szCs w:val="16"/>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r>
    </w:tbl>
    <w:p>
      <w:pPr>
        <w:ind w:left="10"/>
        <w:spacing w:after="0" w:line="195" w:lineRule="auto"/>
        <w:rPr>
          <w:sz w:val="20"/>
          <w:szCs w:val="20"/>
          <w:color w:val="auto"/>
        </w:rPr>
      </w:pPr>
      <w:r>
        <w:rPr>
          <w:rFonts w:ascii="Times New Roman" w:cs="Times New Roman" w:eastAsia="Times New Roman" w:hAnsi="Times New Roman"/>
          <w:sz w:val="16"/>
          <w:szCs w:val="16"/>
          <w:color w:val="auto"/>
        </w:rPr>
        <w:t>F-33</w:t>
      </w:r>
    </w:p>
    <w:p>
      <w:pPr>
        <w:ind w:left="10"/>
        <w:spacing w:after="0" w:line="204" w:lineRule="auto"/>
        <w:rPr>
          <w:sz w:val="20"/>
          <w:szCs w:val="20"/>
          <w:color w:val="auto"/>
        </w:rPr>
      </w:pPr>
      <w:r>
        <w:rPr>
          <w:rFonts w:ascii="Times New Roman" w:cs="Times New Roman" w:eastAsia="Times New Roman" w:hAnsi="Times New Roman"/>
          <w:sz w:val="16"/>
          <w:szCs w:val="16"/>
          <w:color w:val="auto"/>
        </w:rPr>
        <w:t>All derivative contracts are measured at fair value using</w:t>
      </w:r>
    </w:p>
    <w:p>
      <w:pPr>
        <w:ind w:left="10"/>
        <w:spacing w:after="0" w:line="203" w:lineRule="auto"/>
        <w:rPr>
          <w:sz w:val="20"/>
          <w:szCs w:val="20"/>
          <w:color w:val="auto"/>
        </w:rPr>
      </w:pPr>
      <w:r>
        <w:rPr>
          <w:rFonts w:ascii="Times New Roman" w:cs="Times New Roman" w:eastAsia="Times New Roman" w:hAnsi="Times New Roman"/>
          <w:sz w:val="16"/>
          <w:szCs w:val="16"/>
          <w:color w:val="auto"/>
        </w:rPr>
        <w:t>Level 2 inputs based on observable foreign currency</w:t>
      </w:r>
    </w:p>
    <w:p>
      <w:pPr>
        <w:ind w:left="10"/>
        <w:spacing w:after="0" w:line="204" w:lineRule="auto"/>
        <w:rPr>
          <w:sz w:val="20"/>
          <w:szCs w:val="20"/>
          <w:color w:val="auto"/>
        </w:rPr>
      </w:pPr>
      <w:r>
        <w:rPr>
          <w:rFonts w:ascii="Times New Roman" w:cs="Times New Roman" w:eastAsia="Times New Roman" w:hAnsi="Times New Roman"/>
          <w:sz w:val="16"/>
          <w:szCs w:val="16"/>
          <w:color w:val="auto"/>
        </w:rPr>
        <w:t>exchange rates and interest rates, and recorded under other</w:t>
      </w:r>
    </w:p>
    <w:p>
      <w:pPr>
        <w:ind w:left="10"/>
        <w:spacing w:after="0" w:line="203" w:lineRule="auto"/>
        <w:rPr>
          <w:sz w:val="20"/>
          <w:szCs w:val="20"/>
          <w:color w:val="auto"/>
        </w:rPr>
      </w:pPr>
      <w:r>
        <w:rPr>
          <w:rFonts w:ascii="Times New Roman" w:cs="Times New Roman" w:eastAsia="Times New Roman" w:hAnsi="Times New Roman"/>
          <w:sz w:val="16"/>
          <w:szCs w:val="16"/>
          <w:color w:val="auto"/>
        </w:rPr>
        <w:t>current and other non-current assets and other current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other non-current liabilities in the Consolidated Balance</w:t>
      </w:r>
    </w:p>
    <w:p>
      <w:pPr>
        <w:ind w:left="10"/>
        <w:spacing w:after="0" w:line="204" w:lineRule="auto"/>
        <w:rPr>
          <w:sz w:val="20"/>
          <w:szCs w:val="20"/>
          <w:color w:val="auto"/>
        </w:rPr>
      </w:pPr>
      <w:r>
        <w:rPr>
          <w:rFonts w:ascii="Times New Roman" w:cs="Times New Roman" w:eastAsia="Times New Roman" w:hAnsi="Times New Roman"/>
          <w:sz w:val="16"/>
          <w:szCs w:val="16"/>
          <w:color w:val="auto"/>
        </w:rPr>
        <w:t>Sheets. As of December 31, 2025 and December 31, 2024,</w:t>
      </w:r>
    </w:p>
    <w:p>
      <w:pPr>
        <w:ind w:left="10"/>
        <w:spacing w:after="0" w:line="203" w:lineRule="auto"/>
        <w:rPr>
          <w:sz w:val="20"/>
          <w:szCs w:val="20"/>
          <w:color w:val="auto"/>
        </w:rPr>
      </w:pPr>
      <w:r>
        <w:rPr>
          <w:rFonts w:ascii="Times New Roman" w:cs="Times New Roman" w:eastAsia="Times New Roman" w:hAnsi="Times New Roman"/>
          <w:sz w:val="16"/>
          <w:szCs w:val="16"/>
          <w:color w:val="auto"/>
        </w:rPr>
        <w:t>the fair value of these contracts was not material and</w:t>
      </w:r>
    </w:p>
    <w:p>
      <w:pPr>
        <w:ind w:left="10"/>
        <w:spacing w:after="0" w:line="204" w:lineRule="auto"/>
        <w:rPr>
          <w:sz w:val="20"/>
          <w:szCs w:val="20"/>
          <w:color w:val="auto"/>
        </w:rPr>
      </w:pPr>
      <w:r>
        <w:rPr>
          <w:rFonts w:ascii="Times New Roman" w:cs="Times New Roman" w:eastAsia="Times New Roman" w:hAnsi="Times New Roman"/>
          <w:sz w:val="16"/>
          <w:szCs w:val="16"/>
          <w:color w:val="auto"/>
        </w:rPr>
        <w:t>therefore not included in the tables above. We do not use</w:t>
      </w:r>
    </w:p>
    <w:p>
      <w:pPr>
        <w:ind w:left="10"/>
        <w:spacing w:after="0" w:line="203" w:lineRule="auto"/>
        <w:rPr>
          <w:sz w:val="20"/>
          <w:szCs w:val="20"/>
          <w:color w:val="auto"/>
        </w:rPr>
      </w:pPr>
      <w:r>
        <w:rPr>
          <w:rFonts w:ascii="Times New Roman" w:cs="Times New Roman" w:eastAsia="Times New Roman" w:hAnsi="Times New Roman"/>
          <w:sz w:val="16"/>
          <w:szCs w:val="16"/>
          <w:color w:val="auto"/>
        </w:rPr>
        <w:t>derivative instruments for trading or speculative purposes.</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Financial Instruments Not Measured at Fair Value on a</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Recurring Basis</w:t>
      </w:r>
    </w:p>
    <w:p>
      <w:pPr>
        <w:ind w:left="10"/>
        <w:spacing w:after="0" w:line="204" w:lineRule="auto"/>
        <w:rPr>
          <w:sz w:val="20"/>
          <w:szCs w:val="20"/>
          <w:color w:val="auto"/>
        </w:rPr>
      </w:pPr>
      <w:r>
        <w:rPr>
          <w:rFonts w:ascii="Times New Roman" w:cs="Times New Roman" w:eastAsia="Times New Roman" w:hAnsi="Times New Roman"/>
          <w:sz w:val="16"/>
          <w:szCs w:val="16"/>
          <w:color w:val="auto"/>
        </w:rPr>
        <w:t>Some of our financial instruments are not measured at fair</w:t>
      </w:r>
    </w:p>
    <w:p>
      <w:pPr>
        <w:ind w:left="10"/>
        <w:spacing w:after="0" w:line="203" w:lineRule="auto"/>
        <w:rPr>
          <w:sz w:val="20"/>
          <w:szCs w:val="20"/>
          <w:color w:val="auto"/>
        </w:rPr>
      </w:pPr>
      <w:r>
        <w:rPr>
          <w:rFonts w:ascii="Times New Roman" w:cs="Times New Roman" w:eastAsia="Times New Roman" w:hAnsi="Times New Roman"/>
          <w:sz w:val="16"/>
          <w:szCs w:val="16"/>
          <w:color w:val="auto"/>
        </w:rPr>
        <w:t>value on a recurring basis but are recorded at amounts that</w:t>
      </w:r>
    </w:p>
    <w:p>
      <w:pPr>
        <w:ind w:left="10"/>
        <w:spacing w:after="0" w:line="204" w:lineRule="auto"/>
        <w:rPr>
          <w:sz w:val="20"/>
          <w:szCs w:val="20"/>
          <w:color w:val="auto"/>
        </w:rPr>
      </w:pPr>
      <w:r>
        <w:rPr>
          <w:rFonts w:ascii="Times New Roman" w:cs="Times New Roman" w:eastAsia="Times New Roman" w:hAnsi="Times New Roman"/>
          <w:sz w:val="16"/>
          <w:szCs w:val="16"/>
          <w:color w:val="auto"/>
        </w:rPr>
        <w:t>approximate fair value due to their liquid or short-term</w:t>
      </w:r>
    </w:p>
    <w:p>
      <w:pPr>
        <w:ind w:left="10"/>
        <w:spacing w:after="0" w:line="204" w:lineRule="auto"/>
        <w:rPr>
          <w:sz w:val="20"/>
          <w:szCs w:val="20"/>
          <w:color w:val="auto"/>
        </w:rPr>
      </w:pPr>
      <w:r>
        <w:rPr>
          <w:rFonts w:ascii="Times New Roman" w:cs="Times New Roman" w:eastAsia="Times New Roman" w:hAnsi="Times New Roman"/>
          <w:sz w:val="16"/>
          <w:szCs w:val="16"/>
          <w:color w:val="auto"/>
        </w:rPr>
        <w:t>nature. Such financial assets and financial liabilities include:</w:t>
      </w:r>
    </w:p>
    <w:p>
      <w:pPr>
        <w:ind w:left="10"/>
        <w:spacing w:after="0" w:line="203" w:lineRule="auto"/>
        <w:rPr>
          <w:sz w:val="20"/>
          <w:szCs w:val="20"/>
          <w:color w:val="auto"/>
        </w:rPr>
      </w:pPr>
      <w:r>
        <w:rPr>
          <w:rFonts w:ascii="Times New Roman" w:cs="Times New Roman" w:eastAsia="Times New Roman" w:hAnsi="Times New Roman"/>
          <w:sz w:val="16"/>
          <w:szCs w:val="16"/>
          <w:color w:val="auto"/>
        </w:rPr>
        <w:t>cash and cash equivalents, restricted cash and cash</w:t>
      </w:r>
    </w:p>
    <w:p>
      <w:pPr>
        <w:ind w:left="10"/>
        <w:spacing w:after="0" w:line="204" w:lineRule="auto"/>
        <w:rPr>
          <w:sz w:val="20"/>
          <w:szCs w:val="20"/>
          <w:color w:val="auto"/>
        </w:rPr>
      </w:pPr>
      <w:r>
        <w:rPr>
          <w:rFonts w:ascii="Times New Roman" w:cs="Times New Roman" w:eastAsia="Times New Roman" w:hAnsi="Times New Roman"/>
          <w:sz w:val="16"/>
          <w:szCs w:val="16"/>
          <w:color w:val="auto"/>
        </w:rPr>
        <w:t>equivalents, receivables, net, certain other current assets,</w:t>
      </w:r>
    </w:p>
    <w:p>
      <w:pPr>
        <w:ind w:left="10"/>
        <w:spacing w:after="0" w:line="203" w:lineRule="auto"/>
        <w:rPr>
          <w:sz w:val="20"/>
          <w:szCs w:val="20"/>
          <w:color w:val="auto"/>
        </w:rPr>
      </w:pPr>
      <w:r>
        <w:rPr>
          <w:rFonts w:ascii="Times New Roman" w:cs="Times New Roman" w:eastAsia="Times New Roman" w:hAnsi="Times New Roman"/>
          <w:sz w:val="16"/>
          <w:szCs w:val="16"/>
          <w:color w:val="auto"/>
        </w:rPr>
        <w:t>accounts payable and accrued expenses, Section 31 fees</w:t>
      </w:r>
    </w:p>
    <w:p>
      <w:pPr>
        <w:ind w:left="10"/>
        <w:spacing w:after="0" w:line="204" w:lineRule="auto"/>
        <w:rPr>
          <w:sz w:val="20"/>
          <w:szCs w:val="20"/>
          <w:color w:val="auto"/>
        </w:rPr>
      </w:pPr>
      <w:r>
        <w:rPr>
          <w:rFonts w:ascii="Times New Roman" w:cs="Times New Roman" w:eastAsia="Times New Roman" w:hAnsi="Times New Roman"/>
          <w:sz w:val="16"/>
          <w:szCs w:val="16"/>
          <w:color w:val="auto"/>
        </w:rPr>
        <w:t>payable to SEC, accrued personnel costs and certain other</w:t>
      </w:r>
    </w:p>
    <w:p>
      <w:pPr>
        <w:ind w:left="10"/>
        <w:spacing w:after="0" w:line="203" w:lineRule="auto"/>
        <w:rPr>
          <w:sz w:val="20"/>
          <w:szCs w:val="20"/>
          <w:color w:val="auto"/>
        </w:rPr>
      </w:pPr>
      <w:r>
        <w:rPr>
          <w:rFonts w:ascii="Times New Roman" w:cs="Times New Roman" w:eastAsia="Times New Roman" w:hAnsi="Times New Roman"/>
          <w:sz w:val="16"/>
          <w:szCs w:val="16"/>
          <w:color w:val="auto"/>
        </w:rPr>
        <w:t>current liabilities.</w:t>
      </w:r>
    </w:p>
    <w:p>
      <w:pPr>
        <w:ind w:left="10"/>
        <w:spacing w:after="0" w:line="204" w:lineRule="auto"/>
        <w:rPr>
          <w:sz w:val="20"/>
          <w:szCs w:val="20"/>
          <w:color w:val="auto"/>
        </w:rPr>
      </w:pPr>
      <w:r>
        <w:rPr>
          <w:rFonts w:ascii="Times New Roman" w:cs="Times New Roman" w:eastAsia="Times New Roman" w:hAnsi="Times New Roman"/>
          <w:sz w:val="16"/>
          <w:szCs w:val="16"/>
          <w:color w:val="auto"/>
        </w:rPr>
        <w:t>We have certain investments, primarily our investment in</w:t>
      </w:r>
    </w:p>
    <w:p>
      <w:pPr>
        <w:ind w:left="10"/>
        <w:spacing w:after="0" w:line="203" w:lineRule="auto"/>
        <w:rPr>
          <w:sz w:val="20"/>
          <w:szCs w:val="20"/>
          <w:color w:val="auto"/>
        </w:rPr>
      </w:pPr>
      <w:r>
        <w:rPr>
          <w:rFonts w:ascii="Times New Roman" w:cs="Times New Roman" w:eastAsia="Times New Roman" w:hAnsi="Times New Roman"/>
          <w:sz w:val="16"/>
          <w:szCs w:val="16"/>
          <w:color w:val="auto"/>
        </w:rPr>
        <w:t>OCC, which are accounted for under the equity method of</w:t>
      </w:r>
    </w:p>
    <w:p>
      <w:pPr>
        <w:ind w:left="10"/>
        <w:spacing w:after="0" w:line="204" w:lineRule="auto"/>
        <w:rPr>
          <w:sz w:val="20"/>
          <w:szCs w:val="20"/>
          <w:color w:val="auto"/>
        </w:rPr>
      </w:pPr>
      <w:r>
        <w:rPr>
          <w:rFonts w:ascii="Times New Roman" w:cs="Times New Roman" w:eastAsia="Times New Roman" w:hAnsi="Times New Roman"/>
          <w:sz w:val="16"/>
          <w:szCs w:val="16"/>
          <w:color w:val="auto"/>
        </w:rPr>
        <w:t>accounting. We have elected the measurement alternative for</w:t>
      </w:r>
    </w:p>
    <w:p>
      <w:pPr>
        <w:ind w:left="10"/>
        <w:spacing w:after="0" w:line="203" w:lineRule="auto"/>
        <w:rPr>
          <w:sz w:val="20"/>
          <w:szCs w:val="20"/>
          <w:color w:val="auto"/>
        </w:rPr>
      </w:pPr>
      <w:r>
        <w:rPr>
          <w:rFonts w:ascii="Times New Roman" w:cs="Times New Roman" w:eastAsia="Times New Roman" w:hAnsi="Times New Roman"/>
          <w:sz w:val="16"/>
          <w:szCs w:val="16"/>
          <w:color w:val="auto"/>
        </w:rPr>
        <w:t>all of our equity securities that do not have a readily</w:t>
      </w:r>
    </w:p>
    <w:p>
      <w:pPr>
        <w:ind w:left="10"/>
        <w:spacing w:after="0" w:line="204" w:lineRule="auto"/>
        <w:rPr>
          <w:sz w:val="20"/>
          <w:szCs w:val="20"/>
          <w:color w:val="auto"/>
        </w:rPr>
      </w:pPr>
      <w:r>
        <w:rPr>
          <w:rFonts w:ascii="Times New Roman" w:cs="Times New Roman" w:eastAsia="Times New Roman" w:hAnsi="Times New Roman"/>
          <w:sz w:val="16"/>
          <w:szCs w:val="16"/>
          <w:color w:val="auto"/>
        </w:rPr>
        <w:t>determinable fair value, which primarily represent various</w:t>
      </w:r>
    </w:p>
    <w:p>
      <w:pPr>
        <w:ind w:left="10"/>
        <w:spacing w:after="0" w:line="204" w:lineRule="auto"/>
        <w:rPr>
          <w:sz w:val="20"/>
          <w:szCs w:val="20"/>
          <w:color w:val="auto"/>
        </w:rPr>
      </w:pPr>
      <w:r>
        <w:rPr>
          <w:rFonts w:ascii="Times New Roman" w:cs="Times New Roman" w:eastAsia="Times New Roman" w:hAnsi="Times New Roman"/>
          <w:sz w:val="16"/>
          <w:szCs w:val="16"/>
          <w:color w:val="auto"/>
        </w:rPr>
        <w:t>strategic investments made through our corporate venture</w:t>
      </w:r>
    </w:p>
    <w:p>
      <w:pPr>
        <w:ind w:left="10"/>
        <w:spacing w:after="0" w:line="203" w:lineRule="auto"/>
        <w:rPr>
          <w:sz w:val="20"/>
          <w:szCs w:val="20"/>
          <w:color w:val="auto"/>
        </w:rPr>
      </w:pPr>
      <w:r>
        <w:rPr>
          <w:rFonts w:ascii="Times New Roman" w:cs="Times New Roman" w:eastAsia="Times New Roman" w:hAnsi="Times New Roman"/>
          <w:sz w:val="16"/>
          <w:szCs w:val="16"/>
          <w:color w:val="auto"/>
        </w:rPr>
        <w:t>program. See “Equity Method Investments,” and “Equity</w:t>
      </w:r>
    </w:p>
    <w:p>
      <w:pPr>
        <w:ind w:left="10"/>
        <w:spacing w:after="0" w:line="204" w:lineRule="auto"/>
        <w:rPr>
          <w:sz w:val="20"/>
          <w:szCs w:val="20"/>
          <w:color w:val="auto"/>
        </w:rPr>
      </w:pPr>
      <w:r>
        <w:rPr>
          <w:rFonts w:ascii="Times New Roman" w:cs="Times New Roman" w:eastAsia="Times New Roman" w:hAnsi="Times New Roman"/>
          <w:sz w:val="16"/>
          <w:szCs w:val="16"/>
          <w:color w:val="auto"/>
        </w:rPr>
        <w:t>Securities,” of Note 6, “Investments,” for further discussion.</w:t>
      </w:r>
    </w:p>
    <w:p>
      <w:pPr>
        <w:ind w:left="10"/>
        <w:spacing w:after="0" w:line="203" w:lineRule="auto"/>
        <w:rPr>
          <w:sz w:val="20"/>
          <w:szCs w:val="20"/>
          <w:color w:val="auto"/>
        </w:rPr>
      </w:pPr>
      <w:r>
        <w:rPr>
          <w:rFonts w:ascii="Times New Roman" w:cs="Times New Roman" w:eastAsia="Times New Roman" w:hAnsi="Times New Roman"/>
          <w:sz w:val="16"/>
          <w:szCs w:val="16"/>
          <w:color w:val="auto"/>
        </w:rPr>
        <w:t>We also consider our debt obligations to be financial</w:t>
      </w:r>
    </w:p>
    <w:p>
      <w:pPr>
        <w:ind w:left="10"/>
        <w:spacing w:after="0" w:line="204" w:lineRule="auto"/>
        <w:rPr>
          <w:sz w:val="20"/>
          <w:szCs w:val="20"/>
          <w:color w:val="auto"/>
        </w:rPr>
      </w:pPr>
      <w:r>
        <w:rPr>
          <w:rFonts w:ascii="Times New Roman" w:cs="Times New Roman" w:eastAsia="Times New Roman" w:hAnsi="Times New Roman"/>
          <w:sz w:val="16"/>
          <w:szCs w:val="16"/>
          <w:color w:val="auto"/>
        </w:rPr>
        <w:t>instruments. As of December 31, 2025, all of our outstanding</w:t>
      </w:r>
    </w:p>
    <w:p>
      <w:pPr>
        <w:ind w:left="10"/>
        <w:spacing w:after="0" w:line="203" w:lineRule="auto"/>
        <w:rPr>
          <w:sz w:val="20"/>
          <w:szCs w:val="20"/>
          <w:color w:val="auto"/>
        </w:rPr>
      </w:pPr>
      <w:r>
        <w:rPr>
          <w:rFonts w:ascii="Times New Roman" w:cs="Times New Roman" w:eastAsia="Times New Roman" w:hAnsi="Times New Roman"/>
          <w:sz w:val="16"/>
          <w:szCs w:val="16"/>
          <w:color w:val="auto"/>
        </w:rPr>
        <w:t>debt obligations were fixed-rate obligations. We may be</w:t>
      </w:r>
    </w:p>
    <w:p>
      <w:pPr>
        <w:ind w:left="10"/>
        <w:spacing w:after="0" w:line="204" w:lineRule="auto"/>
        <w:rPr>
          <w:sz w:val="20"/>
          <w:szCs w:val="20"/>
          <w:color w:val="auto"/>
        </w:rPr>
      </w:pPr>
      <w:r>
        <w:rPr>
          <w:rFonts w:ascii="Times New Roman" w:cs="Times New Roman" w:eastAsia="Times New Roman" w:hAnsi="Times New Roman"/>
          <w:sz w:val="16"/>
          <w:szCs w:val="16"/>
          <w:color w:val="auto"/>
        </w:rPr>
        <w:t>exposed to changes in interest rates as a result of borrowings</w:t>
      </w:r>
    </w:p>
    <w:p>
      <w:pPr>
        <w:ind w:left="10"/>
        <w:spacing w:after="0" w:line="203" w:lineRule="auto"/>
        <w:rPr>
          <w:sz w:val="20"/>
          <w:szCs w:val="20"/>
          <w:color w:val="auto"/>
        </w:rPr>
      </w:pPr>
      <w:r>
        <w:rPr>
          <w:rFonts w:ascii="Times New Roman" w:cs="Times New Roman" w:eastAsia="Times New Roman" w:hAnsi="Times New Roman"/>
          <w:sz w:val="16"/>
          <w:szCs w:val="16"/>
          <w:color w:val="auto"/>
        </w:rPr>
        <w:t>under our 2022 Revolving Credit Facility, as the interest rates</w:t>
      </w:r>
    </w:p>
    <w:p>
      <w:pPr>
        <w:ind w:left="10"/>
        <w:spacing w:after="0" w:line="204" w:lineRule="auto"/>
        <w:rPr>
          <w:sz w:val="20"/>
          <w:szCs w:val="20"/>
          <w:color w:val="auto"/>
        </w:rPr>
      </w:pPr>
      <w:r>
        <w:rPr>
          <w:rFonts w:ascii="Times New Roman" w:cs="Times New Roman" w:eastAsia="Times New Roman" w:hAnsi="Times New Roman"/>
          <w:sz w:val="16"/>
          <w:szCs w:val="16"/>
          <w:color w:val="auto"/>
        </w:rPr>
        <w:t>on this facility have a variable rate depending on the maturity</w:t>
      </w:r>
    </w:p>
    <w:p>
      <w:pPr>
        <w:ind w:left="10"/>
        <w:spacing w:after="0" w:line="204" w:lineRule="auto"/>
        <w:rPr>
          <w:sz w:val="20"/>
          <w:szCs w:val="20"/>
          <w:color w:val="auto"/>
        </w:rPr>
      </w:pPr>
      <w:r>
        <w:rPr>
          <w:rFonts w:ascii="Times New Roman" w:cs="Times New Roman" w:eastAsia="Times New Roman" w:hAnsi="Times New Roman"/>
          <w:sz w:val="16"/>
          <w:szCs w:val="16"/>
          <w:color w:val="auto"/>
        </w:rPr>
        <w:t>of the borrowing and the implied underlying reference rate.</w:t>
      </w:r>
    </w:p>
    <w:p>
      <w:pPr>
        <w:ind w:left="10"/>
        <w:spacing w:after="0" w:line="203" w:lineRule="auto"/>
        <w:rPr>
          <w:sz w:val="20"/>
          <w:szCs w:val="20"/>
          <w:color w:val="auto"/>
        </w:rPr>
      </w:pPr>
      <w:r>
        <w:rPr>
          <w:rFonts w:ascii="Times New Roman" w:cs="Times New Roman" w:eastAsia="Times New Roman" w:hAnsi="Times New Roman"/>
          <w:sz w:val="16"/>
          <w:szCs w:val="16"/>
          <w:color w:val="auto"/>
        </w:rPr>
        <w:t>We may be exposed to changes in interest rates on amounts</w:t>
      </w:r>
    </w:p>
    <w:p>
      <w:pPr>
        <w:ind w:left="10"/>
        <w:spacing w:after="0" w:line="204" w:lineRule="auto"/>
        <w:rPr>
          <w:sz w:val="20"/>
          <w:szCs w:val="20"/>
          <w:color w:val="auto"/>
        </w:rPr>
      </w:pPr>
      <w:r>
        <w:rPr>
          <w:rFonts w:ascii="Times New Roman" w:cs="Times New Roman" w:eastAsia="Times New Roman" w:hAnsi="Times New Roman"/>
          <w:sz w:val="16"/>
          <w:szCs w:val="16"/>
          <w:color w:val="auto"/>
        </w:rPr>
        <w:t>outstanding from the sale of commercial paper under our</w:t>
      </w:r>
    </w:p>
    <w:p>
      <w:pPr>
        <w:ind w:left="10"/>
        <w:spacing w:after="0" w:line="203" w:lineRule="auto"/>
        <w:rPr>
          <w:sz w:val="20"/>
          <w:szCs w:val="20"/>
          <w:color w:val="auto"/>
        </w:rPr>
      </w:pPr>
      <w:r>
        <w:rPr>
          <w:rFonts w:ascii="Times New Roman" w:cs="Times New Roman" w:eastAsia="Times New Roman" w:hAnsi="Times New Roman"/>
          <w:sz w:val="16"/>
          <w:szCs w:val="16"/>
          <w:color w:val="auto"/>
        </w:rPr>
        <w:t>commercial paper program. The fair value of our remaining</w:t>
      </w:r>
    </w:p>
    <w:p>
      <w:pPr>
        <w:ind w:left="10"/>
        <w:spacing w:after="0" w:line="204" w:lineRule="auto"/>
        <w:rPr>
          <w:sz w:val="20"/>
          <w:szCs w:val="20"/>
          <w:color w:val="auto"/>
        </w:rPr>
      </w:pPr>
      <w:r>
        <w:rPr>
          <w:rFonts w:ascii="Times New Roman" w:cs="Times New Roman" w:eastAsia="Times New Roman" w:hAnsi="Times New Roman"/>
          <w:sz w:val="16"/>
          <w:szCs w:val="16"/>
          <w:color w:val="auto"/>
        </w:rPr>
        <w:t>debt obligations utilizing prevailing market rates for our fixed</w:t>
      </w:r>
    </w:p>
    <w:p>
      <w:pPr>
        <w:ind w:left="10"/>
        <w:spacing w:after="0" w:line="203" w:lineRule="auto"/>
        <w:rPr>
          <w:sz w:val="20"/>
          <w:szCs w:val="20"/>
          <w:color w:val="auto"/>
        </w:rPr>
      </w:pPr>
      <w:r>
        <w:rPr>
          <w:rFonts w:ascii="Times New Roman" w:cs="Times New Roman" w:eastAsia="Times New Roman" w:hAnsi="Times New Roman"/>
          <w:sz w:val="16"/>
          <w:szCs w:val="16"/>
          <w:color w:val="auto"/>
        </w:rPr>
        <w:t>rate debt was $8.6 billion as of December 31, 2025 and $8.8</w:t>
      </w:r>
    </w:p>
    <w:p>
      <w:pPr>
        <w:ind w:left="10"/>
        <w:spacing w:after="0" w:line="204" w:lineRule="auto"/>
        <w:rPr>
          <w:sz w:val="20"/>
          <w:szCs w:val="20"/>
          <w:color w:val="auto"/>
        </w:rPr>
      </w:pPr>
      <w:r>
        <w:rPr>
          <w:rFonts w:ascii="Times New Roman" w:cs="Times New Roman" w:eastAsia="Times New Roman" w:hAnsi="Times New Roman"/>
          <w:sz w:val="16"/>
          <w:szCs w:val="16"/>
          <w:color w:val="auto"/>
        </w:rPr>
        <w:t>billion as of December 31, 2024. The discounted cash flow</w:t>
      </w:r>
    </w:p>
    <w:p>
      <w:pPr>
        <w:ind w:left="10"/>
        <w:spacing w:after="0" w:line="203" w:lineRule="auto"/>
        <w:rPr>
          <w:sz w:val="20"/>
          <w:szCs w:val="20"/>
          <w:color w:val="auto"/>
        </w:rPr>
      </w:pPr>
      <w:r>
        <w:rPr>
          <w:rFonts w:ascii="Times New Roman" w:cs="Times New Roman" w:eastAsia="Times New Roman" w:hAnsi="Times New Roman"/>
          <w:sz w:val="16"/>
          <w:szCs w:val="16"/>
          <w:color w:val="auto"/>
        </w:rPr>
        <w:t>analyses are based on borrowing rates currently available to</w:t>
      </w:r>
    </w:p>
    <w:p>
      <w:pPr>
        <w:ind w:left="10"/>
        <w:spacing w:after="0" w:line="204" w:lineRule="auto"/>
        <w:rPr>
          <w:sz w:val="20"/>
          <w:szCs w:val="20"/>
          <w:color w:val="auto"/>
        </w:rPr>
      </w:pPr>
      <w:r>
        <w:rPr>
          <w:rFonts w:ascii="Times New Roman" w:cs="Times New Roman" w:eastAsia="Times New Roman" w:hAnsi="Times New Roman"/>
          <w:sz w:val="16"/>
          <w:szCs w:val="16"/>
          <w:color w:val="auto"/>
        </w:rPr>
        <w:t>us for debt with similar terms and maturities. Our commercial</w:t>
      </w:r>
    </w:p>
    <w:p>
      <w:pPr>
        <w:ind w:left="10"/>
        <w:spacing w:after="0" w:line="204" w:lineRule="auto"/>
        <w:rPr>
          <w:sz w:val="20"/>
          <w:szCs w:val="20"/>
          <w:color w:val="auto"/>
        </w:rPr>
      </w:pPr>
      <w:r>
        <w:rPr>
          <w:rFonts w:ascii="Times New Roman" w:cs="Times New Roman" w:eastAsia="Times New Roman" w:hAnsi="Times New Roman"/>
          <w:sz w:val="16"/>
          <w:szCs w:val="16"/>
          <w:color w:val="auto"/>
        </w:rPr>
        <w:t>paper and our fixed rate and floating rate debt are categorized</w:t>
      </w:r>
    </w:p>
    <w:p>
      <w:pPr>
        <w:ind w:left="10"/>
        <w:spacing w:after="0" w:line="203" w:lineRule="auto"/>
        <w:rPr>
          <w:sz w:val="20"/>
          <w:szCs w:val="20"/>
          <w:color w:val="auto"/>
        </w:rPr>
      </w:pPr>
      <w:r>
        <w:rPr>
          <w:rFonts w:ascii="Times New Roman" w:cs="Times New Roman" w:eastAsia="Times New Roman" w:hAnsi="Times New Roman"/>
          <w:sz w:val="16"/>
          <w:szCs w:val="16"/>
          <w:color w:val="auto"/>
        </w:rPr>
        <w:t>as Level 2 in the fair value hierarchy.</w:t>
      </w:r>
    </w:p>
    <w:p>
      <w:pPr>
        <w:ind w:left="10"/>
        <w:spacing w:after="0" w:line="204" w:lineRule="auto"/>
        <w:rPr>
          <w:sz w:val="20"/>
          <w:szCs w:val="20"/>
          <w:color w:val="auto"/>
        </w:rPr>
      </w:pPr>
      <w:r>
        <w:rPr>
          <w:rFonts w:ascii="Times New Roman" w:cs="Times New Roman" w:eastAsia="Times New Roman" w:hAnsi="Times New Roman"/>
          <w:sz w:val="16"/>
          <w:szCs w:val="16"/>
          <w:color w:val="auto"/>
        </w:rPr>
        <w:t>For further discussion of our debt obligations, see Note 9,</w:t>
      </w:r>
    </w:p>
    <w:p>
      <w:pPr>
        <w:ind w:left="10"/>
        <w:spacing w:after="0" w:line="203" w:lineRule="auto"/>
        <w:rPr>
          <w:sz w:val="20"/>
          <w:szCs w:val="20"/>
          <w:color w:val="auto"/>
        </w:rPr>
      </w:pPr>
      <w:r>
        <w:rPr>
          <w:rFonts w:ascii="Times New Roman" w:cs="Times New Roman" w:eastAsia="Times New Roman" w:hAnsi="Times New Roman"/>
          <w:sz w:val="16"/>
          <w:szCs w:val="16"/>
          <w:color w:val="auto"/>
        </w:rPr>
        <w:t>“Debt Obligations.”</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Non-Financial Assets Measured at Fair Value on a Non-</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Recurring Basis</w:t>
      </w:r>
    </w:p>
    <w:p>
      <w:pPr>
        <w:ind w:left="10"/>
        <w:spacing w:after="0" w:line="204" w:lineRule="auto"/>
        <w:rPr>
          <w:sz w:val="20"/>
          <w:szCs w:val="20"/>
          <w:color w:val="auto"/>
        </w:rPr>
      </w:pPr>
      <w:r>
        <w:rPr>
          <w:rFonts w:ascii="Times New Roman" w:cs="Times New Roman" w:eastAsia="Times New Roman" w:hAnsi="Times New Roman"/>
          <w:sz w:val="16"/>
          <w:szCs w:val="16"/>
          <w:color w:val="auto"/>
        </w:rPr>
        <w:t>Our non-financial assets, which include goodwill, intangible</w:t>
      </w:r>
    </w:p>
    <w:p>
      <w:pPr>
        <w:ind w:left="10"/>
        <w:spacing w:after="0" w:line="203" w:lineRule="auto"/>
        <w:rPr>
          <w:sz w:val="20"/>
          <w:szCs w:val="20"/>
          <w:color w:val="auto"/>
        </w:rPr>
      </w:pPr>
      <w:r>
        <w:rPr>
          <w:rFonts w:ascii="Times New Roman" w:cs="Times New Roman" w:eastAsia="Times New Roman" w:hAnsi="Times New Roman"/>
          <w:sz w:val="16"/>
          <w:szCs w:val="16"/>
          <w:color w:val="auto"/>
        </w:rPr>
        <w:t>assets, and other long-lived assets, are not required to be</w:t>
      </w:r>
    </w:p>
    <w:p>
      <w:pPr>
        <w:ind w:left="10"/>
        <w:spacing w:after="0" w:line="204" w:lineRule="auto"/>
        <w:rPr>
          <w:sz w:val="20"/>
          <w:szCs w:val="20"/>
          <w:color w:val="auto"/>
        </w:rPr>
      </w:pPr>
      <w:r>
        <w:rPr>
          <w:rFonts w:ascii="Times New Roman" w:cs="Times New Roman" w:eastAsia="Times New Roman" w:hAnsi="Times New Roman"/>
          <w:sz w:val="16"/>
          <w:szCs w:val="16"/>
          <w:color w:val="auto"/>
        </w:rPr>
        <w:t>carried at fair value on a recurring basis. Fair value measures</w:t>
      </w:r>
    </w:p>
    <w:p>
      <w:pPr>
        <w:ind w:left="10"/>
        <w:spacing w:after="0" w:line="203" w:lineRule="auto"/>
        <w:rPr>
          <w:sz w:val="20"/>
          <w:szCs w:val="20"/>
          <w:color w:val="auto"/>
        </w:rPr>
      </w:pPr>
      <w:r>
        <w:rPr>
          <w:rFonts w:ascii="Times New Roman" w:cs="Times New Roman" w:eastAsia="Times New Roman" w:hAnsi="Times New Roman"/>
          <w:sz w:val="16"/>
          <w:szCs w:val="16"/>
          <w:color w:val="auto"/>
        </w:rPr>
        <w:t>of non-financial assets are primarily used in the impairment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analysis of these assets. Any resulting asset impairment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would require that the non-financial asset be recorded at its</w:t>
      </w:r>
    </w:p>
    <w:p>
      <w:pPr>
        <w:ind w:left="10"/>
        <w:spacing w:after="0" w:line="203" w:lineRule="auto"/>
        <w:rPr>
          <w:sz w:val="20"/>
          <w:szCs w:val="20"/>
          <w:color w:val="auto"/>
        </w:rPr>
      </w:pPr>
      <w:r>
        <w:rPr>
          <w:rFonts w:ascii="Times New Roman" w:cs="Times New Roman" w:eastAsia="Times New Roman" w:hAnsi="Times New Roman"/>
          <w:sz w:val="16"/>
          <w:szCs w:val="16"/>
          <w:color w:val="auto"/>
        </w:rPr>
        <w:t>fair value. Nasdaq uses Level 3 inputs to measure the fair</w:t>
      </w:r>
    </w:p>
    <w:p>
      <w:pPr>
        <w:ind w:left="10"/>
        <w:spacing w:after="0" w:line="204" w:lineRule="auto"/>
        <w:rPr>
          <w:sz w:val="20"/>
          <w:szCs w:val="20"/>
          <w:color w:val="auto"/>
        </w:rPr>
      </w:pPr>
      <w:r>
        <w:rPr>
          <w:rFonts w:ascii="Times New Roman" w:cs="Times New Roman" w:eastAsia="Times New Roman" w:hAnsi="Times New Roman"/>
          <w:sz w:val="16"/>
          <w:szCs w:val="16"/>
          <w:color w:val="auto"/>
        </w:rPr>
        <w:t>value of the above assets on a non-recurring basis. As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December 31, 2025 and December 31, 2024, there were no</w:t>
      </w:r>
    </w:p>
    <w:p>
      <w:pPr>
        <w:ind w:left="10"/>
        <w:spacing w:after="0" w:line="204" w:lineRule="auto"/>
        <w:rPr>
          <w:sz w:val="20"/>
          <w:szCs w:val="20"/>
          <w:color w:val="auto"/>
        </w:rPr>
      </w:pPr>
      <w:r>
        <w:rPr>
          <w:rFonts w:ascii="Times New Roman" w:cs="Times New Roman" w:eastAsia="Times New Roman" w:hAnsi="Times New Roman"/>
          <w:sz w:val="16"/>
          <w:szCs w:val="16"/>
          <w:color w:val="auto"/>
        </w:rPr>
        <w:t>non-financial assets measured at fair value on a non-recurring</w:t>
      </w:r>
    </w:p>
    <w:p>
      <w:pPr>
        <w:ind w:left="10"/>
        <w:spacing w:after="0" w:line="203" w:lineRule="auto"/>
        <w:rPr>
          <w:sz w:val="20"/>
          <w:szCs w:val="20"/>
          <w:color w:val="auto"/>
        </w:rPr>
      </w:pPr>
      <w:r>
        <w:rPr>
          <w:rFonts w:ascii="Times New Roman" w:cs="Times New Roman" w:eastAsia="Times New Roman" w:hAnsi="Times New Roman"/>
          <w:sz w:val="16"/>
          <w:szCs w:val="16"/>
          <w:color w:val="auto"/>
        </w:rPr>
        <w:t>basis.</w:t>
      </w:r>
    </w:p>
    <w:p>
      <w:pPr>
        <w:spacing w:after="0" w:line="1" w:lineRule="exact"/>
        <w:rPr>
          <w:sz w:val="20"/>
          <w:szCs w:val="20"/>
          <w:color w:val="auto"/>
        </w:rPr>
      </w:pPr>
    </w:p>
    <w:p>
      <w:pPr>
        <w:ind w:left="10" w:right="7260" w:hanging="10"/>
        <w:spacing w:after="0" w:line="232" w:lineRule="auto"/>
        <w:tabs>
          <w:tab w:leader="none" w:pos="25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CLEARING OPERATIONS Nasdaq Clearing</w:t>
      </w:r>
    </w:p>
    <w:p>
      <w:pPr>
        <w:ind w:left="10" w:right="5560"/>
        <w:spacing w:after="0" w:line="23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Nasdaq Clearing is authorized and supervised under EMIR as a multi-asset clearinghouse by the SFSA. Such authorization is effective for all member states of the European Union and certain other non-member states that are part of the European Economic Area, including Norway. The clearinghouse acts as the CCP for exchange and OTC trades in equity derivatives, fixed income derivatives, resale and repurchase contracts,</w:t>
      </w:r>
    </w:p>
    <w:p>
      <w:pPr>
        <w:sectPr>
          <w:pgSz w:w="11900" w:h="16840" w:orient="portrait"/>
          <w:cols w:equalWidth="0" w:num="1">
            <w:col w:w="9410"/>
          </w:cols>
          <w:pgMar w:left="1050" w:top="567" w:right="1440" w:bottom="47"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color w:val="auto"/>
        </w:rPr>
        <w:t>power derivatives, emission allowance derivatives, and</w:t>
      </w:r>
    </w:p>
    <w:p>
      <w:pPr>
        <w:spacing w:after="0" w:line="203" w:lineRule="auto"/>
        <w:rPr>
          <w:sz w:val="20"/>
          <w:szCs w:val="20"/>
          <w:color w:val="auto"/>
        </w:rPr>
      </w:pPr>
      <w:r>
        <w:rPr>
          <w:rFonts w:ascii="Times New Roman" w:cs="Times New Roman" w:eastAsia="Times New Roman" w:hAnsi="Times New Roman"/>
          <w:sz w:val="16"/>
          <w:szCs w:val="16"/>
          <w:color w:val="auto"/>
        </w:rPr>
        <w:t>seafood derivatives. In January 2025, we entered into an</w:t>
      </w:r>
    </w:p>
    <w:p>
      <w:pPr>
        <w:spacing w:after="0" w:line="204" w:lineRule="auto"/>
        <w:rPr>
          <w:sz w:val="20"/>
          <w:szCs w:val="20"/>
          <w:color w:val="auto"/>
        </w:rPr>
      </w:pPr>
      <w:r>
        <w:rPr>
          <w:rFonts w:ascii="Times New Roman" w:cs="Times New Roman" w:eastAsia="Times New Roman" w:hAnsi="Times New Roman"/>
          <w:sz w:val="16"/>
          <w:szCs w:val="16"/>
          <w:color w:val="auto"/>
        </w:rPr>
        <w:t>agreement to transfer existing open positions in our Nordic</w:t>
      </w:r>
    </w:p>
    <w:p>
      <w:pPr>
        <w:spacing w:after="0" w:line="203" w:lineRule="auto"/>
        <w:rPr>
          <w:sz w:val="20"/>
          <w:szCs w:val="20"/>
          <w:color w:val="auto"/>
        </w:rPr>
      </w:pPr>
      <w:r>
        <w:rPr>
          <w:rFonts w:ascii="Times New Roman" w:cs="Times New Roman" w:eastAsia="Times New Roman" w:hAnsi="Times New Roman"/>
          <w:sz w:val="16"/>
          <w:szCs w:val="16"/>
          <w:color w:val="auto"/>
        </w:rPr>
        <w:t>power futures business to a European exchange, which was</w:t>
      </w:r>
    </w:p>
    <w:p>
      <w:pPr>
        <w:spacing w:after="0" w:line="204" w:lineRule="auto"/>
        <w:rPr>
          <w:sz w:val="20"/>
          <w:szCs w:val="20"/>
          <w:color w:val="auto"/>
        </w:rPr>
      </w:pPr>
      <w:r>
        <w:rPr>
          <w:rFonts w:ascii="Times New Roman" w:cs="Times New Roman" w:eastAsia="Times New Roman" w:hAnsi="Times New Roman"/>
          <w:sz w:val="16"/>
          <w:szCs w:val="16"/>
          <w:color w:val="auto"/>
        </w:rPr>
        <w:t>completed in June 2025. See Note 4, “Acquisition and</w:t>
      </w:r>
    </w:p>
    <w:p>
      <w:pPr>
        <w:spacing w:after="0" w:line="203" w:lineRule="auto"/>
        <w:rPr>
          <w:sz w:val="20"/>
          <w:szCs w:val="20"/>
          <w:color w:val="auto"/>
        </w:rPr>
      </w:pPr>
      <w:r>
        <w:rPr>
          <w:rFonts w:ascii="Times New Roman" w:cs="Times New Roman" w:eastAsia="Times New Roman" w:hAnsi="Times New Roman"/>
          <w:sz w:val="16"/>
          <w:szCs w:val="16"/>
          <w:color w:val="auto"/>
        </w:rPr>
        <w:t>Divestitures,” for further discussion. Additionally, beginning</w:t>
      </w:r>
    </w:p>
    <w:p>
      <w:pPr>
        <w:spacing w:after="0" w:line="204" w:lineRule="auto"/>
        <w:rPr>
          <w:sz w:val="20"/>
          <w:szCs w:val="20"/>
          <w:color w:val="auto"/>
        </w:rPr>
      </w:pPr>
      <w:r>
        <w:rPr>
          <w:rFonts w:ascii="Times New Roman" w:cs="Times New Roman" w:eastAsia="Times New Roman" w:hAnsi="Times New Roman"/>
          <w:sz w:val="16"/>
          <w:szCs w:val="16"/>
          <w:color w:val="auto"/>
        </w:rPr>
        <w:t>in January 2025, Nasdaq no longer offered seafood</w:t>
      </w:r>
    </w:p>
    <w:p>
      <w:pPr>
        <w:spacing w:after="0" w:line="203" w:lineRule="auto"/>
        <w:rPr>
          <w:sz w:val="20"/>
          <w:szCs w:val="20"/>
          <w:color w:val="auto"/>
        </w:rPr>
      </w:pPr>
      <w:r>
        <w:rPr>
          <w:rFonts w:ascii="Times New Roman" w:cs="Times New Roman" w:eastAsia="Times New Roman" w:hAnsi="Times New Roman"/>
          <w:sz w:val="16"/>
          <w:szCs w:val="16"/>
          <w:color w:val="auto"/>
        </w:rPr>
        <w:t>derivatives clearing and has settled all open positions as of</w:t>
      </w:r>
    </w:p>
    <w:p>
      <w:pPr>
        <w:spacing w:after="0" w:line="204" w:lineRule="auto"/>
        <w:rPr>
          <w:sz w:val="20"/>
          <w:szCs w:val="20"/>
          <w:color w:val="auto"/>
        </w:rPr>
      </w:pPr>
      <w:r>
        <w:rPr>
          <w:rFonts w:ascii="Times New Roman" w:cs="Times New Roman" w:eastAsia="Times New Roman" w:hAnsi="Times New Roman"/>
          <w:sz w:val="16"/>
          <w:szCs w:val="16"/>
          <w:color w:val="auto"/>
        </w:rPr>
        <w:t>March 31, 2025.</w:t>
      </w:r>
    </w:p>
    <w:p>
      <w:pPr>
        <w:spacing w:after="0" w:line="203" w:lineRule="auto"/>
        <w:rPr>
          <w:sz w:val="20"/>
          <w:szCs w:val="20"/>
          <w:color w:val="auto"/>
        </w:rPr>
      </w:pPr>
      <w:r>
        <w:rPr>
          <w:rFonts w:ascii="Times New Roman" w:cs="Times New Roman" w:eastAsia="Times New Roman" w:hAnsi="Times New Roman"/>
          <w:sz w:val="16"/>
          <w:szCs w:val="16"/>
          <w:color w:val="auto"/>
        </w:rPr>
        <w:t>Through our clearing operations in the financial markets,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include the resale and repurchase market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F-34</w:t>
      </w:r>
    </w:p>
    <w:p>
      <w:pPr>
        <w:spacing w:after="0" w:line="203" w:lineRule="auto"/>
        <w:rPr>
          <w:sz w:val="20"/>
          <w:szCs w:val="20"/>
          <w:color w:val="auto"/>
        </w:rPr>
      </w:pPr>
      <w:r>
        <w:rPr>
          <w:rFonts w:ascii="Times New Roman" w:cs="Times New Roman" w:eastAsia="Times New Roman" w:hAnsi="Times New Roman"/>
          <w:sz w:val="16"/>
          <w:szCs w:val="16"/>
          <w:color w:val="auto"/>
        </w:rPr>
        <w:t>Nasdaq Clearing maintains two member sponsored default</w:t>
      </w:r>
    </w:p>
    <w:p>
      <w:pPr>
        <w:spacing w:after="0" w:line="204" w:lineRule="auto"/>
        <w:rPr>
          <w:sz w:val="20"/>
          <w:szCs w:val="20"/>
          <w:color w:val="auto"/>
        </w:rPr>
      </w:pPr>
      <w:r>
        <w:rPr>
          <w:rFonts w:ascii="Times New Roman" w:cs="Times New Roman" w:eastAsia="Times New Roman" w:hAnsi="Times New Roman"/>
          <w:sz w:val="16"/>
          <w:szCs w:val="16"/>
          <w:color w:val="auto"/>
        </w:rPr>
        <w:t>funds: one related to financial markets and one related to</w:t>
      </w:r>
    </w:p>
    <w:p>
      <w:pPr>
        <w:spacing w:after="0" w:line="203" w:lineRule="auto"/>
        <w:rPr>
          <w:sz w:val="20"/>
          <w:szCs w:val="20"/>
          <w:color w:val="auto"/>
        </w:rPr>
      </w:pPr>
      <w:r>
        <w:rPr>
          <w:rFonts w:ascii="Times New Roman" w:cs="Times New Roman" w:eastAsia="Times New Roman" w:hAnsi="Times New Roman"/>
          <w:sz w:val="16"/>
          <w:szCs w:val="16"/>
          <w:color w:val="auto"/>
        </w:rPr>
        <w:t>commodities markets. Under this structure, Nasdaq Clearing</w:t>
      </w:r>
    </w:p>
    <w:p>
      <w:pPr>
        <w:spacing w:after="0" w:line="204" w:lineRule="auto"/>
        <w:rPr>
          <w:sz w:val="20"/>
          <w:szCs w:val="20"/>
          <w:color w:val="auto"/>
        </w:rPr>
      </w:pPr>
      <w:r>
        <w:rPr>
          <w:rFonts w:ascii="Times New Roman" w:cs="Times New Roman" w:eastAsia="Times New Roman" w:hAnsi="Times New Roman"/>
          <w:sz w:val="16"/>
          <w:szCs w:val="16"/>
          <w:color w:val="auto"/>
        </w:rPr>
        <w:t>and its clearing members must contribute to the total</w:t>
      </w:r>
    </w:p>
    <w:p>
      <w:pPr>
        <w:spacing w:after="0" w:line="203" w:lineRule="auto"/>
        <w:rPr>
          <w:sz w:val="20"/>
          <w:szCs w:val="20"/>
          <w:color w:val="auto"/>
        </w:rPr>
      </w:pPr>
      <w:r>
        <w:rPr>
          <w:rFonts w:ascii="Times New Roman" w:cs="Times New Roman" w:eastAsia="Times New Roman" w:hAnsi="Times New Roman"/>
          <w:sz w:val="16"/>
          <w:szCs w:val="16"/>
          <w:color w:val="auto"/>
        </w:rPr>
        <w:t>regulatory capital related to the clearing operations of Nasdaq</w:t>
      </w:r>
    </w:p>
    <w:p>
      <w:pPr>
        <w:spacing w:after="0" w:line="204" w:lineRule="auto"/>
        <w:rPr>
          <w:sz w:val="20"/>
          <w:szCs w:val="20"/>
          <w:color w:val="auto"/>
        </w:rPr>
      </w:pPr>
      <w:r>
        <w:rPr>
          <w:rFonts w:ascii="Times New Roman" w:cs="Times New Roman" w:eastAsia="Times New Roman" w:hAnsi="Times New Roman"/>
          <w:sz w:val="16"/>
          <w:szCs w:val="16"/>
          <w:color w:val="auto"/>
        </w:rPr>
        <w:t>Clearing. This structure applies an initial separation of</w:t>
      </w:r>
    </w:p>
    <w:p>
      <w:pPr>
        <w:spacing w:after="0" w:line="203" w:lineRule="auto"/>
        <w:rPr>
          <w:sz w:val="20"/>
          <w:szCs w:val="20"/>
          <w:color w:val="auto"/>
        </w:rPr>
      </w:pPr>
      <w:r>
        <w:rPr>
          <w:rFonts w:ascii="Times New Roman" w:cs="Times New Roman" w:eastAsia="Times New Roman" w:hAnsi="Times New Roman"/>
          <w:sz w:val="16"/>
          <w:szCs w:val="16"/>
          <w:color w:val="auto"/>
        </w:rPr>
        <w:t>default fund contributions for the financial and commodities</w:t>
      </w:r>
    </w:p>
    <w:p>
      <w:pPr>
        <w:spacing w:after="0" w:line="204" w:lineRule="auto"/>
        <w:rPr>
          <w:sz w:val="20"/>
          <w:szCs w:val="20"/>
          <w:color w:val="auto"/>
        </w:rPr>
      </w:pPr>
      <w:r>
        <w:rPr>
          <w:rFonts w:ascii="Times New Roman" w:cs="Times New Roman" w:eastAsia="Times New Roman" w:hAnsi="Times New Roman"/>
          <w:sz w:val="16"/>
          <w:szCs w:val="16"/>
          <w:color w:val="auto"/>
        </w:rPr>
        <w:t>markets in order to create a buffer for each market’s</w:t>
      </w:r>
    </w:p>
    <w:p>
      <w:pPr>
        <w:spacing w:after="0" w:line="203" w:lineRule="auto"/>
        <w:rPr>
          <w:sz w:val="20"/>
          <w:szCs w:val="20"/>
          <w:color w:val="auto"/>
        </w:rPr>
      </w:pPr>
      <w:r>
        <w:rPr>
          <w:rFonts w:ascii="Times New Roman" w:cs="Times New Roman" w:eastAsia="Times New Roman" w:hAnsi="Times New Roman"/>
          <w:sz w:val="16"/>
          <w:szCs w:val="16"/>
          <w:color w:val="auto"/>
        </w:rPr>
        <w:t>counterparty risks. See “Default Fund Contributions” below</w:t>
      </w:r>
    </w:p>
    <w:p>
      <w:pPr>
        <w:spacing w:after="0" w:line="204" w:lineRule="auto"/>
        <w:rPr>
          <w:sz w:val="20"/>
          <w:szCs w:val="20"/>
          <w:color w:val="auto"/>
        </w:rPr>
      </w:pPr>
      <w:r>
        <w:rPr>
          <w:rFonts w:ascii="Times New Roman" w:cs="Times New Roman" w:eastAsia="Times New Roman" w:hAnsi="Times New Roman"/>
          <w:sz w:val="16"/>
          <w:szCs w:val="16"/>
          <w:color w:val="auto"/>
        </w:rPr>
        <w:t>for further discussion of Nasdaq Clearing’s default fund. A</w:t>
      </w:r>
    </w:p>
    <w:p>
      <w:pPr>
        <w:spacing w:after="0" w:line="204" w:lineRule="auto"/>
        <w:rPr>
          <w:sz w:val="20"/>
          <w:szCs w:val="20"/>
          <w:color w:val="auto"/>
        </w:rPr>
      </w:pPr>
      <w:r>
        <w:rPr>
          <w:rFonts w:ascii="Times New Roman" w:cs="Times New Roman" w:eastAsia="Times New Roman" w:hAnsi="Times New Roman"/>
          <w:sz w:val="16"/>
          <w:szCs w:val="16"/>
          <w:color w:val="auto"/>
        </w:rPr>
        <w:t>power of assessment and a liability waterfall have also been</w:t>
      </w:r>
    </w:p>
    <w:p>
      <w:pPr>
        <w:spacing w:after="0" w:line="203" w:lineRule="auto"/>
        <w:rPr>
          <w:sz w:val="20"/>
          <w:szCs w:val="20"/>
          <w:color w:val="auto"/>
        </w:rPr>
      </w:pPr>
      <w:r>
        <w:rPr>
          <w:rFonts w:ascii="Times New Roman" w:cs="Times New Roman" w:eastAsia="Times New Roman" w:hAnsi="Times New Roman"/>
          <w:sz w:val="16"/>
          <w:szCs w:val="16"/>
          <w:color w:val="auto"/>
        </w:rPr>
        <w:t>implemented to further align risk between Nasdaq Clearing</w:t>
      </w:r>
    </w:p>
    <w:p>
      <w:pPr>
        <w:spacing w:after="0" w:line="204" w:lineRule="auto"/>
        <w:rPr>
          <w:sz w:val="20"/>
          <w:szCs w:val="20"/>
          <w:color w:val="auto"/>
        </w:rPr>
      </w:pPr>
      <w:r>
        <w:rPr>
          <w:rFonts w:ascii="Times New Roman" w:cs="Times New Roman" w:eastAsia="Times New Roman" w:hAnsi="Times New Roman"/>
          <w:sz w:val="16"/>
          <w:szCs w:val="16"/>
          <w:color w:val="auto"/>
        </w:rPr>
        <w:t>and its clearing members. See “Power of Assessment” and</w:t>
      </w:r>
    </w:p>
    <w:p>
      <w:pPr>
        <w:spacing w:after="0" w:line="203" w:lineRule="auto"/>
        <w:rPr>
          <w:sz w:val="20"/>
          <w:szCs w:val="20"/>
          <w:color w:val="auto"/>
        </w:rPr>
      </w:pPr>
      <w:r>
        <w:rPr>
          <w:rFonts w:ascii="Times New Roman" w:cs="Times New Roman" w:eastAsia="Times New Roman" w:hAnsi="Times New Roman"/>
          <w:sz w:val="16"/>
          <w:szCs w:val="16"/>
          <w:color w:val="auto"/>
        </w:rPr>
        <w:t>“Liability Waterfall” below for further discussion.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Default Fund Contributions and Margin Deposits</w:t>
      </w:r>
    </w:p>
    <w:p>
      <w:pPr>
        <w:spacing w:after="0" w:line="203" w:lineRule="auto"/>
        <w:rPr>
          <w:sz w:val="20"/>
          <w:szCs w:val="20"/>
          <w:color w:val="auto"/>
        </w:rPr>
      </w:pPr>
      <w:r>
        <w:rPr>
          <w:rFonts w:ascii="Times New Roman" w:cs="Times New Roman" w:eastAsia="Times New Roman" w:hAnsi="Times New Roman"/>
          <w:sz w:val="16"/>
          <w:szCs w:val="16"/>
          <w:color w:val="auto"/>
        </w:rPr>
        <w:t>As of December 31, 2025, clearing member default fund</w:t>
      </w:r>
    </w:p>
    <w:p>
      <w:pPr>
        <w:spacing w:after="0" w:line="228" w:lineRule="auto"/>
        <w:rPr>
          <w:sz w:val="20"/>
          <w:szCs w:val="20"/>
          <w:color w:val="auto"/>
        </w:rPr>
      </w:pPr>
      <w:r>
        <w:rPr>
          <w:rFonts w:ascii="Times New Roman" w:cs="Times New Roman" w:eastAsia="Times New Roman" w:hAnsi="Times New Roman"/>
          <w:sz w:val="16"/>
          <w:szCs w:val="16"/>
          <w:color w:val="auto"/>
        </w:rPr>
        <w:t>contributions and margin deposits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2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62"/>
        </w:trPr>
        <w:tc>
          <w:tcPr>
            <w:tcW w:w="13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r>
      <w:tr>
        <w:trPr>
          <w:trHeight w:val="100"/>
        </w:trPr>
        <w:tc>
          <w:tcPr>
            <w:tcW w:w="1320" w:type="dxa"/>
            <w:vAlign w:val="bottom"/>
          </w:tcPr>
          <w:p>
            <w:pPr>
              <w:spacing w:after="0"/>
              <w:rPr>
                <w:sz w:val="8"/>
                <w:szCs w:val="8"/>
                <w:color w:val="auto"/>
              </w:rPr>
            </w:pPr>
          </w:p>
        </w:tc>
        <w:tc>
          <w:tcPr>
            <w:tcW w:w="36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Cash</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Non-Cash</w:t>
            </w:r>
          </w:p>
        </w:tc>
        <w:tc>
          <w:tcPr>
            <w:tcW w:w="6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42"/>
        </w:trPr>
        <w:tc>
          <w:tcPr>
            <w:tcW w:w="132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6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6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Contributions</w:t>
            </w:r>
          </w:p>
        </w:tc>
      </w:tr>
      <w:tr>
        <w:trPr>
          <w:trHeight w:val="38"/>
        </w:trPr>
        <w:tc>
          <w:tcPr>
            <w:tcW w:w="1320" w:type="dxa"/>
            <w:vAlign w:val="bottom"/>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34"/>
        </w:trPr>
        <w:tc>
          <w:tcPr>
            <w:tcW w:w="132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62"/>
        </w:trPr>
        <w:tc>
          <w:tcPr>
            <w:tcW w:w="1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144"/>
        </w:trPr>
        <w:tc>
          <w:tcPr>
            <w:tcW w:w="13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Default fund</w:t>
            </w:r>
          </w:p>
        </w:tc>
        <w:tc>
          <w:tcPr>
            <w:tcW w:w="3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1,308</w:t>
            </w:r>
          </w:p>
        </w:tc>
        <w:tc>
          <w:tcPr>
            <w:tcW w:w="280" w:type="dxa"/>
            <w:vAlign w:val="bottom"/>
            <w:gridSpan w:val="2"/>
            <w:shd w:val="clear" w:color="auto" w:fill="CCEEFF"/>
          </w:tcPr>
          <w:p>
            <w:pPr>
              <w:ind w:left="80"/>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186</w:t>
            </w:r>
          </w:p>
        </w:tc>
        <w:tc>
          <w:tcPr>
            <w:tcW w:w="220" w:type="dxa"/>
            <w:vAlign w:val="bottom"/>
            <w:gridSpan w:val="2"/>
            <w:shd w:val="clear" w:color="auto" w:fill="CCEEFF"/>
          </w:tcPr>
          <w:p>
            <w:pPr>
              <w:ind w:left="80"/>
              <w:spacing w:after="0" w:line="144"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1,494</w:t>
            </w:r>
          </w:p>
        </w:tc>
      </w:tr>
      <w:tr>
        <w:trPr>
          <w:trHeight w:val="208"/>
        </w:trPr>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contributions</w:t>
            </w: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92"/>
        </w:trPr>
        <w:tc>
          <w:tcPr>
            <w:tcW w:w="1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Margin deposits</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4,534</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6,327</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10,861</w:t>
            </w:r>
          </w:p>
        </w:tc>
      </w:tr>
      <w:tr>
        <w:trPr>
          <w:trHeight w:val="176"/>
        </w:trPr>
        <w:tc>
          <w:tcPr>
            <w:tcW w:w="13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5,842</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6,513</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12,355</w:t>
            </w:r>
          </w:p>
        </w:tc>
      </w:tr>
    </w:tbl>
    <w:p>
      <w:pPr>
        <w:spacing w:after="0" w:line="225" w:lineRule="auto"/>
        <w:rPr>
          <w:sz w:val="20"/>
          <w:szCs w:val="20"/>
          <w:color w:val="auto"/>
        </w:rPr>
      </w:pPr>
      <w:r>
        <w:rPr>
          <w:rFonts w:ascii="Times New Roman" w:cs="Times New Roman" w:eastAsia="Times New Roman" w:hAnsi="Times New Roman"/>
          <w:sz w:val="16"/>
          <w:szCs w:val="16"/>
          <w:color w:val="auto"/>
        </w:rPr>
        <w:t>Of the total default fund contributions of $1,494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-100965</wp:posOffset>
            </wp:positionV>
            <wp:extent cx="17151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Nasdaq Clearing can utilize $1,432 million as capital</w:t>
      </w:r>
    </w:p>
    <w:p>
      <w:pPr>
        <w:spacing w:after="0" w:line="203" w:lineRule="auto"/>
        <w:rPr>
          <w:sz w:val="20"/>
          <w:szCs w:val="20"/>
          <w:color w:val="auto"/>
        </w:rPr>
      </w:pPr>
      <w:r>
        <w:rPr>
          <w:rFonts w:ascii="Times New Roman" w:cs="Times New Roman" w:eastAsia="Times New Roman" w:hAnsi="Times New Roman"/>
          <w:sz w:val="16"/>
          <w:szCs w:val="16"/>
          <w:color w:val="auto"/>
        </w:rPr>
        <w:t>resources in the event of a counterparty default. The</w:t>
      </w:r>
    </w:p>
    <w:p>
      <w:pPr>
        <w:spacing w:after="0" w:line="204" w:lineRule="auto"/>
        <w:rPr>
          <w:sz w:val="20"/>
          <w:szCs w:val="20"/>
          <w:color w:val="auto"/>
        </w:rPr>
      </w:pPr>
      <w:r>
        <w:rPr>
          <w:rFonts w:ascii="Times New Roman" w:cs="Times New Roman" w:eastAsia="Times New Roman" w:hAnsi="Times New Roman"/>
          <w:sz w:val="16"/>
          <w:szCs w:val="16"/>
          <w:color w:val="auto"/>
        </w:rPr>
        <w:t>remaining balance of $62 million pertains to member posted</w:t>
      </w:r>
    </w:p>
    <w:p>
      <w:pPr>
        <w:spacing w:after="0" w:line="203" w:lineRule="auto"/>
        <w:rPr>
          <w:sz w:val="20"/>
          <w:szCs w:val="20"/>
          <w:color w:val="auto"/>
        </w:rPr>
      </w:pPr>
      <w:r>
        <w:rPr>
          <w:rFonts w:ascii="Times New Roman" w:cs="Times New Roman" w:eastAsia="Times New Roman" w:hAnsi="Times New Roman"/>
          <w:sz w:val="16"/>
          <w:szCs w:val="16"/>
          <w:color w:val="auto"/>
        </w:rPr>
        <w:t>surplus balances.</w:t>
      </w:r>
    </w:p>
    <w:p>
      <w:pPr>
        <w:spacing w:after="0" w:line="204" w:lineRule="auto"/>
        <w:rPr>
          <w:sz w:val="20"/>
          <w:szCs w:val="20"/>
          <w:color w:val="auto"/>
        </w:rPr>
      </w:pPr>
      <w:r>
        <w:rPr>
          <w:rFonts w:ascii="Times New Roman" w:cs="Times New Roman" w:eastAsia="Times New Roman" w:hAnsi="Times New Roman"/>
          <w:sz w:val="16"/>
          <w:szCs w:val="16"/>
          <w:color w:val="auto"/>
        </w:rPr>
        <w:t>Our clearinghouse holds material amounts of clearing</w:t>
      </w:r>
    </w:p>
    <w:p>
      <w:pPr>
        <w:spacing w:after="0" w:line="204" w:lineRule="auto"/>
        <w:rPr>
          <w:sz w:val="20"/>
          <w:szCs w:val="20"/>
          <w:color w:val="auto"/>
        </w:rPr>
      </w:pPr>
      <w:r>
        <w:rPr>
          <w:rFonts w:ascii="Times New Roman" w:cs="Times New Roman" w:eastAsia="Times New Roman" w:hAnsi="Times New Roman"/>
          <w:sz w:val="16"/>
          <w:szCs w:val="16"/>
          <w:color w:val="auto"/>
        </w:rPr>
        <w:t>member cash deposits which are held or invested primarily to</w:t>
      </w:r>
    </w:p>
    <w:p>
      <w:pPr>
        <w:spacing w:after="0" w:line="203" w:lineRule="auto"/>
        <w:rPr>
          <w:sz w:val="20"/>
          <w:szCs w:val="20"/>
          <w:color w:val="auto"/>
        </w:rPr>
      </w:pPr>
      <w:r>
        <w:rPr>
          <w:rFonts w:ascii="Times New Roman" w:cs="Times New Roman" w:eastAsia="Times New Roman" w:hAnsi="Times New Roman"/>
          <w:sz w:val="16"/>
          <w:szCs w:val="16"/>
          <w:color w:val="auto"/>
        </w:rPr>
        <w:t>provide security of capital while minimizing credit, market</w:t>
      </w:r>
    </w:p>
    <w:p>
      <w:pPr>
        <w:spacing w:after="0" w:line="204" w:lineRule="auto"/>
        <w:rPr>
          <w:sz w:val="20"/>
          <w:szCs w:val="20"/>
          <w:color w:val="auto"/>
        </w:rPr>
      </w:pPr>
      <w:r>
        <w:rPr>
          <w:rFonts w:ascii="Times New Roman" w:cs="Times New Roman" w:eastAsia="Times New Roman" w:hAnsi="Times New Roman"/>
          <w:sz w:val="16"/>
          <w:szCs w:val="16"/>
          <w:color w:val="auto"/>
        </w:rPr>
        <w:t>and liquidity risks. While we seek to achieve a reasonable</w:t>
      </w:r>
    </w:p>
    <w:p>
      <w:pPr>
        <w:spacing w:after="0" w:line="203" w:lineRule="auto"/>
        <w:rPr>
          <w:sz w:val="20"/>
          <w:szCs w:val="20"/>
          <w:color w:val="auto"/>
        </w:rPr>
      </w:pPr>
      <w:r>
        <w:rPr>
          <w:rFonts w:ascii="Times New Roman" w:cs="Times New Roman" w:eastAsia="Times New Roman" w:hAnsi="Times New Roman"/>
          <w:sz w:val="16"/>
          <w:szCs w:val="16"/>
          <w:color w:val="auto"/>
        </w:rPr>
        <w:t>rate of return, we are primarily concerned with preservation</w:t>
      </w:r>
    </w:p>
    <w:p>
      <w:pPr>
        <w:spacing w:after="0" w:line="204" w:lineRule="auto"/>
        <w:rPr>
          <w:sz w:val="20"/>
          <w:szCs w:val="20"/>
          <w:color w:val="auto"/>
        </w:rPr>
      </w:pPr>
      <w:r>
        <w:rPr>
          <w:rFonts w:ascii="Times New Roman" w:cs="Times New Roman" w:eastAsia="Times New Roman" w:hAnsi="Times New Roman"/>
          <w:sz w:val="16"/>
          <w:szCs w:val="16"/>
          <w:color w:val="auto"/>
        </w:rPr>
        <w:t>of capital and managing the risks associated with these</w:t>
      </w:r>
    </w:p>
    <w:p>
      <w:pPr>
        <w:spacing w:after="0" w:line="203" w:lineRule="auto"/>
        <w:rPr>
          <w:sz w:val="20"/>
          <w:szCs w:val="20"/>
          <w:color w:val="auto"/>
        </w:rPr>
      </w:pPr>
      <w:r>
        <w:rPr>
          <w:rFonts w:ascii="Times New Roman" w:cs="Times New Roman" w:eastAsia="Times New Roman" w:hAnsi="Times New Roman"/>
          <w:sz w:val="16"/>
          <w:szCs w:val="16"/>
          <w:color w:val="auto"/>
        </w:rPr>
        <w:t>deposits.</w:t>
      </w:r>
    </w:p>
    <w:p>
      <w:pPr>
        <w:spacing w:after="0" w:line="204" w:lineRule="auto"/>
        <w:rPr>
          <w:sz w:val="20"/>
          <w:szCs w:val="20"/>
          <w:color w:val="auto"/>
        </w:rPr>
      </w:pPr>
      <w:r>
        <w:rPr>
          <w:rFonts w:ascii="Times New Roman" w:cs="Times New Roman" w:eastAsia="Times New Roman" w:hAnsi="Times New Roman"/>
          <w:sz w:val="16"/>
          <w:szCs w:val="16"/>
          <w:color w:val="auto"/>
        </w:rPr>
        <w:t>Clearing member cash contributions are maintained in</w:t>
      </w:r>
    </w:p>
    <w:p>
      <w:pPr>
        <w:spacing w:after="0" w:line="203" w:lineRule="auto"/>
        <w:rPr>
          <w:sz w:val="20"/>
          <w:szCs w:val="20"/>
          <w:color w:val="auto"/>
        </w:rPr>
      </w:pPr>
      <w:r>
        <w:rPr>
          <w:rFonts w:ascii="Times New Roman" w:cs="Times New Roman" w:eastAsia="Times New Roman" w:hAnsi="Times New Roman"/>
          <w:sz w:val="16"/>
          <w:szCs w:val="16"/>
          <w:color w:val="auto"/>
        </w:rPr>
        <w:t>demand deposits held at central banks and large, highly rated</w:t>
      </w:r>
    </w:p>
    <w:p>
      <w:pPr>
        <w:spacing w:after="0" w:line="204" w:lineRule="auto"/>
        <w:rPr>
          <w:sz w:val="20"/>
          <w:szCs w:val="20"/>
          <w:color w:val="auto"/>
        </w:rPr>
      </w:pPr>
      <w:r>
        <w:rPr>
          <w:rFonts w:ascii="Times New Roman" w:cs="Times New Roman" w:eastAsia="Times New Roman" w:hAnsi="Times New Roman"/>
          <w:sz w:val="16"/>
          <w:szCs w:val="16"/>
          <w:color w:val="auto"/>
        </w:rPr>
        <w:t>financial institutions or secured through direct investments,</w:t>
      </w:r>
    </w:p>
    <w:p>
      <w:pPr>
        <w:spacing w:after="0" w:line="203" w:lineRule="auto"/>
        <w:rPr>
          <w:sz w:val="20"/>
          <w:szCs w:val="20"/>
          <w:color w:val="auto"/>
        </w:rPr>
      </w:pPr>
      <w:r>
        <w:rPr>
          <w:rFonts w:ascii="Times New Roman" w:cs="Times New Roman" w:eastAsia="Times New Roman" w:hAnsi="Times New Roman"/>
          <w:sz w:val="16"/>
          <w:szCs w:val="16"/>
          <w:color w:val="auto"/>
        </w:rPr>
        <w:t>primarily central bank certificates and highly rated European</w:t>
      </w:r>
    </w:p>
    <w:p>
      <w:pPr>
        <w:spacing w:after="0" w:line="204" w:lineRule="auto"/>
        <w:rPr>
          <w:sz w:val="20"/>
          <w:szCs w:val="20"/>
          <w:color w:val="auto"/>
        </w:rPr>
      </w:pPr>
      <w:r>
        <w:rPr>
          <w:rFonts w:ascii="Times New Roman" w:cs="Times New Roman" w:eastAsia="Times New Roman" w:hAnsi="Times New Roman"/>
          <w:sz w:val="16"/>
          <w:szCs w:val="16"/>
          <w:color w:val="auto"/>
        </w:rPr>
        <w:t>government debt securities with original maturities primarily</w:t>
      </w:r>
    </w:p>
    <w:p>
      <w:pPr>
        <w:spacing w:after="0" w:line="204" w:lineRule="auto"/>
        <w:rPr>
          <w:sz w:val="20"/>
          <w:szCs w:val="20"/>
          <w:color w:val="auto"/>
        </w:rPr>
      </w:pPr>
      <w:r>
        <w:rPr>
          <w:rFonts w:ascii="Times New Roman" w:cs="Times New Roman" w:eastAsia="Times New Roman" w:hAnsi="Times New Roman"/>
          <w:sz w:val="16"/>
          <w:szCs w:val="16"/>
          <w:color w:val="auto"/>
        </w:rPr>
        <w:t>one year or less, reverse repurchase agreements and</w:t>
      </w:r>
    </w:p>
    <w:p>
      <w:pPr>
        <w:spacing w:after="0" w:line="203" w:lineRule="auto"/>
        <w:rPr>
          <w:sz w:val="20"/>
          <w:szCs w:val="20"/>
          <w:color w:val="auto"/>
        </w:rPr>
      </w:pPr>
      <w:r>
        <w:rPr>
          <w:rFonts w:ascii="Times New Roman" w:cs="Times New Roman" w:eastAsia="Times New Roman" w:hAnsi="Times New Roman"/>
          <w:sz w:val="16"/>
          <w:szCs w:val="16"/>
          <w:color w:val="auto"/>
        </w:rPr>
        <w:t>multilateral development bank debt securities. Investments in</w:t>
      </w:r>
    </w:p>
    <w:p>
      <w:pPr>
        <w:spacing w:after="0" w:line="204" w:lineRule="auto"/>
        <w:rPr>
          <w:sz w:val="20"/>
          <w:szCs w:val="20"/>
          <w:color w:val="auto"/>
        </w:rPr>
      </w:pPr>
      <w:r>
        <w:rPr>
          <w:rFonts w:ascii="Times New Roman" w:cs="Times New Roman" w:eastAsia="Times New Roman" w:hAnsi="Times New Roman"/>
          <w:sz w:val="16"/>
          <w:szCs w:val="16"/>
          <w:color w:val="auto"/>
        </w:rPr>
        <w:t>reverse repurchase agreements range in maturity from 2 to 9</w:t>
      </w:r>
    </w:p>
    <w:p>
      <w:pPr>
        <w:spacing w:after="0" w:line="203" w:lineRule="auto"/>
        <w:rPr>
          <w:sz w:val="20"/>
          <w:szCs w:val="20"/>
          <w:color w:val="auto"/>
        </w:rPr>
      </w:pPr>
      <w:r>
        <w:rPr>
          <w:rFonts w:ascii="Times New Roman" w:cs="Times New Roman" w:eastAsia="Times New Roman" w:hAnsi="Times New Roman"/>
          <w:sz w:val="16"/>
          <w:szCs w:val="16"/>
          <w:color w:val="auto"/>
        </w:rPr>
        <w:t>days and are secured with highly rated government securities</w:t>
      </w:r>
    </w:p>
    <w:p>
      <w:pPr>
        <w:spacing w:after="0" w:line="204" w:lineRule="auto"/>
        <w:rPr>
          <w:sz w:val="20"/>
          <w:szCs w:val="20"/>
          <w:color w:val="auto"/>
        </w:rPr>
      </w:pPr>
      <w:r>
        <w:rPr>
          <w:rFonts w:ascii="Times New Roman" w:cs="Times New Roman" w:eastAsia="Times New Roman" w:hAnsi="Times New Roman"/>
          <w:sz w:val="16"/>
          <w:szCs w:val="16"/>
          <w:color w:val="auto"/>
        </w:rPr>
        <w:t>and multilateral development banks. The carrying value of</w:t>
      </w:r>
    </w:p>
    <w:p>
      <w:pPr>
        <w:spacing w:after="0" w:line="203" w:lineRule="auto"/>
        <w:rPr>
          <w:sz w:val="20"/>
          <w:szCs w:val="20"/>
          <w:color w:val="auto"/>
        </w:rPr>
      </w:pPr>
      <w:r>
        <w:rPr>
          <w:rFonts w:ascii="Times New Roman" w:cs="Times New Roman" w:eastAsia="Times New Roman" w:hAnsi="Times New Roman"/>
          <w:sz w:val="16"/>
          <w:szCs w:val="16"/>
          <w:color w:val="auto"/>
        </w:rPr>
        <w:t>these securities approximates their fair value due to the short-</w:t>
      </w:r>
    </w:p>
    <w:p>
      <w:pPr>
        <w:spacing w:after="0" w:line="204" w:lineRule="auto"/>
        <w:rPr>
          <w:sz w:val="20"/>
          <w:szCs w:val="20"/>
          <w:color w:val="auto"/>
        </w:rPr>
      </w:pPr>
      <w:r>
        <w:rPr>
          <w:rFonts w:ascii="Times New Roman" w:cs="Times New Roman" w:eastAsia="Times New Roman" w:hAnsi="Times New Roman"/>
          <w:sz w:val="16"/>
          <w:szCs w:val="16"/>
          <w:color w:val="auto"/>
        </w:rPr>
        <w:t>term nature of the instruments and reverse repurchase</w:t>
      </w:r>
    </w:p>
    <w:p>
      <w:pPr>
        <w:spacing w:after="0" w:line="203" w:lineRule="auto"/>
        <w:rPr>
          <w:sz w:val="20"/>
          <w:szCs w:val="20"/>
          <w:color w:val="auto"/>
        </w:rPr>
      </w:pPr>
      <w:r>
        <w:rPr>
          <w:rFonts w:ascii="Times New Roman" w:cs="Times New Roman" w:eastAsia="Times New Roman" w:hAnsi="Times New Roman"/>
          <w:sz w:val="16"/>
          <w:szCs w:val="16"/>
          <w:color w:val="auto"/>
        </w:rPr>
        <w:t>agreements.</w:t>
      </w:r>
    </w:p>
    <w:p>
      <w:pPr>
        <w:spacing w:after="0" w:line="204" w:lineRule="auto"/>
        <w:rPr>
          <w:sz w:val="20"/>
          <w:szCs w:val="20"/>
          <w:color w:val="auto"/>
        </w:rPr>
      </w:pPr>
      <w:r>
        <w:rPr>
          <w:rFonts w:ascii="Times New Roman" w:cs="Times New Roman" w:eastAsia="Times New Roman" w:hAnsi="Times New Roman"/>
          <w:sz w:val="16"/>
          <w:szCs w:val="16"/>
          <w:color w:val="auto"/>
        </w:rPr>
        <w:t>Nasdaq Clearing has invested the total cash contributions of</w:t>
      </w:r>
    </w:p>
    <w:p>
      <w:pPr>
        <w:spacing w:after="0" w:line="204" w:lineRule="auto"/>
        <w:rPr>
          <w:sz w:val="20"/>
          <w:szCs w:val="20"/>
          <w:color w:val="auto"/>
        </w:rPr>
      </w:pPr>
      <w:r>
        <w:rPr>
          <w:rFonts w:ascii="Times New Roman" w:cs="Times New Roman" w:eastAsia="Times New Roman" w:hAnsi="Times New Roman"/>
          <w:sz w:val="16"/>
          <w:szCs w:val="16"/>
          <w:color w:val="auto"/>
        </w:rPr>
        <w:t>$5,842 million as of December 31, 2025 and $5,664 million</w:t>
      </w:r>
    </w:p>
    <w:p>
      <w:pPr>
        <w:spacing w:after="0" w:line="203" w:lineRule="auto"/>
        <w:rPr>
          <w:sz w:val="20"/>
          <w:szCs w:val="20"/>
          <w:color w:val="auto"/>
        </w:rPr>
      </w:pPr>
      <w:r>
        <w:rPr>
          <w:rFonts w:ascii="Times New Roman" w:cs="Times New Roman" w:eastAsia="Times New Roman" w:hAnsi="Times New Roman"/>
          <w:sz w:val="16"/>
          <w:szCs w:val="16"/>
          <w:color w:val="auto"/>
        </w:rPr>
        <w:t>as of December 31, 2024, in accordance with its investment</w:t>
      </w:r>
    </w:p>
    <w:p>
      <w:pPr>
        <w:spacing w:after="0" w:line="228" w:lineRule="auto"/>
        <w:rPr>
          <w:sz w:val="20"/>
          <w:szCs w:val="20"/>
          <w:color w:val="auto"/>
        </w:rPr>
      </w:pPr>
      <w:r>
        <w:rPr>
          <w:rFonts w:ascii="Times New Roman" w:cs="Times New Roman" w:eastAsia="Times New Roman" w:hAnsi="Times New Roman"/>
          <w:sz w:val="16"/>
          <w:szCs w:val="16"/>
          <w:color w:val="auto"/>
        </w:rPr>
        <w:t>policy as follows:</w:t>
      </w:r>
    </w:p>
    <w:tbl>
      <w:tblPr>
        <w:tblLayout w:type="fixed"/>
        <w:tblInd w:w="0" w:type="dxa"/>
        <w:tblCellMar>
          <w:top w:w="0" w:type="dxa"/>
          <w:left w:w="0" w:type="dxa"/>
          <w:bottom w:w="0" w:type="dxa"/>
          <w:right w:w="0" w:type="dxa"/>
        </w:tblCellMar>
      </w:tblPr>
      <w:tr>
        <w:trPr>
          <w:trHeight w:val="142"/>
        </w:trPr>
        <w:tc>
          <w:tcPr>
            <w:tcW w:w="1900" w:type="dxa"/>
            <w:vAlign w:val="bottom"/>
          </w:tcPr>
          <w:p>
            <w:pPr>
              <w:spacing w:after="0"/>
              <w:rPr>
                <w:sz w:val="12"/>
                <w:szCs w:val="12"/>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 w:type="dxa"/>
            <w:vAlign w:val="bottom"/>
          </w:tcPr>
          <w:p>
            <w:pPr>
              <w:spacing w:after="0"/>
              <w:rPr>
                <w:sz w:val="12"/>
                <w:szCs w:val="12"/>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62"/>
        </w:trPr>
        <w:tc>
          <w:tcPr>
            <w:tcW w:w="1900" w:type="dxa"/>
            <w:vAlign w:val="bottom"/>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134"/>
        </w:trPr>
        <w:tc>
          <w:tcPr>
            <w:tcW w:w="190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62"/>
        </w:trPr>
        <w:tc>
          <w:tcPr>
            <w:tcW w:w="1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9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Demand deposits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3,011</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3,616</w:t>
            </w:r>
          </w:p>
        </w:tc>
      </w:tr>
      <w:tr>
        <w:trPr>
          <w:trHeight w:val="192"/>
        </w:trPr>
        <w:tc>
          <w:tcPr>
            <w:tcW w:w="1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Central bank certificates</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767</w:t>
            </w:r>
          </w:p>
        </w:tc>
      </w:tr>
      <w:tr>
        <w:trPr>
          <w:trHeight w:val="136"/>
        </w:trPr>
        <w:tc>
          <w:tcPr>
            <w:tcW w:w="19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Restricted cash and cash</w:t>
            </w:r>
          </w:p>
        </w:tc>
        <w:tc>
          <w:tcPr>
            <w:tcW w:w="3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43"/>
              <w:spacing w:after="0" w:line="136" w:lineRule="exact"/>
              <w:rPr>
                <w:sz w:val="20"/>
                <w:szCs w:val="20"/>
                <w:color w:val="auto"/>
              </w:rPr>
            </w:pPr>
            <w:r>
              <w:rPr>
                <w:rFonts w:ascii="Times New Roman" w:cs="Times New Roman" w:eastAsia="Times New Roman" w:hAnsi="Times New Roman"/>
                <w:sz w:val="14"/>
                <w:szCs w:val="14"/>
                <w:b w:val="1"/>
                <w:bCs w:val="1"/>
                <w:color w:val="auto"/>
              </w:rPr>
              <w:t>3,120</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63"/>
              <w:spacing w:after="0" w:line="136" w:lineRule="exact"/>
              <w:rPr>
                <w:sz w:val="20"/>
                <w:szCs w:val="20"/>
                <w:color w:val="auto"/>
              </w:rPr>
            </w:pPr>
            <w:r>
              <w:rPr>
                <w:rFonts w:ascii="Times New Roman" w:cs="Times New Roman" w:eastAsia="Times New Roman" w:hAnsi="Times New Roman"/>
                <w:sz w:val="14"/>
                <w:szCs w:val="14"/>
                <w:b w:val="1"/>
                <w:bCs w:val="1"/>
                <w:color w:val="auto"/>
              </w:rPr>
              <w:t>4,383</w:t>
            </w: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44"/>
        </w:trPr>
        <w:tc>
          <w:tcPr>
            <w:tcW w:w="190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European government debt</w:t>
            </w:r>
          </w:p>
        </w:tc>
        <w:tc>
          <w:tcPr>
            <w:tcW w:w="320" w:type="dxa"/>
            <w:vAlign w:val="bottom"/>
          </w:tcPr>
          <w:p>
            <w:pPr>
              <w:spacing w:after="0"/>
              <w:rPr>
                <w:sz w:val="12"/>
                <w:szCs w:val="12"/>
                <w:color w:val="auto"/>
              </w:rPr>
            </w:pPr>
          </w:p>
        </w:tc>
        <w:tc>
          <w:tcPr>
            <w:tcW w:w="720" w:type="dxa"/>
            <w:vAlign w:val="bottom"/>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292</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465</w:t>
            </w:r>
          </w:p>
        </w:tc>
      </w:tr>
      <w:tr>
        <w:trPr>
          <w:trHeight w:val="204"/>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45"/>
        </w:trPr>
        <w:tc>
          <w:tcPr>
            <w:tcW w:w="1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Reverse repurchase</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3"/>
              <w:spacing w:after="0" w:line="145" w:lineRule="exact"/>
              <w:rPr>
                <w:sz w:val="20"/>
                <w:szCs w:val="20"/>
                <w:color w:val="auto"/>
              </w:rPr>
            </w:pPr>
            <w:r>
              <w:rPr>
                <w:rFonts w:ascii="Times New Roman" w:cs="Times New Roman" w:eastAsia="Times New Roman" w:hAnsi="Times New Roman"/>
                <w:sz w:val="16"/>
                <w:szCs w:val="16"/>
                <w:color w:val="auto"/>
              </w:rPr>
              <w:t>2,245</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3"/>
              <w:spacing w:after="0" w:line="145" w:lineRule="exact"/>
              <w:rPr>
                <w:sz w:val="20"/>
                <w:szCs w:val="20"/>
                <w:color w:val="auto"/>
              </w:rPr>
            </w:pPr>
            <w:r>
              <w:rPr>
                <w:rFonts w:ascii="Times New Roman" w:cs="Times New Roman" w:eastAsia="Times New Roman" w:hAnsi="Times New Roman"/>
                <w:sz w:val="16"/>
                <w:szCs w:val="16"/>
                <w:color w:val="auto"/>
              </w:rPr>
              <w:t>610</w:t>
            </w:r>
          </w:p>
        </w:tc>
      </w:tr>
      <w:tr>
        <w:trPr>
          <w:trHeight w:val="20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agreements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44"/>
        </w:trPr>
        <w:tc>
          <w:tcPr>
            <w:tcW w:w="190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Multilateral development</w:t>
            </w:r>
          </w:p>
        </w:tc>
        <w:tc>
          <w:tcPr>
            <w:tcW w:w="320" w:type="dxa"/>
            <w:vAlign w:val="bottom"/>
          </w:tcPr>
          <w:p>
            <w:pPr>
              <w:spacing w:after="0"/>
              <w:rPr>
                <w:sz w:val="12"/>
                <w:szCs w:val="12"/>
                <w:color w:val="auto"/>
              </w:rPr>
            </w:pPr>
          </w:p>
        </w:tc>
        <w:tc>
          <w:tcPr>
            <w:tcW w:w="720" w:type="dxa"/>
            <w:vAlign w:val="bottom"/>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185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43"/>
              <w:spacing w:after="0" w:line="144" w:lineRule="exact"/>
              <w:rPr>
                <w:sz w:val="20"/>
                <w:szCs w:val="20"/>
                <w:color w:val="auto"/>
              </w:rPr>
            </w:pPr>
            <w:r>
              <w:rPr>
                <w:rFonts w:ascii="Times New Roman" w:cs="Times New Roman" w:eastAsia="Times New Roman" w:hAnsi="Times New Roman"/>
                <w:sz w:val="16"/>
                <w:szCs w:val="16"/>
                <w:color w:val="auto"/>
              </w:rPr>
              <w:t>206</w:t>
            </w:r>
          </w:p>
        </w:tc>
      </w:tr>
      <w:tr>
        <w:trPr>
          <w:trHeight w:val="204"/>
        </w:trPr>
        <w:tc>
          <w:tcPr>
            <w:tcW w:w="1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bank debt securities</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3"/>
        </w:trPr>
        <w:tc>
          <w:tcPr>
            <w:tcW w:w="19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Investments</w:t>
            </w:r>
          </w:p>
        </w:tc>
        <w:tc>
          <w:tcPr>
            <w:tcW w:w="320" w:type="dxa"/>
            <w:vAlign w:val="bottom"/>
            <w:tcBorders>
              <w:bottom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shd w:val="clear" w:color="auto" w:fill="CCEEFF"/>
          </w:tcPr>
          <w:p>
            <w:pPr>
              <w:jc w:val="right"/>
              <w:ind w:right="43"/>
              <w:spacing w:after="0" w:line="173" w:lineRule="exact"/>
              <w:rPr>
                <w:sz w:val="20"/>
                <w:szCs w:val="20"/>
                <w:color w:val="auto"/>
              </w:rPr>
            </w:pPr>
            <w:r>
              <w:rPr>
                <w:rFonts w:ascii="Times New Roman" w:cs="Times New Roman" w:eastAsia="Times New Roman" w:hAnsi="Times New Roman"/>
                <w:sz w:val="16"/>
                <w:szCs w:val="16"/>
                <w:b w:val="1"/>
                <w:bCs w:val="1"/>
                <w:color w:val="auto"/>
              </w:rPr>
              <w:t>2,722</w:t>
            </w:r>
          </w:p>
        </w:tc>
        <w:tc>
          <w:tcPr>
            <w:tcW w:w="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shd w:val="clear" w:color="auto" w:fill="CCEEFF"/>
          </w:tcPr>
          <w:p>
            <w:pPr>
              <w:jc w:val="right"/>
              <w:ind w:right="63"/>
              <w:spacing w:after="0" w:line="173" w:lineRule="exact"/>
              <w:rPr>
                <w:sz w:val="20"/>
                <w:szCs w:val="20"/>
                <w:color w:val="auto"/>
              </w:rPr>
            </w:pPr>
            <w:r>
              <w:rPr>
                <w:rFonts w:ascii="Times New Roman" w:cs="Times New Roman" w:eastAsia="Times New Roman" w:hAnsi="Times New Roman"/>
                <w:sz w:val="16"/>
                <w:szCs w:val="16"/>
                <w:b w:val="1"/>
                <w:bCs w:val="1"/>
                <w:color w:val="auto"/>
              </w:rPr>
              <w:t>1,281</w:t>
            </w:r>
          </w:p>
        </w:tc>
      </w:tr>
      <w:tr>
        <w:trPr>
          <w:trHeight w:val="172"/>
        </w:trPr>
        <w:tc>
          <w:tcPr>
            <w:tcW w:w="190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Borders>
              <w:bottom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tcPr>
          <w:p>
            <w:pPr>
              <w:jc w:val="right"/>
              <w:ind w:right="43"/>
              <w:spacing w:after="0" w:line="172" w:lineRule="exact"/>
              <w:rPr>
                <w:sz w:val="20"/>
                <w:szCs w:val="20"/>
                <w:color w:val="auto"/>
              </w:rPr>
            </w:pPr>
            <w:r>
              <w:rPr>
                <w:rFonts w:ascii="Times New Roman" w:cs="Times New Roman" w:eastAsia="Times New Roman" w:hAnsi="Times New Roman"/>
                <w:sz w:val="16"/>
                <w:szCs w:val="16"/>
                <w:b w:val="1"/>
                <w:bCs w:val="1"/>
                <w:color w:val="auto"/>
              </w:rPr>
              <w:t>5,842</w:t>
            </w:r>
          </w:p>
        </w:tc>
        <w:tc>
          <w:tcPr>
            <w:tcW w:w="20" w:type="dxa"/>
            <w:vAlign w:val="bottom"/>
          </w:tcPr>
          <w:p>
            <w:pPr>
              <w:spacing w:after="0"/>
              <w:rPr>
                <w:sz w:val="14"/>
                <w:szCs w:val="14"/>
                <w:color w:val="auto"/>
              </w:rPr>
            </w:pPr>
          </w:p>
        </w:tc>
        <w:tc>
          <w:tcPr>
            <w:tcW w:w="320" w:type="dxa"/>
            <w:vAlign w:val="bottom"/>
            <w:tcBorders>
              <w:bottom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tcPr>
          <w:p>
            <w:pPr>
              <w:jc w:val="right"/>
              <w:ind w:right="63"/>
              <w:spacing w:after="0" w:line="172" w:lineRule="exact"/>
              <w:rPr>
                <w:sz w:val="20"/>
                <w:szCs w:val="20"/>
                <w:color w:val="auto"/>
              </w:rPr>
            </w:pPr>
            <w:r>
              <w:rPr>
                <w:rFonts w:ascii="Times New Roman" w:cs="Times New Roman" w:eastAsia="Times New Roman" w:hAnsi="Times New Roman"/>
                <w:sz w:val="16"/>
                <w:szCs w:val="16"/>
                <w:b w:val="1"/>
                <w:bCs w:val="1"/>
                <w:color w:val="auto"/>
              </w:rPr>
              <w:t>5,664</w:t>
            </w:r>
          </w:p>
        </w:tc>
      </w:tr>
    </w:tbl>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table above, the change from December 31, 2024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-101600</wp:posOffset>
            </wp:positionV>
            <wp:extent cx="133413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1334135"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December 31, 2025 includes a favorable impact from</w:t>
      </w:r>
    </w:p>
    <w:p>
      <w:pPr>
        <w:spacing w:after="0" w:line="204" w:lineRule="auto"/>
        <w:rPr>
          <w:sz w:val="20"/>
          <w:szCs w:val="20"/>
          <w:color w:val="auto"/>
        </w:rPr>
      </w:pPr>
      <w:r>
        <w:rPr>
          <w:rFonts w:ascii="Times New Roman" w:cs="Times New Roman" w:eastAsia="Times New Roman" w:hAnsi="Times New Roman"/>
          <w:sz w:val="16"/>
          <w:szCs w:val="16"/>
          <w:color w:val="auto"/>
        </w:rPr>
        <w:t>currency translation adjustments of $701 million for</w:t>
      </w:r>
    </w:p>
    <w:p>
      <w:pPr>
        <w:spacing w:after="0" w:line="203" w:lineRule="auto"/>
        <w:rPr>
          <w:sz w:val="20"/>
          <w:szCs w:val="20"/>
          <w:color w:val="auto"/>
        </w:rPr>
      </w:pPr>
      <w:r>
        <w:rPr>
          <w:rFonts w:ascii="Times New Roman" w:cs="Times New Roman" w:eastAsia="Times New Roman" w:hAnsi="Times New Roman"/>
          <w:sz w:val="16"/>
          <w:szCs w:val="16"/>
          <w:color w:val="auto"/>
        </w:rPr>
        <w:t>restricted cash and cash equivalents and $361 million for</w:t>
      </w:r>
    </w:p>
    <w:p>
      <w:pPr>
        <w:spacing w:after="0" w:line="204" w:lineRule="auto"/>
        <w:rPr>
          <w:sz w:val="20"/>
          <w:szCs w:val="20"/>
          <w:color w:val="auto"/>
        </w:rPr>
      </w:pPr>
      <w:r>
        <w:rPr>
          <w:rFonts w:ascii="Times New Roman" w:cs="Times New Roman" w:eastAsia="Times New Roman" w:hAnsi="Times New Roman"/>
          <w:sz w:val="16"/>
          <w:szCs w:val="16"/>
          <w:color w:val="auto"/>
        </w:rPr>
        <w:t>investments.</w:t>
      </w:r>
    </w:p>
    <w:p>
      <w:pPr>
        <w:spacing w:after="0" w:line="203" w:lineRule="auto"/>
        <w:rPr>
          <w:sz w:val="20"/>
          <w:szCs w:val="20"/>
          <w:color w:val="auto"/>
        </w:rPr>
      </w:pPr>
      <w:r>
        <w:rPr>
          <w:rFonts w:ascii="Times New Roman" w:cs="Times New Roman" w:eastAsia="Times New Roman" w:hAnsi="Times New Roman"/>
          <w:sz w:val="16"/>
          <w:szCs w:val="16"/>
          <w:color w:val="auto"/>
        </w:rPr>
        <w:t>For the years ended December 31, 2025, 2024 and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related to default funds and margin deposits, net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F-35</w:t>
      </w:r>
    </w:p>
    <w:p>
      <w:pPr>
        <w:spacing w:after="0" w:line="203" w:lineRule="auto"/>
        <w:rPr>
          <w:sz w:val="20"/>
          <w:szCs w:val="20"/>
          <w:color w:val="auto"/>
        </w:rPr>
      </w:pPr>
      <w:r>
        <w:rPr>
          <w:rFonts w:ascii="Times New Roman" w:cs="Times New Roman" w:eastAsia="Times New Roman" w:hAnsi="Times New Roman"/>
          <w:sz w:val="16"/>
          <w:szCs w:val="16"/>
          <w:color w:val="auto"/>
        </w:rPr>
        <w:t>highly rated government debt securities, reverse repurchase</w:t>
      </w:r>
    </w:p>
    <w:p>
      <w:pPr>
        <w:spacing w:after="0" w:line="204" w:lineRule="auto"/>
        <w:rPr>
          <w:sz w:val="20"/>
          <w:szCs w:val="20"/>
          <w:color w:val="auto"/>
        </w:rPr>
      </w:pPr>
      <w:r>
        <w:rPr>
          <w:rFonts w:ascii="Times New Roman" w:cs="Times New Roman" w:eastAsia="Times New Roman" w:hAnsi="Times New Roman"/>
          <w:sz w:val="16"/>
          <w:szCs w:val="16"/>
          <w:color w:val="auto"/>
        </w:rPr>
        <w:t>agreements with highly rated government debt securities as</w:t>
      </w:r>
    </w:p>
    <w:p>
      <w:pPr>
        <w:spacing w:after="0" w:line="203" w:lineRule="auto"/>
        <w:rPr>
          <w:sz w:val="20"/>
          <w:szCs w:val="20"/>
          <w:color w:val="auto"/>
        </w:rPr>
      </w:pPr>
      <w:r>
        <w:rPr>
          <w:rFonts w:ascii="Times New Roman" w:cs="Times New Roman" w:eastAsia="Times New Roman" w:hAnsi="Times New Roman"/>
          <w:sz w:val="16"/>
          <w:szCs w:val="16"/>
          <w:color w:val="auto"/>
        </w:rPr>
        <w:t>collateral, or multilateral development bank debt securities.</w:t>
      </w:r>
    </w:p>
    <w:p>
      <w:pPr>
        <w:spacing w:after="0" w:line="204" w:lineRule="auto"/>
        <w:rPr>
          <w:sz w:val="20"/>
          <w:szCs w:val="20"/>
          <w:color w:val="auto"/>
        </w:rPr>
      </w:pPr>
      <w:r>
        <w:rPr>
          <w:rFonts w:ascii="Times New Roman" w:cs="Times New Roman" w:eastAsia="Times New Roman" w:hAnsi="Times New Roman"/>
          <w:sz w:val="16"/>
          <w:szCs w:val="16"/>
          <w:color w:val="auto"/>
        </w:rPr>
        <w:t>Nasdaq Clearing maintains and manages all cash deposits</w:t>
      </w:r>
    </w:p>
    <w:p>
      <w:pPr>
        <w:spacing w:after="0"/>
        <w:rPr>
          <w:sz w:val="20"/>
          <w:szCs w:val="20"/>
          <w:color w:val="auto"/>
        </w:rPr>
      </w:pPr>
      <w:r>
        <w:rPr>
          <w:rFonts w:ascii="Times New Roman" w:cs="Times New Roman" w:eastAsia="Times New Roman" w:hAnsi="Times New Roman"/>
          <w:sz w:val="16"/>
          <w:szCs w:val="16"/>
          <w:color w:val="auto"/>
        </w:rPr>
        <w:t>related to margin collateral. All risks and rewards of</w:t>
      </w:r>
    </w:p>
    <w:p>
      <w:pPr>
        <w:sectPr>
          <w:pgSz w:w="11900" w:h="16840" w:orient="portrait"/>
          <w:cols w:equalWidth="0" w:num="1">
            <w:col w:w="9400"/>
          </w:cols>
          <w:pgMar w:left="1060" w:top="547" w:right="1440" w:bottom="1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collateral ownership, including interest, belong to Nasdaq</w:t>
      </w:r>
    </w:p>
    <w:p>
      <w:pPr>
        <w:spacing w:after="0" w:line="232" w:lineRule="auto"/>
        <w:rPr>
          <w:sz w:val="20"/>
          <w:szCs w:val="20"/>
          <w:color w:val="auto"/>
        </w:rPr>
      </w:pPr>
      <w:r>
        <w:rPr>
          <w:rFonts w:ascii="Times New Roman" w:cs="Times New Roman" w:eastAsia="Times New Roman" w:hAnsi="Times New Roman"/>
          <w:sz w:val="14"/>
          <w:szCs w:val="14"/>
          <w:color w:val="auto"/>
        </w:rPr>
        <w:t>Clearing. Clearing members’ cash contributions are included</w:t>
      </w:r>
    </w:p>
    <w:p>
      <w:pPr>
        <w:spacing w:after="0" w:line="204" w:lineRule="auto"/>
        <w:rPr>
          <w:sz w:val="20"/>
          <w:szCs w:val="20"/>
          <w:color w:val="auto"/>
        </w:rPr>
      </w:pPr>
      <w:r>
        <w:rPr>
          <w:rFonts w:ascii="Times New Roman" w:cs="Times New Roman" w:eastAsia="Times New Roman" w:hAnsi="Times New Roman"/>
          <w:sz w:val="16"/>
          <w:szCs w:val="16"/>
          <w:color w:val="auto"/>
        </w:rPr>
        <w:t>in default funds and margin deposits in the Consolidated</w:t>
      </w:r>
    </w:p>
    <w:p>
      <w:pPr>
        <w:spacing w:after="0" w:line="232" w:lineRule="auto"/>
        <w:rPr>
          <w:sz w:val="20"/>
          <w:szCs w:val="20"/>
          <w:color w:val="auto"/>
        </w:rPr>
      </w:pPr>
      <w:r>
        <w:rPr>
          <w:rFonts w:ascii="Times New Roman" w:cs="Times New Roman" w:eastAsia="Times New Roman" w:hAnsi="Times New Roman"/>
          <w:sz w:val="14"/>
          <w:szCs w:val="14"/>
          <w:color w:val="auto"/>
        </w:rPr>
        <w:t>Balance Sheets as both a current asset and a current liability.</w:t>
      </w:r>
    </w:p>
    <w:p>
      <w:pPr>
        <w:spacing w:after="0" w:line="233" w:lineRule="auto"/>
        <w:rPr>
          <w:sz w:val="20"/>
          <w:szCs w:val="20"/>
          <w:color w:val="auto"/>
        </w:rPr>
      </w:pPr>
      <w:r>
        <w:rPr>
          <w:rFonts w:ascii="Times New Roman" w:cs="Times New Roman" w:eastAsia="Times New Roman" w:hAnsi="Times New Roman"/>
          <w:sz w:val="14"/>
          <w:szCs w:val="14"/>
          <w:color w:val="auto"/>
        </w:rPr>
        <w:t>Non-cash contributions include highly rated government debt</w:t>
      </w:r>
    </w:p>
    <w:p>
      <w:pPr>
        <w:spacing w:after="0" w:line="203" w:lineRule="auto"/>
        <w:rPr>
          <w:sz w:val="20"/>
          <w:szCs w:val="20"/>
          <w:color w:val="auto"/>
        </w:rPr>
      </w:pPr>
      <w:r>
        <w:rPr>
          <w:rFonts w:ascii="Times New Roman" w:cs="Times New Roman" w:eastAsia="Times New Roman" w:hAnsi="Times New Roman"/>
          <w:sz w:val="16"/>
          <w:szCs w:val="16"/>
          <w:color w:val="auto"/>
        </w:rPr>
        <w:t>securities that must meet specific criteria approved by</w:t>
      </w:r>
    </w:p>
    <w:p>
      <w:pPr>
        <w:spacing w:after="0" w:line="233" w:lineRule="auto"/>
        <w:rPr>
          <w:sz w:val="20"/>
          <w:szCs w:val="20"/>
          <w:color w:val="auto"/>
        </w:rPr>
      </w:pPr>
      <w:r>
        <w:rPr>
          <w:rFonts w:ascii="Times New Roman" w:cs="Times New Roman" w:eastAsia="Times New Roman" w:hAnsi="Times New Roman"/>
          <w:sz w:val="14"/>
          <w:szCs w:val="14"/>
          <w:color w:val="auto"/>
        </w:rPr>
        <w:t>Nasdaq Clearing. Non-cash contributions are pledged assets</w:t>
      </w:r>
    </w:p>
    <w:p>
      <w:pPr>
        <w:spacing w:after="0" w:line="204" w:lineRule="auto"/>
        <w:rPr>
          <w:sz w:val="20"/>
          <w:szCs w:val="20"/>
          <w:color w:val="auto"/>
        </w:rPr>
      </w:pPr>
      <w:r>
        <w:rPr>
          <w:rFonts w:ascii="Times New Roman" w:cs="Times New Roman" w:eastAsia="Times New Roman" w:hAnsi="Times New Roman"/>
          <w:sz w:val="16"/>
          <w:szCs w:val="16"/>
          <w:color w:val="auto"/>
        </w:rPr>
        <w:t>that are not recorded in the Consolidated Balance Sheets as</w:t>
      </w:r>
    </w:p>
    <w:p>
      <w:pPr>
        <w:spacing w:after="0" w:line="203" w:lineRule="auto"/>
        <w:rPr>
          <w:sz w:val="20"/>
          <w:szCs w:val="20"/>
          <w:color w:val="auto"/>
        </w:rPr>
      </w:pPr>
      <w:r>
        <w:rPr>
          <w:rFonts w:ascii="Times New Roman" w:cs="Times New Roman" w:eastAsia="Times New Roman" w:hAnsi="Times New Roman"/>
          <w:sz w:val="16"/>
          <w:szCs w:val="16"/>
          <w:color w:val="auto"/>
        </w:rPr>
        <w:t>Nasdaq Clearing does not take legal ownership of these</w:t>
      </w:r>
    </w:p>
    <w:p>
      <w:pPr>
        <w:spacing w:after="0" w:line="204" w:lineRule="auto"/>
        <w:rPr>
          <w:sz w:val="20"/>
          <w:szCs w:val="20"/>
          <w:color w:val="auto"/>
        </w:rPr>
      </w:pPr>
      <w:r>
        <w:rPr>
          <w:rFonts w:ascii="Times New Roman" w:cs="Times New Roman" w:eastAsia="Times New Roman" w:hAnsi="Times New Roman"/>
          <w:sz w:val="16"/>
          <w:szCs w:val="16"/>
          <w:color w:val="auto"/>
        </w:rPr>
        <w:t>assets and the risks and rewards remain with the clearing</w:t>
      </w:r>
    </w:p>
    <w:p>
      <w:pPr>
        <w:spacing w:after="0" w:line="203" w:lineRule="auto"/>
        <w:rPr>
          <w:sz w:val="20"/>
          <w:szCs w:val="20"/>
          <w:color w:val="auto"/>
        </w:rPr>
      </w:pPr>
      <w:r>
        <w:rPr>
          <w:rFonts w:ascii="Times New Roman" w:cs="Times New Roman" w:eastAsia="Times New Roman" w:hAnsi="Times New Roman"/>
          <w:sz w:val="16"/>
          <w:szCs w:val="16"/>
          <w:color w:val="auto"/>
        </w:rPr>
        <w:t>members. These balances may fluctuate over time due to</w:t>
      </w:r>
    </w:p>
    <w:p>
      <w:pPr>
        <w:spacing w:after="0" w:line="204" w:lineRule="auto"/>
        <w:rPr>
          <w:sz w:val="20"/>
          <w:szCs w:val="20"/>
          <w:color w:val="auto"/>
        </w:rPr>
      </w:pPr>
      <w:r>
        <w:rPr>
          <w:rFonts w:ascii="Times New Roman" w:cs="Times New Roman" w:eastAsia="Times New Roman" w:hAnsi="Times New Roman"/>
          <w:sz w:val="16"/>
          <w:szCs w:val="16"/>
          <w:color w:val="auto"/>
        </w:rPr>
        <w:t>changes in the amount of deposits required and whether</w:t>
      </w:r>
    </w:p>
    <w:p>
      <w:pPr>
        <w:spacing w:after="0" w:line="203" w:lineRule="auto"/>
        <w:rPr>
          <w:sz w:val="20"/>
          <w:szCs w:val="20"/>
          <w:color w:val="auto"/>
        </w:rPr>
      </w:pPr>
      <w:r>
        <w:rPr>
          <w:rFonts w:ascii="Times New Roman" w:cs="Times New Roman" w:eastAsia="Times New Roman" w:hAnsi="Times New Roman"/>
          <w:sz w:val="16"/>
          <w:szCs w:val="16"/>
          <w:color w:val="auto"/>
        </w:rPr>
        <w:t>members choose to provide cash or non-cash contributions.</w:t>
      </w:r>
    </w:p>
    <w:p>
      <w:pPr>
        <w:spacing w:after="0" w:line="233" w:lineRule="auto"/>
        <w:rPr>
          <w:sz w:val="20"/>
          <w:szCs w:val="20"/>
          <w:color w:val="auto"/>
        </w:rPr>
      </w:pPr>
      <w:r>
        <w:rPr>
          <w:rFonts w:ascii="Times New Roman" w:cs="Times New Roman" w:eastAsia="Times New Roman" w:hAnsi="Times New Roman"/>
          <w:sz w:val="14"/>
          <w:szCs w:val="14"/>
          <w:color w:val="auto"/>
        </w:rPr>
        <w:t>In addition to clearing members’ required contributions to the</w:t>
      </w:r>
    </w:p>
    <w:p>
      <w:pPr>
        <w:spacing w:after="0" w:line="204" w:lineRule="auto"/>
        <w:rPr>
          <w:sz w:val="20"/>
          <w:szCs w:val="20"/>
          <w:color w:val="auto"/>
        </w:rPr>
      </w:pPr>
      <w:r>
        <w:rPr>
          <w:rFonts w:ascii="Times New Roman" w:cs="Times New Roman" w:eastAsia="Times New Roman" w:hAnsi="Times New Roman"/>
          <w:sz w:val="16"/>
          <w:szCs w:val="16"/>
          <w:color w:val="auto"/>
        </w:rPr>
        <w:t>liability waterfall, Nasdaq Clearing is also required to</w:t>
      </w:r>
    </w:p>
    <w:p>
      <w:pPr>
        <w:spacing w:after="0" w:line="203" w:lineRule="auto"/>
        <w:rPr>
          <w:sz w:val="20"/>
          <w:szCs w:val="20"/>
          <w:color w:val="auto"/>
        </w:rPr>
      </w:pPr>
      <w:r>
        <w:rPr>
          <w:rFonts w:ascii="Times New Roman" w:cs="Times New Roman" w:eastAsia="Times New Roman" w:hAnsi="Times New Roman"/>
          <w:sz w:val="16"/>
          <w:szCs w:val="16"/>
          <w:color w:val="auto"/>
        </w:rPr>
        <w:t>contribute capital to the liability waterfall and overall</w:t>
      </w:r>
    </w:p>
    <w:p>
      <w:pPr>
        <w:spacing w:after="0" w:line="204" w:lineRule="auto"/>
        <w:rPr>
          <w:sz w:val="20"/>
          <w:szCs w:val="20"/>
          <w:color w:val="auto"/>
        </w:rPr>
      </w:pPr>
      <w:r>
        <w:rPr>
          <w:rFonts w:ascii="Times New Roman" w:cs="Times New Roman" w:eastAsia="Times New Roman" w:hAnsi="Times New Roman"/>
          <w:sz w:val="16"/>
          <w:szCs w:val="16"/>
          <w:color w:val="auto"/>
        </w:rPr>
        <w:t>regulatory capital as specified under its clearinghouse rules.</w:t>
      </w:r>
    </w:p>
    <w:p>
      <w:pPr>
        <w:spacing w:after="0" w:line="203" w:lineRule="auto"/>
        <w:rPr>
          <w:sz w:val="20"/>
          <w:szCs w:val="20"/>
          <w:color w:val="auto"/>
        </w:rPr>
      </w:pPr>
      <w:r>
        <w:rPr>
          <w:rFonts w:ascii="Times New Roman" w:cs="Times New Roman" w:eastAsia="Times New Roman" w:hAnsi="Times New Roman"/>
          <w:sz w:val="16"/>
          <w:szCs w:val="16"/>
          <w:color w:val="auto"/>
        </w:rPr>
        <w:t>As of December 31, 2025, Nasdaq Clearing committed</w:t>
      </w:r>
    </w:p>
    <w:p>
      <w:pPr>
        <w:spacing w:after="0" w:line="204" w:lineRule="auto"/>
        <w:rPr>
          <w:sz w:val="20"/>
          <w:szCs w:val="20"/>
          <w:color w:val="auto"/>
        </w:rPr>
      </w:pPr>
      <w:r>
        <w:rPr>
          <w:rFonts w:ascii="Times New Roman" w:cs="Times New Roman" w:eastAsia="Times New Roman" w:hAnsi="Times New Roman"/>
          <w:sz w:val="16"/>
          <w:szCs w:val="16"/>
          <w:color w:val="auto"/>
        </w:rPr>
        <w:t>capital totaling $158 million to the liability waterfall and</w:t>
      </w:r>
    </w:p>
    <w:p>
      <w:pPr>
        <w:spacing w:after="0" w:line="203" w:lineRule="auto"/>
        <w:rPr>
          <w:sz w:val="20"/>
          <w:szCs w:val="20"/>
          <w:color w:val="auto"/>
        </w:rPr>
      </w:pPr>
      <w:r>
        <w:rPr>
          <w:rFonts w:ascii="Times New Roman" w:cs="Times New Roman" w:eastAsia="Times New Roman" w:hAnsi="Times New Roman"/>
          <w:sz w:val="16"/>
          <w:szCs w:val="16"/>
          <w:color w:val="auto"/>
        </w:rPr>
        <w:t>overall regulatory capital, in the form of government debt</w:t>
      </w:r>
    </w:p>
    <w:p>
      <w:pPr>
        <w:spacing w:after="0" w:line="204" w:lineRule="auto"/>
        <w:rPr>
          <w:sz w:val="20"/>
          <w:szCs w:val="20"/>
          <w:color w:val="auto"/>
        </w:rPr>
      </w:pPr>
      <w:r>
        <w:rPr>
          <w:rFonts w:ascii="Times New Roman" w:cs="Times New Roman" w:eastAsia="Times New Roman" w:hAnsi="Times New Roman"/>
          <w:sz w:val="16"/>
          <w:szCs w:val="16"/>
          <w:color w:val="auto"/>
        </w:rPr>
        <w:t>securities, which are recorded as restricted cash equivalents</w:t>
      </w:r>
    </w:p>
    <w:p>
      <w:pPr>
        <w:spacing w:after="0" w:line="233" w:lineRule="auto"/>
        <w:rPr>
          <w:sz w:val="20"/>
          <w:szCs w:val="20"/>
          <w:color w:val="auto"/>
        </w:rPr>
      </w:pPr>
      <w:r>
        <w:rPr>
          <w:rFonts w:ascii="Times New Roman" w:cs="Times New Roman" w:eastAsia="Times New Roman" w:hAnsi="Times New Roman"/>
          <w:sz w:val="14"/>
          <w:szCs w:val="14"/>
          <w:color w:val="auto"/>
        </w:rPr>
        <w:t>in the Consolidated Balance Sheets. The combined regulatory</w:t>
      </w:r>
    </w:p>
    <w:p>
      <w:pPr>
        <w:spacing w:after="0" w:line="203" w:lineRule="auto"/>
        <w:rPr>
          <w:sz w:val="20"/>
          <w:szCs w:val="20"/>
          <w:color w:val="auto"/>
        </w:rPr>
      </w:pPr>
      <w:r>
        <w:rPr>
          <w:rFonts w:ascii="Times New Roman" w:cs="Times New Roman" w:eastAsia="Times New Roman" w:hAnsi="Times New Roman"/>
          <w:sz w:val="16"/>
          <w:szCs w:val="16"/>
          <w:color w:val="auto"/>
        </w:rPr>
        <w:t>capital of the clearing members and Nasdaq Clearing is</w:t>
      </w:r>
    </w:p>
    <w:p>
      <w:pPr>
        <w:spacing w:after="0" w:line="204" w:lineRule="auto"/>
        <w:rPr>
          <w:sz w:val="20"/>
          <w:szCs w:val="20"/>
          <w:color w:val="auto"/>
        </w:rPr>
      </w:pPr>
      <w:r>
        <w:rPr>
          <w:rFonts w:ascii="Times New Roman" w:cs="Times New Roman" w:eastAsia="Times New Roman" w:hAnsi="Times New Roman"/>
          <w:sz w:val="16"/>
          <w:szCs w:val="16"/>
          <w:color w:val="auto"/>
        </w:rPr>
        <w:t>intended to secure the obligations of a clearing member</w:t>
      </w:r>
    </w:p>
    <w:p>
      <w:pPr>
        <w:spacing w:after="0" w:line="203" w:lineRule="auto"/>
        <w:rPr>
          <w:sz w:val="20"/>
          <w:szCs w:val="20"/>
          <w:color w:val="auto"/>
        </w:rPr>
      </w:pPr>
      <w:r>
        <w:rPr>
          <w:rFonts w:ascii="Times New Roman" w:cs="Times New Roman" w:eastAsia="Times New Roman" w:hAnsi="Times New Roman"/>
          <w:sz w:val="16"/>
          <w:szCs w:val="16"/>
          <w:color w:val="auto"/>
        </w:rPr>
        <w:t>exceeding such member’s own margin and default fund</w:t>
      </w:r>
    </w:p>
    <w:p>
      <w:pPr>
        <w:spacing w:after="0" w:line="204" w:lineRule="auto"/>
        <w:rPr>
          <w:sz w:val="20"/>
          <w:szCs w:val="20"/>
          <w:color w:val="auto"/>
        </w:rPr>
      </w:pPr>
      <w:r>
        <w:rPr>
          <w:rFonts w:ascii="Times New Roman" w:cs="Times New Roman" w:eastAsia="Times New Roman" w:hAnsi="Times New Roman"/>
          <w:sz w:val="16"/>
          <w:szCs w:val="16"/>
          <w:color w:val="auto"/>
        </w:rPr>
        <w:t>deposits and may be used to cover losses sustained by a</w:t>
      </w:r>
    </w:p>
    <w:p>
      <w:pPr>
        <w:spacing w:after="0" w:line="203" w:lineRule="auto"/>
        <w:rPr>
          <w:sz w:val="20"/>
          <w:szCs w:val="20"/>
          <w:color w:val="auto"/>
        </w:rPr>
      </w:pPr>
      <w:r>
        <w:rPr>
          <w:rFonts w:ascii="Times New Roman" w:cs="Times New Roman" w:eastAsia="Times New Roman" w:hAnsi="Times New Roman"/>
          <w:sz w:val="16"/>
          <w:szCs w:val="16"/>
          <w:color w:val="auto"/>
        </w:rPr>
        <w:t>clearing member in the event of a default.</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Margin Deposits</w:t>
      </w:r>
    </w:p>
    <w:p>
      <w:pPr>
        <w:spacing w:after="0" w:line="203" w:lineRule="auto"/>
        <w:rPr>
          <w:sz w:val="20"/>
          <w:szCs w:val="20"/>
          <w:color w:val="auto"/>
        </w:rPr>
      </w:pPr>
      <w:r>
        <w:rPr>
          <w:rFonts w:ascii="Times New Roman" w:cs="Times New Roman" w:eastAsia="Times New Roman" w:hAnsi="Times New Roman"/>
          <w:sz w:val="16"/>
          <w:szCs w:val="16"/>
          <w:color w:val="auto"/>
        </w:rPr>
        <w:t>Nasdaq Clearing requires all clearing members to provide</w:t>
      </w:r>
    </w:p>
    <w:p>
      <w:pPr>
        <w:spacing w:after="0" w:line="204" w:lineRule="auto"/>
        <w:rPr>
          <w:sz w:val="20"/>
          <w:szCs w:val="20"/>
          <w:color w:val="auto"/>
        </w:rPr>
      </w:pPr>
      <w:r>
        <w:rPr>
          <w:rFonts w:ascii="Times New Roman" w:cs="Times New Roman" w:eastAsia="Times New Roman" w:hAnsi="Times New Roman"/>
          <w:sz w:val="16"/>
          <w:szCs w:val="16"/>
          <w:color w:val="auto"/>
        </w:rPr>
        <w:t>collateral, which may consist of cash and non-cash</w:t>
      </w:r>
    </w:p>
    <w:p>
      <w:pPr>
        <w:spacing w:after="0" w:line="204" w:lineRule="auto"/>
        <w:rPr>
          <w:sz w:val="20"/>
          <w:szCs w:val="20"/>
          <w:color w:val="auto"/>
        </w:rPr>
      </w:pPr>
      <w:r>
        <w:rPr>
          <w:rFonts w:ascii="Times New Roman" w:cs="Times New Roman" w:eastAsia="Times New Roman" w:hAnsi="Times New Roman"/>
          <w:sz w:val="16"/>
          <w:szCs w:val="16"/>
          <w:color w:val="auto"/>
        </w:rPr>
        <w:t>contributions, to guarantee performance on the clearing</w:t>
      </w:r>
    </w:p>
    <w:p>
      <w:pPr>
        <w:spacing w:after="0" w:line="203" w:lineRule="auto"/>
        <w:rPr>
          <w:sz w:val="20"/>
          <w:szCs w:val="20"/>
          <w:color w:val="auto"/>
        </w:rPr>
      </w:pPr>
      <w:r>
        <w:rPr>
          <w:rFonts w:ascii="Times New Roman" w:cs="Times New Roman" w:eastAsia="Times New Roman" w:hAnsi="Times New Roman"/>
          <w:sz w:val="16"/>
          <w:szCs w:val="16"/>
          <w:color w:val="auto"/>
        </w:rPr>
        <w:t>members’ open positions, or initial margin. In addition,</w:t>
      </w:r>
    </w:p>
    <w:p>
      <w:pPr>
        <w:spacing w:after="0" w:line="204" w:lineRule="auto"/>
        <w:rPr>
          <w:sz w:val="20"/>
          <w:szCs w:val="20"/>
          <w:color w:val="auto"/>
        </w:rPr>
      </w:pPr>
      <w:r>
        <w:rPr>
          <w:rFonts w:ascii="Times New Roman" w:cs="Times New Roman" w:eastAsia="Times New Roman" w:hAnsi="Times New Roman"/>
          <w:sz w:val="16"/>
          <w:szCs w:val="16"/>
          <w:color w:val="auto"/>
        </w:rPr>
        <w:t>clearing members must also provide collateral to cover the</w:t>
      </w:r>
    </w:p>
    <w:p>
      <w:pPr>
        <w:spacing w:after="0" w:line="203" w:lineRule="auto"/>
        <w:rPr>
          <w:sz w:val="20"/>
          <w:szCs w:val="20"/>
          <w:color w:val="auto"/>
        </w:rPr>
      </w:pPr>
      <w:r>
        <w:rPr>
          <w:rFonts w:ascii="Times New Roman" w:cs="Times New Roman" w:eastAsia="Times New Roman" w:hAnsi="Times New Roman"/>
          <w:sz w:val="16"/>
          <w:szCs w:val="16"/>
          <w:color w:val="auto"/>
        </w:rPr>
        <w:t>daily margin call if needed. See “Default Fund</w:t>
      </w:r>
    </w:p>
    <w:p>
      <w:pPr>
        <w:spacing w:after="0" w:line="233" w:lineRule="auto"/>
        <w:rPr>
          <w:sz w:val="20"/>
          <w:szCs w:val="20"/>
          <w:color w:val="auto"/>
        </w:rPr>
      </w:pPr>
      <w:r>
        <w:rPr>
          <w:rFonts w:ascii="Times New Roman" w:cs="Times New Roman" w:eastAsia="Times New Roman" w:hAnsi="Times New Roman"/>
          <w:sz w:val="14"/>
          <w:szCs w:val="14"/>
          <w:color w:val="auto"/>
        </w:rPr>
        <w:t>Contributions” above for further discussion of cash and non-</w:t>
      </w:r>
    </w:p>
    <w:p>
      <w:pPr>
        <w:spacing w:after="0" w:line="203" w:lineRule="auto"/>
        <w:rPr>
          <w:sz w:val="20"/>
          <w:szCs w:val="20"/>
          <w:color w:val="auto"/>
        </w:rPr>
      </w:pPr>
      <w:r>
        <w:rPr>
          <w:rFonts w:ascii="Times New Roman" w:cs="Times New Roman" w:eastAsia="Times New Roman" w:hAnsi="Times New Roman"/>
          <w:sz w:val="16"/>
          <w:szCs w:val="16"/>
          <w:color w:val="auto"/>
        </w:rPr>
        <w:t>cash contributions.</w:t>
      </w:r>
    </w:p>
    <w:p>
      <w:pPr>
        <w:spacing w:after="0" w:line="204" w:lineRule="auto"/>
        <w:rPr>
          <w:sz w:val="20"/>
          <w:szCs w:val="20"/>
          <w:color w:val="auto"/>
        </w:rPr>
      </w:pPr>
      <w:r>
        <w:rPr>
          <w:rFonts w:ascii="Times New Roman" w:cs="Times New Roman" w:eastAsia="Times New Roman" w:hAnsi="Times New Roman"/>
          <w:sz w:val="16"/>
          <w:szCs w:val="16"/>
          <w:color w:val="auto"/>
        </w:rPr>
        <w:t>Similar to default fund contributions, Nasdaq Clearing</w:t>
      </w:r>
    </w:p>
    <w:p>
      <w:pPr>
        <w:spacing w:after="0" w:line="204" w:lineRule="auto"/>
        <w:rPr>
          <w:sz w:val="20"/>
          <w:szCs w:val="20"/>
          <w:color w:val="auto"/>
        </w:rPr>
      </w:pPr>
      <w:r>
        <w:rPr>
          <w:rFonts w:ascii="Times New Roman" w:cs="Times New Roman" w:eastAsia="Times New Roman" w:hAnsi="Times New Roman"/>
          <w:sz w:val="16"/>
          <w:szCs w:val="16"/>
          <w:color w:val="auto"/>
        </w:rPr>
        <w:t>maintains and manages all cash deposits related to margin</w:t>
      </w:r>
    </w:p>
    <w:p>
      <w:pPr>
        <w:spacing w:after="0" w:line="203" w:lineRule="auto"/>
        <w:rPr>
          <w:sz w:val="20"/>
          <w:szCs w:val="20"/>
          <w:color w:val="auto"/>
        </w:rPr>
      </w:pPr>
      <w:r>
        <w:rPr>
          <w:rFonts w:ascii="Times New Roman" w:cs="Times New Roman" w:eastAsia="Times New Roman" w:hAnsi="Times New Roman"/>
          <w:sz w:val="16"/>
          <w:szCs w:val="16"/>
          <w:color w:val="auto"/>
        </w:rPr>
        <w:t>collateral. All risks and rewards of collateral ownership,</w:t>
      </w:r>
    </w:p>
    <w:p>
      <w:pPr>
        <w:spacing w:after="0" w:line="204" w:lineRule="auto"/>
        <w:rPr>
          <w:sz w:val="20"/>
          <w:szCs w:val="20"/>
          <w:color w:val="auto"/>
        </w:rPr>
      </w:pPr>
      <w:r>
        <w:rPr>
          <w:rFonts w:ascii="Times New Roman" w:cs="Times New Roman" w:eastAsia="Times New Roman" w:hAnsi="Times New Roman"/>
          <w:sz w:val="16"/>
          <w:szCs w:val="16"/>
          <w:color w:val="auto"/>
        </w:rPr>
        <w:t>including interest, belong to Nasdaq Clearing and are</w:t>
      </w:r>
    </w:p>
    <w:p>
      <w:pPr>
        <w:spacing w:after="0" w:line="203" w:lineRule="auto"/>
        <w:rPr>
          <w:sz w:val="20"/>
          <w:szCs w:val="20"/>
          <w:color w:val="auto"/>
        </w:rPr>
      </w:pPr>
      <w:r>
        <w:rPr>
          <w:rFonts w:ascii="Times New Roman" w:cs="Times New Roman" w:eastAsia="Times New Roman" w:hAnsi="Times New Roman"/>
          <w:sz w:val="16"/>
          <w:szCs w:val="16"/>
          <w:color w:val="auto"/>
        </w:rPr>
        <w:t>recorded in revenues. These cash deposits are recorded in</w:t>
      </w:r>
    </w:p>
    <w:p>
      <w:pPr>
        <w:spacing w:after="0" w:line="204" w:lineRule="auto"/>
        <w:rPr>
          <w:sz w:val="20"/>
          <w:szCs w:val="20"/>
          <w:color w:val="auto"/>
        </w:rPr>
      </w:pPr>
      <w:r>
        <w:rPr>
          <w:rFonts w:ascii="Times New Roman" w:cs="Times New Roman" w:eastAsia="Times New Roman" w:hAnsi="Times New Roman"/>
          <w:sz w:val="16"/>
          <w:szCs w:val="16"/>
          <w:color w:val="auto"/>
        </w:rPr>
        <w:t>default funds and margin deposits in the Consolidated</w:t>
      </w:r>
    </w:p>
    <w:p>
      <w:pPr>
        <w:spacing w:after="0" w:line="232" w:lineRule="auto"/>
        <w:rPr>
          <w:sz w:val="20"/>
          <w:szCs w:val="20"/>
          <w:color w:val="auto"/>
        </w:rPr>
      </w:pPr>
      <w:r>
        <w:rPr>
          <w:rFonts w:ascii="Times New Roman" w:cs="Times New Roman" w:eastAsia="Times New Roman" w:hAnsi="Times New Roman"/>
          <w:sz w:val="14"/>
          <w:szCs w:val="14"/>
          <w:color w:val="auto"/>
        </w:rPr>
        <w:t>Balance Sheets as both a current asset and a current liability.</w:t>
      </w:r>
    </w:p>
    <w:p>
      <w:pPr>
        <w:spacing w:after="0" w:line="233" w:lineRule="auto"/>
        <w:rPr>
          <w:sz w:val="20"/>
          <w:szCs w:val="20"/>
          <w:color w:val="auto"/>
        </w:rPr>
      </w:pPr>
      <w:r>
        <w:rPr>
          <w:rFonts w:ascii="Times New Roman" w:cs="Times New Roman" w:eastAsia="Times New Roman" w:hAnsi="Times New Roman"/>
          <w:sz w:val="14"/>
          <w:szCs w:val="14"/>
          <w:color w:val="auto"/>
        </w:rPr>
        <w:t>Pledged margin collateral is not recorded in the Consolidated</w:t>
      </w:r>
    </w:p>
    <w:p>
      <w:pPr>
        <w:spacing w:after="0" w:line="204" w:lineRule="auto"/>
        <w:rPr>
          <w:sz w:val="20"/>
          <w:szCs w:val="20"/>
          <w:color w:val="auto"/>
        </w:rPr>
      </w:pPr>
      <w:r>
        <w:rPr>
          <w:rFonts w:ascii="Times New Roman" w:cs="Times New Roman" w:eastAsia="Times New Roman" w:hAnsi="Times New Roman"/>
          <w:sz w:val="16"/>
          <w:szCs w:val="16"/>
          <w:color w:val="auto"/>
        </w:rPr>
        <w:t>Balance Sheets as all risks and rewards of collateral</w:t>
      </w:r>
    </w:p>
    <w:p>
      <w:pPr>
        <w:spacing w:after="0" w:line="203" w:lineRule="auto"/>
        <w:rPr>
          <w:sz w:val="20"/>
          <w:szCs w:val="20"/>
          <w:color w:val="auto"/>
        </w:rPr>
      </w:pPr>
      <w:r>
        <w:rPr>
          <w:rFonts w:ascii="Times New Roman" w:cs="Times New Roman" w:eastAsia="Times New Roman" w:hAnsi="Times New Roman"/>
          <w:sz w:val="16"/>
          <w:szCs w:val="16"/>
          <w:color w:val="auto"/>
        </w:rPr>
        <w:t>ownership, including interest, belong to the counterparty.</w:t>
      </w:r>
    </w:p>
    <w:p>
      <w:pPr>
        <w:spacing w:after="0" w:line="204" w:lineRule="auto"/>
        <w:rPr>
          <w:sz w:val="20"/>
          <w:szCs w:val="20"/>
          <w:color w:val="auto"/>
        </w:rPr>
      </w:pPr>
      <w:r>
        <w:rPr>
          <w:rFonts w:ascii="Times New Roman" w:cs="Times New Roman" w:eastAsia="Times New Roman" w:hAnsi="Times New Roman"/>
          <w:sz w:val="16"/>
          <w:szCs w:val="16"/>
          <w:color w:val="auto"/>
        </w:rPr>
        <w:t>Nasdaq Clearing marks to market all outstanding contracts</w:t>
      </w:r>
    </w:p>
    <w:p>
      <w:pPr>
        <w:spacing w:after="0" w:line="203" w:lineRule="auto"/>
        <w:rPr>
          <w:sz w:val="20"/>
          <w:szCs w:val="20"/>
          <w:color w:val="auto"/>
        </w:rPr>
      </w:pPr>
      <w:r>
        <w:rPr>
          <w:rFonts w:ascii="Times New Roman" w:cs="Times New Roman" w:eastAsia="Times New Roman" w:hAnsi="Times New Roman"/>
          <w:sz w:val="16"/>
          <w:szCs w:val="16"/>
          <w:color w:val="auto"/>
        </w:rPr>
        <w:t>and requires payment from clearing members whose</w:t>
      </w:r>
    </w:p>
    <w:p>
      <w:pPr>
        <w:spacing w:after="0" w:line="204" w:lineRule="auto"/>
        <w:rPr>
          <w:sz w:val="20"/>
          <w:szCs w:val="20"/>
          <w:color w:val="auto"/>
        </w:rPr>
      </w:pPr>
      <w:r>
        <w:rPr>
          <w:rFonts w:ascii="Times New Roman" w:cs="Times New Roman" w:eastAsia="Times New Roman" w:hAnsi="Times New Roman"/>
          <w:sz w:val="16"/>
          <w:szCs w:val="16"/>
          <w:color w:val="auto"/>
        </w:rPr>
        <w:t>positions have lost value. The mark-to-market process</w:t>
      </w:r>
    </w:p>
    <w:p>
      <w:pPr>
        <w:spacing w:after="0" w:line="203" w:lineRule="auto"/>
        <w:rPr>
          <w:sz w:val="20"/>
          <w:szCs w:val="20"/>
          <w:color w:val="auto"/>
        </w:rPr>
      </w:pPr>
      <w:r>
        <w:rPr>
          <w:rFonts w:ascii="Times New Roman" w:cs="Times New Roman" w:eastAsia="Times New Roman" w:hAnsi="Times New Roman"/>
          <w:sz w:val="16"/>
          <w:szCs w:val="16"/>
          <w:color w:val="auto"/>
        </w:rPr>
        <w:t>performed multiple times on a daily basis helps to identify</w:t>
      </w:r>
    </w:p>
    <w:p>
      <w:pPr>
        <w:spacing w:after="0" w:line="204" w:lineRule="auto"/>
        <w:rPr>
          <w:sz w:val="20"/>
          <w:szCs w:val="20"/>
          <w:color w:val="auto"/>
        </w:rPr>
      </w:pPr>
      <w:r>
        <w:rPr>
          <w:rFonts w:ascii="Times New Roman" w:cs="Times New Roman" w:eastAsia="Times New Roman" w:hAnsi="Times New Roman"/>
          <w:sz w:val="16"/>
          <w:szCs w:val="16"/>
          <w:color w:val="auto"/>
        </w:rPr>
        <w:t>any clearing members that may not be able to satisfy their</w:t>
      </w:r>
    </w:p>
    <w:p>
      <w:pPr>
        <w:spacing w:after="0" w:line="203" w:lineRule="auto"/>
        <w:rPr>
          <w:sz w:val="20"/>
          <w:szCs w:val="20"/>
          <w:color w:val="auto"/>
        </w:rPr>
      </w:pPr>
      <w:r>
        <w:rPr>
          <w:rFonts w:ascii="Times New Roman" w:cs="Times New Roman" w:eastAsia="Times New Roman" w:hAnsi="Times New Roman"/>
          <w:sz w:val="16"/>
          <w:szCs w:val="16"/>
          <w:color w:val="auto"/>
        </w:rPr>
        <w:t>financial obligations in a timely manner allowing Nasdaq</w:t>
      </w:r>
    </w:p>
    <w:p>
      <w:pPr>
        <w:spacing w:after="0" w:line="233" w:lineRule="auto"/>
        <w:rPr>
          <w:sz w:val="20"/>
          <w:szCs w:val="20"/>
          <w:color w:val="auto"/>
        </w:rPr>
      </w:pPr>
      <w:r>
        <w:rPr>
          <w:rFonts w:ascii="Times New Roman" w:cs="Times New Roman" w:eastAsia="Times New Roman" w:hAnsi="Times New Roman"/>
          <w:sz w:val="14"/>
          <w:szCs w:val="14"/>
          <w:color w:val="auto"/>
        </w:rPr>
        <w:t>Clearing the ability to mitigate the risk of a clearing member</w:t>
      </w:r>
    </w:p>
    <w:p>
      <w:pPr>
        <w:spacing w:after="0" w:line="233" w:lineRule="auto"/>
        <w:rPr>
          <w:sz w:val="20"/>
          <w:szCs w:val="20"/>
          <w:color w:val="auto"/>
        </w:rPr>
      </w:pPr>
      <w:r>
        <w:rPr>
          <w:rFonts w:ascii="Times New Roman" w:cs="Times New Roman" w:eastAsia="Times New Roman" w:hAnsi="Times New Roman"/>
          <w:sz w:val="14"/>
          <w:szCs w:val="14"/>
          <w:color w:val="auto"/>
        </w:rPr>
        <w:t>defaulting due to exceptionally large losses. In the event of a</w:t>
      </w:r>
    </w:p>
    <w:p>
      <w:pPr>
        <w:spacing w:after="0" w:line="232" w:lineRule="auto"/>
        <w:rPr>
          <w:sz w:val="20"/>
          <w:szCs w:val="20"/>
          <w:color w:val="auto"/>
        </w:rPr>
      </w:pPr>
      <w:r>
        <w:rPr>
          <w:rFonts w:ascii="Times New Roman" w:cs="Times New Roman" w:eastAsia="Times New Roman" w:hAnsi="Times New Roman"/>
          <w:sz w:val="14"/>
          <w:szCs w:val="14"/>
          <w:color w:val="auto"/>
        </w:rPr>
        <w:t>default, Nasdaq Clearing can access the defaulting member’s</w:t>
      </w:r>
    </w:p>
    <w:p>
      <w:pPr>
        <w:spacing w:after="0" w:line="204" w:lineRule="auto"/>
        <w:rPr>
          <w:sz w:val="20"/>
          <w:szCs w:val="20"/>
          <w:color w:val="auto"/>
        </w:rPr>
      </w:pPr>
      <w:r>
        <w:rPr>
          <w:rFonts w:ascii="Times New Roman" w:cs="Times New Roman" w:eastAsia="Times New Roman" w:hAnsi="Times New Roman"/>
          <w:sz w:val="16"/>
          <w:szCs w:val="16"/>
          <w:color w:val="auto"/>
        </w:rPr>
        <w:t>margin and default fund deposits to cover the defaulting</w:t>
      </w:r>
    </w:p>
    <w:p>
      <w:pPr>
        <w:spacing w:after="0" w:line="203" w:lineRule="auto"/>
        <w:rPr>
          <w:sz w:val="20"/>
          <w:szCs w:val="20"/>
          <w:color w:val="auto"/>
        </w:rPr>
      </w:pPr>
      <w:r>
        <w:rPr>
          <w:rFonts w:ascii="Times New Roman" w:cs="Times New Roman" w:eastAsia="Times New Roman" w:hAnsi="Times New Roman"/>
          <w:sz w:val="16"/>
          <w:szCs w:val="16"/>
          <w:color w:val="auto"/>
        </w:rPr>
        <w:t>member’s losses.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Regulatory Capital and Risk Management Calculations</w:t>
      </w:r>
    </w:p>
    <w:p>
      <w:pPr>
        <w:spacing w:after="0" w:line="203" w:lineRule="auto"/>
        <w:rPr>
          <w:sz w:val="20"/>
          <w:szCs w:val="20"/>
          <w:color w:val="auto"/>
        </w:rPr>
      </w:pPr>
      <w:r>
        <w:rPr>
          <w:rFonts w:ascii="Times New Roman" w:cs="Times New Roman" w:eastAsia="Times New Roman" w:hAnsi="Times New Roman"/>
          <w:sz w:val="16"/>
          <w:szCs w:val="16"/>
          <w:color w:val="auto"/>
        </w:rPr>
        <w:t>Nasdaq Clearing manages risk through a comprehensive</w:t>
      </w:r>
    </w:p>
    <w:p>
      <w:pPr>
        <w:spacing w:after="0" w:line="233" w:lineRule="auto"/>
        <w:rPr>
          <w:sz w:val="20"/>
          <w:szCs w:val="20"/>
          <w:color w:val="auto"/>
        </w:rPr>
      </w:pPr>
      <w:r>
        <w:rPr>
          <w:rFonts w:ascii="Times New Roman" w:cs="Times New Roman" w:eastAsia="Times New Roman" w:hAnsi="Times New Roman"/>
          <w:sz w:val="14"/>
          <w:szCs w:val="14"/>
          <w:color w:val="auto"/>
        </w:rPr>
        <w:t>counterparty risk management framework, which comprises</w:t>
      </w:r>
    </w:p>
    <w:p>
      <w:pPr>
        <w:spacing w:after="0" w:line="204" w:lineRule="auto"/>
        <w:rPr>
          <w:sz w:val="20"/>
          <w:szCs w:val="20"/>
          <w:color w:val="auto"/>
        </w:rPr>
      </w:pPr>
      <w:r>
        <w:rPr>
          <w:rFonts w:ascii="Times New Roman" w:cs="Times New Roman" w:eastAsia="Times New Roman" w:hAnsi="Times New Roman"/>
          <w:sz w:val="16"/>
          <w:szCs w:val="16"/>
          <w:color w:val="auto"/>
        </w:rPr>
        <w:t>policies, procedures, standards and financial resources. The</w:t>
      </w:r>
    </w:p>
    <w:p>
      <w:pPr>
        <w:spacing w:after="0" w:line="203" w:lineRule="auto"/>
        <w:rPr>
          <w:sz w:val="20"/>
          <w:szCs w:val="20"/>
          <w:color w:val="auto"/>
        </w:rPr>
      </w:pPr>
      <w:r>
        <w:rPr>
          <w:rFonts w:ascii="Times New Roman" w:cs="Times New Roman" w:eastAsia="Times New Roman" w:hAnsi="Times New Roman"/>
          <w:sz w:val="16"/>
          <w:szCs w:val="16"/>
          <w:color w:val="auto"/>
        </w:rPr>
        <w:t>level of regulatory capital is determined in accordance with</w:t>
      </w:r>
    </w:p>
    <w:p>
      <w:pPr>
        <w:spacing w:after="0" w:line="233" w:lineRule="auto"/>
        <w:rPr>
          <w:sz w:val="20"/>
          <w:szCs w:val="20"/>
          <w:color w:val="auto"/>
        </w:rPr>
      </w:pPr>
      <w:r>
        <w:rPr>
          <w:rFonts w:ascii="Times New Roman" w:cs="Times New Roman" w:eastAsia="Times New Roman" w:hAnsi="Times New Roman"/>
          <w:sz w:val="14"/>
          <w:szCs w:val="14"/>
          <w:color w:val="auto"/>
        </w:rPr>
        <w:t>Nasdaq Clearing’s regulatory capital and default fund policy,</w:t>
      </w:r>
    </w:p>
    <w:p>
      <w:pPr>
        <w:spacing w:after="0" w:line="233" w:lineRule="auto"/>
        <w:rPr>
          <w:sz w:val="20"/>
          <w:szCs w:val="20"/>
          <w:color w:val="auto"/>
        </w:rPr>
      </w:pPr>
      <w:r>
        <w:rPr>
          <w:rFonts w:ascii="Times New Roman" w:cs="Times New Roman" w:eastAsia="Times New Roman" w:hAnsi="Times New Roman"/>
          <w:sz w:val="14"/>
          <w:szCs w:val="14"/>
          <w:color w:val="auto"/>
        </w:rPr>
        <w:t>as approved by the SFSA. Regulatory capital calculations are</w:t>
      </w:r>
    </w:p>
    <w:p>
      <w:pPr>
        <w:spacing w:after="0" w:line="203" w:lineRule="auto"/>
        <w:rPr>
          <w:sz w:val="20"/>
          <w:szCs w:val="20"/>
          <w:color w:val="auto"/>
        </w:rPr>
      </w:pPr>
      <w:r>
        <w:rPr>
          <w:rFonts w:ascii="Times New Roman" w:cs="Times New Roman" w:eastAsia="Times New Roman" w:hAnsi="Times New Roman"/>
          <w:sz w:val="16"/>
          <w:szCs w:val="16"/>
          <w:color w:val="auto"/>
        </w:rPr>
        <w:t>continuously updated through a proprietary capital-at-risk</w:t>
      </w:r>
    </w:p>
    <w:p>
      <w:pPr>
        <w:spacing w:after="0" w:line="204" w:lineRule="auto"/>
        <w:rPr>
          <w:sz w:val="20"/>
          <w:szCs w:val="20"/>
          <w:color w:val="auto"/>
        </w:rPr>
      </w:pPr>
      <w:r>
        <w:rPr>
          <w:rFonts w:ascii="Times New Roman" w:cs="Times New Roman" w:eastAsia="Times New Roman" w:hAnsi="Times New Roman"/>
          <w:sz w:val="16"/>
          <w:szCs w:val="16"/>
          <w:color w:val="auto"/>
        </w:rPr>
        <w:t>calculation model that establishes the appropriate level of</w:t>
      </w:r>
    </w:p>
    <w:p>
      <w:pPr>
        <w:spacing w:after="0" w:line="203" w:lineRule="auto"/>
        <w:rPr>
          <w:sz w:val="20"/>
          <w:szCs w:val="20"/>
          <w:color w:val="auto"/>
        </w:rPr>
      </w:pPr>
      <w:r>
        <w:rPr>
          <w:rFonts w:ascii="Times New Roman" w:cs="Times New Roman" w:eastAsia="Times New Roman" w:hAnsi="Times New Roman"/>
          <w:sz w:val="16"/>
          <w:szCs w:val="16"/>
          <w:color w:val="auto"/>
        </w:rPr>
        <w:t>capital.</w:t>
      </w:r>
    </w:p>
    <w:p>
      <w:pPr>
        <w:spacing w:after="0" w:line="204" w:lineRule="auto"/>
        <w:rPr>
          <w:sz w:val="20"/>
          <w:szCs w:val="20"/>
          <w:color w:val="auto"/>
        </w:rPr>
      </w:pPr>
      <w:r>
        <w:rPr>
          <w:rFonts w:ascii="Times New Roman" w:cs="Times New Roman" w:eastAsia="Times New Roman" w:hAnsi="Times New Roman"/>
          <w:sz w:val="16"/>
          <w:szCs w:val="16"/>
          <w:color w:val="auto"/>
        </w:rPr>
        <w:t>As mentioned above, Nasdaq Clearing is the legal</w:t>
      </w:r>
    </w:p>
    <w:p>
      <w:pPr>
        <w:spacing w:after="0" w:line="232" w:lineRule="auto"/>
        <w:rPr>
          <w:sz w:val="20"/>
          <w:szCs w:val="20"/>
          <w:color w:val="auto"/>
        </w:rPr>
      </w:pPr>
      <w:r>
        <w:rPr>
          <w:rFonts w:ascii="Times New Roman" w:cs="Times New Roman" w:eastAsia="Times New Roman" w:hAnsi="Times New Roman"/>
          <w:sz w:val="14"/>
          <w:szCs w:val="14"/>
          <w:color w:val="auto"/>
        </w:rPr>
        <w:t>counterparty for each contract cleared and thereby guarantees</w:t>
      </w:r>
    </w:p>
    <w:p>
      <w:pPr>
        <w:spacing w:after="0" w:line="233" w:lineRule="auto"/>
        <w:rPr>
          <w:sz w:val="20"/>
          <w:szCs w:val="20"/>
          <w:color w:val="auto"/>
        </w:rPr>
      </w:pPr>
      <w:r>
        <w:rPr>
          <w:rFonts w:ascii="Times New Roman" w:cs="Times New Roman" w:eastAsia="Times New Roman" w:hAnsi="Times New Roman"/>
          <w:sz w:val="14"/>
          <w:szCs w:val="14"/>
          <w:color w:val="auto"/>
        </w:rPr>
        <w:t>the fulfillment of each contract. Nasdaq Clearing accounts for</w:t>
      </w:r>
    </w:p>
    <w:p>
      <w:pPr>
        <w:spacing w:after="0" w:line="233" w:lineRule="auto"/>
        <w:rPr>
          <w:sz w:val="20"/>
          <w:szCs w:val="20"/>
          <w:color w:val="auto"/>
        </w:rPr>
      </w:pPr>
      <w:r>
        <w:rPr>
          <w:rFonts w:ascii="Times New Roman" w:cs="Times New Roman" w:eastAsia="Times New Roman" w:hAnsi="Times New Roman"/>
          <w:sz w:val="14"/>
          <w:szCs w:val="14"/>
          <w:color w:val="auto"/>
        </w:rPr>
        <w:t>this guarantee as a performance guarantee. We determine the</w:t>
      </w:r>
    </w:p>
    <w:p>
      <w:pPr>
        <w:spacing w:after="0" w:line="232" w:lineRule="auto"/>
        <w:rPr>
          <w:sz w:val="20"/>
          <w:szCs w:val="20"/>
          <w:color w:val="auto"/>
        </w:rPr>
      </w:pPr>
      <w:r>
        <w:rPr>
          <w:rFonts w:ascii="Times New Roman" w:cs="Times New Roman" w:eastAsia="Times New Roman" w:hAnsi="Times New Roman"/>
          <w:sz w:val="14"/>
          <w:szCs w:val="14"/>
          <w:color w:val="auto"/>
        </w:rPr>
        <w:t>fair value of the performance guarantee by considering daily</w:t>
      </w:r>
    </w:p>
    <w:p>
      <w:pPr>
        <w:spacing w:after="0" w:line="233" w:lineRule="auto"/>
        <w:rPr>
          <w:sz w:val="20"/>
          <w:szCs w:val="20"/>
          <w:color w:val="auto"/>
        </w:rPr>
      </w:pPr>
      <w:r>
        <w:rPr>
          <w:rFonts w:ascii="Times New Roman" w:cs="Times New Roman" w:eastAsia="Times New Roman" w:hAnsi="Times New Roman"/>
          <w:sz w:val="14"/>
          <w:szCs w:val="14"/>
          <w:color w:val="auto"/>
        </w:rPr>
        <w:t>settlement of contracts and other margining and default fund</w:t>
      </w:r>
    </w:p>
    <w:p>
      <w:pPr>
        <w:spacing w:after="0"/>
        <w:rPr>
          <w:sz w:val="20"/>
          <w:szCs w:val="20"/>
          <w:color w:val="auto"/>
        </w:rPr>
      </w:pPr>
      <w:r>
        <w:rPr>
          <w:rFonts w:ascii="Times New Roman" w:cs="Times New Roman" w:eastAsia="Times New Roman" w:hAnsi="Times New Roman"/>
          <w:sz w:val="16"/>
          <w:szCs w:val="16"/>
          <w:color w:val="auto"/>
        </w:rPr>
        <w:t>requirements, the risk management program, historical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F-36</w:t>
      </w:r>
    </w:p>
    <w:p>
      <w:pPr>
        <w:spacing w:after="0" w:line="203" w:lineRule="auto"/>
        <w:rPr>
          <w:sz w:val="20"/>
          <w:szCs w:val="20"/>
          <w:color w:val="auto"/>
        </w:rPr>
      </w:pPr>
      <w:r>
        <w:rPr>
          <w:rFonts w:ascii="Times New Roman" w:cs="Times New Roman" w:eastAsia="Times New Roman" w:hAnsi="Times New Roman"/>
          <w:sz w:val="16"/>
          <w:szCs w:val="16"/>
          <w:color w:val="auto"/>
        </w:rPr>
        <w:t>•a loss-sharing pool related only to the financial market that</w:t>
      </w:r>
    </w:p>
    <w:p>
      <w:pPr>
        <w:spacing w:after="0" w:line="204" w:lineRule="auto"/>
        <w:rPr>
          <w:sz w:val="20"/>
          <w:szCs w:val="20"/>
          <w:color w:val="auto"/>
        </w:rPr>
      </w:pPr>
      <w:r>
        <w:rPr>
          <w:rFonts w:ascii="Times New Roman" w:cs="Times New Roman" w:eastAsia="Times New Roman" w:hAnsi="Times New Roman"/>
          <w:sz w:val="16"/>
          <w:szCs w:val="16"/>
          <w:color w:val="auto"/>
        </w:rPr>
        <w:t>is contributed to by clearing members and only applies if</w:t>
      </w:r>
    </w:p>
    <w:p>
      <w:pPr>
        <w:spacing w:after="0" w:line="203" w:lineRule="auto"/>
        <w:rPr>
          <w:sz w:val="20"/>
          <w:szCs w:val="20"/>
          <w:color w:val="auto"/>
        </w:rPr>
      </w:pPr>
      <w:r>
        <w:rPr>
          <w:rFonts w:ascii="Times New Roman" w:cs="Times New Roman" w:eastAsia="Times New Roman" w:hAnsi="Times New Roman"/>
          <w:sz w:val="16"/>
          <w:szCs w:val="16"/>
          <w:color w:val="auto"/>
        </w:rPr>
        <w:t>the defaulting member’s portfolio includes interest rate</w:t>
      </w:r>
    </w:p>
    <w:p>
      <w:pPr>
        <w:spacing w:after="0" w:line="204" w:lineRule="auto"/>
        <w:rPr>
          <w:sz w:val="20"/>
          <w:szCs w:val="20"/>
          <w:color w:val="auto"/>
        </w:rPr>
      </w:pPr>
      <w:r>
        <w:rPr>
          <w:rFonts w:ascii="Times New Roman" w:cs="Times New Roman" w:eastAsia="Times New Roman" w:hAnsi="Times New Roman"/>
          <w:sz w:val="16"/>
          <w:szCs w:val="16"/>
          <w:color w:val="auto"/>
        </w:rPr>
        <w:t>swap products;</w:t>
      </w:r>
    </w:p>
    <w:p>
      <w:pPr>
        <w:spacing w:after="0" w:line="203" w:lineRule="auto"/>
        <w:rPr>
          <w:sz w:val="20"/>
          <w:szCs w:val="20"/>
          <w:color w:val="auto"/>
        </w:rPr>
      </w:pPr>
      <w:r>
        <w:rPr>
          <w:rFonts w:ascii="Times New Roman" w:cs="Times New Roman" w:eastAsia="Times New Roman" w:hAnsi="Times New Roman"/>
          <w:sz w:val="16"/>
          <w:szCs w:val="16"/>
          <w:color w:val="auto"/>
        </w:rPr>
        <w:t>•specific market default fund where the loss occurred (i.e.,</w:t>
      </w:r>
    </w:p>
    <w:p>
      <w:pPr>
        <w:spacing w:after="0" w:line="204" w:lineRule="auto"/>
        <w:rPr>
          <w:sz w:val="20"/>
          <w:szCs w:val="20"/>
          <w:color w:val="auto"/>
        </w:rPr>
      </w:pPr>
      <w:r>
        <w:rPr>
          <w:rFonts w:ascii="Times New Roman" w:cs="Times New Roman" w:eastAsia="Times New Roman" w:hAnsi="Times New Roman"/>
          <w:sz w:val="16"/>
          <w:szCs w:val="16"/>
          <w:color w:val="auto"/>
        </w:rPr>
        <w:t>the financial or commodities market), which includes</w:t>
      </w:r>
    </w:p>
    <w:p>
      <w:pPr>
        <w:spacing w:after="0" w:line="203" w:lineRule="auto"/>
        <w:rPr>
          <w:sz w:val="20"/>
          <w:szCs w:val="20"/>
          <w:color w:val="auto"/>
        </w:rPr>
      </w:pPr>
      <w:r>
        <w:rPr>
          <w:rFonts w:ascii="Times New Roman" w:cs="Times New Roman" w:eastAsia="Times New Roman" w:hAnsi="Times New Roman"/>
          <w:sz w:val="16"/>
          <w:szCs w:val="16"/>
          <w:color w:val="auto"/>
        </w:rPr>
        <w:t>capital contributions of the clearing members on a pro-rata</w:t>
      </w:r>
    </w:p>
    <w:p>
      <w:pPr>
        <w:spacing w:after="0" w:line="204" w:lineRule="auto"/>
        <w:rPr>
          <w:sz w:val="20"/>
          <w:szCs w:val="20"/>
          <w:color w:val="auto"/>
        </w:rPr>
      </w:pPr>
      <w:r>
        <w:rPr>
          <w:rFonts w:ascii="Times New Roman" w:cs="Times New Roman" w:eastAsia="Times New Roman" w:hAnsi="Times New Roman"/>
          <w:sz w:val="16"/>
          <w:szCs w:val="16"/>
          <w:color w:val="auto"/>
        </w:rPr>
        <w:t>basis; and</w:t>
      </w:r>
    </w:p>
    <w:p>
      <w:pPr>
        <w:spacing w:after="0" w:line="203" w:lineRule="auto"/>
        <w:rPr>
          <w:sz w:val="20"/>
          <w:szCs w:val="20"/>
          <w:color w:val="auto"/>
        </w:rPr>
      </w:pPr>
      <w:r>
        <w:rPr>
          <w:rFonts w:ascii="Times New Roman" w:cs="Times New Roman" w:eastAsia="Times New Roman" w:hAnsi="Times New Roman"/>
          <w:sz w:val="16"/>
          <w:szCs w:val="16"/>
          <w:color w:val="auto"/>
        </w:rPr>
        <w:t>•fully segregated senior capital for each specific market</w:t>
      </w:r>
    </w:p>
    <w:p>
      <w:pPr>
        <w:spacing w:after="0" w:line="204" w:lineRule="auto"/>
        <w:rPr>
          <w:sz w:val="20"/>
          <w:szCs w:val="20"/>
          <w:color w:val="auto"/>
        </w:rPr>
      </w:pPr>
      <w:r>
        <w:rPr>
          <w:rFonts w:ascii="Times New Roman" w:cs="Times New Roman" w:eastAsia="Times New Roman" w:hAnsi="Times New Roman"/>
          <w:sz w:val="16"/>
          <w:szCs w:val="16"/>
          <w:color w:val="auto"/>
        </w:rPr>
        <w:t>contributed by Nasdaq Clearing, calculated in accordance</w:t>
      </w:r>
    </w:p>
    <w:p>
      <w:pPr>
        <w:spacing w:after="0" w:line="204" w:lineRule="auto"/>
        <w:rPr>
          <w:sz w:val="20"/>
          <w:szCs w:val="20"/>
          <w:color w:val="auto"/>
        </w:rPr>
      </w:pPr>
      <w:r>
        <w:rPr>
          <w:rFonts w:ascii="Times New Roman" w:cs="Times New Roman" w:eastAsia="Times New Roman" w:hAnsi="Times New Roman"/>
          <w:sz w:val="16"/>
          <w:szCs w:val="16"/>
          <w:color w:val="auto"/>
        </w:rPr>
        <w:t>with clearinghouse rules, which totaled $24 million as of</w:t>
      </w:r>
    </w:p>
    <w:p>
      <w:pPr>
        <w:spacing w:after="0" w:line="203" w:lineRule="auto"/>
        <w:rPr>
          <w:sz w:val="20"/>
          <w:szCs w:val="20"/>
          <w:color w:val="auto"/>
        </w:rPr>
      </w:pPr>
      <w:r>
        <w:rPr>
          <w:rFonts w:ascii="Times New Roman" w:cs="Times New Roman" w:eastAsia="Times New Roman" w:hAnsi="Times New Roman"/>
          <w:sz w:val="16"/>
          <w:szCs w:val="16"/>
          <w:color w:val="auto"/>
        </w:rPr>
        <w:t>December 31, 2025.</w:t>
      </w:r>
    </w:p>
    <w:p>
      <w:pPr>
        <w:spacing w:after="0" w:line="233" w:lineRule="auto"/>
        <w:rPr>
          <w:sz w:val="20"/>
          <w:szCs w:val="20"/>
          <w:color w:val="auto"/>
        </w:rPr>
      </w:pPr>
      <w:r>
        <w:rPr>
          <w:rFonts w:ascii="Times New Roman" w:cs="Times New Roman" w:eastAsia="Times New Roman" w:hAnsi="Times New Roman"/>
          <w:sz w:val="14"/>
          <w:szCs w:val="14"/>
          <w:color w:val="auto"/>
        </w:rPr>
        <w:t>If additional funds are needed after utilization of the liability</w:t>
      </w:r>
    </w:p>
    <w:p>
      <w:pPr>
        <w:spacing w:after="0" w:line="203" w:lineRule="auto"/>
        <w:rPr>
          <w:sz w:val="20"/>
          <w:szCs w:val="20"/>
          <w:color w:val="auto"/>
        </w:rPr>
      </w:pPr>
      <w:r>
        <w:rPr>
          <w:rFonts w:ascii="Times New Roman" w:cs="Times New Roman" w:eastAsia="Times New Roman" w:hAnsi="Times New Roman"/>
          <w:sz w:val="16"/>
          <w:szCs w:val="16"/>
          <w:color w:val="auto"/>
        </w:rPr>
        <w:t>waterfall, or if part of the waterfall has been utilized and</w:t>
      </w:r>
    </w:p>
    <w:p>
      <w:pPr>
        <w:spacing w:after="0" w:line="233" w:lineRule="auto"/>
        <w:rPr>
          <w:sz w:val="20"/>
          <w:szCs w:val="20"/>
          <w:color w:val="auto"/>
        </w:rPr>
      </w:pPr>
      <w:r>
        <w:rPr>
          <w:rFonts w:ascii="Times New Roman" w:cs="Times New Roman" w:eastAsia="Times New Roman" w:hAnsi="Times New Roman"/>
          <w:sz w:val="14"/>
          <w:szCs w:val="14"/>
          <w:color w:val="auto"/>
        </w:rPr>
        <w:t>needs to be replenished, then Nasdaq Clearing will utilize its</w:t>
      </w:r>
    </w:p>
    <w:p>
      <w:pPr>
        <w:spacing w:after="0" w:line="233" w:lineRule="auto"/>
        <w:rPr>
          <w:sz w:val="20"/>
          <w:szCs w:val="20"/>
          <w:color w:val="auto"/>
        </w:rPr>
      </w:pPr>
      <w:r>
        <w:rPr>
          <w:rFonts w:ascii="Times New Roman" w:cs="Times New Roman" w:eastAsia="Times New Roman" w:hAnsi="Times New Roman"/>
          <w:sz w:val="14"/>
          <w:szCs w:val="14"/>
          <w:color w:val="auto"/>
        </w:rPr>
        <w:t>power of assessment and additional capital contributions will</w:t>
      </w:r>
    </w:p>
    <w:p>
      <w:pPr>
        <w:spacing w:after="0" w:line="203" w:lineRule="auto"/>
        <w:rPr>
          <w:sz w:val="20"/>
          <w:szCs w:val="20"/>
          <w:color w:val="auto"/>
        </w:rPr>
      </w:pPr>
      <w:r>
        <w:rPr>
          <w:rFonts w:ascii="Times New Roman" w:cs="Times New Roman" w:eastAsia="Times New Roman" w:hAnsi="Times New Roman"/>
          <w:sz w:val="16"/>
          <w:szCs w:val="16"/>
          <w:color w:val="auto"/>
        </w:rPr>
        <w:t>be required by non-defaulting members up to the limits</w:t>
      </w:r>
    </w:p>
    <w:p>
      <w:pPr>
        <w:spacing w:after="0" w:line="204" w:lineRule="auto"/>
        <w:rPr>
          <w:sz w:val="20"/>
          <w:szCs w:val="20"/>
          <w:color w:val="auto"/>
        </w:rPr>
      </w:pPr>
      <w:r>
        <w:rPr>
          <w:rFonts w:ascii="Times New Roman" w:cs="Times New Roman" w:eastAsia="Times New Roman" w:hAnsi="Times New Roman"/>
          <w:sz w:val="16"/>
          <w:szCs w:val="16"/>
          <w:color w:val="auto"/>
        </w:rPr>
        <w:t>established under the terms of the clearinghouse rules.</w:t>
      </w:r>
    </w:p>
    <w:p>
      <w:pPr>
        <w:spacing w:after="0" w:line="203" w:lineRule="auto"/>
        <w:rPr>
          <w:sz w:val="20"/>
          <w:szCs w:val="20"/>
          <w:color w:val="auto"/>
        </w:rPr>
      </w:pPr>
      <w:r>
        <w:rPr>
          <w:rFonts w:ascii="Times New Roman" w:cs="Times New Roman" w:eastAsia="Times New Roman" w:hAnsi="Times New Roman"/>
          <w:sz w:val="16"/>
          <w:szCs w:val="16"/>
          <w:color w:val="auto"/>
        </w:rPr>
        <w:t>In addition to the capital held to withstand counterparty</w:t>
      </w:r>
    </w:p>
    <w:p>
      <w:pPr>
        <w:spacing w:after="0" w:line="204" w:lineRule="auto"/>
        <w:rPr>
          <w:sz w:val="20"/>
          <w:szCs w:val="20"/>
          <w:color w:val="auto"/>
        </w:rPr>
      </w:pPr>
      <w:r>
        <w:rPr>
          <w:rFonts w:ascii="Times New Roman" w:cs="Times New Roman" w:eastAsia="Times New Roman" w:hAnsi="Times New Roman"/>
          <w:sz w:val="16"/>
          <w:szCs w:val="16"/>
          <w:color w:val="auto"/>
        </w:rPr>
        <w:t>defaults described above, Nasdaq Clearing also has</w:t>
      </w:r>
    </w:p>
    <w:p>
      <w:pPr>
        <w:spacing w:after="0" w:line="233" w:lineRule="auto"/>
        <w:rPr>
          <w:sz w:val="20"/>
          <w:szCs w:val="20"/>
          <w:color w:val="auto"/>
        </w:rPr>
      </w:pPr>
      <w:r>
        <w:rPr>
          <w:rFonts w:ascii="Times New Roman" w:cs="Times New Roman" w:eastAsia="Times New Roman" w:hAnsi="Times New Roman"/>
          <w:sz w:val="14"/>
          <w:szCs w:val="14"/>
          <w:color w:val="auto"/>
        </w:rPr>
        <w:t>committed capital of $88 million to ensure that it can handle</w:t>
      </w:r>
    </w:p>
    <w:p>
      <w:pPr>
        <w:spacing w:after="0" w:line="203" w:lineRule="auto"/>
        <w:rPr>
          <w:sz w:val="20"/>
          <w:szCs w:val="20"/>
          <w:color w:val="auto"/>
        </w:rPr>
      </w:pPr>
      <w:r>
        <w:rPr>
          <w:rFonts w:ascii="Times New Roman" w:cs="Times New Roman" w:eastAsia="Times New Roman" w:hAnsi="Times New Roman"/>
          <w:sz w:val="16"/>
          <w:szCs w:val="16"/>
          <w:color w:val="auto"/>
        </w:rPr>
        <w:t>an orderly wind-down of its operation, and that it is</w:t>
      </w:r>
    </w:p>
    <w:p>
      <w:pPr>
        <w:spacing w:after="0" w:line="204" w:lineRule="auto"/>
        <w:rPr>
          <w:sz w:val="20"/>
          <w:szCs w:val="20"/>
          <w:color w:val="auto"/>
        </w:rPr>
      </w:pPr>
      <w:r>
        <w:rPr>
          <w:rFonts w:ascii="Times New Roman" w:cs="Times New Roman" w:eastAsia="Times New Roman" w:hAnsi="Times New Roman"/>
          <w:sz w:val="16"/>
          <w:szCs w:val="16"/>
          <w:color w:val="auto"/>
        </w:rPr>
        <w:t>adequately protected against investment, operational, legal,</w:t>
      </w:r>
    </w:p>
    <w:p>
      <w:pPr>
        <w:spacing w:after="0"/>
        <w:rPr>
          <w:sz w:val="20"/>
          <w:szCs w:val="20"/>
          <w:color w:val="auto"/>
        </w:rPr>
      </w:pPr>
      <w:r>
        <w:rPr>
          <w:rFonts w:ascii="Times New Roman" w:cs="Times New Roman" w:eastAsia="Times New Roman" w:hAnsi="Times New Roman"/>
          <w:sz w:val="16"/>
          <w:szCs w:val="16"/>
          <w:color w:val="auto"/>
        </w:rPr>
        <w:t>and business risks.</w:t>
      </w:r>
    </w:p>
    <w:p>
      <w:pPr>
        <w:sectPr>
          <w:pgSz w:w="11900" w:h="16840" w:orient="portrait"/>
          <w:cols w:equalWidth="0" w:num="1">
            <w:col w:w="9400"/>
          </w:cols>
          <w:pgMar w:left="1060" w:top="547" w:right="1440" w:bottom="8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Market Value of Derivative Contracts Outstanding</w:t>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 presents the market value of derivative</w:t>
      </w:r>
    </w:p>
    <w:p>
      <w:pPr>
        <w:spacing w:after="0" w:line="228" w:lineRule="auto"/>
        <w:rPr>
          <w:sz w:val="20"/>
          <w:szCs w:val="20"/>
          <w:color w:val="auto"/>
        </w:rPr>
      </w:pPr>
      <w:r>
        <w:rPr>
          <w:rFonts w:ascii="Times New Roman" w:cs="Times New Roman" w:eastAsia="Times New Roman" w:hAnsi="Times New Roman"/>
          <w:sz w:val="16"/>
          <w:szCs w:val="16"/>
          <w:color w:val="auto"/>
        </w:rPr>
        <w:t>contracts outstanding prior to netting:</w:t>
      </w:r>
    </w:p>
    <w:tbl>
      <w:tblPr>
        <w:tblLayout w:type="fixed"/>
        <w:tblInd w:w="0" w:type="dxa"/>
        <w:tblCellMar>
          <w:top w:w="0" w:type="dxa"/>
          <w:left w:w="0" w:type="dxa"/>
          <w:bottom w:w="0" w:type="dxa"/>
          <w:right w:w="0" w:type="dxa"/>
        </w:tblCellMar>
      </w:tblPr>
      <w:tr>
        <w:trPr>
          <w:trHeight w:val="142"/>
        </w:trPr>
        <w:tc>
          <w:tcPr>
            <w:tcW w:w="28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62"/>
        </w:trPr>
        <w:tc>
          <w:tcPr>
            <w:tcW w:w="28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r>
      <w:tr>
        <w:trPr>
          <w:trHeight w:val="134"/>
        </w:trPr>
        <w:tc>
          <w:tcPr>
            <w:tcW w:w="282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1"/>
                <w:szCs w:val="11"/>
                <w:color w:val="auto"/>
              </w:rPr>
            </w:pPr>
          </w:p>
        </w:tc>
      </w:tr>
      <w:tr>
        <w:trPr>
          <w:trHeight w:val="62"/>
        </w:trPr>
        <w:tc>
          <w:tcPr>
            <w:tcW w:w="2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9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Commodity forwards</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w:t>
            </w:r>
          </w:p>
        </w:tc>
      </w:tr>
      <w:tr>
        <w:trPr>
          <w:trHeight w:val="192"/>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Fixed-income swaps and forwards</w:t>
            </w:r>
          </w:p>
        </w:tc>
        <w:tc>
          <w:tcPr>
            <w:tcW w:w="62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547</w:t>
            </w:r>
          </w:p>
        </w:tc>
      </w:tr>
      <w:tr>
        <w:trPr>
          <w:trHeight w:val="19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and forwards</w:t>
            </w: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449</w:t>
            </w:r>
          </w:p>
        </w:tc>
      </w:tr>
      <w:tr>
        <w:trPr>
          <w:trHeight w:val="192"/>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Index options and forwards</w:t>
            </w: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77</w:t>
            </w:r>
          </w:p>
        </w:tc>
      </w:tr>
      <w:tr>
        <w:trPr>
          <w:trHeight w:val="176"/>
        </w:trPr>
        <w:tc>
          <w:tcPr>
            <w:tcW w:w="28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1,084</w:t>
            </w:r>
          </w:p>
        </w:tc>
      </w:tr>
    </w:tbl>
    <w:p>
      <w:pPr>
        <w:spacing w:after="0" w:line="225" w:lineRule="auto"/>
        <w:rPr>
          <w:sz w:val="20"/>
          <w:szCs w:val="20"/>
          <w:color w:val="auto"/>
        </w:rPr>
      </w:pPr>
      <w:r>
        <w:rPr>
          <w:rFonts w:ascii="Times New Roman" w:cs="Times New Roman" w:eastAsia="Times New Roman" w:hAnsi="Times New Roman"/>
          <w:sz w:val="16"/>
          <w:szCs w:val="16"/>
          <w:color w:val="auto"/>
        </w:rPr>
        <w:t>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-100965</wp:posOffset>
            </wp:positionV>
            <wp:extent cx="75438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54380"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•We determined the fair value of our option contracts using</w:t>
      </w:r>
    </w:p>
    <w:p>
      <w:pPr>
        <w:spacing w:after="0" w:line="203" w:lineRule="auto"/>
        <w:rPr>
          <w:sz w:val="20"/>
          <w:szCs w:val="20"/>
          <w:color w:val="auto"/>
        </w:rPr>
      </w:pPr>
      <w:r>
        <w:rPr>
          <w:rFonts w:ascii="Times New Roman" w:cs="Times New Roman" w:eastAsia="Times New Roman" w:hAnsi="Times New Roman"/>
          <w:sz w:val="16"/>
          <w:szCs w:val="16"/>
          <w:color w:val="auto"/>
        </w:rPr>
        <w:t>standard valuation models that were based on market-based</w:t>
      </w:r>
    </w:p>
    <w:p>
      <w:pPr>
        <w:spacing w:after="0" w:line="204" w:lineRule="auto"/>
        <w:rPr>
          <w:sz w:val="20"/>
          <w:szCs w:val="20"/>
          <w:color w:val="auto"/>
        </w:rPr>
      </w:pPr>
      <w:r>
        <w:rPr>
          <w:rFonts w:ascii="Times New Roman" w:cs="Times New Roman" w:eastAsia="Times New Roman" w:hAnsi="Times New Roman"/>
          <w:sz w:val="16"/>
          <w:szCs w:val="16"/>
          <w:color w:val="auto"/>
        </w:rPr>
        <w:t>observable inputs including implied volatility, interest rates</w:t>
      </w:r>
    </w:p>
    <w:p>
      <w:pPr>
        <w:spacing w:after="0" w:line="203" w:lineRule="auto"/>
        <w:rPr>
          <w:sz w:val="20"/>
          <w:szCs w:val="20"/>
          <w:color w:val="auto"/>
        </w:rPr>
      </w:pPr>
      <w:r>
        <w:rPr>
          <w:rFonts w:ascii="Times New Roman" w:cs="Times New Roman" w:eastAsia="Times New Roman" w:hAnsi="Times New Roman"/>
          <w:sz w:val="16"/>
          <w:szCs w:val="16"/>
          <w:color w:val="auto"/>
        </w:rPr>
        <w:t>and the spot price of the underlying instrument.</w:t>
      </w:r>
    </w:p>
    <w:p>
      <w:pPr>
        <w:spacing w:after="0" w:line="204" w:lineRule="auto"/>
        <w:rPr>
          <w:sz w:val="20"/>
          <w:szCs w:val="20"/>
          <w:color w:val="auto"/>
        </w:rPr>
      </w:pPr>
      <w:r>
        <w:rPr>
          <w:rFonts w:ascii="Times New Roman" w:cs="Times New Roman" w:eastAsia="Times New Roman" w:hAnsi="Times New Roman"/>
          <w:sz w:val="16"/>
          <w:szCs w:val="16"/>
          <w:color w:val="auto"/>
        </w:rPr>
        <w:t>•We determined the fair value of our forward contracts</w:t>
      </w:r>
    </w:p>
    <w:p>
      <w:pPr>
        <w:spacing w:after="0" w:line="204" w:lineRule="auto"/>
        <w:rPr>
          <w:sz w:val="20"/>
          <w:szCs w:val="20"/>
          <w:color w:val="auto"/>
        </w:rPr>
      </w:pPr>
      <w:r>
        <w:rPr>
          <w:rFonts w:ascii="Times New Roman" w:cs="Times New Roman" w:eastAsia="Times New Roman" w:hAnsi="Times New Roman"/>
          <w:sz w:val="16"/>
          <w:szCs w:val="16"/>
          <w:color w:val="auto"/>
        </w:rPr>
        <w:t>using standard valuation models that were based on</w:t>
      </w:r>
    </w:p>
    <w:p>
      <w:pPr>
        <w:spacing w:after="0" w:line="203" w:lineRule="auto"/>
        <w:rPr>
          <w:sz w:val="20"/>
          <w:szCs w:val="20"/>
          <w:color w:val="auto"/>
        </w:rPr>
      </w:pPr>
      <w:r>
        <w:rPr>
          <w:rFonts w:ascii="Times New Roman" w:cs="Times New Roman" w:eastAsia="Times New Roman" w:hAnsi="Times New Roman"/>
          <w:sz w:val="16"/>
          <w:szCs w:val="16"/>
          <w:color w:val="auto"/>
        </w:rPr>
        <w:t>market-based observable inputs including benchmark rates</w:t>
      </w:r>
    </w:p>
    <w:p>
      <w:pPr>
        <w:spacing w:after="0" w:line="204" w:lineRule="auto"/>
        <w:rPr>
          <w:sz w:val="20"/>
          <w:szCs w:val="20"/>
          <w:color w:val="auto"/>
        </w:rPr>
      </w:pPr>
      <w:r>
        <w:rPr>
          <w:rFonts w:ascii="Times New Roman" w:cs="Times New Roman" w:eastAsia="Times New Roman" w:hAnsi="Times New Roman"/>
          <w:sz w:val="16"/>
          <w:szCs w:val="16"/>
          <w:color w:val="auto"/>
        </w:rPr>
        <w:t>and the spot price of the underlying instrument.</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Derivative Contracts Cleared</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presents the total number of derivative</w:t>
      </w:r>
    </w:p>
    <w:p>
      <w:pPr>
        <w:spacing w:after="0" w:line="203" w:lineRule="auto"/>
        <w:rPr>
          <w:sz w:val="20"/>
          <w:szCs w:val="20"/>
          <w:color w:val="auto"/>
        </w:rPr>
      </w:pPr>
      <w:r>
        <w:rPr>
          <w:rFonts w:ascii="Times New Roman" w:cs="Times New Roman" w:eastAsia="Times New Roman" w:hAnsi="Times New Roman"/>
          <w:sz w:val="16"/>
          <w:szCs w:val="16"/>
          <w:color w:val="auto"/>
        </w:rPr>
        <w:t xml:space="preserve">contracts cleared through Nasdaq Clearing for the </w:t>
      </w:r>
      <w:r>
        <w:rPr>
          <w:rFonts w:ascii="Times New Roman" w:cs="Times New Roman" w:eastAsia="Times New Roman" w:hAnsi="Times New Roman"/>
          <w:sz w:val="16"/>
          <w:szCs w:val="16"/>
          <w:color w:val="231F20"/>
        </w:rPr>
        <w:t>year</w:t>
      </w:r>
      <w:r>
        <w:rPr>
          <w:rFonts w:ascii="Times New Roman" w:cs="Times New Roman" w:eastAsia="Times New Roman" w:hAnsi="Times New Roman"/>
          <w:sz w:val="16"/>
          <w:szCs w:val="16"/>
          <w:color w:val="auto"/>
        </w:rPr>
        <w:t>s</w:t>
      </w:r>
    </w:p>
    <w:p>
      <w:pPr>
        <w:spacing w:after="0" w:line="228" w:lineRule="auto"/>
        <w:rPr>
          <w:sz w:val="20"/>
          <w:szCs w:val="20"/>
          <w:color w:val="auto"/>
        </w:rPr>
      </w:pPr>
      <w:r>
        <w:rPr>
          <w:rFonts w:ascii="Times New Roman" w:cs="Times New Roman" w:eastAsia="Times New Roman" w:hAnsi="Times New Roman"/>
          <w:sz w:val="16"/>
          <w:szCs w:val="16"/>
          <w:color w:val="auto"/>
        </w:rPr>
        <w:t>ended December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20" w:type="dxa"/>
            <w:vAlign w:val="bottom"/>
          </w:tcPr>
          <w:p>
            <w:pPr>
              <w:spacing w:after="0"/>
              <w:rPr>
                <w:sz w:val="12"/>
                <w:szCs w:val="12"/>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26"/>
        </w:trPr>
        <w:tc>
          <w:tcPr>
            <w:tcW w:w="2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34"/>
        </w:trPr>
        <w:tc>
          <w:tcPr>
            <w:tcW w:w="2120" w:type="dxa"/>
            <w:vAlign w:val="bottom"/>
          </w:tcPr>
          <w:p>
            <w:pPr>
              <w:spacing w:after="0"/>
              <w:rPr>
                <w:sz w:val="11"/>
                <w:szCs w:val="11"/>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940" w:type="dxa"/>
            <w:vAlign w:val="bottom"/>
            <w:gridSpan w:val="2"/>
          </w:tcPr>
          <w:p>
            <w:pPr>
              <w:jc w:val="right"/>
              <w:ind w:right="625"/>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62"/>
        </w:trPr>
        <w:tc>
          <w:tcPr>
            <w:tcW w:w="2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36"/>
        </w:trPr>
        <w:tc>
          <w:tcPr>
            <w:tcW w:w="2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Commodity and seafood</w:t>
            </w:r>
          </w:p>
        </w:tc>
        <w:tc>
          <w:tcPr>
            <w:tcW w:w="940" w:type="dxa"/>
            <w:vAlign w:val="bottom"/>
            <w:shd w:val="clear" w:color="auto" w:fill="CCEEFF"/>
          </w:tcPr>
          <w:p>
            <w:pPr>
              <w:jc w:val="right"/>
              <w:ind w:right="90"/>
              <w:spacing w:after="0" w:line="136" w:lineRule="exact"/>
              <w:rPr>
                <w:sz w:val="20"/>
                <w:szCs w:val="20"/>
                <w:color w:val="auto"/>
              </w:rPr>
            </w:pPr>
            <w:r>
              <w:rPr>
                <w:rFonts w:ascii="Times New Roman" w:cs="Times New Roman" w:eastAsia="Times New Roman" w:hAnsi="Times New Roman"/>
                <w:sz w:val="14"/>
                <w:szCs w:val="14"/>
                <w:color w:val="auto"/>
              </w:rPr>
              <w:t>254,038</w:t>
            </w: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65"/>
              <w:spacing w:after="0" w:line="136" w:lineRule="exact"/>
              <w:rPr>
                <w:sz w:val="20"/>
                <w:szCs w:val="20"/>
                <w:color w:val="auto"/>
              </w:rPr>
            </w:pPr>
            <w:r>
              <w:rPr>
                <w:rFonts w:ascii="Times New Roman" w:cs="Times New Roman" w:eastAsia="Times New Roman" w:hAnsi="Times New Roman"/>
                <w:sz w:val="14"/>
                <w:szCs w:val="14"/>
                <w:color w:val="auto"/>
              </w:rPr>
              <w:t>234,622</w:t>
            </w:r>
          </w:p>
        </w:tc>
      </w:tr>
      <w:tr>
        <w:trPr>
          <w:trHeight w:val="220"/>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futures and forwards</w:t>
            </w: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144"/>
        </w:trPr>
        <w:tc>
          <w:tcPr>
            <w:tcW w:w="21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Fixed-income swaps, futures</w:t>
            </w:r>
          </w:p>
        </w:tc>
        <w:tc>
          <w:tcPr>
            <w:tcW w:w="940" w:type="dxa"/>
            <w:vAlign w:val="bottom"/>
          </w:tcPr>
          <w:p>
            <w:pPr>
              <w:jc w:val="right"/>
              <w:ind w:right="70"/>
              <w:spacing w:after="0" w:line="144" w:lineRule="exact"/>
              <w:rPr>
                <w:sz w:val="20"/>
                <w:szCs w:val="20"/>
                <w:color w:val="auto"/>
              </w:rPr>
            </w:pPr>
            <w:r>
              <w:rPr>
                <w:rFonts w:ascii="Times New Roman" w:cs="Times New Roman" w:eastAsia="Times New Roman" w:hAnsi="Times New Roman"/>
                <w:sz w:val="16"/>
                <w:szCs w:val="16"/>
                <w:color w:val="auto"/>
              </w:rPr>
              <w:t>17,175,844</w:t>
            </w:r>
          </w:p>
        </w:tc>
        <w:tc>
          <w:tcPr>
            <w:tcW w:w="940" w:type="dxa"/>
            <w:vAlign w:val="bottom"/>
            <w:gridSpan w:val="2"/>
          </w:tcPr>
          <w:p>
            <w:pPr>
              <w:jc w:val="right"/>
              <w:ind w:right="65"/>
              <w:spacing w:after="0" w:line="144" w:lineRule="exact"/>
              <w:rPr>
                <w:sz w:val="20"/>
                <w:szCs w:val="20"/>
                <w:color w:val="auto"/>
              </w:rPr>
            </w:pPr>
            <w:r>
              <w:rPr>
                <w:rFonts w:ascii="Times New Roman" w:cs="Times New Roman" w:eastAsia="Times New Roman" w:hAnsi="Times New Roman"/>
                <w:sz w:val="16"/>
                <w:szCs w:val="16"/>
                <w:color w:val="auto"/>
              </w:rPr>
              <w:t>18,830,460</w:t>
            </w: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and forwards</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
        </w:trPr>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44"/>
        </w:trPr>
        <w:tc>
          <w:tcPr>
            <w:tcW w:w="21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Stock options, futures and</w:t>
            </w:r>
          </w:p>
        </w:tc>
        <w:tc>
          <w:tcPr>
            <w:tcW w:w="940" w:type="dxa"/>
            <w:vAlign w:val="bottom"/>
            <w:shd w:val="clear" w:color="auto" w:fill="CCEEFF"/>
          </w:tcPr>
          <w:p>
            <w:pPr>
              <w:jc w:val="right"/>
              <w:ind w:right="70"/>
              <w:spacing w:after="0" w:line="144" w:lineRule="exact"/>
              <w:rPr>
                <w:sz w:val="20"/>
                <w:szCs w:val="20"/>
                <w:color w:val="auto"/>
              </w:rPr>
            </w:pPr>
            <w:r>
              <w:rPr>
                <w:rFonts w:ascii="Times New Roman" w:cs="Times New Roman" w:eastAsia="Times New Roman" w:hAnsi="Times New Roman"/>
                <w:sz w:val="16"/>
                <w:szCs w:val="16"/>
                <w:color w:val="auto"/>
              </w:rPr>
              <w:t>24,666,818</w:t>
            </w:r>
          </w:p>
        </w:tc>
        <w:tc>
          <w:tcPr>
            <w:tcW w:w="940" w:type="dxa"/>
            <w:vAlign w:val="bottom"/>
            <w:gridSpan w:val="2"/>
            <w:shd w:val="clear" w:color="auto" w:fill="CCEEFF"/>
          </w:tcPr>
          <w:p>
            <w:pPr>
              <w:jc w:val="right"/>
              <w:ind w:right="65"/>
              <w:spacing w:after="0" w:line="144" w:lineRule="exact"/>
              <w:rPr>
                <w:sz w:val="20"/>
                <w:szCs w:val="20"/>
                <w:color w:val="auto"/>
              </w:rPr>
            </w:pPr>
            <w:r>
              <w:rPr>
                <w:rFonts w:ascii="Times New Roman" w:cs="Times New Roman" w:eastAsia="Times New Roman" w:hAnsi="Times New Roman"/>
                <w:sz w:val="16"/>
                <w:szCs w:val="16"/>
                <w:color w:val="auto"/>
              </w:rPr>
              <w:t>23,530,035</w:t>
            </w:r>
          </w:p>
        </w:tc>
      </w:tr>
      <w:tr>
        <w:trPr>
          <w:trHeight w:val="232"/>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forwards</w:t>
            </w: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144"/>
        </w:trPr>
        <w:tc>
          <w:tcPr>
            <w:tcW w:w="21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Index options, futures and</w:t>
            </w:r>
          </w:p>
        </w:tc>
        <w:tc>
          <w:tcPr>
            <w:tcW w:w="940" w:type="dxa"/>
            <w:vAlign w:val="bottom"/>
          </w:tcPr>
          <w:p>
            <w:pPr>
              <w:jc w:val="right"/>
              <w:ind w:right="70"/>
              <w:spacing w:after="0" w:line="144" w:lineRule="exact"/>
              <w:rPr>
                <w:sz w:val="20"/>
                <w:szCs w:val="20"/>
                <w:color w:val="auto"/>
              </w:rPr>
            </w:pPr>
            <w:r>
              <w:rPr>
                <w:rFonts w:ascii="Times New Roman" w:cs="Times New Roman" w:eastAsia="Times New Roman" w:hAnsi="Times New Roman"/>
                <w:sz w:val="16"/>
                <w:szCs w:val="16"/>
                <w:color w:val="auto"/>
              </w:rPr>
              <w:t>30,244,627</w:t>
            </w:r>
          </w:p>
        </w:tc>
        <w:tc>
          <w:tcPr>
            <w:tcW w:w="940" w:type="dxa"/>
            <w:vAlign w:val="bottom"/>
            <w:gridSpan w:val="2"/>
          </w:tcPr>
          <w:p>
            <w:pPr>
              <w:jc w:val="right"/>
              <w:ind w:right="65"/>
              <w:spacing w:after="0" w:line="144" w:lineRule="exact"/>
              <w:rPr>
                <w:sz w:val="20"/>
                <w:szCs w:val="20"/>
                <w:color w:val="auto"/>
              </w:rPr>
            </w:pPr>
            <w:r>
              <w:rPr>
                <w:rFonts w:ascii="Times New Roman" w:cs="Times New Roman" w:eastAsia="Times New Roman" w:hAnsi="Times New Roman"/>
                <w:sz w:val="16"/>
                <w:szCs w:val="16"/>
                <w:color w:val="auto"/>
              </w:rPr>
              <w:t>35,069,931</w:t>
            </w: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forwards</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9"/>
        </w:trPr>
        <w:tc>
          <w:tcPr>
            <w:tcW w:w="2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76"/>
        </w:trPr>
        <w:tc>
          <w:tcPr>
            <w:tcW w:w="21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70"/>
              <w:spacing w:after="0" w:line="172" w:lineRule="exact"/>
              <w:rPr>
                <w:sz w:val="20"/>
                <w:szCs w:val="20"/>
                <w:color w:val="auto"/>
              </w:rPr>
            </w:pPr>
            <w:r>
              <w:rPr>
                <w:rFonts w:ascii="Times New Roman" w:cs="Times New Roman" w:eastAsia="Times New Roman" w:hAnsi="Times New Roman"/>
                <w:sz w:val="16"/>
                <w:szCs w:val="16"/>
                <w:color w:val="auto"/>
              </w:rPr>
              <w:t>72,341,327</w:t>
            </w:r>
          </w:p>
        </w:tc>
        <w:tc>
          <w:tcPr>
            <w:tcW w:w="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5"/>
              <w:spacing w:after="0" w:line="172" w:lineRule="exact"/>
              <w:rPr>
                <w:sz w:val="20"/>
                <w:szCs w:val="20"/>
                <w:color w:val="auto"/>
              </w:rPr>
            </w:pPr>
            <w:r>
              <w:rPr>
                <w:rFonts w:ascii="Times New Roman" w:cs="Times New Roman" w:eastAsia="Times New Roman" w:hAnsi="Times New Roman"/>
                <w:sz w:val="16"/>
                <w:szCs w:val="16"/>
                <w:color w:val="auto"/>
              </w:rPr>
              <w:t>77,665,048</w:t>
            </w:r>
          </w:p>
        </w:tc>
      </w:tr>
    </w:tbl>
    <w:p>
      <w:pPr>
        <w:spacing w:after="0" w:line="225" w:lineRule="auto"/>
        <w:rPr>
          <w:sz w:val="20"/>
          <w:szCs w:val="20"/>
          <w:color w:val="auto"/>
        </w:rPr>
      </w:pPr>
      <w:r>
        <w:rPr>
          <w:rFonts w:ascii="Times New Roman" w:cs="Times New Roman" w:eastAsia="Times New Roman" w:hAnsi="Times New Roman"/>
          <w:sz w:val="16"/>
          <w:szCs w:val="16"/>
          <w:color w:val="auto"/>
        </w:rPr>
        <w:t>In the table above, the total volume in cleared power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-100965</wp:posOffset>
            </wp:positionV>
            <wp:extent cx="11893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1189355"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to commodity contracts was 554 Terawatt hours (TWh) and</w:t>
      </w:r>
    </w:p>
    <w:p>
      <w:pPr>
        <w:spacing w:after="0" w:line="203" w:lineRule="auto"/>
        <w:rPr>
          <w:sz w:val="20"/>
          <w:szCs w:val="20"/>
          <w:color w:val="auto"/>
        </w:rPr>
      </w:pPr>
      <w:r>
        <w:rPr>
          <w:rFonts w:ascii="Times New Roman" w:cs="Times New Roman" w:eastAsia="Times New Roman" w:hAnsi="Times New Roman"/>
          <w:sz w:val="16"/>
          <w:szCs w:val="16"/>
          <w:color w:val="auto"/>
        </w:rPr>
        <w:t>527 TWh for the years ended December 31, 2025 and 2024,</w:t>
      </w:r>
    </w:p>
    <w:p>
      <w:pPr>
        <w:spacing w:after="0" w:line="204" w:lineRule="auto"/>
        <w:rPr>
          <w:sz w:val="20"/>
          <w:szCs w:val="20"/>
          <w:color w:val="auto"/>
        </w:rPr>
      </w:pPr>
      <w:r>
        <w:rPr>
          <w:rFonts w:ascii="Times New Roman" w:cs="Times New Roman" w:eastAsia="Times New Roman" w:hAnsi="Times New Roman"/>
          <w:sz w:val="16"/>
          <w:szCs w:val="16"/>
          <w:color w:val="auto"/>
        </w:rPr>
        <w:t>respectively. As noted above, beginning in January 2025,</w:t>
      </w:r>
    </w:p>
    <w:p>
      <w:pPr>
        <w:spacing w:after="0" w:line="203" w:lineRule="auto"/>
        <w:rPr>
          <w:sz w:val="20"/>
          <w:szCs w:val="20"/>
          <w:color w:val="auto"/>
        </w:rPr>
      </w:pPr>
      <w:r>
        <w:rPr>
          <w:rFonts w:ascii="Times New Roman" w:cs="Times New Roman" w:eastAsia="Times New Roman" w:hAnsi="Times New Roman"/>
          <w:sz w:val="16"/>
          <w:szCs w:val="16"/>
          <w:color w:val="auto"/>
        </w:rPr>
        <w:t>Nasdaq no longer offered seafood derivatives clearing.</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Resale and Repurchase Agreements Contracts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Outstanding and Cleared</w:t>
      </w:r>
    </w:p>
    <w:p>
      <w:pPr>
        <w:spacing w:after="0" w:line="203" w:lineRule="auto"/>
        <w:rPr>
          <w:sz w:val="20"/>
          <w:szCs w:val="20"/>
          <w:color w:val="auto"/>
        </w:rPr>
      </w:pPr>
      <w:r>
        <w:rPr>
          <w:rFonts w:ascii="Times New Roman" w:cs="Times New Roman" w:eastAsia="Times New Roman" w:hAnsi="Times New Roman"/>
          <w:sz w:val="16"/>
          <w:szCs w:val="16"/>
          <w:color w:val="auto"/>
        </w:rPr>
        <w:t>The outstanding contract value of resale and repurchase</w:t>
      </w:r>
    </w:p>
    <w:p>
      <w:pPr>
        <w:spacing w:after="0" w:line="204" w:lineRule="auto"/>
        <w:rPr>
          <w:sz w:val="20"/>
          <w:szCs w:val="20"/>
          <w:color w:val="auto"/>
        </w:rPr>
      </w:pPr>
      <w:r>
        <w:rPr>
          <w:rFonts w:ascii="Times New Roman" w:cs="Times New Roman" w:eastAsia="Times New Roman" w:hAnsi="Times New Roman"/>
          <w:sz w:val="16"/>
          <w:szCs w:val="16"/>
          <w:color w:val="auto"/>
        </w:rPr>
        <w:t>agreements was $230 million and $200 million as of</w:t>
      </w:r>
    </w:p>
    <w:p>
      <w:pPr>
        <w:spacing w:after="0" w:line="203" w:lineRule="auto"/>
        <w:rPr>
          <w:sz w:val="20"/>
          <w:szCs w:val="20"/>
          <w:color w:val="auto"/>
        </w:rPr>
      </w:pPr>
      <w:r>
        <w:rPr>
          <w:rFonts w:ascii="Times New Roman" w:cs="Times New Roman" w:eastAsia="Times New Roman" w:hAnsi="Times New Roman"/>
          <w:sz w:val="16"/>
          <w:szCs w:val="16"/>
          <w:color w:val="auto"/>
        </w:rPr>
        <w:t>December 31, 2025 and 2024, respectively. The total number</w:t>
      </w:r>
    </w:p>
    <w:p>
      <w:pPr>
        <w:spacing w:after="0" w:line="204" w:lineRule="auto"/>
        <w:rPr>
          <w:sz w:val="20"/>
          <w:szCs w:val="20"/>
          <w:color w:val="auto"/>
        </w:rPr>
      </w:pPr>
      <w:r>
        <w:rPr>
          <w:rFonts w:ascii="Times New Roman" w:cs="Times New Roman" w:eastAsia="Times New Roman" w:hAnsi="Times New Roman"/>
          <w:sz w:val="16"/>
          <w:szCs w:val="16"/>
          <w:color w:val="auto"/>
        </w:rPr>
        <w:t>of resale and repurchase agreements contracts cleared was</w:t>
      </w:r>
    </w:p>
    <w:p>
      <w:pPr>
        <w:spacing w:after="0" w:line="203" w:lineRule="auto"/>
        <w:rPr>
          <w:sz w:val="20"/>
          <w:szCs w:val="20"/>
          <w:color w:val="auto"/>
        </w:rPr>
      </w:pPr>
      <w:r>
        <w:rPr>
          <w:rFonts w:ascii="Times New Roman" w:cs="Times New Roman" w:eastAsia="Times New Roman" w:hAnsi="Times New Roman"/>
          <w:sz w:val="16"/>
          <w:szCs w:val="16"/>
          <w:color w:val="auto"/>
        </w:rPr>
        <w:t>3,015,860 and 4,929,765 for the years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and 2024, respectively.</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16. LEASES</w:t>
      </w:r>
    </w:p>
    <w:p>
      <w:pPr>
        <w:spacing w:after="0" w:line="204" w:lineRule="auto"/>
        <w:rPr>
          <w:sz w:val="20"/>
          <w:szCs w:val="20"/>
          <w:color w:val="auto"/>
        </w:rPr>
      </w:pPr>
      <w:r>
        <w:rPr>
          <w:rFonts w:ascii="Times New Roman" w:cs="Times New Roman" w:eastAsia="Times New Roman" w:hAnsi="Times New Roman"/>
          <w:sz w:val="16"/>
          <w:szCs w:val="16"/>
          <w:color w:val="111111"/>
        </w:rPr>
        <w:t>We have operating leases, which are primarily real estate</w:t>
      </w:r>
    </w:p>
    <w:p>
      <w:pPr>
        <w:spacing w:after="0"/>
        <w:rPr>
          <w:sz w:val="20"/>
          <w:szCs w:val="20"/>
          <w:color w:val="auto"/>
        </w:rPr>
      </w:pPr>
      <w:r>
        <w:rPr>
          <w:rFonts w:ascii="Times New Roman" w:cs="Times New Roman" w:eastAsia="Times New Roman" w:hAnsi="Times New Roman"/>
          <w:sz w:val="16"/>
          <w:szCs w:val="16"/>
          <w:color w:val="111111"/>
        </w:rPr>
        <w:t>leases, predominantly for our U.S. and European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F-37</w:t>
      </w:r>
    </w:p>
    <w:p>
      <w:pPr>
        <w:spacing w:after="0" w:line="228" w:lineRule="auto"/>
        <w:rPr>
          <w:sz w:val="20"/>
          <w:szCs w:val="20"/>
          <w:color w:val="auto"/>
        </w:rPr>
      </w:pPr>
      <w:r>
        <w:rPr>
          <w:rFonts w:ascii="Times New Roman" w:cs="Times New Roman" w:eastAsia="Times New Roman" w:hAnsi="Times New Roman"/>
          <w:sz w:val="16"/>
          <w:szCs w:val="16"/>
          <w:color w:val="auto"/>
        </w:rPr>
        <w:t>The following table summarizes Nasdaq’s lease cost:</w:t>
      </w:r>
    </w:p>
    <w:tbl>
      <w:tblPr>
        <w:tblLayout w:type="fixed"/>
        <w:tblInd w:w="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1560" w:type="dxa"/>
            <w:vAlign w:val="bottom"/>
            <w:gridSpan w:val="8"/>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8"/>
        </w:trPr>
        <w:tc>
          <w:tcPr>
            <w:tcW w:w="24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20" w:type="dxa"/>
            <w:vAlign w:val="bottom"/>
          </w:tcPr>
          <w:p>
            <w:pPr>
              <w:spacing w:after="0"/>
              <w:rPr>
                <w:sz w:val="17"/>
                <w:szCs w:val="17"/>
                <w:color w:val="auto"/>
              </w:rPr>
            </w:pPr>
          </w:p>
        </w:tc>
        <w:tc>
          <w:tcPr>
            <w:tcW w:w="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124</w:t>
            </w:r>
          </w:p>
        </w:tc>
        <w:tc>
          <w:tcPr>
            <w:tcW w:w="2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112</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-6350</wp:posOffset>
            </wp:positionV>
            <wp:extent cx="9906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99060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 the table above, operating lease costs include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-101600</wp:posOffset>
            </wp:positionV>
            <wp:extent cx="9906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990600"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lease costs, which were immaterial.</w:t>
      </w:r>
    </w:p>
    <w:p>
      <w:pPr>
        <w:spacing w:after="0" w:line="204" w:lineRule="auto"/>
        <w:rPr>
          <w:sz w:val="20"/>
          <w:szCs w:val="20"/>
          <w:color w:val="auto"/>
        </w:rPr>
      </w:pPr>
      <w:r>
        <w:rPr>
          <w:rFonts w:ascii="Times New Roman" w:cs="Times New Roman" w:eastAsia="Times New Roman" w:hAnsi="Times New Roman"/>
          <w:sz w:val="16"/>
          <w:szCs w:val="16"/>
          <w:color w:val="auto"/>
        </w:rPr>
        <w:t>There were no material operating lease assets impairments in</w:t>
      </w:r>
    </w:p>
    <w:p>
      <w:pPr>
        <w:spacing w:after="0" w:line="203" w:lineRule="auto"/>
        <w:rPr>
          <w:sz w:val="20"/>
          <w:szCs w:val="20"/>
          <w:color w:val="auto"/>
        </w:rPr>
      </w:pPr>
      <w:r>
        <w:rPr>
          <w:rFonts w:ascii="Times New Roman" w:cs="Times New Roman" w:eastAsia="Times New Roman" w:hAnsi="Times New Roman"/>
          <w:sz w:val="16"/>
          <w:szCs w:val="16"/>
          <w:color w:val="auto"/>
        </w:rPr>
        <w:t>2025 and 2024. In the first quarter of 2023, we initiated a</w:t>
      </w:r>
    </w:p>
    <w:p>
      <w:pPr>
        <w:spacing w:after="0" w:line="204" w:lineRule="auto"/>
        <w:rPr>
          <w:sz w:val="20"/>
          <w:szCs w:val="20"/>
          <w:color w:val="auto"/>
        </w:rPr>
      </w:pPr>
      <w:r>
        <w:rPr>
          <w:rFonts w:ascii="Times New Roman" w:cs="Times New Roman" w:eastAsia="Times New Roman" w:hAnsi="Times New Roman"/>
          <w:sz w:val="16"/>
          <w:szCs w:val="16"/>
          <w:color w:val="auto"/>
        </w:rPr>
        <w:t>review of our real estate and facility capacity requirements</w:t>
      </w:r>
    </w:p>
    <w:p>
      <w:pPr>
        <w:spacing w:after="0" w:line="203" w:lineRule="auto"/>
        <w:rPr>
          <w:sz w:val="20"/>
          <w:szCs w:val="20"/>
          <w:color w:val="auto"/>
        </w:rPr>
      </w:pPr>
      <w:r>
        <w:rPr>
          <w:rFonts w:ascii="Times New Roman" w:cs="Times New Roman" w:eastAsia="Times New Roman" w:hAnsi="Times New Roman"/>
          <w:sz w:val="16"/>
          <w:szCs w:val="16"/>
          <w:color w:val="auto"/>
        </w:rPr>
        <w:t>due to our new and evolving work models. As a result of this</w:t>
      </w:r>
    </w:p>
    <w:p>
      <w:pPr>
        <w:spacing w:after="0" w:line="204" w:lineRule="auto"/>
        <w:rPr>
          <w:sz w:val="20"/>
          <w:szCs w:val="20"/>
          <w:color w:val="auto"/>
        </w:rPr>
      </w:pPr>
      <w:r>
        <w:rPr>
          <w:rFonts w:ascii="Times New Roman" w:cs="Times New Roman" w:eastAsia="Times New Roman" w:hAnsi="Times New Roman"/>
          <w:sz w:val="16"/>
          <w:szCs w:val="16"/>
          <w:color w:val="auto"/>
        </w:rPr>
        <w:t>ongoing review, for the year ended December 31, 2023, we</w:t>
      </w:r>
    </w:p>
    <w:p>
      <w:pPr>
        <w:spacing w:after="0" w:line="203" w:lineRule="auto"/>
        <w:rPr>
          <w:sz w:val="20"/>
          <w:szCs w:val="20"/>
          <w:color w:val="auto"/>
        </w:rPr>
      </w:pPr>
      <w:r>
        <w:rPr>
          <w:rFonts w:ascii="Times New Roman" w:cs="Times New Roman" w:eastAsia="Times New Roman" w:hAnsi="Times New Roman"/>
          <w:sz w:val="16"/>
          <w:szCs w:val="16"/>
          <w:color w:val="auto"/>
        </w:rPr>
        <w:t>recorded impairment charges of $23 million, of which</w:t>
      </w:r>
    </w:p>
    <w:p>
      <w:pPr>
        <w:spacing w:after="0" w:line="204" w:lineRule="auto"/>
        <w:rPr>
          <w:sz w:val="20"/>
          <w:szCs w:val="20"/>
          <w:color w:val="auto"/>
        </w:rPr>
      </w:pPr>
      <w:r>
        <w:rPr>
          <w:rFonts w:ascii="Times New Roman" w:cs="Times New Roman" w:eastAsia="Times New Roman" w:hAnsi="Times New Roman"/>
          <w:sz w:val="16"/>
          <w:szCs w:val="16"/>
          <w:color w:val="auto"/>
        </w:rPr>
        <w:t>$13 million related to operating lease asset impairment and is</w:t>
      </w:r>
    </w:p>
    <w:p>
      <w:pPr>
        <w:spacing w:after="0" w:line="203" w:lineRule="auto"/>
        <w:rPr>
          <w:sz w:val="20"/>
          <w:szCs w:val="20"/>
          <w:color w:val="auto"/>
        </w:rPr>
      </w:pPr>
      <w:r>
        <w:rPr>
          <w:rFonts w:ascii="Times New Roman" w:cs="Times New Roman" w:eastAsia="Times New Roman" w:hAnsi="Times New Roman"/>
          <w:sz w:val="16"/>
          <w:szCs w:val="16"/>
          <w:color w:val="auto"/>
        </w:rPr>
        <w:t>included in operating lease cost in the table above, $5 million</w:t>
      </w:r>
    </w:p>
    <w:p>
      <w:pPr>
        <w:spacing w:after="0" w:line="204" w:lineRule="auto"/>
        <w:rPr>
          <w:sz w:val="20"/>
          <w:szCs w:val="20"/>
          <w:color w:val="auto"/>
        </w:rPr>
      </w:pPr>
      <w:r>
        <w:rPr>
          <w:rFonts w:ascii="Times New Roman" w:cs="Times New Roman" w:eastAsia="Times New Roman" w:hAnsi="Times New Roman"/>
          <w:sz w:val="16"/>
          <w:szCs w:val="16"/>
          <w:color w:val="auto"/>
        </w:rPr>
        <w:t>related to exit costs and is included in variable lease cost in</w:t>
      </w:r>
    </w:p>
    <w:p>
      <w:pPr>
        <w:spacing w:after="0" w:line="204" w:lineRule="auto"/>
        <w:rPr>
          <w:sz w:val="20"/>
          <w:szCs w:val="20"/>
          <w:color w:val="auto"/>
        </w:rPr>
      </w:pPr>
      <w:r>
        <w:rPr>
          <w:rFonts w:ascii="Times New Roman" w:cs="Times New Roman" w:eastAsia="Times New Roman" w:hAnsi="Times New Roman"/>
          <w:sz w:val="16"/>
          <w:szCs w:val="16"/>
          <w:color w:val="auto"/>
        </w:rPr>
        <w:t>the table above and $5 million related to impairment of</w:t>
      </w:r>
    </w:p>
    <w:p>
      <w:pPr>
        <w:spacing w:after="0" w:line="203" w:lineRule="auto"/>
        <w:rPr>
          <w:sz w:val="20"/>
          <w:szCs w:val="20"/>
          <w:color w:val="auto"/>
        </w:rPr>
      </w:pPr>
      <w:r>
        <w:rPr>
          <w:rFonts w:ascii="Times New Roman" w:cs="Times New Roman" w:eastAsia="Times New Roman" w:hAnsi="Times New Roman"/>
          <w:sz w:val="16"/>
          <w:szCs w:val="16"/>
          <w:color w:val="auto"/>
        </w:rPr>
        <w:t>leasehold improvements, which are recorded in depreciation</w:t>
      </w:r>
    </w:p>
    <w:p>
      <w:pPr>
        <w:spacing w:after="0" w:line="204" w:lineRule="auto"/>
        <w:rPr>
          <w:sz w:val="20"/>
          <w:szCs w:val="20"/>
          <w:color w:val="auto"/>
        </w:rPr>
      </w:pPr>
      <w:r>
        <w:rPr>
          <w:rFonts w:ascii="Times New Roman" w:cs="Times New Roman" w:eastAsia="Times New Roman" w:hAnsi="Times New Roman"/>
          <w:sz w:val="16"/>
          <w:szCs w:val="16"/>
          <w:color w:val="auto"/>
        </w:rPr>
        <w:t>and amortization expense in the Consolidated Statements of</w:t>
      </w:r>
    </w:p>
    <w:p>
      <w:pPr>
        <w:spacing w:after="0" w:line="203" w:lineRule="auto"/>
        <w:rPr>
          <w:sz w:val="20"/>
          <w:szCs w:val="20"/>
          <w:color w:val="auto"/>
        </w:rPr>
      </w:pPr>
      <w:r>
        <w:rPr>
          <w:rFonts w:ascii="Times New Roman" w:cs="Times New Roman" w:eastAsia="Times New Roman" w:hAnsi="Times New Roman"/>
          <w:sz w:val="16"/>
          <w:szCs w:val="16"/>
          <w:color w:val="auto"/>
        </w:rPr>
        <w:t>Income. We fully impaired our lease assets for locations that</w:t>
      </w:r>
    </w:p>
    <w:p>
      <w:pPr>
        <w:spacing w:after="0" w:line="204" w:lineRule="auto"/>
        <w:rPr>
          <w:sz w:val="20"/>
          <w:szCs w:val="20"/>
          <w:color w:val="auto"/>
        </w:rPr>
      </w:pPr>
      <w:r>
        <w:rPr>
          <w:rFonts w:ascii="Times New Roman" w:cs="Times New Roman" w:eastAsia="Times New Roman" w:hAnsi="Times New Roman"/>
          <w:sz w:val="16"/>
          <w:szCs w:val="16"/>
          <w:color w:val="auto"/>
        </w:rPr>
        <w:t>we vacated with no intention to sublease. Substantially all of</w:t>
      </w:r>
    </w:p>
    <w:p>
      <w:pPr>
        <w:spacing w:after="0" w:line="203" w:lineRule="auto"/>
        <w:rPr>
          <w:sz w:val="20"/>
          <w:szCs w:val="20"/>
          <w:color w:val="auto"/>
        </w:rPr>
      </w:pPr>
      <w:r>
        <w:rPr>
          <w:rFonts w:ascii="Times New Roman" w:cs="Times New Roman" w:eastAsia="Times New Roman" w:hAnsi="Times New Roman"/>
          <w:sz w:val="16"/>
          <w:szCs w:val="16"/>
          <w:color w:val="auto"/>
        </w:rPr>
        <w:t>the property, equipment and leasehold improvements</w:t>
      </w:r>
    </w:p>
    <w:p>
      <w:pPr>
        <w:spacing w:after="0" w:line="204" w:lineRule="auto"/>
        <w:rPr>
          <w:sz w:val="20"/>
          <w:szCs w:val="20"/>
          <w:color w:val="auto"/>
        </w:rPr>
      </w:pPr>
      <w:r>
        <w:rPr>
          <w:rFonts w:ascii="Times New Roman" w:cs="Times New Roman" w:eastAsia="Times New Roman" w:hAnsi="Times New Roman"/>
          <w:sz w:val="16"/>
          <w:szCs w:val="16"/>
          <w:color w:val="auto"/>
        </w:rPr>
        <w:t>associated with the vacated leased office space were fully</w:t>
      </w:r>
    </w:p>
    <w:p>
      <w:pPr>
        <w:spacing w:after="0" w:line="203" w:lineRule="auto"/>
        <w:rPr>
          <w:sz w:val="20"/>
          <w:szCs w:val="20"/>
          <w:color w:val="auto"/>
        </w:rPr>
      </w:pPr>
      <w:r>
        <w:rPr>
          <w:rFonts w:ascii="Times New Roman" w:cs="Times New Roman" w:eastAsia="Times New Roman" w:hAnsi="Times New Roman"/>
          <w:sz w:val="16"/>
          <w:szCs w:val="16"/>
          <w:color w:val="auto"/>
        </w:rPr>
        <w:t>impaired as there are no expected future cash flows for these</w:t>
      </w:r>
    </w:p>
    <w:p>
      <w:pPr>
        <w:spacing w:after="0" w:line="204" w:lineRule="auto"/>
        <w:rPr>
          <w:sz w:val="20"/>
          <w:szCs w:val="20"/>
          <w:color w:val="auto"/>
        </w:rPr>
      </w:pPr>
      <w:r>
        <w:rPr>
          <w:rFonts w:ascii="Times New Roman" w:cs="Times New Roman" w:eastAsia="Times New Roman" w:hAnsi="Times New Roman"/>
          <w:sz w:val="16"/>
          <w:szCs w:val="16"/>
          <w:color w:val="auto"/>
        </w:rPr>
        <w:t>items.</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reconciles the undiscounted cash flows</w:t>
      </w:r>
    </w:p>
    <w:p>
      <w:pPr>
        <w:spacing w:after="0" w:line="203" w:lineRule="auto"/>
        <w:rPr>
          <w:sz w:val="20"/>
          <w:szCs w:val="20"/>
          <w:color w:val="auto"/>
        </w:rPr>
      </w:pPr>
      <w:r>
        <w:rPr>
          <w:rFonts w:ascii="Times New Roman" w:cs="Times New Roman" w:eastAsia="Times New Roman" w:hAnsi="Times New Roman"/>
          <w:sz w:val="16"/>
          <w:szCs w:val="16"/>
          <w:color w:val="auto"/>
        </w:rPr>
        <w:t>for the following years and total of the remaining years to the</w:t>
      </w:r>
    </w:p>
    <w:p>
      <w:pPr>
        <w:spacing w:after="0" w:line="204" w:lineRule="auto"/>
        <w:rPr>
          <w:sz w:val="20"/>
          <w:szCs w:val="20"/>
          <w:color w:val="auto"/>
        </w:rPr>
      </w:pPr>
      <w:r>
        <w:rPr>
          <w:rFonts w:ascii="Times New Roman" w:cs="Times New Roman" w:eastAsia="Times New Roman" w:hAnsi="Times New Roman"/>
          <w:sz w:val="16"/>
          <w:szCs w:val="16"/>
          <w:color w:val="auto"/>
        </w:rPr>
        <w:t>operating lease liabilities recorded in the Consolidated</w:t>
      </w:r>
    </w:p>
    <w:p>
      <w:pPr>
        <w:spacing w:after="0"/>
        <w:rPr>
          <w:sz w:val="20"/>
          <w:szCs w:val="20"/>
          <w:color w:val="auto"/>
        </w:rPr>
      </w:pPr>
      <w:r>
        <w:rPr>
          <w:rFonts w:ascii="Times New Roman" w:cs="Times New Roman" w:eastAsia="Times New Roman" w:hAnsi="Times New Roman"/>
          <w:sz w:val="16"/>
          <w:szCs w:val="16"/>
          <w:color w:val="auto"/>
        </w:rPr>
        <w:t>Balance Sheets.</w:t>
      </w:r>
    </w:p>
    <w:p>
      <w:pPr>
        <w:sectPr>
          <w:pgSz w:w="11900" w:h="16840" w:orient="portrait"/>
          <w:cols w:equalWidth="0" w:num="1">
            <w:col w:w="9400"/>
          </w:cols>
          <w:pgMar w:left="1060" w:top="547"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42"/>
        </w:trPr>
        <w:tc>
          <w:tcPr>
            <w:tcW w:w="2800" w:type="dxa"/>
            <w:vAlign w:val="bottom"/>
          </w:tcPr>
          <w:p>
            <w:pPr>
              <w:spacing w:after="0"/>
              <w:rPr>
                <w:sz w:val="12"/>
                <w:szCs w:val="12"/>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52"/>
        </w:trPr>
        <w:tc>
          <w:tcPr>
            <w:tcW w:w="28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134"/>
        </w:trPr>
        <w:tc>
          <w:tcPr>
            <w:tcW w:w="28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00" w:type="dxa"/>
            <w:vAlign w:val="bottom"/>
          </w:tcPr>
          <w:p>
            <w:pPr>
              <w:spacing w:after="0"/>
              <w:rPr>
                <w:sz w:val="11"/>
                <w:szCs w:val="11"/>
                <w:color w:val="auto"/>
              </w:rPr>
            </w:pPr>
          </w:p>
        </w:tc>
      </w:tr>
      <w:tr>
        <w:trPr>
          <w:trHeight w:val="38"/>
        </w:trPr>
        <w:tc>
          <w:tcPr>
            <w:tcW w:w="2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9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80</w:t>
            </w:r>
          </w:p>
        </w:tc>
      </w:tr>
      <w:tr>
        <w:trPr>
          <w:trHeight w:val="192"/>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Pr>
          <w:p>
            <w:pPr>
              <w:spacing w:after="0"/>
              <w:rPr>
                <w:sz w:val="16"/>
                <w:szCs w:val="16"/>
                <w:color w:val="auto"/>
              </w:rPr>
            </w:pPr>
          </w:p>
        </w:tc>
        <w:tc>
          <w:tcPr>
            <w:tcW w:w="5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81</w:t>
            </w:r>
          </w:p>
        </w:tc>
      </w:tr>
      <w:tr>
        <w:trPr>
          <w:trHeight w:val="19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77</w:t>
            </w:r>
          </w:p>
        </w:tc>
      </w:tr>
      <w:tr>
        <w:trPr>
          <w:trHeight w:val="192"/>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tcPr>
          <w:p>
            <w:pPr>
              <w:spacing w:after="0"/>
              <w:rPr>
                <w:sz w:val="16"/>
                <w:szCs w:val="16"/>
                <w:color w:val="auto"/>
              </w:rPr>
            </w:pPr>
          </w:p>
        </w:tc>
        <w:tc>
          <w:tcPr>
            <w:tcW w:w="5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75</w:t>
            </w:r>
          </w:p>
        </w:tc>
      </w:tr>
      <w:tr>
        <w:trPr>
          <w:trHeight w:val="19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69</w:t>
            </w:r>
          </w:p>
        </w:tc>
      </w:tr>
      <w:tr>
        <w:trPr>
          <w:trHeight w:val="192"/>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2031+</w:t>
            </w:r>
          </w:p>
        </w:tc>
        <w:tc>
          <w:tcPr>
            <w:tcW w:w="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242</w:t>
            </w:r>
          </w:p>
        </w:tc>
      </w:tr>
      <w:tr>
        <w:trPr>
          <w:trHeight w:val="172"/>
        </w:trPr>
        <w:tc>
          <w:tcPr>
            <w:tcW w:w="2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lease payments</w:t>
            </w:r>
          </w:p>
        </w:tc>
        <w:tc>
          <w:tcPr>
            <w:tcW w:w="6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rPr>
              <w:t>624</w:t>
            </w:r>
          </w:p>
        </w:tc>
      </w:tr>
      <w:tr>
        <w:trPr>
          <w:trHeight w:val="192"/>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(102)</w:t>
            </w:r>
          </w:p>
        </w:tc>
      </w:tr>
      <w:tr>
        <w:trPr>
          <w:trHeight w:val="176"/>
        </w:trPr>
        <w:tc>
          <w:tcPr>
            <w:tcW w:w="280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Present value of lease liabilities</w:t>
            </w:r>
          </w:p>
        </w:tc>
        <w:tc>
          <w:tcPr>
            <w:tcW w:w="640" w:type="dxa"/>
            <w:vAlign w:val="bottom"/>
            <w:tcBorders>
              <w:bottom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rPr>
              <w:t>522</w:t>
            </w:r>
          </w:p>
        </w:tc>
      </w:tr>
    </w:tbl>
    <w:p>
      <w:pPr>
        <w:spacing w:after="0" w:line="225" w:lineRule="auto"/>
        <w:rPr>
          <w:sz w:val="20"/>
          <w:szCs w:val="20"/>
          <w:color w:val="auto"/>
        </w:rPr>
      </w:pPr>
      <w:r>
        <w:rPr>
          <w:rFonts w:ascii="Times New Roman" w:cs="Times New Roman" w:eastAsia="Times New Roman" w:hAnsi="Times New Roman"/>
          <w:sz w:val="16"/>
          <w:szCs w:val="16"/>
          <w:color w:val="auto"/>
        </w:rPr>
        <w:t>In the table above, interest is calculated using an incremental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-100965</wp:posOffset>
            </wp:positionV>
            <wp:extent cx="7239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borrowing rate for each lease. Present value of lease</w:t>
      </w:r>
    </w:p>
    <w:p>
      <w:pPr>
        <w:spacing w:after="0" w:line="203" w:lineRule="auto"/>
        <w:rPr>
          <w:sz w:val="20"/>
          <w:szCs w:val="20"/>
          <w:color w:val="auto"/>
        </w:rPr>
      </w:pPr>
      <w:r>
        <w:rPr>
          <w:rFonts w:ascii="Times New Roman" w:cs="Times New Roman" w:eastAsia="Times New Roman" w:hAnsi="Times New Roman"/>
          <w:sz w:val="16"/>
          <w:szCs w:val="16"/>
          <w:color w:val="auto"/>
        </w:rPr>
        <w:t>liabilities includes the current portion of $60 million.</w:t>
      </w:r>
    </w:p>
    <w:p>
      <w:pPr>
        <w:spacing w:after="0" w:line="204" w:lineRule="auto"/>
        <w:rPr>
          <w:sz w:val="20"/>
          <w:szCs w:val="20"/>
          <w:color w:val="auto"/>
        </w:rPr>
      </w:pPr>
      <w:r>
        <w:rPr>
          <w:rFonts w:ascii="Times New Roman" w:cs="Times New Roman" w:eastAsia="Times New Roman" w:hAnsi="Times New Roman"/>
          <w:sz w:val="16"/>
          <w:szCs w:val="16"/>
          <w:color w:val="auto"/>
        </w:rPr>
        <w:t>Total lease payments in the table above excludes $14 million</w:t>
      </w:r>
    </w:p>
    <w:p>
      <w:pPr>
        <w:spacing w:after="0" w:line="203" w:lineRule="auto"/>
        <w:rPr>
          <w:sz w:val="20"/>
          <w:szCs w:val="20"/>
          <w:color w:val="auto"/>
        </w:rPr>
      </w:pPr>
      <w:r>
        <w:rPr>
          <w:rFonts w:ascii="Times New Roman" w:cs="Times New Roman" w:eastAsia="Times New Roman" w:hAnsi="Times New Roman"/>
          <w:sz w:val="16"/>
          <w:szCs w:val="16"/>
          <w:color w:val="auto"/>
        </w:rPr>
        <w:t>of legally binding minimum lease payments for leases signed</w:t>
      </w:r>
    </w:p>
    <w:p>
      <w:pPr>
        <w:spacing w:after="0" w:line="204" w:lineRule="auto"/>
        <w:rPr>
          <w:sz w:val="20"/>
          <w:szCs w:val="20"/>
          <w:color w:val="auto"/>
        </w:rPr>
      </w:pPr>
      <w:r>
        <w:rPr>
          <w:rFonts w:ascii="Times New Roman" w:cs="Times New Roman" w:eastAsia="Times New Roman" w:hAnsi="Times New Roman"/>
          <w:sz w:val="16"/>
          <w:szCs w:val="16"/>
          <w:color w:val="auto"/>
        </w:rPr>
        <w:t>but not yet commenced.</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provides information related to Nasdaq’s</w:t>
      </w:r>
    </w:p>
    <w:p>
      <w:pPr>
        <w:spacing w:after="0" w:line="228" w:lineRule="auto"/>
        <w:rPr>
          <w:sz w:val="20"/>
          <w:szCs w:val="20"/>
          <w:color w:val="auto"/>
        </w:rPr>
      </w:pPr>
      <w:r>
        <w:rPr>
          <w:rFonts w:ascii="Times New Roman" w:cs="Times New Roman" w:eastAsia="Times New Roman" w:hAnsi="Times New Roman"/>
          <w:sz w:val="16"/>
          <w:szCs w:val="16"/>
          <w:color w:val="auto"/>
        </w:rPr>
        <w:t>lease term and discount rate:</w:t>
      </w:r>
    </w:p>
    <w:p>
      <w:pPr>
        <w:ind w:left="28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Weighted-average remaining lease term</w:t>
            </w:r>
          </w:p>
        </w:tc>
        <w:tc>
          <w:tcPr>
            <w:tcW w:w="116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8.4</w:t>
            </w:r>
          </w:p>
        </w:tc>
      </w:tr>
      <w:tr>
        <w:trPr>
          <w:trHeight w:val="235"/>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 years)</w:t>
            </w:r>
          </w:p>
        </w:tc>
        <w:tc>
          <w:tcPr>
            <w:tcW w:w="1160" w:type="dxa"/>
            <w:vAlign w:val="bottom"/>
            <w:tcBorders>
              <w:bottom w:val="single" w:sz="8" w:color="auto"/>
            </w:tcBorders>
            <w:shd w:val="clear" w:color="auto" w:fill="CCEEFF"/>
          </w:tcPr>
          <w:p>
            <w:pPr>
              <w:spacing w:after="0"/>
              <w:rPr>
                <w:sz w:val="19"/>
                <w:szCs w:val="19"/>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8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184"/>
        </w:trPr>
        <w:tc>
          <w:tcPr>
            <w:tcW w:w="28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Weighted-average discount rate</w:t>
            </w:r>
          </w:p>
        </w:tc>
        <w:tc>
          <w:tcPr>
            <w:tcW w:w="1160" w:type="dxa"/>
            <w:vAlign w:val="bottom"/>
            <w:tcBorders>
              <w:bottom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4.2 %</w:t>
            </w:r>
          </w:p>
        </w:tc>
      </w:tr>
    </w:tbl>
    <w:p>
      <w:pPr>
        <w:spacing w:after="0" w:line="225" w:lineRule="auto"/>
        <w:rPr>
          <w:sz w:val="20"/>
          <w:szCs w:val="20"/>
          <w:color w:val="auto"/>
        </w:rPr>
      </w:pPr>
      <w:r>
        <w:rPr>
          <w:rFonts w:ascii="Times New Roman" w:cs="Times New Roman" w:eastAsia="Times New Roman" w:hAnsi="Times New Roman"/>
          <w:sz w:val="16"/>
          <w:szCs w:val="16"/>
          <w:color w:val="auto"/>
        </w:rPr>
        <w:t>The following table provides supplemental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-100965</wp:posOffset>
            </wp:positionV>
            <wp:extent cx="73914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39140" cy="7620"/>
                    </a:xfrm>
                    <a:prstGeom prst="rect">
                      <a:avLst/>
                    </a:prstGeom>
                    <a:noFill/>
                  </pic:spPr>
                </pic:pic>
              </a:graphicData>
            </a:graphic>
          </wp:anchor>
        </w:drawing>
      </w:r>
    </w:p>
    <w:p>
      <w:pPr>
        <w:spacing w:after="0" w:line="228" w:lineRule="auto"/>
        <w:rPr>
          <w:sz w:val="20"/>
          <w:szCs w:val="20"/>
          <w:color w:val="auto"/>
        </w:rPr>
      </w:pPr>
      <w:r>
        <w:rPr>
          <w:rFonts w:ascii="Times New Roman" w:cs="Times New Roman" w:eastAsia="Times New Roman" w:hAnsi="Times New Roman"/>
          <w:sz w:val="16"/>
          <w:szCs w:val="16"/>
          <w:color w:val="auto"/>
        </w:rPr>
        <w:t>information related to Nasdaq’s operating leases:</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1457325</wp:posOffset>
            </wp:positionH>
            <wp:positionV relativeFrom="paragraph">
              <wp:posOffset>34290</wp:posOffset>
            </wp:positionV>
            <wp:extent cx="108204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1082040" cy="7620"/>
                    </a:xfrm>
                    <a:prstGeom prst="rect">
                      <a:avLst/>
                    </a:prstGeom>
                    <a:noFill/>
                  </pic:spPr>
                </pic:pic>
              </a:graphicData>
            </a:graphic>
          </wp:anchor>
        </w:drawing>
      </w:r>
    </w:p>
    <w:p>
      <w:pPr>
        <w:spacing w:after="0" w:line="44" w:lineRule="exact"/>
        <w:rPr>
          <w:sz w:val="20"/>
          <w:szCs w:val="20"/>
          <w:color w:val="auto"/>
        </w:rPr>
      </w:pPr>
    </w:p>
    <w:p>
      <w:pPr>
        <w:ind w:left="2300"/>
        <w:spacing w:after="0"/>
        <w:tabs>
          <w:tab w:leader="none" w:pos="2860" w:val="left"/>
          <w:tab w:leader="none" w:pos="344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1457325</wp:posOffset>
            </wp:positionH>
            <wp:positionV relativeFrom="paragraph">
              <wp:posOffset>35560</wp:posOffset>
            </wp:positionV>
            <wp:extent cx="108204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1082040" cy="7620"/>
                    </a:xfrm>
                    <a:prstGeom prst="rect">
                      <a:avLst/>
                    </a:prstGeom>
                    <a:noFill/>
                  </pic:spPr>
                </pic:pic>
              </a:graphicData>
            </a:graphic>
          </wp:anchor>
        </w:drawing>
      </w:r>
    </w:p>
    <w:p>
      <w:pPr>
        <w:spacing w:after="0" w:line="4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amounts included</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   83</w:t>
            </w: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   84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2545715" cy="3276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2545715" cy="32766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in the measurement of operating</w:t>
      </w:r>
    </w:p>
    <w:p>
      <w:pPr>
        <w:spacing w:after="0"/>
        <w:rPr>
          <w:sz w:val="20"/>
          <w:szCs w:val="20"/>
          <w:color w:val="auto"/>
        </w:rPr>
      </w:pPr>
      <w:r>
        <w:rPr>
          <w:rFonts w:ascii="Times New Roman" w:cs="Times New Roman" w:eastAsia="Times New Roman" w:hAnsi="Times New Roman"/>
          <w:sz w:val="16"/>
          <w:szCs w:val="16"/>
          <w:color w:val="auto"/>
        </w:rPr>
        <w:t>lease liabilities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F-38</w:t>
      </w:r>
    </w:p>
    <w:p>
      <w:pPr>
        <w:spacing w:after="0" w:line="203" w:lineRule="auto"/>
        <w:rPr>
          <w:sz w:val="20"/>
          <w:szCs w:val="20"/>
          <w:color w:val="auto"/>
        </w:rPr>
      </w:pPr>
      <w:r>
        <w:rPr>
          <w:rFonts w:ascii="Times New Roman" w:cs="Times New Roman" w:eastAsia="Times New Roman" w:hAnsi="Times New Roman"/>
          <w:sz w:val="16"/>
          <w:szCs w:val="16"/>
          <w:color w:val="auto"/>
        </w:rPr>
        <w:t>We have determined that undistributed earnings of certain</w:t>
      </w:r>
    </w:p>
    <w:p>
      <w:pPr>
        <w:spacing w:after="0" w:line="204" w:lineRule="auto"/>
        <w:rPr>
          <w:sz w:val="20"/>
          <w:szCs w:val="20"/>
          <w:color w:val="auto"/>
        </w:rPr>
      </w:pPr>
      <w:r>
        <w:rPr>
          <w:rFonts w:ascii="Times New Roman" w:cs="Times New Roman" w:eastAsia="Times New Roman" w:hAnsi="Times New Roman"/>
          <w:sz w:val="16"/>
          <w:szCs w:val="16"/>
          <w:color w:val="auto"/>
        </w:rPr>
        <w:t>non-U.S. subsidiaries are not considered indefinitely</w:t>
      </w:r>
    </w:p>
    <w:p>
      <w:pPr>
        <w:spacing w:after="0" w:line="203" w:lineRule="auto"/>
        <w:rPr>
          <w:sz w:val="20"/>
          <w:szCs w:val="20"/>
          <w:color w:val="auto"/>
        </w:rPr>
      </w:pPr>
      <w:r>
        <w:rPr>
          <w:rFonts w:ascii="Times New Roman" w:cs="Times New Roman" w:eastAsia="Times New Roman" w:hAnsi="Times New Roman"/>
          <w:sz w:val="16"/>
          <w:szCs w:val="16"/>
          <w:color w:val="auto"/>
        </w:rPr>
        <w:t>reinvested and would not give rise to a material tax liability</w:t>
      </w:r>
    </w:p>
    <w:p>
      <w:pPr>
        <w:spacing w:after="0" w:line="204" w:lineRule="auto"/>
        <w:rPr>
          <w:sz w:val="20"/>
          <w:szCs w:val="20"/>
          <w:color w:val="auto"/>
        </w:rPr>
      </w:pPr>
      <w:r>
        <w:rPr>
          <w:rFonts w:ascii="Times New Roman" w:cs="Times New Roman" w:eastAsia="Times New Roman" w:hAnsi="Times New Roman"/>
          <w:sz w:val="16"/>
          <w:szCs w:val="16"/>
          <w:color w:val="auto"/>
        </w:rPr>
        <w:t>when remitted. Nasdaq continues to indefinitely reinvest all</w:t>
      </w:r>
    </w:p>
    <w:p>
      <w:pPr>
        <w:spacing w:after="0" w:line="203" w:lineRule="auto"/>
        <w:rPr>
          <w:sz w:val="20"/>
          <w:szCs w:val="20"/>
          <w:color w:val="auto"/>
        </w:rPr>
      </w:pPr>
      <w:r>
        <w:rPr>
          <w:rFonts w:ascii="Times New Roman" w:cs="Times New Roman" w:eastAsia="Times New Roman" w:hAnsi="Times New Roman"/>
          <w:sz w:val="16"/>
          <w:szCs w:val="16"/>
          <w:color w:val="auto"/>
        </w:rPr>
        <w:t>other outside basis differences to the extent reversal would</w:t>
      </w:r>
    </w:p>
    <w:p>
      <w:pPr>
        <w:spacing w:after="0" w:line="204" w:lineRule="auto"/>
        <w:rPr>
          <w:sz w:val="20"/>
          <w:szCs w:val="20"/>
          <w:color w:val="auto"/>
        </w:rPr>
      </w:pPr>
      <w:r>
        <w:rPr>
          <w:rFonts w:ascii="Times New Roman" w:cs="Times New Roman" w:eastAsia="Times New Roman" w:hAnsi="Times New Roman"/>
          <w:sz w:val="16"/>
          <w:szCs w:val="16"/>
          <w:color w:val="auto"/>
        </w:rPr>
        <w:t>incur a significant tax liability. A determination of an</w:t>
      </w:r>
    </w:p>
    <w:p>
      <w:pPr>
        <w:spacing w:after="0" w:line="203" w:lineRule="auto"/>
        <w:rPr>
          <w:sz w:val="20"/>
          <w:szCs w:val="20"/>
          <w:color w:val="auto"/>
        </w:rPr>
      </w:pPr>
      <w:r>
        <w:rPr>
          <w:rFonts w:ascii="Times New Roman" w:cs="Times New Roman" w:eastAsia="Times New Roman" w:hAnsi="Times New Roman"/>
          <w:sz w:val="16"/>
          <w:szCs w:val="16"/>
          <w:color w:val="auto"/>
        </w:rPr>
        <w:t>unrecognized deferred tax liability related to such outside</w:t>
      </w:r>
    </w:p>
    <w:p>
      <w:pPr>
        <w:spacing w:after="0" w:line="204" w:lineRule="auto"/>
        <w:rPr>
          <w:sz w:val="20"/>
          <w:szCs w:val="20"/>
          <w:color w:val="auto"/>
        </w:rPr>
      </w:pPr>
      <w:r>
        <w:rPr>
          <w:rFonts w:ascii="Times New Roman" w:cs="Times New Roman" w:eastAsia="Times New Roman" w:hAnsi="Times New Roman"/>
          <w:sz w:val="16"/>
          <w:szCs w:val="16"/>
          <w:color w:val="auto"/>
        </w:rPr>
        <w:t>basis differences is not practicable.</w:t>
      </w:r>
    </w:p>
    <w:p>
      <w:pPr>
        <w:spacing w:after="0" w:line="203" w:lineRule="auto"/>
        <w:rPr>
          <w:sz w:val="20"/>
          <w:szCs w:val="20"/>
          <w:color w:val="auto"/>
        </w:rPr>
      </w:pPr>
      <w:r>
        <w:rPr>
          <w:rFonts w:ascii="Times New Roman" w:cs="Times New Roman" w:eastAsia="Times New Roman" w:hAnsi="Times New Roman"/>
          <w:sz w:val="16"/>
          <w:szCs w:val="16"/>
          <w:color w:val="auto"/>
        </w:rPr>
        <w:t>In 2025, we adopted ASU 2023-09 on a prospective basis.</w:t>
      </w:r>
    </w:p>
    <w:p>
      <w:pPr>
        <w:spacing w:after="0" w:line="204" w:lineRule="auto"/>
        <w:rPr>
          <w:sz w:val="20"/>
          <w:szCs w:val="20"/>
          <w:color w:val="auto"/>
        </w:rPr>
      </w:pPr>
      <w:r>
        <w:rPr>
          <w:rFonts w:ascii="Times New Roman" w:cs="Times New Roman" w:eastAsia="Times New Roman" w:hAnsi="Times New Roman"/>
          <w:sz w:val="16"/>
          <w:szCs w:val="16"/>
          <w:color w:val="auto"/>
        </w:rPr>
        <w:t>See “Recently Adopted Accounting Pronouncements” of</w:t>
      </w:r>
    </w:p>
    <w:p>
      <w:pPr>
        <w:spacing w:after="0" w:line="204" w:lineRule="auto"/>
        <w:rPr>
          <w:sz w:val="20"/>
          <w:szCs w:val="20"/>
          <w:color w:val="auto"/>
        </w:rPr>
      </w:pPr>
      <w:r>
        <w:rPr>
          <w:rFonts w:ascii="Times New Roman" w:cs="Times New Roman" w:eastAsia="Times New Roman" w:hAnsi="Times New Roman"/>
          <w:sz w:val="16"/>
          <w:szCs w:val="16"/>
          <w:color w:val="auto"/>
        </w:rPr>
        <w:t>Note 2, “Summary of Significant Accounting Policies” for</w:t>
      </w:r>
    </w:p>
    <w:p>
      <w:pPr>
        <w:spacing w:after="0" w:line="203" w:lineRule="auto"/>
        <w:rPr>
          <w:sz w:val="20"/>
          <w:szCs w:val="20"/>
          <w:color w:val="auto"/>
        </w:rPr>
      </w:pPr>
      <w:r>
        <w:rPr>
          <w:rFonts w:ascii="Times New Roman" w:cs="Times New Roman" w:eastAsia="Times New Roman" w:hAnsi="Times New Roman"/>
          <w:sz w:val="16"/>
          <w:szCs w:val="16"/>
          <w:color w:val="auto"/>
        </w:rPr>
        <w:t>further discussion. A reconciliation of the income tax</w:t>
      </w:r>
    </w:p>
    <w:p>
      <w:pPr>
        <w:spacing w:after="0" w:line="204" w:lineRule="auto"/>
        <w:rPr>
          <w:sz w:val="20"/>
          <w:szCs w:val="20"/>
          <w:color w:val="auto"/>
        </w:rPr>
      </w:pPr>
      <w:r>
        <w:rPr>
          <w:rFonts w:ascii="Times New Roman" w:cs="Times New Roman" w:eastAsia="Times New Roman" w:hAnsi="Times New Roman"/>
          <w:sz w:val="16"/>
          <w:szCs w:val="16"/>
          <w:color w:val="auto"/>
        </w:rPr>
        <w:t>provision, based on the U.S. federal statutory rate, to our</w:t>
      </w:r>
    </w:p>
    <w:p>
      <w:pPr>
        <w:spacing w:after="0" w:line="203" w:lineRule="auto"/>
        <w:rPr>
          <w:sz w:val="20"/>
          <w:szCs w:val="20"/>
          <w:color w:val="auto"/>
        </w:rPr>
      </w:pPr>
      <w:r>
        <w:rPr>
          <w:rFonts w:ascii="Times New Roman" w:cs="Times New Roman" w:eastAsia="Times New Roman" w:hAnsi="Times New Roman"/>
          <w:sz w:val="16"/>
          <w:szCs w:val="16"/>
          <w:color w:val="auto"/>
        </w:rPr>
        <w:t>actual income tax provision for the year December 31, 2025</w:t>
      </w:r>
    </w:p>
    <w:p>
      <w:pPr>
        <w:spacing w:after="0" w:line="228" w:lineRule="auto"/>
        <w:rPr>
          <w:sz w:val="20"/>
          <w:szCs w:val="20"/>
          <w:color w:val="auto"/>
        </w:rPr>
      </w:pPr>
      <w:r>
        <w:rPr>
          <w:rFonts w:ascii="Times New Roman" w:cs="Times New Roman" w:eastAsia="Times New Roman" w:hAnsi="Times New Roman"/>
          <w:sz w:val="16"/>
          <w:szCs w:val="16"/>
          <w:color w:val="auto"/>
        </w:rPr>
        <w:t>is as follows:</w:t>
      </w:r>
    </w:p>
    <w:p>
      <w:pPr>
        <w:ind w:left="2760"/>
        <w:spacing w:after="0" w:line="206" w:lineRule="auto"/>
        <w:rPr>
          <w:sz w:val="20"/>
          <w:szCs w:val="20"/>
          <w:color w:val="auto"/>
        </w:rPr>
      </w:pPr>
      <w:r>
        <w:rPr>
          <w:rFonts w:ascii="Times New Roman" w:cs="Times New Roman" w:eastAsia="Times New Roman" w:hAnsi="Times New Roman"/>
          <w:sz w:val="11"/>
          <w:szCs w:val="11"/>
          <w:b w:val="1"/>
          <w:bCs w:val="1"/>
          <w:color w:val="auto"/>
        </w:rPr>
        <w:t>Year Ended</w:t>
      </w:r>
    </w:p>
    <w:p>
      <w:pPr>
        <w:ind w:left="276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34290</wp:posOffset>
            </wp:positionV>
            <wp:extent cx="8077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1"/>
          <w:szCs w:val="11"/>
          <w:b w:val="1"/>
          <w:bCs w:val="1"/>
          <w:color w:val="auto"/>
        </w:rPr>
        <w:t>($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income tax rate</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450</w:t>
            </w:r>
          </w:p>
        </w:tc>
        <w:tc>
          <w:tcPr>
            <w:tcW w:w="6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21.0 %</w:t>
            </w:r>
          </w:p>
        </w:tc>
      </w:tr>
      <w:tr>
        <w:trPr>
          <w:trHeight w:val="144"/>
        </w:trPr>
        <w:tc>
          <w:tcPr>
            <w:tcW w:w="276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State and local income taxes, net of</w:t>
            </w:r>
          </w:p>
        </w:tc>
        <w:tc>
          <w:tcPr>
            <w:tcW w:w="180" w:type="dxa"/>
            <w:vAlign w:val="bottom"/>
          </w:tcPr>
          <w:p>
            <w:pPr>
              <w:spacing w:after="0"/>
              <w:rPr>
                <w:sz w:val="12"/>
                <w:szCs w:val="12"/>
                <w:color w:val="auto"/>
              </w:rPr>
            </w:pPr>
          </w:p>
        </w:tc>
        <w:tc>
          <w:tcPr>
            <w:tcW w:w="420" w:type="dxa"/>
            <w:vAlign w:val="bottom"/>
          </w:tcPr>
          <w:p>
            <w:pPr>
              <w:jc w:val="right"/>
              <w:ind w:right="22"/>
              <w:spacing w:after="0" w:line="144" w:lineRule="exact"/>
              <w:rPr>
                <w:sz w:val="20"/>
                <w:szCs w:val="20"/>
                <w:color w:val="auto"/>
              </w:rPr>
            </w:pPr>
            <w:r>
              <w:rPr>
                <w:rFonts w:ascii="Times New Roman" w:cs="Times New Roman" w:eastAsia="Times New Roman" w:hAnsi="Times New Roman"/>
                <w:sz w:val="16"/>
                <w:szCs w:val="16"/>
                <w:color w:val="auto"/>
              </w:rPr>
              <w:t>35</w:t>
            </w: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6"/>
                <w:szCs w:val="16"/>
                <w:color w:val="auto"/>
              </w:rPr>
              <w:t>1.4 %</w:t>
            </w: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federal income tax effect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5"/>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8"/>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credits:</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Energy-related tax credits</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(1.1)%</w:t>
            </w:r>
          </w:p>
        </w:tc>
      </w:tr>
      <w:tr>
        <w:trPr>
          <w:trHeight w:val="25"/>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8"/>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Change in unrecognized tax benefits</w:t>
            </w: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(0.6)%</w:t>
            </w:r>
          </w:p>
        </w:tc>
      </w:tr>
      <w:tr>
        <w:trPr>
          <w:trHeight w:val="25"/>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8"/>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5"/>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8"/>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Foreign-derived intangible income</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4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0.2 %</w:t>
            </w:r>
          </w:p>
        </w:tc>
      </w:tr>
      <w:tr>
        <w:trPr>
          <w:trHeight w:val="25"/>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8"/>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(0.2)%</w:t>
            </w:r>
          </w:p>
        </w:tc>
      </w:tr>
      <w:tr>
        <w:trPr>
          <w:trHeight w:val="19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358</w:t>
            </w:r>
          </w:p>
        </w:tc>
        <w:tc>
          <w:tcPr>
            <w:tcW w:w="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-6350</wp:posOffset>
            </wp:positionV>
            <wp:extent cx="80772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 the table above, the majority of state and local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-101600</wp:posOffset>
            </wp:positionV>
            <wp:extent cx="80772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taxes include New York State and New York City. In 2025,</w:t>
      </w:r>
    </w:p>
    <w:p>
      <w:pPr>
        <w:spacing w:after="0" w:line="204" w:lineRule="auto"/>
        <w:rPr>
          <w:sz w:val="20"/>
          <w:szCs w:val="20"/>
          <w:color w:val="auto"/>
        </w:rPr>
      </w:pPr>
      <w:r>
        <w:rPr>
          <w:rFonts w:ascii="Times New Roman" w:cs="Times New Roman" w:eastAsia="Times New Roman" w:hAnsi="Times New Roman"/>
          <w:sz w:val="16"/>
          <w:szCs w:val="16"/>
          <w:color w:val="auto"/>
        </w:rPr>
        <w:t>energy-related tax credits includes an $8 million benefit</w:t>
      </w:r>
    </w:p>
    <w:p>
      <w:pPr>
        <w:spacing w:after="0" w:line="203" w:lineRule="auto"/>
        <w:rPr>
          <w:sz w:val="20"/>
          <w:szCs w:val="20"/>
          <w:color w:val="auto"/>
        </w:rPr>
      </w:pPr>
      <w:r>
        <w:rPr>
          <w:rFonts w:ascii="Times New Roman" w:cs="Times New Roman" w:eastAsia="Times New Roman" w:hAnsi="Times New Roman"/>
          <w:sz w:val="16"/>
          <w:szCs w:val="16"/>
          <w:color w:val="auto"/>
        </w:rPr>
        <w:t>related to a carryback to a prior tax year.</w:t>
      </w:r>
    </w:p>
    <w:p>
      <w:pPr>
        <w:spacing w:after="0" w:line="204" w:lineRule="auto"/>
        <w:rPr>
          <w:sz w:val="20"/>
          <w:szCs w:val="20"/>
          <w:color w:val="auto"/>
        </w:rPr>
      </w:pPr>
      <w:r>
        <w:rPr>
          <w:rFonts w:ascii="Times New Roman" w:cs="Times New Roman" w:eastAsia="Times New Roman" w:hAnsi="Times New Roman"/>
          <w:sz w:val="16"/>
          <w:szCs w:val="16"/>
          <w:color w:val="auto"/>
        </w:rPr>
        <w:t>A reconciliation of the income tax provision, based on the</w:t>
      </w:r>
    </w:p>
    <w:p>
      <w:pPr>
        <w:spacing w:after="0" w:line="203" w:lineRule="auto"/>
        <w:rPr>
          <w:sz w:val="20"/>
          <w:szCs w:val="20"/>
          <w:color w:val="auto"/>
        </w:rPr>
      </w:pPr>
      <w:r>
        <w:rPr>
          <w:rFonts w:ascii="Times New Roman" w:cs="Times New Roman" w:eastAsia="Times New Roman" w:hAnsi="Times New Roman"/>
          <w:sz w:val="16"/>
          <w:szCs w:val="16"/>
          <w:color w:val="auto"/>
        </w:rPr>
        <w:t>U.S. federal statutory rate, to our actual income tax provision</w:t>
      </w:r>
    </w:p>
    <w:p>
      <w:pPr>
        <w:spacing w:after="0" w:line="204" w:lineRule="auto"/>
        <w:rPr>
          <w:sz w:val="20"/>
          <w:szCs w:val="20"/>
          <w:color w:val="auto"/>
        </w:rPr>
      </w:pPr>
      <w:r>
        <w:rPr>
          <w:rFonts w:ascii="Times New Roman" w:cs="Times New Roman" w:eastAsia="Times New Roman" w:hAnsi="Times New Roman"/>
          <w:sz w:val="16"/>
          <w:szCs w:val="16"/>
          <w:color w:val="auto"/>
        </w:rPr>
        <w:t>for the years ended December 31, 2024 and 2023 is as</w:t>
      </w:r>
    </w:p>
    <w:p>
      <w:pPr>
        <w:spacing w:after="0"/>
        <w:rPr>
          <w:sz w:val="20"/>
          <w:szCs w:val="20"/>
          <w:color w:val="auto"/>
        </w:rPr>
      </w:pPr>
      <w:r>
        <w:rPr>
          <w:rFonts w:ascii="Times New Roman" w:cs="Times New Roman" w:eastAsia="Times New Roman" w:hAnsi="Times New Roman"/>
          <w:sz w:val="16"/>
          <w:szCs w:val="16"/>
          <w:color w:val="auto"/>
        </w:rPr>
        <w:t>follows:</w:t>
      </w:r>
    </w:p>
    <w:p>
      <w:pPr>
        <w:sectPr>
          <w:pgSz w:w="11900" w:h="16840" w:orient="portrait"/>
          <w:cols w:equalWidth="0" w:num="1">
            <w:col w:w="9400"/>
          </w:cols>
          <w:pgMar w:left="1060" w:top="567"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40"/>
        </w:trPr>
        <w:tc>
          <w:tcPr>
            <w:tcW w:w="24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34"/>
        </w:trPr>
        <w:tc>
          <w:tcPr>
            <w:tcW w:w="248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50"/>
        </w:trPr>
        <w:tc>
          <w:tcPr>
            <w:tcW w:w="24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36"/>
        </w:trPr>
        <w:tc>
          <w:tcPr>
            <w:tcW w:w="24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Federal income tax provision at the</w:t>
            </w:r>
          </w:p>
        </w:tc>
        <w:tc>
          <w:tcPr>
            <w:tcW w:w="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21.0 %</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21.0 %</w:t>
            </w:r>
          </w:p>
        </w:tc>
      </w:tr>
      <w:tr>
        <w:trPr>
          <w:trHeight w:val="19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rate</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44"/>
        </w:trPr>
        <w:tc>
          <w:tcPr>
            <w:tcW w:w="24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State income tax provision, net of</w:t>
            </w:r>
          </w:p>
        </w:tc>
        <w:tc>
          <w:tcPr>
            <w:tcW w:w="74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2.9 %</w:t>
            </w:r>
          </w:p>
        </w:tc>
        <w:tc>
          <w:tcPr>
            <w:tcW w:w="8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6"/>
                <w:szCs w:val="16"/>
                <w:color w:val="auto"/>
              </w:rPr>
              <w:t>3.2 %</w:t>
            </w:r>
          </w:p>
        </w:tc>
      </w:tr>
      <w:tr>
        <w:trPr>
          <w:trHeight w:val="204"/>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federal effect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45"/>
        </w:trPr>
        <w:tc>
          <w:tcPr>
            <w:tcW w:w="2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Excess tax benefits related to</w:t>
            </w:r>
          </w:p>
        </w:tc>
        <w:tc>
          <w:tcPr>
            <w:tcW w:w="7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(0.3)%</w:t>
            </w:r>
          </w:p>
        </w:tc>
        <w:tc>
          <w:tcPr>
            <w:tcW w:w="80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6"/>
                <w:szCs w:val="16"/>
                <w:color w:val="auto"/>
              </w:rPr>
              <w:t>(0.7)%</w:t>
            </w:r>
          </w:p>
        </w:tc>
      </w:tr>
      <w:tr>
        <w:trPr>
          <w:trHeight w:val="156"/>
        </w:trPr>
        <w:tc>
          <w:tcPr>
            <w:tcW w:w="24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employee share-based</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4"/>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Non-U.S. subsidiary earnings</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1.6 %</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2.5 %</w:t>
            </w:r>
          </w:p>
        </w:tc>
      </w:tr>
      <w:tr>
        <w:trPr>
          <w:trHeight w:val="20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credits and deductions</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(1.7)%</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(0.2)%</w:t>
            </w:r>
          </w:p>
        </w:tc>
      </w:tr>
      <w:tr>
        <w:trPr>
          <w:trHeight w:val="204"/>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Change in unrecognized tax benefits</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0.4 %</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1.0 %</w:t>
            </w:r>
          </w:p>
        </w:tc>
      </w:tr>
      <w:tr>
        <w:trPr>
          <w:trHeight w:val="145"/>
        </w:trPr>
        <w:tc>
          <w:tcPr>
            <w:tcW w:w="2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Deduction for foreign derived</w:t>
            </w:r>
          </w:p>
        </w:tc>
        <w:tc>
          <w:tcPr>
            <w:tcW w:w="7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(2.8)%</w:t>
            </w:r>
          </w:p>
        </w:tc>
        <w:tc>
          <w:tcPr>
            <w:tcW w:w="80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6"/>
                <w:szCs w:val="16"/>
                <w:color w:val="auto"/>
              </w:rPr>
              <w:t>(1.6)%</w:t>
            </w:r>
          </w:p>
        </w:tc>
      </w:tr>
      <w:tr>
        <w:trPr>
          <w:trHeight w:val="208"/>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income</w:t>
            </w: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r>
      <w:tr>
        <w:trPr>
          <w:trHeight w:val="204"/>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Intra-group transfer of IP</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1.7 %</w:t>
            </w:r>
          </w:p>
        </w:tc>
        <w:tc>
          <w:tcPr>
            <w:tcW w:w="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w:t>
            </w:r>
          </w:p>
        </w:tc>
      </w:tr>
      <w:tr>
        <w:trPr>
          <w:trHeight w:val="85"/>
        </w:trPr>
        <w:tc>
          <w:tcPr>
            <w:tcW w:w="2480" w:type="dxa"/>
            <w:vAlign w:val="bottom"/>
            <w:shd w:val="clear" w:color="auto" w:fill="CCEEFF"/>
          </w:tcPr>
          <w:p>
            <w:pPr>
              <w:spacing w:after="0" w:line="65" w:lineRule="exact"/>
              <w:rPr>
                <w:sz w:val="20"/>
                <w:szCs w:val="20"/>
                <w:color w:val="auto"/>
              </w:rPr>
            </w:pPr>
            <w:r>
              <w:rPr>
                <w:rFonts w:ascii="Times New Roman" w:cs="Times New Roman" w:eastAsia="Times New Roman" w:hAnsi="Times New Roman"/>
                <w:sz w:val="7"/>
                <w:szCs w:val="7"/>
                <w:color w:val="auto"/>
              </w:rPr>
              <w:t>Other, net</w:t>
            </w:r>
          </w:p>
        </w:tc>
        <w:tc>
          <w:tcPr>
            <w:tcW w:w="740" w:type="dxa"/>
            <w:vAlign w:val="bottom"/>
            <w:shd w:val="clear" w:color="auto" w:fill="CCEEFF"/>
          </w:tcPr>
          <w:p>
            <w:pPr>
              <w:spacing w:after="0" w:line="65" w:lineRule="exact"/>
              <w:rPr>
                <w:sz w:val="20"/>
                <w:szCs w:val="20"/>
                <w:color w:val="auto"/>
              </w:rPr>
            </w:pPr>
            <w:r>
              <w:rPr>
                <w:rFonts w:ascii="Times New Roman" w:cs="Times New Roman" w:eastAsia="Times New Roman" w:hAnsi="Times New Roman"/>
                <w:sz w:val="7"/>
                <w:szCs w:val="7"/>
                <w:color w:val="auto"/>
              </w:rPr>
              <w:t>0.3 %</w:t>
            </w:r>
          </w:p>
        </w:tc>
        <w:tc>
          <w:tcPr>
            <w:tcW w:w="800" w:type="dxa"/>
            <w:vAlign w:val="bottom"/>
            <w:gridSpan w:val="2"/>
            <w:shd w:val="clear" w:color="auto" w:fill="CCEEFF"/>
          </w:tcPr>
          <w:p>
            <w:pPr>
              <w:ind w:left="80"/>
              <w:spacing w:after="0" w:line="65" w:lineRule="exact"/>
              <w:rPr>
                <w:sz w:val="20"/>
                <w:szCs w:val="20"/>
                <w:color w:val="auto"/>
              </w:rPr>
            </w:pPr>
            <w:r>
              <w:rPr>
                <w:rFonts w:ascii="Times New Roman" w:cs="Times New Roman" w:eastAsia="Times New Roman" w:hAnsi="Times New Roman"/>
                <w:sz w:val="7"/>
                <w:szCs w:val="7"/>
                <w:color w:val="auto"/>
              </w:rPr>
              <w:t>(0.6)%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F-39</w:t>
      </w:r>
    </w:p>
    <w:p>
      <w:pPr>
        <w:spacing w:after="0" w:line="203" w:lineRule="auto"/>
        <w:rPr>
          <w:sz w:val="20"/>
          <w:szCs w:val="20"/>
          <w:color w:val="auto"/>
        </w:rPr>
      </w:pPr>
      <w:r>
        <w:rPr>
          <w:rFonts w:ascii="Times New Roman" w:cs="Times New Roman" w:eastAsia="Times New Roman" w:hAnsi="Times New Roman"/>
          <w:sz w:val="16"/>
          <w:szCs w:val="16"/>
          <w:color w:val="auto"/>
        </w:rPr>
        <w:t>Cash paid for income taxes, net of refunds, for the years</w:t>
      </w:r>
    </w:p>
    <w:p>
      <w:pPr>
        <w:spacing w:after="0" w:line="204" w:lineRule="auto"/>
        <w:rPr>
          <w:sz w:val="20"/>
          <w:szCs w:val="20"/>
          <w:color w:val="auto"/>
        </w:rPr>
      </w:pPr>
      <w:r>
        <w:rPr>
          <w:rFonts w:ascii="Times New Roman" w:cs="Times New Roman" w:eastAsia="Times New Roman" w:hAnsi="Times New Roman"/>
          <w:sz w:val="16"/>
          <w:szCs w:val="16"/>
          <w:color w:val="auto"/>
        </w:rPr>
        <w:t>ended December 31, 2024 and 2023 was $358 million and</w:t>
      </w:r>
    </w:p>
    <w:p>
      <w:pPr>
        <w:spacing w:after="0" w:line="203" w:lineRule="auto"/>
        <w:rPr>
          <w:sz w:val="20"/>
          <w:szCs w:val="20"/>
          <w:color w:val="auto"/>
        </w:rPr>
      </w:pPr>
      <w:r>
        <w:rPr>
          <w:rFonts w:ascii="Times New Roman" w:cs="Times New Roman" w:eastAsia="Times New Roman" w:hAnsi="Times New Roman"/>
          <w:sz w:val="16"/>
          <w:szCs w:val="16"/>
          <w:color w:val="auto"/>
        </w:rPr>
        <w:t>$254 million, respectively.</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Deferred Income Taxes</w:t>
      </w:r>
    </w:p>
    <w:p>
      <w:pPr>
        <w:spacing w:after="0" w:line="203" w:lineRule="auto"/>
        <w:rPr>
          <w:sz w:val="20"/>
          <w:szCs w:val="20"/>
          <w:color w:val="auto"/>
        </w:rPr>
      </w:pPr>
      <w:r>
        <w:rPr>
          <w:rFonts w:ascii="Times New Roman" w:cs="Times New Roman" w:eastAsia="Times New Roman" w:hAnsi="Times New Roman"/>
          <w:sz w:val="16"/>
          <w:szCs w:val="16"/>
          <w:color w:val="auto"/>
        </w:rPr>
        <w:t>The temporary differences, which give rise to our deferred</w:t>
      </w:r>
    </w:p>
    <w:p>
      <w:pPr>
        <w:spacing w:after="0" w:line="228" w:lineRule="auto"/>
        <w:rPr>
          <w:sz w:val="20"/>
          <w:szCs w:val="20"/>
          <w:color w:val="auto"/>
        </w:rPr>
      </w:pPr>
      <w:r>
        <w:rPr>
          <w:rFonts w:ascii="Times New Roman" w:cs="Times New Roman" w:eastAsia="Times New Roman" w:hAnsi="Times New Roman"/>
          <w:sz w:val="16"/>
          <w:szCs w:val="16"/>
          <w:color w:val="auto"/>
        </w:rPr>
        <w:t>tax assets and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700" w:type="dxa"/>
            <w:vAlign w:val="bottom"/>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8"/>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6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revenues</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Foreign net operating loss</w:t>
            </w:r>
          </w:p>
        </w:tc>
        <w:tc>
          <w:tcPr>
            <w:tcW w:w="8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Capitalized research and development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2"/>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Federal capital loss</w:t>
            </w:r>
          </w:p>
        </w:tc>
        <w:tc>
          <w:tcPr>
            <w:tcW w:w="8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net operating loss</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8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interest expense</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Tax credits</w:t>
            </w:r>
          </w:p>
        </w:tc>
        <w:tc>
          <w:tcPr>
            <w:tcW w:w="8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Federal benefit of uncertain tax</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2"/>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positions</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37"/>
        </w:trPr>
        <w:tc>
          <w:tcPr>
            <w:tcW w:w="27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376</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
        </w:trPr>
        <w:tc>
          <w:tcPr>
            <w:tcW w:w="27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Total deferred tax assets, net of</w:t>
            </w:r>
          </w:p>
        </w:tc>
        <w:tc>
          <w:tcPr>
            <w:tcW w:w="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42"/>
              <w:spacing w:after="0" w:line="136" w:lineRule="exact"/>
              <w:rPr>
                <w:sz w:val="20"/>
                <w:szCs w:val="20"/>
                <w:color w:val="auto"/>
              </w:rPr>
            </w:pPr>
            <w:r>
              <w:rPr>
                <w:rFonts w:ascii="Times New Roman" w:cs="Times New Roman" w:eastAsia="Times New Roman" w:hAnsi="Times New Roman"/>
                <w:sz w:val="14"/>
                <w:szCs w:val="14"/>
                <w:color w:val="auto"/>
              </w:rPr>
              <w:t>375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42"/>
              <w:spacing w:after="0" w:line="136" w:lineRule="exact"/>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4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Amortization of acquired intangible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w w:val="94"/>
              </w:rPr>
              <w:t>(1,700)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w w:val="94"/>
              </w:rPr>
              <w:t>(1,698)</w:t>
            </w:r>
          </w:p>
        </w:tc>
        <w:tc>
          <w:tcPr>
            <w:tcW w:w="0" w:type="dxa"/>
            <w:vAlign w:val="bottom"/>
          </w:tcPr>
          <w:p>
            <w:pPr>
              <w:spacing w:after="0"/>
              <w:rPr>
                <w:sz w:val="1"/>
                <w:szCs w:val="1"/>
                <w:color w:val="auto"/>
              </w:rPr>
            </w:pPr>
          </w:p>
        </w:tc>
      </w:tr>
      <w:tr>
        <w:trPr>
          <w:trHeight w:val="232"/>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and goodwill</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Capitalized research and development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7"/>
        </w:trPr>
        <w:tc>
          <w:tcPr>
            <w:tcW w:w="27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(1,932)</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(1,967)</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4"/>
              </w:rPr>
              <w:t>(1,557)</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4"/>
              </w:rPr>
              <w:t>(1,580)</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70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Reported as:</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(1,584)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(1,594)</w:t>
            </w:r>
          </w:p>
        </w:tc>
        <w:tc>
          <w:tcPr>
            <w:tcW w:w="0" w:type="dxa"/>
            <w:vAlign w:val="bottom"/>
          </w:tcPr>
          <w:p>
            <w:pPr>
              <w:spacing w:after="0"/>
              <w:rPr>
                <w:sz w:val="1"/>
                <w:szCs w:val="1"/>
                <w:color w:val="auto"/>
              </w:rPr>
            </w:pPr>
          </w:p>
        </w:tc>
      </w:tr>
      <w:tr>
        <w:trPr>
          <w:trHeight w:val="195"/>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4"/>
              </w:rPr>
              <w:t>(1,557)</w:t>
            </w:r>
          </w:p>
        </w:tc>
        <w:tc>
          <w:tcPr>
            <w:tcW w:w="6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4"/>
              </w:rPr>
              <w:t>(1,580)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635</wp:posOffset>
            </wp:positionV>
            <wp:extent cx="84582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 the table above, non-current deferred tax assets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-101600</wp:posOffset>
            </wp:positionV>
            <wp:extent cx="84582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included in other non-current assets in the Consolidated</w:t>
      </w:r>
    </w:p>
    <w:p>
      <w:pPr>
        <w:spacing w:after="0" w:line="204" w:lineRule="auto"/>
        <w:rPr>
          <w:sz w:val="20"/>
          <w:szCs w:val="20"/>
          <w:color w:val="auto"/>
        </w:rPr>
      </w:pPr>
      <w:r>
        <w:rPr>
          <w:rFonts w:ascii="Times New Roman" w:cs="Times New Roman" w:eastAsia="Times New Roman" w:hAnsi="Times New Roman"/>
          <w:sz w:val="16"/>
          <w:szCs w:val="16"/>
          <w:color w:val="auto"/>
        </w:rPr>
        <w:t>Balance Sheets.</w:t>
      </w:r>
    </w:p>
    <w:p>
      <w:pPr>
        <w:spacing w:after="0" w:line="203" w:lineRule="auto"/>
        <w:rPr>
          <w:sz w:val="20"/>
          <w:szCs w:val="20"/>
          <w:color w:val="auto"/>
        </w:rPr>
      </w:pPr>
      <w:r>
        <w:rPr>
          <w:rFonts w:ascii="Times New Roman" w:cs="Times New Roman" w:eastAsia="Times New Roman" w:hAnsi="Times New Roman"/>
          <w:sz w:val="16"/>
          <w:szCs w:val="16"/>
          <w:color w:val="auto"/>
        </w:rPr>
        <w:t>We had a $1 million valuation allowance as of December 31,</w:t>
      </w:r>
    </w:p>
    <w:p>
      <w:pPr>
        <w:spacing w:after="0" w:line="204" w:lineRule="auto"/>
        <w:rPr>
          <w:sz w:val="20"/>
          <w:szCs w:val="20"/>
          <w:color w:val="auto"/>
        </w:rPr>
      </w:pPr>
      <w:r>
        <w:rPr>
          <w:rFonts w:ascii="Times New Roman" w:cs="Times New Roman" w:eastAsia="Times New Roman" w:hAnsi="Times New Roman"/>
          <w:sz w:val="16"/>
          <w:szCs w:val="16"/>
          <w:color w:val="auto"/>
        </w:rPr>
        <w:t>2025 and no valuation allowances as of December 31, 2024.</w:t>
      </w:r>
    </w:p>
    <w:p>
      <w:pPr>
        <w:spacing w:after="0" w:line="203" w:lineRule="auto"/>
        <w:rPr>
          <w:sz w:val="20"/>
          <w:szCs w:val="20"/>
          <w:color w:val="auto"/>
        </w:rPr>
      </w:pPr>
      <w:r>
        <w:rPr>
          <w:rFonts w:ascii="Times New Roman" w:cs="Times New Roman" w:eastAsia="Times New Roman" w:hAnsi="Times New Roman"/>
          <w:sz w:val="16"/>
          <w:szCs w:val="16"/>
          <w:color w:val="auto"/>
        </w:rPr>
        <w:t>Based on all available positive and negative evidence, we</w:t>
      </w:r>
    </w:p>
    <w:p>
      <w:pPr>
        <w:spacing w:after="0" w:line="204" w:lineRule="auto"/>
        <w:rPr>
          <w:sz w:val="20"/>
          <w:szCs w:val="20"/>
          <w:color w:val="auto"/>
        </w:rPr>
      </w:pPr>
      <w:r>
        <w:rPr>
          <w:rFonts w:ascii="Times New Roman" w:cs="Times New Roman" w:eastAsia="Times New Roman" w:hAnsi="Times New Roman"/>
          <w:sz w:val="16"/>
          <w:szCs w:val="16"/>
          <w:color w:val="auto"/>
        </w:rPr>
        <w:t>believe the sources of future taxable income are sufficient to</w:t>
      </w:r>
    </w:p>
    <w:p>
      <w:pPr>
        <w:spacing w:after="0" w:line="203" w:lineRule="auto"/>
        <w:rPr>
          <w:sz w:val="20"/>
          <w:szCs w:val="20"/>
          <w:color w:val="auto"/>
        </w:rPr>
      </w:pPr>
      <w:r>
        <w:rPr>
          <w:rFonts w:ascii="Times New Roman" w:cs="Times New Roman" w:eastAsia="Times New Roman" w:hAnsi="Times New Roman"/>
          <w:sz w:val="16"/>
          <w:szCs w:val="16"/>
          <w:color w:val="auto"/>
        </w:rPr>
        <w:t>realize the remainder of Nasdaq’s deferred tax asset</w:t>
      </w:r>
    </w:p>
    <w:p>
      <w:pPr>
        <w:spacing w:after="0" w:line="204" w:lineRule="auto"/>
        <w:rPr>
          <w:sz w:val="20"/>
          <w:szCs w:val="20"/>
          <w:color w:val="auto"/>
        </w:rPr>
      </w:pPr>
      <w:r>
        <w:rPr>
          <w:rFonts w:ascii="Times New Roman" w:cs="Times New Roman" w:eastAsia="Times New Roman" w:hAnsi="Times New Roman"/>
          <w:sz w:val="16"/>
          <w:szCs w:val="16"/>
          <w:color w:val="auto"/>
        </w:rPr>
        <w:t>inventory.</w:t>
      </w:r>
    </w:p>
    <w:p>
      <w:pPr>
        <w:spacing w:after="0" w:line="203" w:lineRule="auto"/>
        <w:rPr>
          <w:sz w:val="20"/>
          <w:szCs w:val="20"/>
          <w:color w:val="auto"/>
        </w:rPr>
      </w:pPr>
      <w:r>
        <w:rPr>
          <w:rFonts w:ascii="Times New Roman" w:cs="Times New Roman" w:eastAsia="Times New Roman" w:hAnsi="Times New Roman"/>
          <w:sz w:val="16"/>
          <w:szCs w:val="16"/>
          <w:color w:val="auto"/>
        </w:rPr>
        <w:t>Nasdaq has deferred tax assets associated with net operating</w:t>
      </w:r>
    </w:p>
    <w:p>
      <w:pPr>
        <w:spacing w:after="0" w:line="204" w:lineRule="auto"/>
        <w:rPr>
          <w:sz w:val="20"/>
          <w:szCs w:val="20"/>
          <w:color w:val="auto"/>
        </w:rPr>
      </w:pPr>
      <w:r>
        <w:rPr>
          <w:rFonts w:ascii="Times New Roman" w:cs="Times New Roman" w:eastAsia="Times New Roman" w:hAnsi="Times New Roman"/>
          <w:sz w:val="16"/>
          <w:szCs w:val="16"/>
          <w:color w:val="auto"/>
        </w:rPr>
        <w:t>losses, or NOLs, in U.S. state and local and non-U.S.</w:t>
      </w:r>
    </w:p>
    <w:p>
      <w:pPr>
        <w:spacing w:after="0" w:line="204" w:lineRule="auto"/>
        <w:rPr>
          <w:sz w:val="20"/>
          <w:szCs w:val="20"/>
          <w:color w:val="auto"/>
        </w:rPr>
      </w:pPr>
      <w:r>
        <w:rPr>
          <w:rFonts w:ascii="Times New Roman" w:cs="Times New Roman" w:eastAsia="Times New Roman" w:hAnsi="Times New Roman"/>
          <w:sz w:val="16"/>
          <w:szCs w:val="16"/>
          <w:color w:val="auto"/>
        </w:rPr>
        <w:t>jurisdictions as well as a capital loss with the following</w:t>
      </w:r>
    </w:p>
    <w:p>
      <w:pPr>
        <w:spacing w:after="0" w:line="228" w:lineRule="auto"/>
        <w:rPr>
          <w:sz w:val="20"/>
          <w:szCs w:val="20"/>
          <w:color w:val="auto"/>
        </w:rPr>
      </w:pPr>
      <w:r>
        <w:rPr>
          <w:rFonts w:ascii="Times New Roman" w:cs="Times New Roman" w:eastAsia="Times New Roman" w:hAnsi="Times New Roman"/>
          <w:sz w:val="16"/>
          <w:szCs w:val="16"/>
          <w:color w:val="auto"/>
        </w:rPr>
        <w:t>expiration dates:</w:t>
      </w: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1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 Date</w:t>
            </w:r>
          </w:p>
        </w:tc>
      </w:tr>
      <w:tr>
        <w:trPr>
          <w:trHeight w:val="38"/>
        </w:trPr>
        <w:tc>
          <w:tcPr>
            <w:tcW w:w="17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34"/>
        </w:trPr>
        <w:tc>
          <w:tcPr>
            <w:tcW w:w="1720" w:type="dxa"/>
            <w:vAlign w:val="bottom"/>
          </w:tcPr>
          <w:p>
            <w:pPr>
              <w:spacing w:after="0"/>
              <w:rPr>
                <w:sz w:val="11"/>
                <w:szCs w:val="11"/>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38"/>
        </w:trPr>
        <w:tc>
          <w:tcPr>
            <w:tcW w:w="1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0"/>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NOL</w:t>
            </w:r>
          </w:p>
        </w:tc>
        <w:tc>
          <w:tcPr>
            <w:tcW w:w="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2039-2044</w:t>
            </w: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U.S. state and local NOL</w:t>
            </w:r>
          </w:p>
        </w:tc>
        <w:tc>
          <w:tcPr>
            <w:tcW w:w="84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2026-2044</w:t>
            </w:r>
          </w:p>
        </w:tc>
      </w:tr>
      <w:tr>
        <w:trPr>
          <w:trHeight w:val="37"/>
        </w:trPr>
        <w:tc>
          <w:tcPr>
            <w:tcW w:w="1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capital loss</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2030</w:t>
            </w:r>
          </w:p>
        </w:tc>
      </w:tr>
      <w:tr>
        <w:trPr>
          <w:trHeight w:val="37"/>
        </w:trPr>
        <w:tc>
          <w:tcPr>
            <w:tcW w:w="17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ectPr>
          <w:pgSz w:w="11900" w:h="16840" w:orient="portrait"/>
          <w:cols w:equalWidth="0" w:num="1">
            <w:col w:w="9400"/>
          </w:cols>
          <w:pgMar w:left="1060" w:top="567" w:right="1440" w:bottom="53" w:gutter="0" w:footer="0" w:header="0"/>
        </w:sectPr>
      </w:pPr>
    </w:p>
    <w:bookmarkStart w:id="88" w:name="page89"/>
    <w:bookmarkEnd w:id="88"/>
    <w:p>
      <w:pPr>
        <w:ind w:left="10"/>
        <w:spacing w:after="0"/>
        <w:rPr>
          <w:sz w:val="20"/>
          <w:szCs w:val="20"/>
          <w:color w:val="auto"/>
        </w:rPr>
      </w:pPr>
      <w:r>
        <w:rPr>
          <w:rFonts w:ascii="Times New Roman" w:cs="Times New Roman" w:eastAsia="Times New Roman" w:hAnsi="Times New Roman"/>
          <w:sz w:val="16"/>
          <w:szCs w:val="16"/>
          <w:color w:val="auto"/>
        </w:rPr>
        <w:t>F-40</w:t>
      </w:r>
    </w:p>
    <w:p>
      <w:pPr>
        <w:ind w:left="10"/>
        <w:spacing w:after="0" w:line="203" w:lineRule="auto"/>
        <w:rPr>
          <w:sz w:val="20"/>
          <w:szCs w:val="20"/>
          <w:color w:val="auto"/>
        </w:rPr>
      </w:pPr>
      <w:r>
        <w:rPr>
          <w:rFonts w:ascii="Times New Roman" w:cs="Times New Roman" w:eastAsia="Times New Roman" w:hAnsi="Times New Roman"/>
          <w:sz w:val="16"/>
          <w:szCs w:val="16"/>
          <w:color w:val="auto"/>
        </w:rPr>
        <w:t>2020 through 2024. We regularly assess the likelihood of</w:t>
      </w:r>
    </w:p>
    <w:p>
      <w:pPr>
        <w:ind w:left="10"/>
        <w:spacing w:after="0" w:line="204" w:lineRule="auto"/>
        <w:rPr>
          <w:sz w:val="20"/>
          <w:szCs w:val="20"/>
          <w:color w:val="auto"/>
        </w:rPr>
      </w:pPr>
      <w:r>
        <w:rPr>
          <w:rFonts w:ascii="Times New Roman" w:cs="Times New Roman" w:eastAsia="Times New Roman" w:hAnsi="Times New Roman"/>
          <w:sz w:val="16"/>
          <w:szCs w:val="16"/>
          <w:color w:val="auto"/>
        </w:rPr>
        <w:t>additional assessments by each jurisdiction and have</w:t>
      </w:r>
    </w:p>
    <w:p>
      <w:pPr>
        <w:ind w:left="10"/>
        <w:spacing w:after="0" w:line="203" w:lineRule="auto"/>
        <w:rPr>
          <w:sz w:val="20"/>
          <w:szCs w:val="20"/>
          <w:color w:val="auto"/>
        </w:rPr>
      </w:pPr>
      <w:r>
        <w:rPr>
          <w:rFonts w:ascii="Times New Roman" w:cs="Times New Roman" w:eastAsia="Times New Roman" w:hAnsi="Times New Roman"/>
          <w:sz w:val="16"/>
          <w:szCs w:val="16"/>
          <w:color w:val="auto"/>
        </w:rPr>
        <w:t>established tax reserves that we believe are adequate in</w:t>
      </w:r>
    </w:p>
    <w:p>
      <w:pPr>
        <w:ind w:left="10"/>
        <w:spacing w:after="0" w:line="204" w:lineRule="auto"/>
        <w:rPr>
          <w:sz w:val="20"/>
          <w:szCs w:val="20"/>
          <w:color w:val="auto"/>
        </w:rPr>
      </w:pPr>
      <w:r>
        <w:rPr>
          <w:rFonts w:ascii="Times New Roman" w:cs="Times New Roman" w:eastAsia="Times New Roman" w:hAnsi="Times New Roman"/>
          <w:sz w:val="16"/>
          <w:szCs w:val="16"/>
          <w:color w:val="auto"/>
        </w:rPr>
        <w:t>relation to the potential for additional assessments.</w:t>
      </w:r>
    </w:p>
    <w:p>
      <w:pPr>
        <w:ind w:left="10"/>
        <w:spacing w:after="0" w:line="203" w:lineRule="auto"/>
        <w:rPr>
          <w:sz w:val="20"/>
          <w:szCs w:val="20"/>
          <w:color w:val="auto"/>
        </w:rPr>
      </w:pPr>
      <w:r>
        <w:rPr>
          <w:rFonts w:ascii="Times New Roman" w:cs="Times New Roman" w:eastAsia="Times New Roman" w:hAnsi="Times New Roman"/>
          <w:sz w:val="16"/>
          <w:szCs w:val="16"/>
          <w:color w:val="auto"/>
        </w:rPr>
        <w:t>Examination outcomes and the timing of examination</w:t>
      </w:r>
    </w:p>
    <w:p>
      <w:pPr>
        <w:ind w:left="10"/>
        <w:spacing w:after="0" w:line="233" w:lineRule="auto"/>
        <w:rPr>
          <w:sz w:val="20"/>
          <w:szCs w:val="20"/>
          <w:color w:val="auto"/>
        </w:rPr>
      </w:pPr>
      <w:r>
        <w:rPr>
          <w:rFonts w:ascii="Times New Roman" w:cs="Times New Roman" w:eastAsia="Times New Roman" w:hAnsi="Times New Roman"/>
          <w:sz w:val="14"/>
          <w:szCs w:val="14"/>
          <w:color w:val="auto"/>
        </w:rPr>
        <w:t>settlements are subject to uncertainty. Although the results of</w:t>
      </w:r>
    </w:p>
    <w:p>
      <w:pPr>
        <w:ind w:left="10"/>
        <w:spacing w:after="0" w:line="233" w:lineRule="auto"/>
        <w:rPr>
          <w:sz w:val="20"/>
          <w:szCs w:val="20"/>
          <w:color w:val="auto"/>
        </w:rPr>
      </w:pPr>
      <w:r>
        <w:rPr>
          <w:rFonts w:ascii="Times New Roman" w:cs="Times New Roman" w:eastAsia="Times New Roman" w:hAnsi="Times New Roman"/>
          <w:sz w:val="14"/>
          <w:szCs w:val="14"/>
          <w:color w:val="auto"/>
        </w:rPr>
        <w:t>such examinations may have an impact on our unrecognized</w:t>
      </w:r>
    </w:p>
    <w:p>
      <w:pPr>
        <w:ind w:left="10"/>
        <w:spacing w:after="0" w:line="203" w:lineRule="auto"/>
        <w:rPr>
          <w:sz w:val="20"/>
          <w:szCs w:val="20"/>
          <w:color w:val="auto"/>
        </w:rPr>
      </w:pPr>
      <w:r>
        <w:rPr>
          <w:rFonts w:ascii="Times New Roman" w:cs="Times New Roman" w:eastAsia="Times New Roman" w:hAnsi="Times New Roman"/>
          <w:sz w:val="16"/>
          <w:szCs w:val="16"/>
          <w:color w:val="auto"/>
        </w:rPr>
        <w:t>tax benefits, we do not anticipate that such impact will be</w:t>
      </w:r>
    </w:p>
    <w:p>
      <w:pPr>
        <w:ind w:left="10"/>
        <w:spacing w:after="0" w:line="204" w:lineRule="auto"/>
        <w:rPr>
          <w:sz w:val="20"/>
          <w:szCs w:val="20"/>
          <w:color w:val="auto"/>
        </w:rPr>
      </w:pPr>
      <w:r>
        <w:rPr>
          <w:rFonts w:ascii="Times New Roman" w:cs="Times New Roman" w:eastAsia="Times New Roman" w:hAnsi="Times New Roman"/>
          <w:sz w:val="16"/>
          <w:szCs w:val="16"/>
          <w:color w:val="auto"/>
        </w:rPr>
        <w:t>material to our consolidated financial position or results of</w:t>
      </w:r>
    </w:p>
    <w:p>
      <w:pPr>
        <w:ind w:left="10"/>
        <w:spacing w:after="0" w:line="232" w:lineRule="auto"/>
        <w:rPr>
          <w:sz w:val="20"/>
          <w:szCs w:val="20"/>
          <w:color w:val="auto"/>
        </w:rPr>
      </w:pPr>
      <w:r>
        <w:rPr>
          <w:rFonts w:ascii="Times New Roman" w:cs="Times New Roman" w:eastAsia="Times New Roman" w:hAnsi="Times New Roman"/>
          <w:sz w:val="14"/>
          <w:szCs w:val="14"/>
          <w:color w:val="auto"/>
        </w:rPr>
        <w:t>operations. We do not expect to settle any material tax audits</w:t>
      </w:r>
    </w:p>
    <w:p>
      <w:pPr>
        <w:ind w:left="10"/>
        <w:spacing w:after="0" w:line="204" w:lineRule="auto"/>
        <w:rPr>
          <w:sz w:val="20"/>
          <w:szCs w:val="20"/>
          <w:color w:val="auto"/>
        </w:rPr>
      </w:pPr>
      <w:r>
        <w:rPr>
          <w:rFonts w:ascii="Times New Roman" w:cs="Times New Roman" w:eastAsia="Times New Roman" w:hAnsi="Times New Roman"/>
          <w:sz w:val="16"/>
          <w:szCs w:val="16"/>
          <w:color w:val="auto"/>
        </w:rPr>
        <w:t>in the next twelve months.</w:t>
      </w:r>
    </w:p>
    <w:p>
      <w:pPr>
        <w:ind w:left="10" w:right="6140" w:hanging="10"/>
        <w:spacing w:after="0" w:line="203" w:lineRule="auto"/>
        <w:tabs>
          <w:tab w:leader="none" w:pos="25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CONTINGENCIES AND GUARANTEES</w:t>
      </w:r>
    </w:p>
    <w:p>
      <w:pPr>
        <w:ind w:left="10" w:right="5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 xml:space="preserve">Guarantees Issued and Credit Facilities Available </w:t>
      </w:r>
      <w:r>
        <w:rPr>
          <w:rFonts w:ascii="Times New Roman" w:cs="Times New Roman" w:eastAsia="Times New Roman" w:hAnsi="Times New Roman"/>
          <w:sz w:val="14"/>
          <w:szCs w:val="14"/>
          <w:color w:val="auto"/>
        </w:rPr>
        <w:t>In addition to the default fund contributions and margin collateral pledged by clearing members discussed in Note 15, “Clearing Operations,” we have obtained financial guarantees and credit facilities, which are guaranteed by us through counter indemnities, to provide further liquidity related to our clearing businesses. Financial guarantees issued to us totaled $4 million as of December 31, 2025 and December 31, 2024. As discussed in “Other Credit Facilities,” of Note 9, “Debt Obligations,” we also have credit facilities primarily related to our Nasdaq Clearing operations, which are available in multiple currencies, and totaled $208 million as of December 31, 2025 and $174 million as of December 31, 2024 in available liquidity, none of which was utilized.</w:t>
      </w:r>
    </w:p>
    <w:p>
      <w:pPr>
        <w:spacing w:after="0" w:line="91"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Guarantees</w:t>
      </w:r>
    </w:p>
    <w:p>
      <w:pPr>
        <w:ind w:left="10" w:right="560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Through our clearing operations in the financial markets, Nasdaq Clearing is the legal counterparty for, and guarantees the performance of, its clearing members. See Note 15, “Clearing Operations,” for further discussion of Nasdaq Clearing performance guarantees.</w:t>
      </w:r>
    </w:p>
    <w:p>
      <w:pPr>
        <w:spacing w:after="0" w:line="2" w:lineRule="exact"/>
        <w:rPr>
          <w:rFonts w:ascii="Times New Roman" w:cs="Times New Roman" w:eastAsia="Times New Roman" w:hAnsi="Times New Roman"/>
          <w:sz w:val="16"/>
          <w:szCs w:val="16"/>
          <w:b w:val="1"/>
          <w:bCs w:val="1"/>
          <w:color w:val="auto"/>
        </w:rPr>
      </w:pPr>
    </w:p>
    <w:p>
      <w:pPr>
        <w:ind w:left="10" w:right="55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spacing w:after="0" w:line="2" w:lineRule="exact"/>
        <w:rPr>
          <w:rFonts w:ascii="Times New Roman" w:cs="Times New Roman" w:eastAsia="Times New Roman" w:hAnsi="Times New Roman"/>
          <w:sz w:val="16"/>
          <w:szCs w:val="16"/>
          <w:b w:val="1"/>
          <w:bCs w:val="1"/>
          <w:color w:val="auto"/>
        </w:rPr>
      </w:pPr>
    </w:p>
    <w:p>
      <w:pPr>
        <w:ind w:left="10" w:right="558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believe that the potential for us to be required to make payments under these arrangements is unlikely. Accordingly, no contingent liability is recorded in the Consolidated Balance Sheets for the above guarantees.</w:t>
      </w:r>
    </w:p>
    <w:p>
      <w:pPr>
        <w:spacing w:after="0" w:line="1"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Routing Brokerage Activities</w:t>
      </w:r>
    </w:p>
    <w:p>
      <w:pPr>
        <w:ind w:left="10" w:right="554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6" w:lineRule="exact"/>
        <w:rPr>
          <w:rFonts w:ascii="Times New Roman" w:cs="Times New Roman" w:eastAsia="Times New Roman" w:hAnsi="Times New Roman"/>
          <w:sz w:val="16"/>
          <w:szCs w:val="16"/>
          <w:b w:val="1"/>
          <w:bCs w:val="1"/>
          <w:color w:val="auto"/>
        </w:rPr>
      </w:pPr>
    </w:p>
    <w:p>
      <w:pPr>
        <w:ind w:left="10" w:right="740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 xml:space="preserve">Legal and Regulatory Matters </w:t>
      </w:r>
      <w:r>
        <w:rPr>
          <w:rFonts w:ascii="Times New Roman" w:cs="Times New Roman" w:eastAsia="Times New Roman" w:hAnsi="Times New Roman"/>
          <w:sz w:val="14"/>
          <w:szCs w:val="14"/>
          <w:b w:val="1"/>
          <w:bCs w:val="1"/>
          <w:i w:val="1"/>
          <w:iCs w:val="1"/>
          <w:color w:val="auto"/>
        </w:rPr>
        <w:t>European Commission Matter</w:t>
      </w:r>
    </w:p>
    <w:p>
      <w:pPr>
        <w:ind w:left="10" w:right="560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In September 2024, the European Commission, or the EC, conducted an inspection at the Nasdaq Stockholm offices. The inspection related to a potential competition law concern regarding the trading of Nordic financial derivatives. We understand that the EC's focus is a cooperative arrangement with Eurex that was announced by Eurex and the Helsinki Stock Exchange in 1999. The Helsinki Stock Exchange was acquired by Nasdaq as part of our acquisition of OMX AB in 2008. The cooperative arrangement with Eurex fully ended before Nasdaq learned of the EC's investigation.</w:t>
      </w:r>
    </w:p>
    <w:p>
      <w:pPr>
        <w:spacing w:after="0" w:line="4" w:lineRule="exact"/>
        <w:rPr>
          <w:rFonts w:ascii="Times New Roman" w:cs="Times New Roman" w:eastAsia="Times New Roman" w:hAnsi="Times New Roman"/>
          <w:sz w:val="16"/>
          <w:szCs w:val="16"/>
          <w:b w:val="1"/>
          <w:bCs w:val="1"/>
          <w:color w:val="auto"/>
        </w:rPr>
      </w:pPr>
    </w:p>
    <w:p>
      <w:pPr>
        <w:ind w:left="10" w:right="570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2025, the EC opened a formal antitrust investigation to assess whether Nasdaq and Deutsche Borse had breached European Union competition rules by coordinating their conduct in the sector for listing, trading and clearing of financial derivatives in the European Economic Area.</w:t>
      </w:r>
    </w:p>
    <w:p>
      <w:pPr>
        <w:spacing w:after="0" w:line="2" w:lineRule="exact"/>
        <w:rPr>
          <w:rFonts w:ascii="Times New Roman" w:cs="Times New Roman" w:eastAsia="Times New Roman" w:hAnsi="Times New Roman"/>
          <w:sz w:val="16"/>
          <w:szCs w:val="16"/>
          <w:b w:val="1"/>
          <w:bCs w:val="1"/>
          <w:color w:val="auto"/>
        </w:rPr>
      </w:pPr>
    </w:p>
    <w:p>
      <w:pPr>
        <w:ind w:left="10" w:right="5560"/>
        <w:spacing w:after="0" w:line="25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We have been cooperating with the EC but are uncertain about the duration or ultimate outcome of its review, or to the extent there is any finding against us, the amount of any fines</w:t>
      </w:r>
    </w:p>
    <w:p>
      <w:pPr>
        <w:spacing w:after="0" w:line="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F-41</w:t>
      </w:r>
    </w:p>
    <w:p>
      <w:pPr>
        <w:ind w:left="10"/>
        <w:spacing w:after="0" w:line="232" w:lineRule="auto"/>
        <w:rPr>
          <w:sz w:val="20"/>
          <w:szCs w:val="20"/>
          <w:color w:val="auto"/>
        </w:rPr>
      </w:pPr>
      <w:r>
        <w:rPr>
          <w:rFonts w:ascii="Times New Roman" w:cs="Times New Roman" w:eastAsia="Times New Roman" w:hAnsi="Times New Roman"/>
          <w:sz w:val="14"/>
          <w:szCs w:val="14"/>
          <w:color w:val="auto"/>
        </w:rPr>
        <w:t>than not that we will be assessed. We review our positions on</w:t>
      </w:r>
    </w:p>
    <w:p>
      <w:pPr>
        <w:ind w:left="10"/>
        <w:spacing w:after="0" w:line="233" w:lineRule="auto"/>
        <w:rPr>
          <w:sz w:val="20"/>
          <w:szCs w:val="20"/>
          <w:color w:val="auto"/>
        </w:rPr>
      </w:pPr>
      <w:r>
        <w:rPr>
          <w:rFonts w:ascii="Times New Roman" w:cs="Times New Roman" w:eastAsia="Times New Roman" w:hAnsi="Times New Roman"/>
          <w:sz w:val="14"/>
          <w:szCs w:val="14"/>
          <w:color w:val="auto"/>
        </w:rPr>
        <w:t>these matters as they progress. See “Tax Audits,” of Note 17,</w:t>
      </w:r>
    </w:p>
    <w:p>
      <w:pPr>
        <w:ind w:left="10"/>
        <w:spacing w:after="0" w:line="203" w:lineRule="auto"/>
        <w:rPr>
          <w:sz w:val="20"/>
          <w:szCs w:val="20"/>
          <w:color w:val="auto"/>
        </w:rPr>
      </w:pPr>
      <w:r>
        <w:rPr>
          <w:rFonts w:ascii="Times New Roman" w:cs="Times New Roman" w:eastAsia="Times New Roman" w:hAnsi="Times New Roman"/>
          <w:sz w:val="16"/>
          <w:szCs w:val="16"/>
          <w:color w:val="auto"/>
        </w:rPr>
        <w:t>“Income Taxes,” for further discussion.</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19. BUSINESS SEGMENTS</w:t>
      </w:r>
    </w:p>
    <w:p>
      <w:pPr>
        <w:ind w:left="10"/>
        <w:spacing w:after="0" w:line="233" w:lineRule="auto"/>
        <w:rPr>
          <w:sz w:val="20"/>
          <w:szCs w:val="20"/>
          <w:color w:val="auto"/>
        </w:rPr>
      </w:pPr>
      <w:r>
        <w:rPr>
          <w:rFonts w:ascii="Times New Roman" w:cs="Times New Roman" w:eastAsia="Times New Roman" w:hAnsi="Times New Roman"/>
          <w:sz w:val="14"/>
          <w:szCs w:val="14"/>
          <w:color w:val="auto"/>
        </w:rPr>
        <w:t>We manage, operate and provide our products and services in</w:t>
      </w:r>
    </w:p>
    <w:p>
      <w:pPr>
        <w:ind w:left="10"/>
        <w:spacing w:after="0" w:line="232" w:lineRule="auto"/>
        <w:rPr>
          <w:sz w:val="20"/>
          <w:szCs w:val="20"/>
          <w:color w:val="auto"/>
        </w:rPr>
      </w:pPr>
      <w:r>
        <w:rPr>
          <w:rFonts w:ascii="Times New Roman" w:cs="Times New Roman" w:eastAsia="Times New Roman" w:hAnsi="Times New Roman"/>
          <w:sz w:val="14"/>
          <w:szCs w:val="14"/>
          <w:color w:val="auto"/>
        </w:rPr>
        <w:t>three business segments: Capital Access Platforms, Financial</w:t>
      </w:r>
    </w:p>
    <w:p>
      <w:pPr>
        <w:ind w:left="10"/>
        <w:spacing w:after="0" w:line="233" w:lineRule="auto"/>
        <w:rPr>
          <w:sz w:val="20"/>
          <w:szCs w:val="20"/>
          <w:color w:val="auto"/>
        </w:rPr>
      </w:pPr>
      <w:r>
        <w:rPr>
          <w:rFonts w:ascii="Times New Roman" w:cs="Times New Roman" w:eastAsia="Times New Roman" w:hAnsi="Times New Roman"/>
          <w:sz w:val="14"/>
          <w:szCs w:val="14"/>
          <w:color w:val="auto"/>
        </w:rPr>
        <w:t>Technology and Market Services. See Note 1, “Organization</w:t>
      </w:r>
    </w:p>
    <w:p>
      <w:pPr>
        <w:ind w:left="10"/>
        <w:spacing w:after="0" w:line="203" w:lineRule="auto"/>
        <w:rPr>
          <w:sz w:val="20"/>
          <w:szCs w:val="20"/>
          <w:color w:val="auto"/>
        </w:rPr>
      </w:pPr>
      <w:r>
        <w:rPr>
          <w:rFonts w:ascii="Times New Roman" w:cs="Times New Roman" w:eastAsia="Times New Roman" w:hAnsi="Times New Roman"/>
          <w:sz w:val="16"/>
          <w:szCs w:val="16"/>
          <w:color w:val="auto"/>
        </w:rPr>
        <w:t>and Nature of Operations,” for further discussion of our</w:t>
      </w:r>
    </w:p>
    <w:p>
      <w:pPr>
        <w:ind w:left="10"/>
        <w:spacing w:after="0" w:line="204" w:lineRule="auto"/>
        <w:rPr>
          <w:sz w:val="20"/>
          <w:szCs w:val="20"/>
          <w:color w:val="auto"/>
        </w:rPr>
      </w:pPr>
      <w:r>
        <w:rPr>
          <w:rFonts w:ascii="Times New Roman" w:cs="Times New Roman" w:eastAsia="Times New Roman" w:hAnsi="Times New Roman"/>
          <w:sz w:val="16"/>
          <w:szCs w:val="16"/>
          <w:color w:val="auto"/>
        </w:rPr>
        <w:t>reportable segments.</w:t>
      </w:r>
    </w:p>
    <w:p>
      <w:pPr>
        <w:ind w:left="10"/>
        <w:spacing w:after="0" w:line="203" w:lineRule="auto"/>
        <w:rPr>
          <w:sz w:val="20"/>
          <w:szCs w:val="20"/>
          <w:color w:val="auto"/>
        </w:rPr>
      </w:pPr>
      <w:r>
        <w:rPr>
          <w:rFonts w:ascii="Times New Roman" w:cs="Times New Roman" w:eastAsia="Times New Roman" w:hAnsi="Times New Roman"/>
          <w:sz w:val="16"/>
          <w:szCs w:val="16"/>
          <w:color w:val="auto"/>
        </w:rPr>
        <w:t>Our management allocates resources, assesses performance</w:t>
      </w:r>
    </w:p>
    <w:p>
      <w:pPr>
        <w:ind w:left="10"/>
        <w:spacing w:after="0" w:line="233" w:lineRule="auto"/>
        <w:rPr>
          <w:sz w:val="20"/>
          <w:szCs w:val="20"/>
          <w:color w:val="auto"/>
        </w:rPr>
      </w:pPr>
      <w:r>
        <w:rPr>
          <w:rFonts w:ascii="Times New Roman" w:cs="Times New Roman" w:eastAsia="Times New Roman" w:hAnsi="Times New Roman"/>
          <w:sz w:val="14"/>
          <w:szCs w:val="14"/>
          <w:color w:val="auto"/>
        </w:rPr>
        <w:t>and manages these businesses as three separate segments. We</w:t>
      </w:r>
    </w:p>
    <w:p>
      <w:pPr>
        <w:ind w:left="10"/>
        <w:spacing w:after="0" w:line="204" w:lineRule="auto"/>
        <w:rPr>
          <w:sz w:val="20"/>
          <w:szCs w:val="20"/>
          <w:color w:val="auto"/>
        </w:rPr>
      </w:pPr>
      <w:r>
        <w:rPr>
          <w:rFonts w:ascii="Times New Roman" w:cs="Times New Roman" w:eastAsia="Times New Roman" w:hAnsi="Times New Roman"/>
          <w:sz w:val="16"/>
          <w:szCs w:val="16"/>
          <w:color w:val="auto"/>
        </w:rPr>
        <w:t>evaluate the performance of our segments based on several</w:t>
      </w:r>
    </w:p>
    <w:p>
      <w:pPr>
        <w:ind w:left="10"/>
        <w:spacing w:after="0" w:line="203" w:lineRule="auto"/>
        <w:rPr>
          <w:sz w:val="20"/>
          <w:szCs w:val="20"/>
          <w:color w:val="auto"/>
        </w:rPr>
      </w:pPr>
      <w:r>
        <w:rPr>
          <w:rFonts w:ascii="Times New Roman" w:cs="Times New Roman" w:eastAsia="Times New Roman" w:hAnsi="Times New Roman"/>
          <w:sz w:val="16"/>
          <w:szCs w:val="16"/>
          <w:color w:val="auto"/>
        </w:rPr>
        <w:t>factors, of which the primary financial measure is operating</w:t>
      </w:r>
    </w:p>
    <w:p>
      <w:pPr>
        <w:ind w:left="10"/>
        <w:spacing w:after="0" w:line="233" w:lineRule="auto"/>
        <w:rPr>
          <w:sz w:val="20"/>
          <w:szCs w:val="20"/>
          <w:color w:val="auto"/>
        </w:rPr>
      </w:pPr>
      <w:r>
        <w:rPr>
          <w:rFonts w:ascii="Times New Roman" w:cs="Times New Roman" w:eastAsia="Times New Roman" w:hAnsi="Times New Roman"/>
          <w:sz w:val="14"/>
          <w:szCs w:val="14"/>
          <w:color w:val="auto"/>
        </w:rPr>
        <w:t>income. Our chief operating decision maker, or CODM, who</w:t>
      </w:r>
    </w:p>
    <w:p>
      <w:pPr>
        <w:ind w:left="10"/>
        <w:spacing w:after="0" w:line="203" w:lineRule="auto"/>
        <w:rPr>
          <w:sz w:val="20"/>
          <w:szCs w:val="20"/>
          <w:color w:val="auto"/>
        </w:rPr>
      </w:pPr>
      <w:r>
        <w:rPr>
          <w:rFonts w:ascii="Times New Roman" w:cs="Times New Roman" w:eastAsia="Times New Roman" w:hAnsi="Times New Roman"/>
          <w:sz w:val="16"/>
          <w:szCs w:val="16"/>
          <w:color w:val="auto"/>
        </w:rPr>
        <w:t>is our Chair and Chief Executive Officer, does not review</w:t>
      </w:r>
    </w:p>
    <w:p>
      <w:pPr>
        <w:ind w:left="10"/>
        <w:spacing w:after="0" w:line="204" w:lineRule="auto"/>
        <w:rPr>
          <w:sz w:val="20"/>
          <w:szCs w:val="20"/>
          <w:color w:val="auto"/>
        </w:rPr>
      </w:pPr>
      <w:r>
        <w:rPr>
          <w:rFonts w:ascii="Times New Roman" w:cs="Times New Roman" w:eastAsia="Times New Roman" w:hAnsi="Times New Roman"/>
          <w:sz w:val="16"/>
          <w:szCs w:val="16"/>
          <w:color w:val="auto"/>
        </w:rPr>
        <w:t>total assets or statements of income below operating income</w:t>
      </w:r>
    </w:p>
    <w:p>
      <w:pPr>
        <w:ind w:left="10"/>
        <w:spacing w:after="0"/>
        <w:rPr>
          <w:sz w:val="20"/>
          <w:szCs w:val="20"/>
          <w:color w:val="auto"/>
        </w:rPr>
      </w:pPr>
      <w:r>
        <w:rPr>
          <w:rFonts w:ascii="Times New Roman" w:cs="Times New Roman" w:eastAsia="Times New Roman" w:hAnsi="Times New Roman"/>
          <w:sz w:val="16"/>
          <w:szCs w:val="16"/>
          <w:color w:val="auto"/>
        </w:rPr>
        <w:t>by segments as key performance metrics; therefore, such</w:t>
      </w:r>
    </w:p>
    <w:p>
      <w:pPr>
        <w:sectPr>
          <w:pgSz w:w="11900" w:h="16840" w:orient="portrait"/>
          <w:cols w:equalWidth="0" w:num="1">
            <w:col w:w="9410"/>
          </w:cols>
          <w:pgMar w:left="1050" w:top="547" w:right="1440" w:bottom="68"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color w:val="auto"/>
        </w:rPr>
        <w:t>information is not presented below.</w:t>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tables present certain information regarding</w:t>
      </w:r>
    </w:p>
    <w:p>
      <w:pPr>
        <w:spacing w:after="0" w:line="204" w:lineRule="auto"/>
        <w:rPr>
          <w:sz w:val="20"/>
          <w:szCs w:val="20"/>
          <w:color w:val="auto"/>
        </w:rPr>
      </w:pPr>
      <w:r>
        <w:rPr>
          <w:rFonts w:ascii="Times New Roman" w:cs="Times New Roman" w:eastAsia="Times New Roman" w:hAnsi="Times New Roman"/>
          <w:sz w:val="16"/>
          <w:szCs w:val="16"/>
          <w:color w:val="auto"/>
        </w:rPr>
        <w:t>our business segments for the years ended December 31,</w:t>
      </w:r>
    </w:p>
    <w:p>
      <w:pPr>
        <w:spacing w:after="0" w:line="214" w:lineRule="auto"/>
        <w:rPr>
          <w:sz w:val="20"/>
          <w:szCs w:val="20"/>
          <w:color w:val="auto"/>
        </w:rPr>
      </w:pPr>
      <w:r>
        <w:rPr>
          <w:rFonts w:ascii="Times New Roman" w:cs="Times New Roman" w:eastAsia="Times New Roman" w:hAnsi="Times New Roman"/>
          <w:sz w:val="16"/>
          <w:szCs w:val="16"/>
          <w:color w:val="auto"/>
        </w:rPr>
        <w:t>2025, 2024 and 2023:</w:t>
      </w:r>
    </w:p>
    <w:tbl>
      <w:tblPr>
        <w:tblLayout w:type="fixed"/>
        <w:tblInd w:w="0" w:type="dxa"/>
        <w:tblCellMar>
          <w:top w:w="0" w:type="dxa"/>
          <w:left w:w="0" w:type="dxa"/>
          <w:bottom w:w="0" w:type="dxa"/>
          <w:right w:w="0" w:type="dxa"/>
        </w:tblCellMar>
      </w:tblPr>
      <w:tr>
        <w:trPr>
          <w:trHeight w:val="107"/>
        </w:trPr>
        <w:tc>
          <w:tcPr>
            <w:tcW w:w="980" w:type="dxa"/>
            <w:vAlign w:val="bottom"/>
          </w:tcPr>
          <w:p>
            <w:pPr>
              <w:spacing w:after="0"/>
              <w:rPr>
                <w:sz w:val="9"/>
                <w:szCs w:val="9"/>
                <w:color w:val="auto"/>
              </w:rPr>
            </w:pPr>
          </w:p>
        </w:tc>
        <w:tc>
          <w:tcPr>
            <w:tcW w:w="58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Capital</w:t>
            </w:r>
          </w:p>
        </w:tc>
        <w:tc>
          <w:tcPr>
            <w:tcW w:w="72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Financial</w:t>
            </w:r>
          </w:p>
        </w:tc>
        <w:tc>
          <w:tcPr>
            <w:tcW w:w="560" w:type="dxa"/>
            <w:vAlign w:val="bottom"/>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Market</w:t>
            </w:r>
          </w:p>
        </w:tc>
        <w:tc>
          <w:tcPr>
            <w:tcW w:w="64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Corporate</w:t>
            </w:r>
          </w:p>
        </w:tc>
        <w:tc>
          <w:tcPr>
            <w:tcW w:w="62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580" w:type="dxa"/>
            <w:vAlign w:val="bottom"/>
            <w:gridSpan w:val="3"/>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Access</w:t>
            </w:r>
          </w:p>
        </w:tc>
        <w:tc>
          <w:tcPr>
            <w:tcW w:w="7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Technology</w:t>
            </w:r>
          </w:p>
        </w:tc>
        <w:tc>
          <w:tcPr>
            <w:tcW w:w="56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Services</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Platforms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9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30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2,137</w:t>
            </w:r>
          </w:p>
        </w:tc>
        <w:tc>
          <w:tcPr>
            <w:tcW w:w="220" w:type="dxa"/>
            <w:vAlign w:val="bottom"/>
            <w:shd w:val="clear" w:color="auto" w:fill="CCEEFF"/>
          </w:tcPr>
          <w:p>
            <w:pPr>
              <w:ind w:left="60"/>
              <w:spacing w:after="0" w:line="15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auto"/>
              </w:rPr>
              <w:t>1,850</w:t>
            </w:r>
          </w:p>
        </w:tc>
        <w:tc>
          <w:tcPr>
            <w:tcW w:w="560" w:type="dxa"/>
            <w:vAlign w:val="bottom"/>
            <w:shd w:val="clear" w:color="auto" w:fill="CCEEFF"/>
          </w:tcPr>
          <w:p>
            <w:pPr>
              <w:ind w:left="60"/>
              <w:spacing w:after="0" w:line="152" w:lineRule="exact"/>
              <w:rPr>
                <w:sz w:val="20"/>
                <w:szCs w:val="20"/>
                <w:color w:val="auto"/>
              </w:rPr>
            </w:pPr>
            <w:r>
              <w:rPr>
                <w:rFonts w:ascii="Times New Roman" w:cs="Times New Roman" w:eastAsia="Times New Roman" w:hAnsi="Times New Roman"/>
                <w:sz w:val="16"/>
                <w:szCs w:val="16"/>
                <w:color w:val="auto"/>
              </w:rPr>
              <w:t>$4,214</w:t>
            </w:r>
          </w:p>
        </w:tc>
        <w:tc>
          <w:tcPr>
            <w:tcW w:w="180" w:type="dxa"/>
            <w:vAlign w:val="bottom"/>
            <w:shd w:val="clear" w:color="auto" w:fill="CCEEFF"/>
          </w:tcPr>
          <w:p>
            <w:pPr>
              <w:ind w:left="40"/>
              <w:spacing w:after="0" w:line="152"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3"/>
              <w:spacing w:after="0" w:line="152" w:lineRule="exact"/>
              <w:rPr>
                <w:sz w:val="20"/>
                <w:szCs w:val="20"/>
                <w:color w:val="auto"/>
              </w:rPr>
            </w:pPr>
            <w:r>
              <w:rPr>
                <w:rFonts w:ascii="Times New Roman" w:cs="Times New Roman" w:eastAsia="Times New Roman" w:hAnsi="Times New Roman"/>
                <w:sz w:val="16"/>
                <w:szCs w:val="16"/>
                <w:color w:val="auto"/>
              </w:rPr>
              <w:t>61</w:t>
            </w:r>
          </w:p>
        </w:tc>
        <w:tc>
          <w:tcPr>
            <w:tcW w:w="620" w:type="dxa"/>
            <w:vAlign w:val="bottom"/>
            <w:shd w:val="clear" w:color="auto" w:fill="CCEEFF"/>
          </w:tcPr>
          <w:p>
            <w:pPr>
              <w:ind w:left="40"/>
              <w:spacing w:after="0" w:line="152" w:lineRule="exact"/>
              <w:rPr>
                <w:sz w:val="20"/>
                <w:szCs w:val="20"/>
                <w:color w:val="auto"/>
              </w:rPr>
            </w:pPr>
            <w:r>
              <w:rPr>
                <w:rFonts w:ascii="Times New Roman" w:cs="Times New Roman" w:eastAsia="Times New Roman" w:hAnsi="Times New Roman"/>
                <w:sz w:val="16"/>
                <w:szCs w:val="16"/>
                <w:color w:val="auto"/>
              </w:rPr>
              <w:t>$ 8,262</w:t>
            </w:r>
          </w:p>
        </w:tc>
        <w:tc>
          <w:tcPr>
            <w:tcW w:w="0" w:type="dxa"/>
            <w:vAlign w:val="bottom"/>
          </w:tcPr>
          <w:p>
            <w:pPr>
              <w:spacing w:after="0"/>
              <w:rPr>
                <w:sz w:val="1"/>
                <w:szCs w:val="1"/>
                <w:color w:val="auto"/>
              </w:rPr>
            </w:pPr>
          </w:p>
        </w:tc>
      </w:tr>
      <w:tr>
        <w:trPr>
          <w:trHeight w:val="220"/>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Transaction-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(3,013)</w:t>
            </w:r>
          </w:p>
        </w:tc>
        <w:tc>
          <w:tcPr>
            <w:tcW w:w="180" w:type="dxa"/>
            <w:vAlign w:val="bottom"/>
          </w:tcPr>
          <w:p>
            <w:pPr>
              <w:spacing w:after="0"/>
              <w:rPr>
                <w:sz w:val="12"/>
                <w:szCs w:val="12"/>
                <w:color w:val="auto"/>
              </w:rPr>
            </w:pPr>
          </w:p>
        </w:tc>
        <w:tc>
          <w:tcPr>
            <w:tcW w:w="460" w:type="dxa"/>
            <w:vAlign w:val="bottom"/>
          </w:tcPr>
          <w:p>
            <w:pPr>
              <w:jc w:val="right"/>
              <w:ind w:right="23"/>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(3,013)</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based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9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Revenues less</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2,137</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line="136" w:lineRule="exact"/>
              <w:rPr>
                <w:sz w:val="20"/>
                <w:szCs w:val="20"/>
                <w:color w:val="auto"/>
              </w:rPr>
            </w:pPr>
            <w:r>
              <w:rPr>
                <w:rFonts w:ascii="Times New Roman" w:cs="Times New Roman" w:eastAsia="Times New Roman" w:hAnsi="Times New Roman"/>
                <w:sz w:val="14"/>
                <w:szCs w:val="14"/>
                <w:color w:val="auto"/>
              </w:rPr>
              <w:t>1,850</w:t>
            </w:r>
          </w:p>
        </w:tc>
        <w:tc>
          <w:tcPr>
            <w:tcW w:w="560" w:type="dxa"/>
            <w:vAlign w:val="bottom"/>
            <w:shd w:val="clear" w:color="auto" w:fill="CCEEFF"/>
          </w:tcPr>
          <w:p>
            <w:pPr>
              <w:jc w:val="right"/>
              <w:ind w:right="26"/>
              <w:spacing w:after="0" w:line="136" w:lineRule="exact"/>
              <w:rPr>
                <w:sz w:val="20"/>
                <w:szCs w:val="20"/>
                <w:color w:val="auto"/>
              </w:rPr>
            </w:pPr>
            <w:r>
              <w:rPr>
                <w:rFonts w:ascii="Times New Roman" w:cs="Times New Roman" w:eastAsia="Times New Roman" w:hAnsi="Times New Roman"/>
                <w:sz w:val="14"/>
                <w:szCs w:val="14"/>
                <w:color w:val="auto"/>
              </w:rPr>
              <w:t>1,201</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23"/>
              <w:spacing w:after="0" w:line="136" w:lineRule="exact"/>
              <w:rPr>
                <w:sz w:val="20"/>
                <w:szCs w:val="20"/>
                <w:color w:val="auto"/>
              </w:rPr>
            </w:pPr>
            <w:r>
              <w:rPr>
                <w:rFonts w:ascii="Times New Roman" w:cs="Times New Roman" w:eastAsia="Times New Roman" w:hAnsi="Times New Roman"/>
                <w:sz w:val="14"/>
                <w:szCs w:val="14"/>
                <w:color w:val="auto"/>
              </w:rPr>
              <w:t>61</w:t>
            </w:r>
          </w:p>
        </w:tc>
        <w:tc>
          <w:tcPr>
            <w:tcW w:w="620" w:type="dxa"/>
            <w:vAlign w:val="bottom"/>
            <w:shd w:val="clear" w:color="auto" w:fill="CCEEFF"/>
          </w:tcPr>
          <w:p>
            <w:pPr>
              <w:jc w:val="right"/>
              <w:ind w:right="45"/>
              <w:spacing w:after="0" w:line="136" w:lineRule="exact"/>
              <w:rPr>
                <w:sz w:val="20"/>
                <w:szCs w:val="20"/>
                <w:color w:val="auto"/>
              </w:rPr>
            </w:pPr>
            <w:r>
              <w:rPr>
                <w:rFonts w:ascii="Times New Roman" w:cs="Times New Roman" w:eastAsia="Times New Roman" w:hAnsi="Times New Roman"/>
                <w:sz w:val="14"/>
                <w:szCs w:val="14"/>
                <w:color w:val="auto"/>
              </w:rPr>
              <w:t>5,249</w:t>
            </w:r>
          </w:p>
        </w:tc>
        <w:tc>
          <w:tcPr>
            <w:tcW w:w="0" w:type="dxa"/>
            <w:vAlign w:val="bottom"/>
          </w:tcPr>
          <w:p>
            <w:pPr>
              <w:spacing w:after="0"/>
              <w:rPr>
                <w:sz w:val="1"/>
                <w:szCs w:val="1"/>
                <w:color w:val="auto"/>
              </w:rPr>
            </w:pPr>
          </w:p>
        </w:tc>
      </w:tr>
      <w:tr>
        <w:trPr>
          <w:trHeight w:val="132"/>
        </w:trPr>
        <w:tc>
          <w:tcPr>
            <w:tcW w:w="9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transaction-</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based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Directly</w:t>
            </w:r>
          </w:p>
        </w:tc>
        <w:tc>
          <w:tcPr>
            <w:tcW w:w="120" w:type="dxa"/>
            <w:vAlign w:val="bottom"/>
          </w:tcPr>
          <w:p>
            <w:pPr>
              <w:spacing w:after="0"/>
              <w:rPr>
                <w:sz w:val="12"/>
                <w:szCs w:val="12"/>
                <w:color w:val="auto"/>
              </w:rPr>
            </w:pPr>
          </w:p>
        </w:tc>
        <w:tc>
          <w:tcPr>
            <w:tcW w:w="4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690</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871</w:t>
            </w:r>
          </w:p>
        </w:tc>
        <w:tc>
          <w:tcPr>
            <w:tcW w:w="560" w:type="dxa"/>
            <w:vAlign w:val="bottom"/>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353</w:t>
            </w:r>
          </w:p>
        </w:tc>
        <w:tc>
          <w:tcPr>
            <w:tcW w:w="180" w:type="dxa"/>
            <w:vAlign w:val="bottom"/>
          </w:tcPr>
          <w:p>
            <w:pPr>
              <w:spacing w:after="0"/>
              <w:rPr>
                <w:sz w:val="12"/>
                <w:szCs w:val="12"/>
                <w:color w:val="auto"/>
              </w:rPr>
            </w:pPr>
          </w:p>
        </w:tc>
        <w:tc>
          <w:tcPr>
            <w:tcW w:w="460" w:type="dxa"/>
            <w:vAlign w:val="bottom"/>
          </w:tcPr>
          <w:p>
            <w:pPr>
              <w:jc w:val="right"/>
              <w:ind w:right="23"/>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1,914</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consumed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173</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119</w:t>
            </w:r>
          </w:p>
        </w:tc>
        <w:tc>
          <w:tcPr>
            <w:tcW w:w="560" w:type="dxa"/>
            <w:vAlign w:val="bottom"/>
            <w:shd w:val="clear" w:color="auto" w:fill="CCEEFF"/>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84</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628</w:t>
            </w:r>
          </w:p>
        </w:tc>
        <w:tc>
          <w:tcPr>
            <w:tcW w:w="6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240"/>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9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Operating</w:t>
            </w:r>
          </w:p>
        </w:tc>
        <w:tc>
          <w:tcPr>
            <w:tcW w:w="580" w:type="dxa"/>
            <w:vAlign w:val="bottom"/>
            <w:tcBorders>
              <w:top w:val="single" w:sz="8" w:color="auto"/>
            </w:tcBorders>
            <w:gridSpan w:val="3"/>
          </w:tcPr>
          <w:p>
            <w:pPr>
              <w:ind w:left="20"/>
              <w:spacing w:after="0" w:line="136" w:lineRule="exact"/>
              <w:rPr>
                <w:sz w:val="20"/>
                <w:szCs w:val="20"/>
                <w:color w:val="auto"/>
              </w:rPr>
            </w:pPr>
            <w:r>
              <w:rPr>
                <w:rFonts w:ascii="Times New Roman" w:cs="Times New Roman" w:eastAsia="Times New Roman" w:hAnsi="Times New Roman"/>
                <w:sz w:val="14"/>
                <w:szCs w:val="14"/>
                <w:color w:val="auto"/>
              </w:rPr>
              <w:t>$ 1,274</w:t>
            </w:r>
          </w:p>
        </w:tc>
        <w:tc>
          <w:tcPr>
            <w:tcW w:w="22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ind w:right="3"/>
              <w:spacing w:after="0" w:line="136" w:lineRule="exact"/>
              <w:rPr>
                <w:sz w:val="20"/>
                <w:szCs w:val="20"/>
                <w:color w:val="auto"/>
              </w:rPr>
            </w:pPr>
            <w:r>
              <w:rPr>
                <w:rFonts w:ascii="Times New Roman" w:cs="Times New Roman" w:eastAsia="Times New Roman" w:hAnsi="Times New Roman"/>
                <w:sz w:val="14"/>
                <w:szCs w:val="14"/>
                <w:color w:val="auto"/>
              </w:rPr>
              <w:t>860</w:t>
            </w:r>
          </w:p>
        </w:tc>
        <w:tc>
          <w:tcPr>
            <w:tcW w:w="560" w:type="dxa"/>
            <w:vAlign w:val="bottom"/>
            <w:tcBorders>
              <w:top w:val="single" w:sz="8" w:color="auto"/>
            </w:tcBorders>
          </w:tcPr>
          <w:p>
            <w:pPr>
              <w:jc w:val="right"/>
              <w:ind w:right="26"/>
              <w:spacing w:after="0" w:line="136" w:lineRule="exact"/>
              <w:rPr>
                <w:sz w:val="20"/>
                <w:szCs w:val="20"/>
                <w:color w:val="auto"/>
              </w:rPr>
            </w:pPr>
            <w:r>
              <w:rPr>
                <w:rFonts w:ascii="Times New Roman" w:cs="Times New Roman" w:eastAsia="Times New Roman" w:hAnsi="Times New Roman"/>
                <w:sz w:val="14"/>
                <w:szCs w:val="14"/>
                <w:color w:val="auto"/>
              </w:rPr>
              <w:t>$  764</w:t>
            </w:r>
          </w:p>
        </w:tc>
        <w:tc>
          <w:tcPr>
            <w:tcW w:w="18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(567)</w:t>
            </w:r>
          </w:p>
        </w:tc>
        <w:tc>
          <w:tcPr>
            <w:tcW w:w="62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4"/>
                <w:szCs w:val="14"/>
                <w:color w:val="auto"/>
              </w:rPr>
              <w:t>$ 2,331</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2"/>
                <w:szCs w:val="12"/>
                <w:color w:val="auto"/>
              </w:rPr>
            </w:pPr>
          </w:p>
        </w:tc>
        <w:tc>
          <w:tcPr>
            <w:tcW w:w="4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55</w:t>
            </w:r>
          </w:p>
        </w:tc>
        <w:tc>
          <w:tcPr>
            <w:tcW w:w="560" w:type="dxa"/>
            <w:vAlign w:val="bottom"/>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2"/>
                <w:szCs w:val="12"/>
                <w:color w:val="auto"/>
              </w:rPr>
            </w:pPr>
          </w:p>
        </w:tc>
        <w:tc>
          <w:tcPr>
            <w:tcW w:w="46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490</w:t>
            </w:r>
          </w:p>
        </w:tc>
        <w:tc>
          <w:tcPr>
            <w:tcW w:w="620" w:type="dxa"/>
            <w:vAlign w:val="bottom"/>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Purchases of</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67</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133</w:t>
            </w:r>
          </w:p>
        </w:tc>
        <w:tc>
          <w:tcPr>
            <w:tcW w:w="560" w:type="dxa"/>
            <w:vAlign w:val="bottom"/>
            <w:shd w:val="clear" w:color="auto" w:fill="CCEEFF"/>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66</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3"/>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property and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6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9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1,945</w:t>
            </w:r>
          </w:p>
        </w:tc>
        <w:tc>
          <w:tcPr>
            <w:tcW w:w="22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1,655</w:t>
            </w:r>
          </w:p>
        </w:tc>
        <w:tc>
          <w:tcPr>
            <w:tcW w:w="56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$3,771</w:t>
            </w:r>
          </w:p>
        </w:tc>
        <w:tc>
          <w:tcPr>
            <w:tcW w:w="18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29</w:t>
            </w:r>
          </w:p>
        </w:tc>
        <w:tc>
          <w:tcPr>
            <w:tcW w:w="62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$ 7,400</w:t>
            </w:r>
          </w:p>
        </w:tc>
        <w:tc>
          <w:tcPr>
            <w:tcW w:w="0" w:type="dxa"/>
            <w:vAlign w:val="bottom"/>
          </w:tcPr>
          <w:p>
            <w:pPr>
              <w:spacing w:after="0"/>
              <w:rPr>
                <w:sz w:val="1"/>
                <w:szCs w:val="1"/>
                <w:color w:val="auto"/>
              </w:rPr>
            </w:pPr>
          </w:p>
        </w:tc>
      </w:tr>
      <w:tr>
        <w:trPr>
          <w:trHeight w:val="220"/>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Transaction-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(2,751)</w:t>
            </w:r>
          </w:p>
        </w:tc>
        <w:tc>
          <w:tcPr>
            <w:tcW w:w="180" w:type="dxa"/>
            <w:vAlign w:val="bottom"/>
          </w:tcPr>
          <w:p>
            <w:pPr>
              <w:spacing w:after="0"/>
              <w:rPr>
                <w:sz w:val="12"/>
                <w:szCs w:val="12"/>
                <w:color w:val="auto"/>
              </w:rPr>
            </w:pPr>
          </w:p>
        </w:tc>
        <w:tc>
          <w:tcPr>
            <w:tcW w:w="460" w:type="dxa"/>
            <w:vAlign w:val="bottom"/>
          </w:tcPr>
          <w:p>
            <w:pPr>
              <w:jc w:val="right"/>
              <w:ind w:right="23"/>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(2,751)</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based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9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Revenues less</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1,945</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line="136" w:lineRule="exact"/>
              <w:rPr>
                <w:sz w:val="20"/>
                <w:szCs w:val="20"/>
                <w:color w:val="auto"/>
              </w:rPr>
            </w:pPr>
            <w:r>
              <w:rPr>
                <w:rFonts w:ascii="Times New Roman" w:cs="Times New Roman" w:eastAsia="Times New Roman" w:hAnsi="Times New Roman"/>
                <w:sz w:val="14"/>
                <w:szCs w:val="14"/>
                <w:color w:val="auto"/>
              </w:rPr>
              <w:t>1,655</w:t>
            </w:r>
          </w:p>
        </w:tc>
        <w:tc>
          <w:tcPr>
            <w:tcW w:w="560" w:type="dxa"/>
            <w:vAlign w:val="bottom"/>
            <w:shd w:val="clear" w:color="auto" w:fill="CCEEFF"/>
          </w:tcPr>
          <w:p>
            <w:pPr>
              <w:jc w:val="right"/>
              <w:ind w:right="26"/>
              <w:spacing w:after="0" w:line="136" w:lineRule="exact"/>
              <w:rPr>
                <w:sz w:val="20"/>
                <w:szCs w:val="20"/>
                <w:color w:val="auto"/>
              </w:rPr>
            </w:pPr>
            <w:r>
              <w:rPr>
                <w:rFonts w:ascii="Times New Roman" w:cs="Times New Roman" w:eastAsia="Times New Roman" w:hAnsi="Times New Roman"/>
                <w:sz w:val="14"/>
                <w:szCs w:val="14"/>
                <w:color w:val="auto"/>
              </w:rPr>
              <w:t>1,020</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23"/>
              <w:spacing w:after="0" w:line="136" w:lineRule="exact"/>
              <w:rPr>
                <w:sz w:val="20"/>
                <w:szCs w:val="20"/>
                <w:color w:val="auto"/>
              </w:rPr>
            </w:pPr>
            <w:r>
              <w:rPr>
                <w:rFonts w:ascii="Times New Roman" w:cs="Times New Roman" w:eastAsia="Times New Roman" w:hAnsi="Times New Roman"/>
                <w:sz w:val="14"/>
                <w:szCs w:val="14"/>
                <w:color w:val="auto"/>
              </w:rPr>
              <w:t>29</w:t>
            </w:r>
          </w:p>
        </w:tc>
        <w:tc>
          <w:tcPr>
            <w:tcW w:w="620" w:type="dxa"/>
            <w:vAlign w:val="bottom"/>
            <w:shd w:val="clear" w:color="auto" w:fill="CCEEFF"/>
          </w:tcPr>
          <w:p>
            <w:pPr>
              <w:jc w:val="right"/>
              <w:ind w:right="45"/>
              <w:spacing w:after="0" w:line="136" w:lineRule="exact"/>
              <w:rPr>
                <w:sz w:val="20"/>
                <w:szCs w:val="20"/>
                <w:color w:val="auto"/>
              </w:rPr>
            </w:pPr>
            <w:r>
              <w:rPr>
                <w:rFonts w:ascii="Times New Roman" w:cs="Times New Roman" w:eastAsia="Times New Roman" w:hAnsi="Times New Roman"/>
                <w:sz w:val="14"/>
                <w:szCs w:val="14"/>
                <w:color w:val="auto"/>
              </w:rPr>
              <w:t>4,649</w:t>
            </w:r>
          </w:p>
        </w:tc>
        <w:tc>
          <w:tcPr>
            <w:tcW w:w="0" w:type="dxa"/>
            <w:vAlign w:val="bottom"/>
          </w:tcPr>
          <w:p>
            <w:pPr>
              <w:spacing w:after="0"/>
              <w:rPr>
                <w:sz w:val="1"/>
                <w:szCs w:val="1"/>
                <w:color w:val="auto"/>
              </w:rPr>
            </w:pPr>
          </w:p>
        </w:tc>
      </w:tr>
      <w:tr>
        <w:trPr>
          <w:trHeight w:val="132"/>
        </w:trPr>
        <w:tc>
          <w:tcPr>
            <w:tcW w:w="9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transaction-</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based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Directly</w:t>
            </w:r>
          </w:p>
        </w:tc>
        <w:tc>
          <w:tcPr>
            <w:tcW w:w="120" w:type="dxa"/>
            <w:vAlign w:val="bottom"/>
          </w:tcPr>
          <w:p>
            <w:pPr>
              <w:spacing w:after="0"/>
              <w:rPr>
                <w:sz w:val="12"/>
                <w:szCs w:val="12"/>
                <w:color w:val="auto"/>
              </w:rPr>
            </w:pPr>
          </w:p>
        </w:tc>
        <w:tc>
          <w:tcPr>
            <w:tcW w:w="4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644</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794</w:t>
            </w:r>
          </w:p>
        </w:tc>
        <w:tc>
          <w:tcPr>
            <w:tcW w:w="560" w:type="dxa"/>
            <w:vAlign w:val="bottom"/>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339</w:t>
            </w:r>
          </w:p>
        </w:tc>
        <w:tc>
          <w:tcPr>
            <w:tcW w:w="180" w:type="dxa"/>
            <w:vAlign w:val="bottom"/>
          </w:tcPr>
          <w:p>
            <w:pPr>
              <w:spacing w:after="0"/>
              <w:rPr>
                <w:sz w:val="12"/>
                <w:szCs w:val="12"/>
                <w:color w:val="auto"/>
              </w:rPr>
            </w:pPr>
          </w:p>
        </w:tc>
        <w:tc>
          <w:tcPr>
            <w:tcW w:w="460" w:type="dxa"/>
            <w:vAlign w:val="bottom"/>
          </w:tcPr>
          <w:p>
            <w:pPr>
              <w:jc w:val="right"/>
              <w:ind w:right="23"/>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1,777</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consumed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164</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91</w:t>
            </w:r>
          </w:p>
        </w:tc>
        <w:tc>
          <w:tcPr>
            <w:tcW w:w="560" w:type="dxa"/>
            <w:vAlign w:val="bottom"/>
            <w:shd w:val="clear" w:color="auto" w:fill="CCEEFF"/>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84</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735</w:t>
            </w:r>
          </w:p>
        </w:tc>
        <w:tc>
          <w:tcPr>
            <w:tcW w:w="6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40"/>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9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Operating</w:t>
            </w:r>
          </w:p>
        </w:tc>
        <w:tc>
          <w:tcPr>
            <w:tcW w:w="580" w:type="dxa"/>
            <w:vAlign w:val="bottom"/>
            <w:tcBorders>
              <w:top w:val="single" w:sz="8" w:color="auto"/>
            </w:tcBorders>
            <w:gridSpan w:val="3"/>
          </w:tcPr>
          <w:p>
            <w:pPr>
              <w:ind w:left="20"/>
              <w:spacing w:after="0" w:line="136" w:lineRule="exact"/>
              <w:rPr>
                <w:sz w:val="20"/>
                <w:szCs w:val="20"/>
                <w:color w:val="auto"/>
              </w:rPr>
            </w:pPr>
            <w:r>
              <w:rPr>
                <w:rFonts w:ascii="Times New Roman" w:cs="Times New Roman" w:eastAsia="Times New Roman" w:hAnsi="Times New Roman"/>
                <w:sz w:val="14"/>
                <w:szCs w:val="14"/>
                <w:color w:val="auto"/>
              </w:rPr>
              <w:t>$ 1,137</w:t>
            </w:r>
          </w:p>
        </w:tc>
        <w:tc>
          <w:tcPr>
            <w:tcW w:w="22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ind w:right="3"/>
              <w:spacing w:after="0" w:line="136" w:lineRule="exact"/>
              <w:rPr>
                <w:sz w:val="20"/>
                <w:szCs w:val="20"/>
                <w:color w:val="auto"/>
              </w:rPr>
            </w:pPr>
            <w:r>
              <w:rPr>
                <w:rFonts w:ascii="Times New Roman" w:cs="Times New Roman" w:eastAsia="Times New Roman" w:hAnsi="Times New Roman"/>
                <w:sz w:val="14"/>
                <w:szCs w:val="14"/>
                <w:color w:val="auto"/>
              </w:rPr>
              <w:t>770</w:t>
            </w:r>
          </w:p>
        </w:tc>
        <w:tc>
          <w:tcPr>
            <w:tcW w:w="560" w:type="dxa"/>
            <w:vAlign w:val="bottom"/>
            <w:tcBorders>
              <w:top w:val="single" w:sz="8" w:color="auto"/>
            </w:tcBorders>
          </w:tcPr>
          <w:p>
            <w:pPr>
              <w:jc w:val="right"/>
              <w:ind w:right="26"/>
              <w:spacing w:after="0" w:line="136" w:lineRule="exact"/>
              <w:rPr>
                <w:sz w:val="20"/>
                <w:szCs w:val="20"/>
                <w:color w:val="auto"/>
              </w:rPr>
            </w:pPr>
            <w:r>
              <w:rPr>
                <w:rFonts w:ascii="Times New Roman" w:cs="Times New Roman" w:eastAsia="Times New Roman" w:hAnsi="Times New Roman"/>
                <w:sz w:val="14"/>
                <w:szCs w:val="14"/>
                <w:color w:val="auto"/>
              </w:rPr>
              <w:t>$  597</w:t>
            </w:r>
          </w:p>
        </w:tc>
        <w:tc>
          <w:tcPr>
            <w:tcW w:w="18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(706)</w:t>
            </w:r>
          </w:p>
        </w:tc>
        <w:tc>
          <w:tcPr>
            <w:tcW w:w="62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4"/>
                <w:szCs w:val="14"/>
                <w:color w:val="auto"/>
              </w:rPr>
              <w:t>$ 1,798</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2"/>
                <w:szCs w:val="12"/>
                <w:color w:val="auto"/>
              </w:rPr>
            </w:pPr>
          </w:p>
        </w:tc>
        <w:tc>
          <w:tcPr>
            <w:tcW w:w="4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43</w:t>
            </w:r>
          </w:p>
        </w:tc>
        <w:tc>
          <w:tcPr>
            <w:tcW w:w="560" w:type="dxa"/>
            <w:vAlign w:val="bottom"/>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12"/>
                <w:szCs w:val="12"/>
                <w:color w:val="auto"/>
              </w:rPr>
            </w:pPr>
          </w:p>
        </w:tc>
        <w:tc>
          <w:tcPr>
            <w:tcW w:w="46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493</w:t>
            </w:r>
          </w:p>
        </w:tc>
        <w:tc>
          <w:tcPr>
            <w:tcW w:w="620" w:type="dxa"/>
            <w:vAlign w:val="bottom"/>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Purchases of</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105</w:t>
            </w:r>
          </w:p>
        </w:tc>
        <w:tc>
          <w:tcPr>
            <w:tcW w:w="560" w:type="dxa"/>
            <w:vAlign w:val="bottom"/>
            <w:shd w:val="clear" w:color="auto" w:fill="CCEEFF"/>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3"/>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property and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F-42</w:t>
            </w: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Financial</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Market</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580" w:type="dxa"/>
            <w:vAlign w:val="bottom"/>
            <w:gridSpan w:val="3"/>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Access</w:t>
            </w:r>
          </w:p>
        </w:tc>
        <w:tc>
          <w:tcPr>
            <w:tcW w:w="7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Technology</w:t>
            </w:r>
          </w:p>
        </w:tc>
        <w:tc>
          <w:tcPr>
            <w:tcW w:w="56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Services</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Platforms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980" w:type="dxa"/>
            <w:vAlign w:val="bottom"/>
            <w:vMerge w:val="continue"/>
          </w:tcPr>
          <w:p>
            <w:pPr>
              <w:spacing w:after="0"/>
              <w:rPr>
                <w:sz w:val="11"/>
                <w:szCs w:val="11"/>
                <w:color w:val="auto"/>
              </w:rPr>
            </w:pPr>
          </w:p>
        </w:tc>
        <w:tc>
          <w:tcPr>
            <w:tcW w:w="580" w:type="dxa"/>
            <w:vAlign w:val="bottom"/>
            <w:gridSpan w:val="3"/>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9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1,744</w:t>
            </w:r>
          </w:p>
        </w:tc>
        <w:tc>
          <w:tcPr>
            <w:tcW w:w="22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1,099</w:t>
            </w:r>
          </w:p>
        </w:tc>
        <w:tc>
          <w:tcPr>
            <w:tcW w:w="56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6"/>
                <w:szCs w:val="16"/>
                <w:color w:val="auto"/>
              </w:rPr>
              <w:t>$3,156</w:t>
            </w:r>
          </w:p>
        </w:tc>
        <w:tc>
          <w:tcPr>
            <w:tcW w:w="18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65</w:t>
            </w:r>
          </w:p>
        </w:tc>
        <w:tc>
          <w:tcPr>
            <w:tcW w:w="62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6"/>
                <w:szCs w:val="16"/>
                <w:color w:val="auto"/>
              </w:rPr>
              <w:t>$ 6,064</w:t>
            </w:r>
          </w:p>
        </w:tc>
        <w:tc>
          <w:tcPr>
            <w:tcW w:w="0" w:type="dxa"/>
            <w:vAlign w:val="bottom"/>
          </w:tcPr>
          <w:p>
            <w:pPr>
              <w:spacing w:after="0"/>
              <w:rPr>
                <w:sz w:val="1"/>
                <w:szCs w:val="1"/>
                <w:color w:val="auto"/>
              </w:rPr>
            </w:pPr>
          </w:p>
        </w:tc>
      </w:tr>
      <w:tr>
        <w:trPr>
          <w:trHeight w:val="220"/>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Transaction-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(2,169)</w:t>
            </w:r>
          </w:p>
        </w:tc>
        <w:tc>
          <w:tcPr>
            <w:tcW w:w="180" w:type="dxa"/>
            <w:vAlign w:val="bottom"/>
          </w:tcPr>
          <w:p>
            <w:pPr>
              <w:spacing w:after="0"/>
              <w:rPr>
                <w:sz w:val="12"/>
                <w:szCs w:val="12"/>
                <w:color w:val="auto"/>
              </w:rPr>
            </w:pPr>
          </w:p>
        </w:tc>
        <w:tc>
          <w:tcPr>
            <w:tcW w:w="460" w:type="dxa"/>
            <w:vAlign w:val="bottom"/>
          </w:tcPr>
          <w:p>
            <w:pPr>
              <w:jc w:val="right"/>
              <w:ind w:right="23"/>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(2,169)</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based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9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Revenues less</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1,744</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line="136" w:lineRule="exact"/>
              <w:rPr>
                <w:sz w:val="20"/>
                <w:szCs w:val="20"/>
                <w:color w:val="auto"/>
              </w:rPr>
            </w:pPr>
            <w:r>
              <w:rPr>
                <w:rFonts w:ascii="Times New Roman" w:cs="Times New Roman" w:eastAsia="Times New Roman" w:hAnsi="Times New Roman"/>
                <w:sz w:val="14"/>
                <w:szCs w:val="14"/>
                <w:color w:val="auto"/>
              </w:rPr>
              <w:t>1,099</w:t>
            </w:r>
          </w:p>
        </w:tc>
        <w:tc>
          <w:tcPr>
            <w:tcW w:w="560" w:type="dxa"/>
            <w:vAlign w:val="bottom"/>
            <w:shd w:val="clear" w:color="auto" w:fill="CCEEFF"/>
          </w:tcPr>
          <w:p>
            <w:pPr>
              <w:jc w:val="right"/>
              <w:ind w:right="26"/>
              <w:spacing w:after="0" w:line="136" w:lineRule="exact"/>
              <w:rPr>
                <w:sz w:val="20"/>
                <w:szCs w:val="20"/>
                <w:color w:val="auto"/>
              </w:rPr>
            </w:pPr>
            <w:r>
              <w:rPr>
                <w:rFonts w:ascii="Times New Roman" w:cs="Times New Roman" w:eastAsia="Times New Roman" w:hAnsi="Times New Roman"/>
                <w:sz w:val="14"/>
                <w:szCs w:val="14"/>
                <w:color w:val="auto"/>
              </w:rPr>
              <w:t>987</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23"/>
              <w:spacing w:after="0" w:line="136" w:lineRule="exact"/>
              <w:rPr>
                <w:sz w:val="20"/>
                <w:szCs w:val="20"/>
                <w:color w:val="auto"/>
              </w:rPr>
            </w:pPr>
            <w:r>
              <w:rPr>
                <w:rFonts w:ascii="Times New Roman" w:cs="Times New Roman" w:eastAsia="Times New Roman" w:hAnsi="Times New Roman"/>
                <w:sz w:val="14"/>
                <w:szCs w:val="14"/>
                <w:color w:val="auto"/>
              </w:rPr>
              <w:t>65</w:t>
            </w:r>
          </w:p>
        </w:tc>
        <w:tc>
          <w:tcPr>
            <w:tcW w:w="620" w:type="dxa"/>
            <w:vAlign w:val="bottom"/>
            <w:shd w:val="clear" w:color="auto" w:fill="CCEEFF"/>
          </w:tcPr>
          <w:p>
            <w:pPr>
              <w:jc w:val="right"/>
              <w:ind w:right="45"/>
              <w:spacing w:after="0" w:line="136" w:lineRule="exact"/>
              <w:rPr>
                <w:sz w:val="20"/>
                <w:szCs w:val="20"/>
                <w:color w:val="auto"/>
              </w:rPr>
            </w:pPr>
            <w:r>
              <w:rPr>
                <w:rFonts w:ascii="Times New Roman" w:cs="Times New Roman" w:eastAsia="Times New Roman" w:hAnsi="Times New Roman"/>
                <w:sz w:val="14"/>
                <w:szCs w:val="14"/>
                <w:color w:val="auto"/>
              </w:rPr>
              <w:t>3,895</w:t>
            </w:r>
          </w:p>
        </w:tc>
        <w:tc>
          <w:tcPr>
            <w:tcW w:w="0" w:type="dxa"/>
            <w:vAlign w:val="bottom"/>
          </w:tcPr>
          <w:p>
            <w:pPr>
              <w:spacing w:after="0"/>
              <w:rPr>
                <w:sz w:val="1"/>
                <w:szCs w:val="1"/>
                <w:color w:val="auto"/>
              </w:rPr>
            </w:pPr>
          </w:p>
        </w:tc>
      </w:tr>
      <w:tr>
        <w:trPr>
          <w:trHeight w:val="132"/>
        </w:trPr>
        <w:tc>
          <w:tcPr>
            <w:tcW w:w="9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transaction-</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based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Directly</w:t>
            </w:r>
          </w:p>
        </w:tc>
        <w:tc>
          <w:tcPr>
            <w:tcW w:w="120" w:type="dxa"/>
            <w:vAlign w:val="bottom"/>
          </w:tcPr>
          <w:p>
            <w:pPr>
              <w:spacing w:after="0"/>
              <w:rPr>
                <w:sz w:val="12"/>
                <w:szCs w:val="12"/>
                <w:color w:val="auto"/>
              </w:rPr>
            </w:pPr>
          </w:p>
        </w:tc>
        <w:tc>
          <w:tcPr>
            <w:tcW w:w="4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625</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536</w:t>
            </w:r>
          </w:p>
        </w:tc>
        <w:tc>
          <w:tcPr>
            <w:tcW w:w="560" w:type="dxa"/>
            <w:vAlign w:val="bottom"/>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330</w:t>
            </w:r>
          </w:p>
        </w:tc>
        <w:tc>
          <w:tcPr>
            <w:tcW w:w="180" w:type="dxa"/>
            <w:vAlign w:val="bottom"/>
          </w:tcPr>
          <w:p>
            <w:pPr>
              <w:spacing w:after="0"/>
              <w:rPr>
                <w:sz w:val="12"/>
                <w:szCs w:val="12"/>
                <w:color w:val="auto"/>
              </w:rPr>
            </w:pPr>
          </w:p>
        </w:tc>
        <w:tc>
          <w:tcPr>
            <w:tcW w:w="460" w:type="dxa"/>
            <w:vAlign w:val="bottom"/>
          </w:tcPr>
          <w:p>
            <w:pPr>
              <w:jc w:val="right"/>
              <w:ind w:right="23"/>
              <w:spacing w:after="0" w:line="144"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1,491</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consumed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146</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69</w:t>
            </w:r>
          </w:p>
        </w:tc>
        <w:tc>
          <w:tcPr>
            <w:tcW w:w="560" w:type="dxa"/>
            <w:vAlign w:val="bottom"/>
            <w:shd w:val="clear" w:color="auto" w:fill="CCEEFF"/>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75</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536</w:t>
            </w:r>
          </w:p>
        </w:tc>
        <w:tc>
          <w:tcPr>
            <w:tcW w:w="6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40"/>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9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Operating</w:t>
            </w:r>
          </w:p>
        </w:tc>
        <w:tc>
          <w:tcPr>
            <w:tcW w:w="12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973</w:t>
            </w:r>
          </w:p>
        </w:tc>
        <w:tc>
          <w:tcPr>
            <w:tcW w:w="22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ind w:right="3"/>
              <w:spacing w:after="0" w:line="136" w:lineRule="exact"/>
              <w:rPr>
                <w:sz w:val="20"/>
                <w:szCs w:val="20"/>
                <w:color w:val="auto"/>
              </w:rPr>
            </w:pPr>
            <w:r>
              <w:rPr>
                <w:rFonts w:ascii="Times New Roman" w:cs="Times New Roman" w:eastAsia="Times New Roman" w:hAnsi="Times New Roman"/>
                <w:sz w:val="14"/>
                <w:szCs w:val="14"/>
                <w:color w:val="auto"/>
              </w:rPr>
              <w:t>494</w:t>
            </w:r>
          </w:p>
        </w:tc>
        <w:tc>
          <w:tcPr>
            <w:tcW w:w="560" w:type="dxa"/>
            <w:vAlign w:val="bottom"/>
            <w:tcBorders>
              <w:top w:val="single" w:sz="8" w:color="auto"/>
            </w:tcBorders>
          </w:tcPr>
          <w:p>
            <w:pPr>
              <w:jc w:val="right"/>
              <w:ind w:right="26"/>
              <w:spacing w:after="0" w:line="136" w:lineRule="exact"/>
              <w:rPr>
                <w:sz w:val="20"/>
                <w:szCs w:val="20"/>
                <w:color w:val="auto"/>
              </w:rPr>
            </w:pPr>
            <w:r>
              <w:rPr>
                <w:rFonts w:ascii="Times New Roman" w:cs="Times New Roman" w:eastAsia="Times New Roman" w:hAnsi="Times New Roman"/>
                <w:sz w:val="14"/>
                <w:szCs w:val="14"/>
                <w:color w:val="auto"/>
              </w:rPr>
              <w:t>$  582</w:t>
            </w:r>
          </w:p>
        </w:tc>
        <w:tc>
          <w:tcPr>
            <w:tcW w:w="18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(471)</w:t>
            </w:r>
          </w:p>
        </w:tc>
        <w:tc>
          <w:tcPr>
            <w:tcW w:w="62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4"/>
                <w:szCs w:val="14"/>
                <w:color w:val="auto"/>
              </w:rPr>
              <w:t>$ 1,578</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2"/>
                <w:szCs w:val="12"/>
                <w:color w:val="auto"/>
              </w:rPr>
            </w:pPr>
          </w:p>
        </w:tc>
        <w:tc>
          <w:tcPr>
            <w:tcW w:w="4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2"/>
                <w:szCs w:val="12"/>
                <w:color w:val="auto"/>
              </w:rPr>
            </w:pPr>
          </w:p>
        </w:tc>
        <w:tc>
          <w:tcPr>
            <w:tcW w:w="50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36</w:t>
            </w:r>
          </w:p>
        </w:tc>
        <w:tc>
          <w:tcPr>
            <w:tcW w:w="560" w:type="dxa"/>
            <w:vAlign w:val="bottom"/>
          </w:tcPr>
          <w:p>
            <w:pPr>
              <w:jc w:val="right"/>
              <w:ind w:right="26"/>
              <w:spacing w:after="0" w:line="144" w:lineRule="exact"/>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spacing w:after="0"/>
              <w:rPr>
                <w:sz w:val="12"/>
                <w:szCs w:val="12"/>
                <w:color w:val="auto"/>
              </w:rPr>
            </w:pPr>
          </w:p>
        </w:tc>
        <w:tc>
          <w:tcPr>
            <w:tcW w:w="460" w:type="dxa"/>
            <w:vAlign w:val="bottom"/>
          </w:tcPr>
          <w:p>
            <w:pPr>
              <w:jc w:val="right"/>
              <w:ind w:right="3"/>
              <w:spacing w:after="0" w:line="144" w:lineRule="exact"/>
              <w:rPr>
                <w:sz w:val="20"/>
                <w:szCs w:val="20"/>
                <w:color w:val="auto"/>
              </w:rPr>
            </w:pPr>
            <w:r>
              <w:rPr>
                <w:rFonts w:ascii="Times New Roman" w:cs="Times New Roman" w:eastAsia="Times New Roman" w:hAnsi="Times New Roman"/>
                <w:sz w:val="16"/>
                <w:szCs w:val="16"/>
                <w:color w:val="auto"/>
              </w:rPr>
              <w:t>216</w:t>
            </w:r>
          </w:p>
        </w:tc>
        <w:tc>
          <w:tcPr>
            <w:tcW w:w="620" w:type="dxa"/>
            <w:vAlign w:val="bottom"/>
          </w:tcPr>
          <w:p>
            <w:pPr>
              <w:jc w:val="right"/>
              <w:ind w:right="45"/>
              <w:spacing w:after="0" w:line="144" w:lineRule="exact"/>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Purchases of</w:t>
            </w:r>
          </w:p>
        </w:tc>
        <w:tc>
          <w:tcPr>
            <w:tcW w:w="120" w:type="dxa"/>
            <w:vAlign w:val="bottom"/>
          </w:tcPr>
          <w:p>
            <w:pPr>
              <w:spacing w:after="0"/>
              <w:rPr>
                <w:sz w:val="15"/>
                <w:szCs w:val="15"/>
                <w:color w:val="auto"/>
              </w:rPr>
            </w:pPr>
          </w:p>
        </w:tc>
        <w:tc>
          <w:tcPr>
            <w:tcW w:w="4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5"/>
                <w:szCs w:val="15"/>
                <w:color w:val="auto"/>
              </w:rPr>
            </w:pPr>
          </w:p>
        </w:tc>
        <w:tc>
          <w:tcPr>
            <w:tcW w:w="500" w:type="dxa"/>
            <w:vAlign w:val="bottom"/>
          </w:tcPr>
          <w:p>
            <w:pPr>
              <w:jc w:val="right"/>
              <w:ind w:right="3"/>
              <w:spacing w:after="0" w:line="181" w:lineRule="exact"/>
              <w:rPr>
                <w:sz w:val="20"/>
                <w:szCs w:val="20"/>
                <w:color w:val="auto"/>
              </w:rPr>
            </w:pPr>
            <w:r>
              <w:rPr>
                <w:rFonts w:ascii="Times New Roman" w:cs="Times New Roman" w:eastAsia="Times New Roman" w:hAnsi="Times New Roman"/>
                <w:sz w:val="16"/>
                <w:szCs w:val="16"/>
                <w:color w:val="auto"/>
              </w:rPr>
              <w:t>50</w:t>
            </w:r>
          </w:p>
        </w:tc>
        <w:tc>
          <w:tcPr>
            <w:tcW w:w="560" w:type="dxa"/>
            <w:vAlign w:val="bottom"/>
          </w:tcPr>
          <w:p>
            <w:pPr>
              <w:jc w:val="right"/>
              <w:ind w:right="26"/>
              <w:spacing w:after="0" w:line="181" w:lineRule="exact"/>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5"/>
                <w:szCs w:val="15"/>
                <w:color w:val="auto"/>
              </w:rPr>
            </w:pPr>
          </w:p>
        </w:tc>
        <w:tc>
          <w:tcPr>
            <w:tcW w:w="460" w:type="dxa"/>
            <w:vAlign w:val="bottom"/>
          </w:tcPr>
          <w:p>
            <w:pPr>
              <w:jc w:val="right"/>
              <w:ind w:right="23"/>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5"/>
              <w:spacing w:after="0" w:line="181"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44"/>
        </w:trPr>
        <w:tc>
          <w:tcPr>
            <w:tcW w:w="9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property 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equipment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-311150</wp:posOffset>
            </wp:positionV>
            <wp:extent cx="2606675" cy="3352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2606675" cy="3352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Directly consumed expenses in the table above include both</w:t>
      </w:r>
    </w:p>
    <w:p>
      <w:pPr>
        <w:spacing w:after="0" w:line="203" w:lineRule="auto"/>
        <w:rPr>
          <w:sz w:val="20"/>
          <w:szCs w:val="20"/>
          <w:color w:val="auto"/>
        </w:rPr>
      </w:pPr>
      <w:r>
        <w:rPr>
          <w:rFonts w:ascii="Times New Roman" w:cs="Times New Roman" w:eastAsia="Times New Roman" w:hAnsi="Times New Roman"/>
          <w:sz w:val="16"/>
          <w:szCs w:val="16"/>
          <w:color w:val="auto"/>
        </w:rPr>
        <w:t>direct and directly consumed costs for resources directly used</w:t>
      </w:r>
    </w:p>
    <w:p>
      <w:pPr>
        <w:spacing w:after="0" w:line="204" w:lineRule="auto"/>
        <w:rPr>
          <w:sz w:val="20"/>
          <w:szCs w:val="20"/>
          <w:color w:val="auto"/>
        </w:rPr>
      </w:pPr>
      <w:r>
        <w:rPr>
          <w:rFonts w:ascii="Times New Roman" w:cs="Times New Roman" w:eastAsia="Times New Roman" w:hAnsi="Times New Roman"/>
          <w:sz w:val="16"/>
          <w:szCs w:val="16"/>
          <w:color w:val="auto"/>
        </w:rPr>
        <w:t>by the segment for revenue generating activities. Other</w:t>
      </w:r>
    </w:p>
    <w:p>
      <w:pPr>
        <w:spacing w:after="0" w:line="203" w:lineRule="auto"/>
        <w:rPr>
          <w:sz w:val="20"/>
          <w:szCs w:val="20"/>
          <w:color w:val="auto"/>
        </w:rPr>
      </w:pPr>
      <w:r>
        <w:rPr>
          <w:rFonts w:ascii="Times New Roman" w:cs="Times New Roman" w:eastAsia="Times New Roman" w:hAnsi="Times New Roman"/>
          <w:sz w:val="16"/>
          <w:szCs w:val="16"/>
          <w:color w:val="auto"/>
        </w:rPr>
        <w:t>expenses include indirect overhead costs allocated to our</w:t>
      </w:r>
    </w:p>
    <w:p>
      <w:pPr>
        <w:spacing w:after="0" w:line="204" w:lineRule="auto"/>
        <w:rPr>
          <w:sz w:val="20"/>
          <w:szCs w:val="20"/>
          <w:color w:val="auto"/>
        </w:rPr>
      </w:pPr>
      <w:r>
        <w:rPr>
          <w:rFonts w:ascii="Times New Roman" w:cs="Times New Roman" w:eastAsia="Times New Roman" w:hAnsi="Times New Roman"/>
          <w:sz w:val="16"/>
          <w:szCs w:val="16"/>
          <w:color w:val="auto"/>
        </w:rPr>
        <w:t>segments. During the first year of integration of certain</w:t>
      </w:r>
    </w:p>
    <w:p>
      <w:pPr>
        <w:spacing w:after="0"/>
        <w:rPr>
          <w:sz w:val="20"/>
          <w:szCs w:val="20"/>
          <w:color w:val="auto"/>
        </w:rPr>
      </w:pPr>
      <w:r>
        <w:rPr>
          <w:rFonts w:ascii="Times New Roman" w:cs="Times New Roman" w:eastAsia="Times New Roman" w:hAnsi="Times New Roman"/>
          <w:sz w:val="16"/>
          <w:szCs w:val="16"/>
          <w:color w:val="auto"/>
        </w:rPr>
        <w:t>significant acquisitions such as Adenza or Verafin, the</w:t>
      </w:r>
    </w:p>
    <w:p>
      <w:pPr>
        <w:sectPr>
          <w:pgSz w:w="11900" w:h="16840" w:orient="portrait"/>
          <w:cols w:equalWidth="0" w:num="1">
            <w:col w:w="9400"/>
          </w:cols>
          <w:pgMar w:left="1060" w:top="547" w:right="1440" w:bottom="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color w:val="auto"/>
        </w:rPr>
        <w:t>allocation of these indirect overhead costs to the Financial</w:t>
      </w:r>
    </w:p>
    <w:p>
      <w:pPr>
        <w:spacing w:after="0" w:line="203" w:lineRule="auto"/>
        <w:rPr>
          <w:sz w:val="20"/>
          <w:szCs w:val="20"/>
          <w:color w:val="auto"/>
        </w:rPr>
      </w:pPr>
      <w:r>
        <w:rPr>
          <w:rFonts w:ascii="Times New Roman" w:cs="Times New Roman" w:eastAsia="Times New Roman" w:hAnsi="Times New Roman"/>
          <w:sz w:val="16"/>
          <w:szCs w:val="16"/>
          <w:color w:val="auto"/>
        </w:rPr>
        <w:t>Technology segment were phased in and therefore these</w:t>
      </w:r>
    </w:p>
    <w:p>
      <w:pPr>
        <w:spacing w:after="0" w:line="204" w:lineRule="auto"/>
        <w:rPr>
          <w:sz w:val="20"/>
          <w:szCs w:val="20"/>
          <w:color w:val="auto"/>
        </w:rPr>
      </w:pPr>
      <w:r>
        <w:rPr>
          <w:rFonts w:ascii="Times New Roman" w:cs="Times New Roman" w:eastAsia="Times New Roman" w:hAnsi="Times New Roman"/>
          <w:sz w:val="16"/>
          <w:szCs w:val="16"/>
          <w:color w:val="auto"/>
        </w:rPr>
        <w:t>allocations may change in the future. Other expenses also</w:t>
      </w:r>
    </w:p>
    <w:p>
      <w:pPr>
        <w:spacing w:after="0" w:line="203" w:lineRule="auto"/>
        <w:rPr>
          <w:sz w:val="20"/>
          <w:szCs w:val="20"/>
          <w:color w:val="auto"/>
        </w:rPr>
      </w:pPr>
      <w:r>
        <w:rPr>
          <w:rFonts w:ascii="Times New Roman" w:cs="Times New Roman" w:eastAsia="Times New Roman" w:hAnsi="Times New Roman"/>
          <w:sz w:val="16"/>
          <w:szCs w:val="16"/>
          <w:color w:val="auto"/>
        </w:rPr>
        <w:t>includes expenses allocated to our Corporate segment. The</w:t>
      </w:r>
    </w:p>
    <w:p>
      <w:pPr>
        <w:spacing w:after="0" w:line="204" w:lineRule="auto"/>
        <w:rPr>
          <w:sz w:val="20"/>
          <w:szCs w:val="20"/>
          <w:color w:val="auto"/>
        </w:rPr>
      </w:pPr>
      <w:r>
        <w:rPr>
          <w:rFonts w:ascii="Times New Roman" w:cs="Times New Roman" w:eastAsia="Times New Roman" w:hAnsi="Times New Roman"/>
          <w:sz w:val="16"/>
          <w:szCs w:val="16"/>
          <w:color w:val="auto"/>
        </w:rPr>
        <w:t>following tables summarize revenues and expenses allocated</w:t>
      </w:r>
    </w:p>
    <w:p>
      <w:pPr>
        <w:spacing w:after="0" w:line="228" w:lineRule="auto"/>
        <w:rPr>
          <w:sz w:val="20"/>
          <w:szCs w:val="20"/>
          <w:color w:val="auto"/>
        </w:rPr>
      </w:pPr>
      <w:r>
        <w:rPr>
          <w:rFonts w:ascii="Times New Roman" w:cs="Times New Roman" w:eastAsia="Times New Roman" w:hAnsi="Times New Roman"/>
          <w:sz w:val="16"/>
          <w:szCs w:val="16"/>
          <w:color w:val="auto"/>
        </w:rPr>
        <w:t>to our Corporate segment:</w:t>
      </w:r>
    </w:p>
    <w:tbl>
      <w:tblPr>
        <w:tblLayout w:type="fixed"/>
        <w:tblInd w:w="0" w:type="dxa"/>
        <w:tblCellMar>
          <w:top w:w="0" w:type="dxa"/>
          <w:left w:w="0" w:type="dxa"/>
          <w:bottom w:w="0" w:type="dxa"/>
          <w:right w:w="0" w:type="dxa"/>
        </w:tblCellMar>
      </w:tblPr>
      <w:tr>
        <w:trPr>
          <w:trHeight w:val="142"/>
        </w:trPr>
        <w:tc>
          <w:tcPr>
            <w:tcW w:w="2120" w:type="dxa"/>
            <w:vAlign w:val="bottom"/>
          </w:tcPr>
          <w:p>
            <w:pPr>
              <w:spacing w:after="0"/>
              <w:rPr>
                <w:sz w:val="12"/>
                <w:szCs w:val="12"/>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w w:val="98"/>
              </w:rPr>
              <w:t>Year Ended December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12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6"/>
        </w:trPr>
        <w:tc>
          <w:tcPr>
            <w:tcW w:w="2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6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1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Divestitures of businesses</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44"/>
        </w:trPr>
        <w:tc>
          <w:tcPr>
            <w:tcW w:w="21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Adenza purchase accounting</w:t>
            </w:r>
          </w:p>
        </w:tc>
        <w:tc>
          <w:tcPr>
            <w:tcW w:w="140" w:type="dxa"/>
            <w:vAlign w:val="bottom"/>
          </w:tcPr>
          <w:p>
            <w:pPr>
              <w:spacing w:after="0"/>
              <w:rPr>
                <w:sz w:val="12"/>
                <w:szCs w:val="12"/>
                <w:color w:val="auto"/>
              </w:rPr>
            </w:pPr>
          </w:p>
        </w:tc>
        <w:tc>
          <w:tcPr>
            <w:tcW w:w="460" w:type="dxa"/>
            <w:vAlign w:val="bottom"/>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2"/>
              <w:spacing w:after="0" w:line="144" w:lineRule="exact"/>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adjustment</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2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Amortization expense of</w:t>
            </w:r>
          </w:p>
        </w:tc>
        <w:tc>
          <w:tcPr>
            <w:tcW w:w="140" w:type="dxa"/>
            <w:vAlign w:val="bottom"/>
          </w:tcPr>
          <w:p>
            <w:pPr>
              <w:spacing w:after="0"/>
              <w:rPr>
                <w:sz w:val="12"/>
                <w:szCs w:val="12"/>
                <w:color w:val="auto"/>
              </w:rPr>
            </w:pPr>
          </w:p>
        </w:tc>
        <w:tc>
          <w:tcPr>
            <w:tcW w:w="460" w:type="dxa"/>
            <w:vAlign w:val="bottom"/>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487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488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2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Merger and strategic</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35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32"/>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initiatives expense</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charges</w:t>
            </w:r>
          </w:p>
        </w:tc>
        <w:tc>
          <w:tcPr>
            <w:tcW w:w="14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5"/>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asset impairments</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Legal and regulatory matters</w:t>
            </w:r>
          </w:p>
        </w:tc>
        <w:tc>
          <w:tcPr>
            <w:tcW w:w="14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1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(Gain) loss on extinguishment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2"/>
              <w:spacing w:after="0" w:line="144"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2"/>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 debt</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Pension settlement charge</w:t>
            </w:r>
          </w:p>
        </w:tc>
        <w:tc>
          <w:tcPr>
            <w:tcW w:w="14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5"/>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 - divestiture</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
        </w:trPr>
        <w:tc>
          <w:tcPr>
            <w:tcW w:w="2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628</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735</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(567)</w:t>
            </w:r>
          </w:p>
        </w:tc>
        <w:tc>
          <w:tcPr>
            <w:tcW w:w="4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(706)</w:t>
            </w:r>
          </w:p>
        </w:tc>
        <w:tc>
          <w:tcPr>
            <w:tcW w:w="2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-6350</wp:posOffset>
            </wp:positionV>
            <wp:extent cx="119697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For further discussion of our segments’ results, see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-101600</wp:posOffset>
            </wp:positionV>
            <wp:extent cx="119697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Operating Results,” of “Part II, Item 7. Management’s</w:t>
      </w:r>
    </w:p>
    <w:p>
      <w:pPr>
        <w:spacing w:after="0" w:line="204" w:lineRule="auto"/>
        <w:rPr>
          <w:sz w:val="20"/>
          <w:szCs w:val="20"/>
          <w:color w:val="auto"/>
        </w:rPr>
      </w:pPr>
      <w:r>
        <w:rPr>
          <w:rFonts w:ascii="Times New Roman" w:cs="Times New Roman" w:eastAsia="Times New Roman" w:hAnsi="Times New Roman"/>
          <w:sz w:val="16"/>
          <w:szCs w:val="16"/>
          <w:color w:val="auto"/>
        </w:rPr>
        <w:t>Discussion and Analysis of Financial Condition and Results</w:t>
      </w:r>
    </w:p>
    <w:p>
      <w:pPr>
        <w:spacing w:after="0" w:line="203" w:lineRule="auto"/>
        <w:rPr>
          <w:sz w:val="20"/>
          <w:szCs w:val="20"/>
          <w:color w:val="auto"/>
        </w:rPr>
      </w:pPr>
      <w:r>
        <w:rPr>
          <w:rFonts w:ascii="Times New Roman" w:cs="Times New Roman" w:eastAsia="Times New Roman" w:hAnsi="Times New Roman"/>
          <w:sz w:val="16"/>
          <w:szCs w:val="16"/>
          <w:color w:val="auto"/>
        </w:rPr>
        <w:t>of Operations.”</w:t>
      </w:r>
    </w:p>
    <w:p>
      <w:pPr>
        <w:spacing w:after="0" w:line="204" w:lineRule="auto"/>
        <w:rPr>
          <w:sz w:val="20"/>
          <w:szCs w:val="20"/>
          <w:color w:val="auto"/>
        </w:rPr>
      </w:pPr>
      <w:r>
        <w:rPr>
          <w:rFonts w:ascii="Times New Roman" w:cs="Times New Roman" w:eastAsia="Times New Roman" w:hAnsi="Times New Roman"/>
          <w:sz w:val="16"/>
          <w:szCs w:val="16"/>
          <w:color w:val="auto"/>
        </w:rPr>
        <w:t>The items in the preceding tables are not included in the</w:t>
      </w:r>
    </w:p>
    <w:p>
      <w:pPr>
        <w:spacing w:after="0" w:line="203" w:lineRule="auto"/>
        <w:rPr>
          <w:sz w:val="20"/>
          <w:szCs w:val="20"/>
          <w:color w:val="auto"/>
        </w:rPr>
      </w:pPr>
      <w:r>
        <w:rPr>
          <w:rFonts w:ascii="Times New Roman" w:cs="Times New Roman" w:eastAsia="Times New Roman" w:hAnsi="Times New Roman"/>
          <w:sz w:val="16"/>
          <w:szCs w:val="16"/>
          <w:color w:val="auto"/>
        </w:rPr>
        <w:t>measurement of segment profitability reviewed by our</w:t>
      </w:r>
    </w:p>
    <w:p>
      <w:pPr>
        <w:spacing w:after="0" w:line="204" w:lineRule="auto"/>
        <w:rPr>
          <w:sz w:val="20"/>
          <w:szCs w:val="20"/>
          <w:color w:val="auto"/>
        </w:rPr>
      </w:pPr>
      <w:r>
        <w:rPr>
          <w:rFonts w:ascii="Times New Roman" w:cs="Times New Roman" w:eastAsia="Times New Roman" w:hAnsi="Times New Roman"/>
          <w:sz w:val="16"/>
          <w:szCs w:val="16"/>
          <w:color w:val="auto"/>
        </w:rPr>
        <w:t>CODM, as we believe they do not contribute to a meaningful</w:t>
      </w:r>
    </w:p>
    <w:p>
      <w:pPr>
        <w:spacing w:after="0" w:line="203" w:lineRule="auto"/>
        <w:rPr>
          <w:sz w:val="20"/>
          <w:szCs w:val="20"/>
          <w:color w:val="auto"/>
        </w:rPr>
      </w:pPr>
      <w:r>
        <w:rPr>
          <w:rFonts w:ascii="Times New Roman" w:cs="Times New Roman" w:eastAsia="Times New Roman" w:hAnsi="Times New Roman"/>
          <w:sz w:val="16"/>
          <w:szCs w:val="16"/>
          <w:color w:val="auto"/>
        </w:rPr>
        <w:t>evaluation of a particular segment’s ongoing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 Management does not consider these items for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F-43</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Adenza purchase accounting adjustment:</w:t>
      </w:r>
      <w:r>
        <w:rPr>
          <w:rFonts w:ascii="Times New Roman" w:cs="Times New Roman" w:eastAsia="Times New Roman" w:hAnsi="Times New Roman"/>
          <w:sz w:val="16"/>
          <w:szCs w:val="16"/>
          <w:color w:val="auto"/>
        </w:rPr>
        <w:t xml:space="preserve"> As discussed in</w:t>
      </w:r>
    </w:p>
    <w:p>
      <w:pPr>
        <w:spacing w:after="0" w:line="204" w:lineRule="auto"/>
        <w:rPr>
          <w:sz w:val="20"/>
          <w:szCs w:val="20"/>
          <w:color w:val="auto"/>
        </w:rPr>
      </w:pPr>
      <w:r>
        <w:rPr>
          <w:rFonts w:ascii="Times New Roman" w:cs="Times New Roman" w:eastAsia="Times New Roman" w:hAnsi="Times New Roman"/>
          <w:sz w:val="16"/>
          <w:szCs w:val="16"/>
          <w:color w:val="auto"/>
        </w:rPr>
        <w:t>Note 3, “Revenue from Contracts with Customers,” during</w:t>
      </w:r>
    </w:p>
    <w:p>
      <w:pPr>
        <w:spacing w:after="0" w:line="203" w:lineRule="auto"/>
        <w:rPr>
          <w:sz w:val="20"/>
          <w:szCs w:val="20"/>
          <w:color w:val="auto"/>
        </w:rPr>
      </w:pPr>
      <w:r>
        <w:rPr>
          <w:rFonts w:ascii="Times New Roman" w:cs="Times New Roman" w:eastAsia="Times New Roman" w:hAnsi="Times New Roman"/>
          <w:sz w:val="16"/>
          <w:szCs w:val="16"/>
          <w:color w:val="auto"/>
        </w:rPr>
        <w:t>the third quarter of 2024, as part of finalizing the purchase</w:t>
      </w:r>
    </w:p>
    <w:p>
      <w:pPr>
        <w:spacing w:after="0" w:line="204" w:lineRule="auto"/>
        <w:rPr>
          <w:sz w:val="20"/>
          <w:szCs w:val="20"/>
          <w:color w:val="auto"/>
        </w:rPr>
      </w:pPr>
      <w:r>
        <w:rPr>
          <w:rFonts w:ascii="Times New Roman" w:cs="Times New Roman" w:eastAsia="Times New Roman" w:hAnsi="Times New Roman"/>
          <w:sz w:val="16"/>
          <w:szCs w:val="16"/>
          <w:color w:val="auto"/>
        </w:rPr>
        <w:t>accounting of the Adenza acquisition, a one-time net</w:t>
      </w:r>
    </w:p>
    <w:p>
      <w:pPr>
        <w:spacing w:after="0" w:line="203" w:lineRule="auto"/>
        <w:rPr>
          <w:sz w:val="20"/>
          <w:szCs w:val="20"/>
          <w:color w:val="auto"/>
        </w:rPr>
      </w:pPr>
      <w:r>
        <w:rPr>
          <w:rFonts w:ascii="Times New Roman" w:cs="Times New Roman" w:eastAsia="Times New Roman" w:hAnsi="Times New Roman"/>
          <w:sz w:val="16"/>
          <w:szCs w:val="16"/>
          <w:color w:val="auto"/>
        </w:rPr>
        <w:t>revenue reduction of $32 million was recorded in our</w:t>
      </w:r>
    </w:p>
    <w:p>
      <w:pPr>
        <w:spacing w:after="0" w:line="204" w:lineRule="auto"/>
        <w:rPr>
          <w:sz w:val="20"/>
          <w:szCs w:val="20"/>
          <w:color w:val="auto"/>
        </w:rPr>
      </w:pPr>
      <w:r>
        <w:rPr>
          <w:rFonts w:ascii="Times New Roman" w:cs="Times New Roman" w:eastAsia="Times New Roman" w:hAnsi="Times New Roman"/>
          <w:sz w:val="16"/>
          <w:szCs w:val="16"/>
          <w:color w:val="auto"/>
        </w:rPr>
        <w:t>Financial Technology segment, reflecting the net impact of</w:t>
      </w:r>
    </w:p>
    <w:p>
      <w:pPr>
        <w:spacing w:after="0" w:line="203" w:lineRule="auto"/>
        <w:rPr>
          <w:sz w:val="20"/>
          <w:szCs w:val="20"/>
          <w:color w:val="auto"/>
        </w:rPr>
      </w:pPr>
      <w:r>
        <w:rPr>
          <w:rFonts w:ascii="Times New Roman" w:cs="Times New Roman" w:eastAsia="Times New Roman" w:hAnsi="Times New Roman"/>
          <w:sz w:val="16"/>
          <w:szCs w:val="16"/>
          <w:color w:val="auto"/>
        </w:rPr>
        <w:t>the accounting change on AxiomSL subscription revenue</w:t>
      </w:r>
    </w:p>
    <w:p>
      <w:pPr>
        <w:spacing w:after="0" w:line="204" w:lineRule="auto"/>
        <w:rPr>
          <w:sz w:val="20"/>
          <w:szCs w:val="20"/>
          <w:color w:val="auto"/>
        </w:rPr>
      </w:pPr>
      <w:r>
        <w:rPr>
          <w:rFonts w:ascii="Times New Roman" w:cs="Times New Roman" w:eastAsia="Times New Roman" w:hAnsi="Times New Roman"/>
          <w:sz w:val="16"/>
          <w:szCs w:val="16"/>
          <w:color w:val="auto"/>
        </w:rPr>
        <w:t>from the date of the Adenza acquisition. For purposes of</w:t>
      </w:r>
    </w:p>
    <w:p>
      <w:pPr>
        <w:spacing w:after="0" w:line="203" w:lineRule="auto"/>
        <w:rPr>
          <w:sz w:val="20"/>
          <w:szCs w:val="20"/>
          <w:color w:val="auto"/>
        </w:rPr>
      </w:pPr>
      <w:r>
        <w:rPr>
          <w:rFonts w:ascii="Times New Roman" w:cs="Times New Roman" w:eastAsia="Times New Roman" w:hAnsi="Times New Roman"/>
          <w:sz w:val="16"/>
          <w:szCs w:val="16"/>
          <w:color w:val="auto"/>
        </w:rPr>
        <w:t>evaluating the performance of our segments, we have</w:t>
      </w:r>
    </w:p>
    <w:p>
      <w:pPr>
        <w:spacing w:after="0" w:line="204" w:lineRule="auto"/>
        <w:rPr>
          <w:sz w:val="20"/>
          <w:szCs w:val="20"/>
          <w:color w:val="auto"/>
        </w:rPr>
      </w:pPr>
      <w:r>
        <w:rPr>
          <w:rFonts w:ascii="Times New Roman" w:cs="Times New Roman" w:eastAsia="Times New Roman" w:hAnsi="Times New Roman"/>
          <w:sz w:val="16"/>
          <w:szCs w:val="16"/>
          <w:color w:val="auto"/>
        </w:rPr>
        <w:t>excluded the reduction of $34 million as this relates to the</w:t>
      </w:r>
    </w:p>
    <w:p>
      <w:pPr>
        <w:spacing w:after="0" w:line="204" w:lineRule="auto"/>
        <w:rPr>
          <w:sz w:val="20"/>
          <w:szCs w:val="20"/>
          <w:color w:val="auto"/>
        </w:rPr>
      </w:pPr>
      <w:r>
        <w:rPr>
          <w:rFonts w:ascii="Times New Roman" w:cs="Times New Roman" w:eastAsia="Times New Roman" w:hAnsi="Times New Roman"/>
          <w:sz w:val="16"/>
          <w:szCs w:val="16"/>
          <w:color w:val="auto"/>
        </w:rPr>
        <w:t>prior year impact of this change. We have not excluded the</w:t>
      </w:r>
    </w:p>
    <w:p>
      <w:pPr>
        <w:spacing w:after="0" w:line="203" w:lineRule="auto"/>
        <w:rPr>
          <w:sz w:val="20"/>
          <w:szCs w:val="20"/>
          <w:color w:val="auto"/>
        </w:rPr>
      </w:pPr>
      <w:r>
        <w:rPr>
          <w:rFonts w:ascii="Times New Roman" w:cs="Times New Roman" w:eastAsia="Times New Roman" w:hAnsi="Times New Roman"/>
          <w:sz w:val="16"/>
          <w:szCs w:val="16"/>
          <w:color w:val="auto"/>
        </w:rPr>
        <w:t>offsetting $2 million 2024 impact of this change.</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•Amortization expense of acquired intangible assets: </w:t>
      </w:r>
      <w:r>
        <w:rPr>
          <w:rFonts w:ascii="Times New Roman" w:cs="Times New Roman" w:eastAsia="Times New Roman" w:hAnsi="Times New Roman"/>
          <w:sz w:val="16"/>
          <w:szCs w:val="16"/>
          <w:color w:val="auto"/>
        </w:rPr>
        <w:t>We</w:t>
      </w:r>
    </w:p>
    <w:p>
      <w:pPr>
        <w:spacing w:after="0" w:line="203" w:lineRule="auto"/>
        <w:rPr>
          <w:sz w:val="20"/>
          <w:szCs w:val="20"/>
          <w:color w:val="auto"/>
        </w:rPr>
      </w:pPr>
      <w:r>
        <w:rPr>
          <w:rFonts w:ascii="Times New Roman" w:cs="Times New Roman" w:eastAsia="Times New Roman" w:hAnsi="Times New Roman"/>
          <w:sz w:val="16"/>
          <w:szCs w:val="16"/>
          <w:color w:val="auto"/>
        </w:rPr>
        <w:t>amortize intangible assets acquired in connection with</w:t>
      </w:r>
    </w:p>
    <w:p>
      <w:pPr>
        <w:spacing w:after="0" w:line="204" w:lineRule="auto"/>
        <w:rPr>
          <w:sz w:val="20"/>
          <w:szCs w:val="20"/>
          <w:color w:val="auto"/>
        </w:rPr>
      </w:pPr>
      <w:r>
        <w:rPr>
          <w:rFonts w:ascii="Times New Roman" w:cs="Times New Roman" w:eastAsia="Times New Roman" w:hAnsi="Times New Roman"/>
          <w:sz w:val="16"/>
          <w:szCs w:val="16"/>
          <w:color w:val="auto"/>
        </w:rPr>
        <w:t>various acquisitions. Intangible asset amortization expense</w:t>
      </w:r>
    </w:p>
    <w:p>
      <w:pPr>
        <w:spacing w:after="0" w:line="203" w:lineRule="auto"/>
        <w:rPr>
          <w:sz w:val="20"/>
          <w:szCs w:val="20"/>
          <w:color w:val="auto"/>
        </w:rPr>
      </w:pPr>
      <w:r>
        <w:rPr>
          <w:rFonts w:ascii="Times New Roman" w:cs="Times New Roman" w:eastAsia="Times New Roman" w:hAnsi="Times New Roman"/>
          <w:sz w:val="16"/>
          <w:szCs w:val="16"/>
          <w:color w:val="auto"/>
        </w:rPr>
        <w:t>can vary from period to period due to episodic acquisitions</w:t>
      </w:r>
    </w:p>
    <w:p>
      <w:pPr>
        <w:spacing w:after="0" w:line="204" w:lineRule="auto"/>
        <w:rPr>
          <w:sz w:val="20"/>
          <w:szCs w:val="20"/>
          <w:color w:val="auto"/>
        </w:rPr>
      </w:pPr>
      <w:r>
        <w:rPr>
          <w:rFonts w:ascii="Times New Roman" w:cs="Times New Roman" w:eastAsia="Times New Roman" w:hAnsi="Times New Roman"/>
          <w:sz w:val="16"/>
          <w:szCs w:val="16"/>
          <w:color w:val="auto"/>
        </w:rPr>
        <w:t>completed, rather than from our ongoing business</w:t>
      </w:r>
    </w:p>
    <w:p>
      <w:pPr>
        <w:spacing w:after="0" w:line="203" w:lineRule="auto"/>
        <w:rPr>
          <w:sz w:val="20"/>
          <w:szCs w:val="20"/>
          <w:color w:val="auto"/>
        </w:rPr>
      </w:pPr>
      <w:r>
        <w:rPr>
          <w:rFonts w:ascii="Times New Roman" w:cs="Times New Roman" w:eastAsia="Times New Roman" w:hAnsi="Times New Roman"/>
          <w:sz w:val="16"/>
          <w:szCs w:val="16"/>
          <w:color w:val="auto"/>
        </w:rPr>
        <w:t>operations. As such, if intangible asset amortization is</w:t>
      </w:r>
    </w:p>
    <w:p>
      <w:pPr>
        <w:spacing w:after="0" w:line="204" w:lineRule="auto"/>
        <w:rPr>
          <w:sz w:val="20"/>
          <w:szCs w:val="20"/>
          <w:color w:val="auto"/>
        </w:rPr>
      </w:pPr>
      <w:r>
        <w:rPr>
          <w:rFonts w:ascii="Times New Roman" w:cs="Times New Roman" w:eastAsia="Times New Roman" w:hAnsi="Times New Roman"/>
          <w:sz w:val="16"/>
          <w:szCs w:val="16"/>
          <w:color w:val="auto"/>
        </w:rPr>
        <w:t>included in performance measures, it is more difficult to</w:t>
      </w:r>
    </w:p>
    <w:p>
      <w:pPr>
        <w:spacing w:after="0" w:line="204" w:lineRule="auto"/>
        <w:rPr>
          <w:sz w:val="20"/>
          <w:szCs w:val="20"/>
          <w:color w:val="auto"/>
        </w:rPr>
      </w:pPr>
      <w:r>
        <w:rPr>
          <w:rFonts w:ascii="Times New Roman" w:cs="Times New Roman" w:eastAsia="Times New Roman" w:hAnsi="Times New Roman"/>
          <w:sz w:val="16"/>
          <w:szCs w:val="16"/>
          <w:color w:val="auto"/>
        </w:rPr>
        <w:t>assess the day-to-day operating performance of the</w:t>
      </w:r>
    </w:p>
    <w:p>
      <w:pPr>
        <w:spacing w:after="0" w:line="203" w:lineRule="auto"/>
        <w:rPr>
          <w:sz w:val="20"/>
          <w:szCs w:val="20"/>
          <w:color w:val="auto"/>
        </w:rPr>
      </w:pPr>
      <w:r>
        <w:rPr>
          <w:rFonts w:ascii="Times New Roman" w:cs="Times New Roman" w:eastAsia="Times New Roman" w:hAnsi="Times New Roman"/>
          <w:sz w:val="16"/>
          <w:szCs w:val="16"/>
          <w:color w:val="auto"/>
        </w:rPr>
        <w:t>segments, and the relative operating performance of the</w:t>
      </w:r>
    </w:p>
    <w:p>
      <w:pPr>
        <w:spacing w:after="0" w:line="204" w:lineRule="auto"/>
        <w:rPr>
          <w:sz w:val="20"/>
          <w:szCs w:val="20"/>
          <w:color w:val="auto"/>
        </w:rPr>
      </w:pPr>
      <w:r>
        <w:rPr>
          <w:rFonts w:ascii="Times New Roman" w:cs="Times New Roman" w:eastAsia="Times New Roman" w:hAnsi="Times New Roman"/>
          <w:sz w:val="16"/>
          <w:szCs w:val="16"/>
          <w:color w:val="auto"/>
        </w:rPr>
        <w:t>segments between periods.</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Merger and strategic initiatives expense:</w:t>
      </w:r>
      <w:r>
        <w:rPr>
          <w:rFonts w:ascii="Times New Roman" w:cs="Times New Roman" w:eastAsia="Times New Roman" w:hAnsi="Times New Roman"/>
          <w:sz w:val="16"/>
          <w:szCs w:val="16"/>
          <w:color w:val="auto"/>
        </w:rPr>
        <w:t xml:space="preserve"> We have pursued</w:t>
      </w:r>
    </w:p>
    <w:p>
      <w:pPr>
        <w:spacing w:after="0" w:line="204" w:lineRule="auto"/>
        <w:rPr>
          <w:sz w:val="20"/>
          <w:szCs w:val="20"/>
          <w:color w:val="auto"/>
        </w:rPr>
      </w:pPr>
      <w:r>
        <w:rPr>
          <w:rFonts w:ascii="Times New Roman" w:cs="Times New Roman" w:eastAsia="Times New Roman" w:hAnsi="Times New Roman"/>
          <w:sz w:val="16"/>
          <w:szCs w:val="16"/>
          <w:color w:val="auto"/>
        </w:rPr>
        <w:t>various strategic initiatives and completed acquisitions and</w:t>
      </w:r>
    </w:p>
    <w:p>
      <w:pPr>
        <w:spacing w:after="0" w:line="203" w:lineRule="auto"/>
        <w:rPr>
          <w:sz w:val="20"/>
          <w:szCs w:val="20"/>
          <w:color w:val="auto"/>
        </w:rPr>
      </w:pPr>
      <w:r>
        <w:rPr>
          <w:rFonts w:ascii="Times New Roman" w:cs="Times New Roman" w:eastAsia="Times New Roman" w:hAnsi="Times New Roman"/>
          <w:sz w:val="16"/>
          <w:szCs w:val="16"/>
          <w:color w:val="auto"/>
        </w:rPr>
        <w:t>divestitures in recent years that have resulted in expenses</w:t>
      </w:r>
    </w:p>
    <w:p>
      <w:pPr>
        <w:spacing w:after="0" w:line="204" w:lineRule="auto"/>
        <w:rPr>
          <w:sz w:val="20"/>
          <w:szCs w:val="20"/>
          <w:color w:val="auto"/>
        </w:rPr>
      </w:pPr>
      <w:r>
        <w:rPr>
          <w:rFonts w:ascii="Times New Roman" w:cs="Times New Roman" w:eastAsia="Times New Roman" w:hAnsi="Times New Roman"/>
          <w:sz w:val="16"/>
          <w:szCs w:val="16"/>
          <w:color w:val="auto"/>
        </w:rPr>
        <w:t>which would not have otherwise been incurred. These</w:t>
      </w:r>
    </w:p>
    <w:p>
      <w:pPr>
        <w:spacing w:after="0" w:line="203" w:lineRule="auto"/>
        <w:rPr>
          <w:sz w:val="20"/>
          <w:szCs w:val="20"/>
          <w:color w:val="auto"/>
        </w:rPr>
      </w:pPr>
      <w:r>
        <w:rPr>
          <w:rFonts w:ascii="Times New Roman" w:cs="Times New Roman" w:eastAsia="Times New Roman" w:hAnsi="Times New Roman"/>
          <w:sz w:val="16"/>
          <w:szCs w:val="16"/>
          <w:color w:val="auto"/>
        </w:rPr>
        <w:t>expenses generally include integration costs, as well as</w:t>
      </w:r>
    </w:p>
    <w:p>
      <w:pPr>
        <w:spacing w:after="0" w:line="204" w:lineRule="auto"/>
        <w:rPr>
          <w:sz w:val="20"/>
          <w:szCs w:val="20"/>
          <w:color w:val="auto"/>
        </w:rPr>
      </w:pPr>
      <w:r>
        <w:rPr>
          <w:rFonts w:ascii="Times New Roman" w:cs="Times New Roman" w:eastAsia="Times New Roman" w:hAnsi="Times New Roman"/>
          <w:sz w:val="16"/>
          <w:szCs w:val="16"/>
          <w:color w:val="auto"/>
        </w:rPr>
        <w:t>legal, due diligence and other third-party transaction costs.</w:t>
      </w:r>
    </w:p>
    <w:p>
      <w:pPr>
        <w:spacing w:after="0" w:line="203" w:lineRule="auto"/>
        <w:rPr>
          <w:sz w:val="20"/>
          <w:szCs w:val="20"/>
          <w:color w:val="auto"/>
        </w:rPr>
      </w:pPr>
      <w:r>
        <w:rPr>
          <w:rFonts w:ascii="Times New Roman" w:cs="Times New Roman" w:eastAsia="Times New Roman" w:hAnsi="Times New Roman"/>
          <w:sz w:val="16"/>
          <w:szCs w:val="16"/>
          <w:color w:val="auto"/>
        </w:rPr>
        <w:t>The frequency and the amount of such expenses vary</w:t>
      </w:r>
    </w:p>
    <w:p>
      <w:pPr>
        <w:spacing w:after="0" w:line="204" w:lineRule="auto"/>
        <w:rPr>
          <w:sz w:val="20"/>
          <w:szCs w:val="20"/>
          <w:color w:val="auto"/>
        </w:rPr>
      </w:pPr>
      <w:r>
        <w:rPr>
          <w:rFonts w:ascii="Times New Roman" w:cs="Times New Roman" w:eastAsia="Times New Roman" w:hAnsi="Times New Roman"/>
          <w:sz w:val="16"/>
          <w:szCs w:val="16"/>
          <w:color w:val="auto"/>
        </w:rPr>
        <w:t>significantly based on the size, timing and complexity of</w:t>
      </w:r>
    </w:p>
    <w:p>
      <w:pPr>
        <w:spacing w:after="0" w:line="204" w:lineRule="auto"/>
        <w:rPr>
          <w:sz w:val="20"/>
          <w:szCs w:val="20"/>
          <w:color w:val="auto"/>
        </w:rPr>
      </w:pPr>
      <w:r>
        <w:rPr>
          <w:rFonts w:ascii="Times New Roman" w:cs="Times New Roman" w:eastAsia="Times New Roman" w:hAnsi="Times New Roman"/>
          <w:sz w:val="16"/>
          <w:szCs w:val="16"/>
          <w:color w:val="auto"/>
        </w:rPr>
        <w:t>the transactions.</w:t>
      </w:r>
    </w:p>
    <w:p>
      <w:pPr>
        <w:spacing w:after="0" w:line="203" w:lineRule="auto"/>
        <w:rPr>
          <w:sz w:val="20"/>
          <w:szCs w:val="20"/>
          <w:color w:val="auto"/>
        </w:rPr>
      </w:pPr>
      <w:r>
        <w:rPr>
          <w:rFonts w:ascii="Times New Roman" w:cs="Times New Roman" w:eastAsia="Times New Roman" w:hAnsi="Times New Roman"/>
          <w:sz w:val="16"/>
          <w:szCs w:val="16"/>
          <w:color w:val="auto"/>
        </w:rPr>
        <w:t>◦For the years ended December 31, 2025, and December</w:t>
      </w:r>
    </w:p>
    <w:p>
      <w:pPr>
        <w:spacing w:after="0" w:line="204" w:lineRule="auto"/>
        <w:rPr>
          <w:sz w:val="20"/>
          <w:szCs w:val="20"/>
          <w:color w:val="auto"/>
        </w:rPr>
      </w:pPr>
      <w:r>
        <w:rPr>
          <w:rFonts w:ascii="Times New Roman" w:cs="Times New Roman" w:eastAsia="Times New Roman" w:hAnsi="Times New Roman"/>
          <w:sz w:val="16"/>
          <w:szCs w:val="16"/>
          <w:color w:val="auto"/>
        </w:rPr>
        <w:t>31, 2024, these costs included Adenza integration costs</w:t>
      </w:r>
    </w:p>
    <w:p>
      <w:pPr>
        <w:spacing w:after="0" w:line="203" w:lineRule="auto"/>
        <w:rPr>
          <w:sz w:val="20"/>
          <w:szCs w:val="20"/>
          <w:color w:val="auto"/>
        </w:rPr>
      </w:pPr>
      <w:r>
        <w:rPr>
          <w:rFonts w:ascii="Times New Roman" w:cs="Times New Roman" w:eastAsia="Times New Roman" w:hAnsi="Times New Roman"/>
          <w:sz w:val="16"/>
          <w:szCs w:val="16"/>
          <w:color w:val="auto"/>
        </w:rPr>
        <w:t>and other strategic initiative costs. For the year ended</w:t>
      </w:r>
    </w:p>
    <w:p>
      <w:pPr>
        <w:spacing w:after="0" w:line="204" w:lineRule="auto"/>
        <w:rPr>
          <w:sz w:val="20"/>
          <w:szCs w:val="20"/>
          <w:color w:val="auto"/>
        </w:rPr>
      </w:pPr>
      <w:r>
        <w:rPr>
          <w:rFonts w:ascii="Times New Roman" w:cs="Times New Roman" w:eastAsia="Times New Roman" w:hAnsi="Times New Roman"/>
          <w:sz w:val="16"/>
          <w:szCs w:val="16"/>
          <w:color w:val="auto"/>
        </w:rPr>
        <w:t>December 31, 2024, these costs were partially offset by</w:t>
      </w:r>
    </w:p>
    <w:p>
      <w:pPr>
        <w:spacing w:after="0" w:line="203" w:lineRule="auto"/>
        <w:rPr>
          <w:sz w:val="20"/>
          <w:szCs w:val="20"/>
          <w:color w:val="auto"/>
        </w:rPr>
      </w:pPr>
      <w:r>
        <w:rPr>
          <w:rFonts w:ascii="Times New Roman" w:cs="Times New Roman" w:eastAsia="Times New Roman" w:hAnsi="Times New Roman"/>
          <w:sz w:val="16"/>
          <w:szCs w:val="16"/>
          <w:color w:val="auto"/>
        </w:rPr>
        <w:t>the recognition of a termination fee received by Nasdaq</w:t>
      </w:r>
    </w:p>
    <w:p>
      <w:pPr>
        <w:spacing w:after="0" w:line="204" w:lineRule="auto"/>
        <w:rPr>
          <w:sz w:val="20"/>
          <w:szCs w:val="20"/>
          <w:color w:val="auto"/>
        </w:rPr>
      </w:pPr>
      <w:r>
        <w:rPr>
          <w:rFonts w:ascii="Times New Roman" w:cs="Times New Roman" w:eastAsia="Times New Roman" w:hAnsi="Times New Roman"/>
          <w:sz w:val="16"/>
          <w:szCs w:val="16"/>
          <w:color w:val="auto"/>
        </w:rPr>
        <w:t>in 2024, related to the termination of the proposed</w:t>
      </w:r>
    </w:p>
    <w:p>
      <w:pPr>
        <w:spacing w:after="0" w:line="203" w:lineRule="auto"/>
        <w:rPr>
          <w:sz w:val="20"/>
          <w:szCs w:val="20"/>
          <w:color w:val="auto"/>
        </w:rPr>
      </w:pPr>
      <w:r>
        <w:rPr>
          <w:rFonts w:ascii="Times New Roman" w:cs="Times New Roman" w:eastAsia="Times New Roman" w:hAnsi="Times New Roman"/>
          <w:sz w:val="16"/>
          <w:szCs w:val="16"/>
          <w:color w:val="auto"/>
        </w:rPr>
        <w:t>divestiture of our Nordic power futures business. For the</w:t>
      </w:r>
    </w:p>
    <w:p>
      <w:pPr>
        <w:spacing w:after="0" w:line="204" w:lineRule="auto"/>
        <w:rPr>
          <w:sz w:val="20"/>
          <w:szCs w:val="20"/>
          <w:color w:val="auto"/>
        </w:rPr>
      </w:pPr>
      <w:r>
        <w:rPr>
          <w:rFonts w:ascii="Times New Roman" w:cs="Times New Roman" w:eastAsia="Times New Roman" w:hAnsi="Times New Roman"/>
          <w:sz w:val="16"/>
          <w:szCs w:val="16"/>
          <w:color w:val="auto"/>
        </w:rPr>
        <w:t>year ended December 31, 2025, these costs included a</w:t>
      </w:r>
    </w:p>
    <w:p>
      <w:pPr>
        <w:spacing w:after="0" w:line="204" w:lineRule="auto"/>
        <w:rPr>
          <w:sz w:val="20"/>
          <w:szCs w:val="20"/>
          <w:color w:val="auto"/>
        </w:rPr>
      </w:pPr>
      <w:r>
        <w:rPr>
          <w:rFonts w:ascii="Times New Roman" w:cs="Times New Roman" w:eastAsia="Times New Roman" w:hAnsi="Times New Roman"/>
          <w:sz w:val="16"/>
          <w:szCs w:val="16"/>
          <w:color w:val="auto"/>
        </w:rPr>
        <w:t>repayment of this fee due to the sale of the Nordic power</w:t>
      </w:r>
    </w:p>
    <w:p>
      <w:pPr>
        <w:spacing w:after="0" w:line="203" w:lineRule="auto"/>
        <w:rPr>
          <w:sz w:val="20"/>
          <w:szCs w:val="20"/>
          <w:color w:val="auto"/>
        </w:rPr>
      </w:pPr>
      <w:r>
        <w:rPr>
          <w:rFonts w:ascii="Times New Roman" w:cs="Times New Roman" w:eastAsia="Times New Roman" w:hAnsi="Times New Roman"/>
          <w:sz w:val="16"/>
          <w:szCs w:val="16"/>
          <w:color w:val="auto"/>
        </w:rPr>
        <w:t>futures business to another buyer, as designated in the</w:t>
      </w:r>
    </w:p>
    <w:p>
      <w:pPr>
        <w:spacing w:after="0" w:line="204" w:lineRule="auto"/>
        <w:rPr>
          <w:sz w:val="20"/>
          <w:szCs w:val="20"/>
          <w:color w:val="auto"/>
        </w:rPr>
      </w:pPr>
      <w:r>
        <w:rPr>
          <w:rFonts w:ascii="Times New Roman" w:cs="Times New Roman" w:eastAsia="Times New Roman" w:hAnsi="Times New Roman"/>
          <w:sz w:val="16"/>
          <w:szCs w:val="16"/>
          <w:color w:val="auto"/>
        </w:rPr>
        <w:t>settlement agreement.</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Restructuring charges:</w:t>
      </w:r>
      <w:r>
        <w:rPr>
          <w:rFonts w:ascii="Times New Roman" w:cs="Times New Roman" w:eastAsia="Times New Roman" w:hAnsi="Times New Roman"/>
          <w:sz w:val="16"/>
          <w:szCs w:val="16"/>
          <w:color w:val="auto"/>
        </w:rPr>
        <w:t xml:space="preserve"> See Note 20, “Restructuring</w:t>
      </w:r>
    </w:p>
    <w:p>
      <w:pPr>
        <w:spacing w:after="0" w:line="204" w:lineRule="auto"/>
        <w:rPr>
          <w:sz w:val="20"/>
          <w:szCs w:val="20"/>
          <w:color w:val="auto"/>
        </w:rPr>
      </w:pPr>
      <w:r>
        <w:rPr>
          <w:rFonts w:ascii="Times New Roman" w:cs="Times New Roman" w:eastAsia="Times New Roman" w:hAnsi="Times New Roman"/>
          <w:sz w:val="16"/>
          <w:szCs w:val="16"/>
          <w:color w:val="auto"/>
        </w:rPr>
        <w:t>Charges,” for further discussion of these plans.</w:t>
      </w:r>
    </w:p>
    <w:p>
      <w:pPr>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Lease asset impairments:</w:t>
      </w:r>
      <w:r>
        <w:rPr>
          <w:rFonts w:ascii="Times New Roman" w:cs="Times New Roman" w:eastAsia="Times New Roman" w:hAnsi="Times New Roman"/>
          <w:sz w:val="16"/>
          <w:szCs w:val="16"/>
          <w:color w:val="auto"/>
        </w:rPr>
        <w:t xml:space="preserve"> For year ended December 31,</w:t>
      </w:r>
    </w:p>
    <w:p>
      <w:pPr>
        <w:spacing w:after="0" w:line="204" w:lineRule="auto"/>
        <w:rPr>
          <w:sz w:val="20"/>
          <w:szCs w:val="20"/>
          <w:color w:val="auto"/>
        </w:rPr>
      </w:pPr>
      <w:r>
        <w:rPr>
          <w:rFonts w:ascii="Times New Roman" w:cs="Times New Roman" w:eastAsia="Times New Roman" w:hAnsi="Times New Roman"/>
          <w:sz w:val="16"/>
          <w:szCs w:val="16"/>
          <w:color w:val="auto"/>
        </w:rPr>
        <w:t>2023, this included impairment charges related to our</w:t>
      </w:r>
    </w:p>
    <w:p>
      <w:pPr>
        <w:spacing w:after="0" w:line="203" w:lineRule="auto"/>
        <w:rPr>
          <w:sz w:val="20"/>
          <w:szCs w:val="20"/>
          <w:color w:val="auto"/>
        </w:rPr>
      </w:pPr>
      <w:r>
        <w:rPr>
          <w:rFonts w:ascii="Times New Roman" w:cs="Times New Roman" w:eastAsia="Times New Roman" w:hAnsi="Times New Roman"/>
          <w:sz w:val="16"/>
          <w:szCs w:val="16"/>
          <w:color w:val="auto"/>
        </w:rPr>
        <w:t>operating lease assets and leasehold improvements</w:t>
      </w:r>
    </w:p>
    <w:p>
      <w:pPr>
        <w:spacing w:after="0" w:line="204" w:lineRule="auto"/>
        <w:rPr>
          <w:sz w:val="20"/>
          <w:szCs w:val="20"/>
          <w:color w:val="auto"/>
        </w:rPr>
      </w:pPr>
      <w:r>
        <w:rPr>
          <w:rFonts w:ascii="Times New Roman" w:cs="Times New Roman" w:eastAsia="Times New Roman" w:hAnsi="Times New Roman"/>
          <w:sz w:val="16"/>
          <w:szCs w:val="16"/>
          <w:color w:val="auto"/>
        </w:rPr>
        <w:t>associated with vacating certain leased office space, which</w:t>
      </w:r>
    </w:p>
    <w:p>
      <w:pPr>
        <w:spacing w:after="0" w:line="203" w:lineRule="auto"/>
        <w:rPr>
          <w:sz w:val="20"/>
          <w:szCs w:val="20"/>
          <w:color w:val="auto"/>
        </w:rPr>
      </w:pPr>
      <w:r>
        <w:rPr>
          <w:rFonts w:ascii="Times New Roman" w:cs="Times New Roman" w:eastAsia="Times New Roman" w:hAnsi="Times New Roman"/>
          <w:sz w:val="16"/>
          <w:szCs w:val="16"/>
          <w:color w:val="auto"/>
        </w:rPr>
        <w:t>are recorded in occupancy and depreciation and</w:t>
      </w:r>
    </w:p>
    <w:p>
      <w:pPr>
        <w:spacing w:after="0" w:line="204" w:lineRule="auto"/>
        <w:rPr>
          <w:sz w:val="20"/>
          <w:szCs w:val="20"/>
          <w:color w:val="auto"/>
        </w:rPr>
      </w:pPr>
      <w:r>
        <w:rPr>
          <w:rFonts w:ascii="Times New Roman" w:cs="Times New Roman" w:eastAsia="Times New Roman" w:hAnsi="Times New Roman"/>
          <w:sz w:val="16"/>
          <w:szCs w:val="16"/>
          <w:color w:val="auto"/>
        </w:rPr>
        <w:t>amortization expense in the Consolidated Statements of</w:t>
      </w:r>
    </w:p>
    <w:p>
      <w:pPr>
        <w:spacing w:after="0" w:line="204" w:lineRule="auto"/>
        <w:rPr>
          <w:sz w:val="20"/>
          <w:szCs w:val="20"/>
          <w:color w:val="auto"/>
        </w:rPr>
      </w:pPr>
      <w:r>
        <w:rPr>
          <w:rFonts w:ascii="Times New Roman" w:cs="Times New Roman" w:eastAsia="Times New Roman" w:hAnsi="Times New Roman"/>
          <w:sz w:val="16"/>
          <w:szCs w:val="16"/>
          <w:color w:val="auto"/>
        </w:rPr>
        <w:t>Income.</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•Legal and regulatory matters: </w:t>
      </w:r>
      <w:r>
        <w:rPr>
          <w:rFonts w:ascii="Times New Roman" w:cs="Times New Roman" w:eastAsia="Times New Roman" w:hAnsi="Times New Roman"/>
          <w:sz w:val="16"/>
          <w:szCs w:val="16"/>
          <w:color w:val="auto"/>
        </w:rPr>
        <w:t>For the year ended</w:t>
      </w:r>
    </w:p>
    <w:p>
      <w:pPr>
        <w:spacing w:after="0" w:line="204" w:lineRule="auto"/>
        <w:rPr>
          <w:sz w:val="20"/>
          <w:szCs w:val="20"/>
          <w:color w:val="auto"/>
        </w:rPr>
      </w:pPr>
      <w:r>
        <w:rPr>
          <w:rFonts w:ascii="Times New Roman" w:cs="Times New Roman" w:eastAsia="Times New Roman" w:hAnsi="Times New Roman"/>
          <w:sz w:val="16"/>
          <w:szCs w:val="16"/>
          <w:color w:val="auto"/>
        </w:rPr>
        <w:t>December 31, 2025, this includes accruals relating to</w:t>
      </w:r>
    </w:p>
    <w:p>
      <w:pPr>
        <w:spacing w:after="0"/>
        <w:rPr>
          <w:sz w:val="20"/>
          <w:szCs w:val="20"/>
          <w:color w:val="auto"/>
        </w:rPr>
      </w:pPr>
      <w:r>
        <w:rPr>
          <w:rFonts w:ascii="Times New Roman" w:cs="Times New Roman" w:eastAsia="Times New Roman" w:hAnsi="Times New Roman"/>
          <w:sz w:val="16"/>
          <w:szCs w:val="16"/>
          <w:color w:val="auto"/>
        </w:rPr>
        <w:t>certain legal matters, which are recorded in professional</w:t>
      </w:r>
    </w:p>
    <w:p>
      <w:pPr>
        <w:sectPr>
          <w:pgSz w:w="11900" w:h="16840" w:orient="portrait"/>
          <w:cols w:equalWidth="0" w:num="1">
            <w:col w:w="9400"/>
          </w:cols>
          <w:pgMar w:left="1060" w:top="547" w:right="1440" w:bottom="104" w:gutter="0" w:footer="0" w:header="0"/>
        </w:sectPr>
      </w:pPr>
    </w:p>
    <w:bookmarkStart w:id="91" w:name="page92"/>
    <w:bookmarkEnd w:id="91"/>
    <w:p>
      <w:pPr>
        <w:ind w:left="10"/>
        <w:spacing w:after="0"/>
        <w:rPr>
          <w:sz w:val="20"/>
          <w:szCs w:val="20"/>
          <w:color w:val="auto"/>
        </w:rPr>
      </w:pPr>
      <w:r>
        <w:rPr>
          <w:rFonts w:ascii="Times New Roman" w:cs="Times New Roman" w:eastAsia="Times New Roman" w:hAnsi="Times New Roman"/>
          <w:sz w:val="16"/>
          <w:szCs w:val="16"/>
          <w:color w:val="auto"/>
        </w:rPr>
        <w:t>and contract services in the Consolidated Statements of</w:t>
      </w:r>
    </w:p>
    <w:p>
      <w:pPr>
        <w:ind w:left="10"/>
        <w:spacing w:after="0" w:line="203" w:lineRule="auto"/>
        <w:rPr>
          <w:sz w:val="20"/>
          <w:szCs w:val="20"/>
          <w:color w:val="auto"/>
        </w:rPr>
      </w:pPr>
      <w:r>
        <w:rPr>
          <w:rFonts w:ascii="Times New Roman" w:cs="Times New Roman" w:eastAsia="Times New Roman" w:hAnsi="Times New Roman"/>
          <w:sz w:val="16"/>
          <w:szCs w:val="16"/>
          <w:color w:val="auto"/>
        </w:rPr>
        <w:t>Income. For the year ended December 31, 2024, this</w:t>
      </w:r>
    </w:p>
    <w:p>
      <w:pPr>
        <w:ind w:left="10"/>
        <w:spacing w:after="0" w:line="204" w:lineRule="auto"/>
        <w:rPr>
          <w:sz w:val="20"/>
          <w:szCs w:val="20"/>
          <w:color w:val="auto"/>
        </w:rPr>
      </w:pPr>
      <w:r>
        <w:rPr>
          <w:rFonts w:ascii="Times New Roman" w:cs="Times New Roman" w:eastAsia="Times New Roman" w:hAnsi="Times New Roman"/>
          <w:sz w:val="16"/>
          <w:szCs w:val="16"/>
          <w:color w:val="auto"/>
        </w:rPr>
        <w:t>primarily related to the settlement of an SFSA fine,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accruals related to certain legal matters, which are recorded</w:t>
      </w:r>
    </w:p>
    <w:p>
      <w:pPr>
        <w:ind w:left="10"/>
        <w:spacing w:after="0" w:line="204" w:lineRule="auto"/>
        <w:rPr>
          <w:sz w:val="20"/>
          <w:szCs w:val="20"/>
          <w:color w:val="auto"/>
        </w:rPr>
      </w:pPr>
      <w:r>
        <w:rPr>
          <w:rFonts w:ascii="Times New Roman" w:cs="Times New Roman" w:eastAsia="Times New Roman" w:hAnsi="Times New Roman"/>
          <w:sz w:val="16"/>
          <w:szCs w:val="16"/>
          <w:color w:val="auto"/>
        </w:rPr>
        <w:t>in regulatory expense and professional and contract</w:t>
      </w:r>
    </w:p>
    <w:p>
      <w:pPr>
        <w:ind w:left="10"/>
        <w:spacing w:after="0" w:line="203" w:lineRule="auto"/>
        <w:rPr>
          <w:sz w:val="20"/>
          <w:szCs w:val="20"/>
          <w:color w:val="auto"/>
        </w:rPr>
      </w:pPr>
      <w:r>
        <w:rPr>
          <w:rFonts w:ascii="Times New Roman" w:cs="Times New Roman" w:eastAsia="Times New Roman" w:hAnsi="Times New Roman"/>
          <w:sz w:val="16"/>
          <w:szCs w:val="16"/>
          <w:color w:val="auto"/>
        </w:rPr>
        <w:t>services in the Consolidated Statements of Income.</w:t>
      </w:r>
    </w:p>
    <w:p>
      <w:pPr>
        <w:ind w:left="10"/>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•Gain/loss on extinguishment of debt: </w:t>
      </w:r>
      <w:r>
        <w:rPr>
          <w:rFonts w:ascii="Times New Roman" w:cs="Times New Roman" w:eastAsia="Times New Roman" w:hAnsi="Times New Roman"/>
          <w:sz w:val="16"/>
          <w:szCs w:val="16"/>
          <w:color w:val="auto"/>
        </w:rPr>
        <w:t>For the year ended</w:t>
      </w:r>
    </w:p>
    <w:p>
      <w:pPr>
        <w:ind w:left="10"/>
        <w:spacing w:after="0" w:line="203" w:lineRule="auto"/>
        <w:rPr>
          <w:sz w:val="20"/>
          <w:szCs w:val="20"/>
          <w:color w:val="auto"/>
        </w:rPr>
      </w:pPr>
      <w:r>
        <w:rPr>
          <w:rFonts w:ascii="Times New Roman" w:cs="Times New Roman" w:eastAsia="Times New Roman" w:hAnsi="Times New Roman"/>
          <w:sz w:val="16"/>
          <w:szCs w:val="16"/>
          <w:color w:val="auto"/>
        </w:rPr>
        <w:t>December 31, 2025 we recorded a gain on early</w:t>
      </w:r>
    </w:p>
    <w:p>
      <w:pPr>
        <w:ind w:left="10"/>
        <w:spacing w:after="0" w:line="204" w:lineRule="auto"/>
        <w:rPr>
          <w:sz w:val="20"/>
          <w:szCs w:val="20"/>
          <w:color w:val="auto"/>
        </w:rPr>
      </w:pPr>
      <w:r>
        <w:rPr>
          <w:rFonts w:ascii="Times New Roman" w:cs="Times New Roman" w:eastAsia="Times New Roman" w:hAnsi="Times New Roman"/>
          <w:sz w:val="16"/>
          <w:szCs w:val="16"/>
          <w:color w:val="auto"/>
        </w:rPr>
        <w:t>extinguishment of debt and for the year ended December</w:t>
      </w:r>
    </w:p>
    <w:p>
      <w:pPr>
        <w:ind w:left="10"/>
        <w:spacing w:after="0" w:line="203" w:lineRule="auto"/>
        <w:rPr>
          <w:sz w:val="20"/>
          <w:szCs w:val="20"/>
          <w:color w:val="auto"/>
        </w:rPr>
      </w:pPr>
      <w:r>
        <w:rPr>
          <w:rFonts w:ascii="Times New Roman" w:cs="Times New Roman" w:eastAsia="Times New Roman" w:hAnsi="Times New Roman"/>
          <w:sz w:val="16"/>
          <w:szCs w:val="16"/>
          <w:color w:val="auto"/>
        </w:rPr>
        <w:t>31, 2024 we recorded a loss on early extinguishment of</w:t>
      </w:r>
    </w:p>
    <w:p>
      <w:pPr>
        <w:ind w:left="10"/>
        <w:spacing w:after="0" w:line="204" w:lineRule="auto"/>
        <w:rPr>
          <w:sz w:val="20"/>
          <w:szCs w:val="20"/>
          <w:color w:val="auto"/>
        </w:rPr>
      </w:pPr>
      <w:r>
        <w:rPr>
          <w:rFonts w:ascii="Times New Roman" w:cs="Times New Roman" w:eastAsia="Times New Roman" w:hAnsi="Times New Roman"/>
          <w:sz w:val="16"/>
          <w:szCs w:val="16"/>
          <w:color w:val="auto"/>
        </w:rPr>
        <w:t>debt. These gains and losses were recorded under general,</w:t>
      </w:r>
    </w:p>
    <w:p>
      <w:pPr>
        <w:ind w:left="10"/>
        <w:spacing w:after="0" w:line="204" w:lineRule="auto"/>
        <w:rPr>
          <w:sz w:val="20"/>
          <w:szCs w:val="20"/>
          <w:color w:val="auto"/>
        </w:rPr>
      </w:pPr>
      <w:r>
        <w:rPr>
          <w:rFonts w:ascii="Times New Roman" w:cs="Times New Roman" w:eastAsia="Times New Roman" w:hAnsi="Times New Roman"/>
          <w:sz w:val="16"/>
          <w:szCs w:val="16"/>
          <w:color w:val="auto"/>
        </w:rPr>
        <w:t>administrative and other expense in the Consolidated</w:t>
      </w:r>
    </w:p>
    <w:p>
      <w:pPr>
        <w:ind w:left="10"/>
        <w:spacing w:after="0" w:line="203" w:lineRule="auto"/>
        <w:rPr>
          <w:sz w:val="20"/>
          <w:szCs w:val="20"/>
          <w:color w:val="auto"/>
        </w:rPr>
      </w:pPr>
      <w:r>
        <w:rPr>
          <w:rFonts w:ascii="Times New Roman" w:cs="Times New Roman" w:eastAsia="Times New Roman" w:hAnsi="Times New Roman"/>
          <w:sz w:val="16"/>
          <w:szCs w:val="16"/>
          <w:color w:val="auto"/>
        </w:rPr>
        <w:t>Statements of Income. See Note 9, “Debt Obligations,” to</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consolidated financial statements for further discussion.</w:t>
      </w:r>
    </w:p>
    <w:p>
      <w:pPr>
        <w:ind w:left="1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Pension settlement charge: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years ended December</w:t>
      </w:r>
    </w:p>
    <w:p>
      <w:pPr>
        <w:ind w:left="10"/>
        <w:spacing w:after="0" w:line="204" w:lineRule="auto"/>
        <w:rPr>
          <w:sz w:val="20"/>
          <w:szCs w:val="20"/>
          <w:color w:val="auto"/>
        </w:rPr>
      </w:pPr>
      <w:r>
        <w:rPr>
          <w:rFonts w:ascii="Times New Roman" w:cs="Times New Roman" w:eastAsia="Times New Roman" w:hAnsi="Times New Roman"/>
          <w:sz w:val="16"/>
          <w:szCs w:val="16"/>
          <w:color w:val="auto"/>
        </w:rPr>
        <w:t>31, 2024 and 2023, we recorded a pre-tax charge as a result</w:t>
      </w:r>
    </w:p>
    <w:p>
      <w:pPr>
        <w:ind w:left="10"/>
        <w:spacing w:after="0" w:line="203" w:lineRule="auto"/>
        <w:rPr>
          <w:sz w:val="20"/>
          <w:szCs w:val="20"/>
          <w:color w:val="auto"/>
        </w:rPr>
      </w:pPr>
      <w:r>
        <w:rPr>
          <w:rFonts w:ascii="Times New Roman" w:cs="Times New Roman" w:eastAsia="Times New Roman" w:hAnsi="Times New Roman"/>
          <w:sz w:val="16"/>
          <w:szCs w:val="16"/>
          <w:color w:val="auto"/>
        </w:rPr>
        <w:t>of settling our U.S. pension plan. The plan was terminated</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partially settled in 2023, with final settlement</w:t>
      </w:r>
    </w:p>
    <w:p>
      <w:pPr>
        <w:ind w:left="10"/>
        <w:spacing w:after="0" w:line="203" w:lineRule="auto"/>
        <w:rPr>
          <w:sz w:val="20"/>
          <w:szCs w:val="20"/>
          <w:color w:val="auto"/>
        </w:rPr>
      </w:pPr>
      <w:r>
        <w:rPr>
          <w:rFonts w:ascii="Times New Roman" w:cs="Times New Roman" w:eastAsia="Times New Roman" w:hAnsi="Times New Roman"/>
          <w:sz w:val="16"/>
          <w:szCs w:val="16"/>
          <w:color w:val="auto"/>
        </w:rPr>
        <w:t>occurring during the first quarter of 2024. The pre-tax</w:t>
      </w:r>
    </w:p>
    <w:p>
      <w:pPr>
        <w:ind w:left="10"/>
        <w:spacing w:after="0" w:line="204" w:lineRule="auto"/>
        <w:rPr>
          <w:sz w:val="20"/>
          <w:szCs w:val="20"/>
          <w:color w:val="auto"/>
        </w:rPr>
      </w:pPr>
      <w:r>
        <w:rPr>
          <w:rFonts w:ascii="Times New Roman" w:cs="Times New Roman" w:eastAsia="Times New Roman" w:hAnsi="Times New Roman"/>
          <w:sz w:val="16"/>
          <w:szCs w:val="16"/>
          <w:color w:val="auto"/>
        </w:rPr>
        <w:t>charge is recorded in compensation and benefits expense in</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Consolidated Statements of Income.</w:t>
      </w:r>
    </w:p>
    <w:p>
      <w:pPr>
        <w:ind w:left="1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•Other items: </w:t>
      </w:r>
      <w:r>
        <w:rPr>
          <w:rFonts w:ascii="Times New Roman" w:cs="Times New Roman" w:eastAsia="Times New Roman" w:hAnsi="Times New Roman"/>
          <w:sz w:val="16"/>
          <w:szCs w:val="16"/>
          <w:color w:val="auto"/>
        </w:rPr>
        <w:t>We have included certain other charges or</w:t>
      </w:r>
    </w:p>
    <w:p>
      <w:pPr>
        <w:ind w:left="10"/>
        <w:spacing w:after="0" w:line="204" w:lineRule="auto"/>
        <w:rPr>
          <w:sz w:val="20"/>
          <w:szCs w:val="20"/>
          <w:color w:val="auto"/>
        </w:rPr>
      </w:pPr>
      <w:r>
        <w:rPr>
          <w:rFonts w:ascii="Times New Roman" w:cs="Times New Roman" w:eastAsia="Times New Roman" w:hAnsi="Times New Roman"/>
          <w:sz w:val="16"/>
          <w:szCs w:val="16"/>
          <w:color w:val="auto"/>
        </w:rPr>
        <w:t>gains in corporate items, to the extent we believe they</w:t>
      </w:r>
    </w:p>
    <w:p>
      <w:pPr>
        <w:ind w:left="10"/>
        <w:spacing w:after="0" w:line="203" w:lineRule="auto"/>
        <w:rPr>
          <w:sz w:val="20"/>
          <w:szCs w:val="20"/>
          <w:color w:val="auto"/>
        </w:rPr>
      </w:pPr>
      <w:r>
        <w:rPr>
          <w:rFonts w:ascii="Times New Roman" w:cs="Times New Roman" w:eastAsia="Times New Roman" w:hAnsi="Times New Roman"/>
          <w:sz w:val="16"/>
          <w:szCs w:val="16"/>
          <w:color w:val="auto"/>
        </w:rPr>
        <w:t>should be excluded when evaluating the ongoing operating</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performance of each individual segment.</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F-44</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20. RESTRUCTURING CHARGES</w:t>
      </w:r>
    </w:p>
    <w:p>
      <w:pPr>
        <w:ind w:left="10"/>
        <w:spacing w:after="0" w:line="204" w:lineRule="auto"/>
        <w:rPr>
          <w:sz w:val="20"/>
          <w:szCs w:val="20"/>
          <w:color w:val="auto"/>
        </w:rPr>
      </w:pPr>
      <w:r>
        <w:rPr>
          <w:rFonts w:ascii="Times New Roman" w:cs="Times New Roman" w:eastAsia="Times New Roman" w:hAnsi="Times New Roman"/>
          <w:sz w:val="16"/>
          <w:szCs w:val="16"/>
          <w:color w:val="auto"/>
        </w:rPr>
        <w:t>In the fourth quarter of 2023, following the closing of the</w:t>
      </w:r>
    </w:p>
    <w:p>
      <w:pPr>
        <w:ind w:left="10"/>
        <w:spacing w:after="0" w:line="203" w:lineRule="auto"/>
        <w:rPr>
          <w:sz w:val="20"/>
          <w:szCs w:val="20"/>
          <w:color w:val="auto"/>
        </w:rPr>
      </w:pPr>
      <w:r>
        <w:rPr>
          <w:rFonts w:ascii="Times New Roman" w:cs="Times New Roman" w:eastAsia="Times New Roman" w:hAnsi="Times New Roman"/>
          <w:sz w:val="16"/>
          <w:szCs w:val="16"/>
          <w:color w:val="auto"/>
        </w:rPr>
        <w:t>Adenza acquisition, our management approved, committed to</w:t>
      </w:r>
    </w:p>
    <w:p>
      <w:pPr>
        <w:ind w:left="10"/>
        <w:spacing w:after="0" w:line="204" w:lineRule="auto"/>
        <w:rPr>
          <w:sz w:val="20"/>
          <w:szCs w:val="20"/>
          <w:color w:val="auto"/>
        </w:rPr>
      </w:pPr>
      <w:r>
        <w:rPr>
          <w:rFonts w:ascii="Times New Roman" w:cs="Times New Roman" w:eastAsia="Times New Roman" w:hAnsi="Times New Roman"/>
          <w:sz w:val="16"/>
          <w:szCs w:val="16"/>
          <w:color w:val="auto"/>
        </w:rPr>
        <w:t>and initiated a restructuring program, “Adenza</w:t>
      </w:r>
    </w:p>
    <w:p>
      <w:pPr>
        <w:ind w:left="10"/>
        <w:spacing w:after="0" w:line="203" w:lineRule="auto"/>
        <w:rPr>
          <w:sz w:val="20"/>
          <w:szCs w:val="20"/>
          <w:color w:val="auto"/>
        </w:rPr>
      </w:pPr>
      <w:r>
        <w:rPr>
          <w:rFonts w:ascii="Times New Roman" w:cs="Times New Roman" w:eastAsia="Times New Roman" w:hAnsi="Times New Roman"/>
          <w:sz w:val="16"/>
          <w:szCs w:val="16"/>
          <w:color w:val="auto"/>
        </w:rPr>
        <w:t>Restructuring” to optimize our efficiencies as a combined</w:t>
      </w:r>
    </w:p>
    <w:p>
      <w:pPr>
        <w:ind w:left="10"/>
        <w:spacing w:after="0" w:line="204" w:lineRule="auto"/>
        <w:rPr>
          <w:sz w:val="20"/>
          <w:szCs w:val="20"/>
          <w:color w:val="auto"/>
        </w:rPr>
      </w:pPr>
      <w:r>
        <w:rPr>
          <w:rFonts w:ascii="Times New Roman" w:cs="Times New Roman" w:eastAsia="Times New Roman" w:hAnsi="Times New Roman"/>
          <w:sz w:val="16"/>
          <w:szCs w:val="16"/>
          <w:color w:val="auto"/>
        </w:rPr>
        <w:t>organization. We further expanded this program in the fourth</w:t>
      </w:r>
    </w:p>
    <w:p>
      <w:pPr>
        <w:ind w:left="10"/>
        <w:spacing w:after="0" w:line="203" w:lineRule="auto"/>
        <w:rPr>
          <w:sz w:val="20"/>
          <w:szCs w:val="20"/>
          <w:color w:val="auto"/>
        </w:rPr>
      </w:pPr>
      <w:r>
        <w:rPr>
          <w:rFonts w:ascii="Times New Roman" w:cs="Times New Roman" w:eastAsia="Times New Roman" w:hAnsi="Times New Roman"/>
          <w:sz w:val="16"/>
          <w:szCs w:val="16"/>
          <w:color w:val="auto"/>
        </w:rPr>
        <w:t>quarter of 2024 following the achievement of our initial</w:t>
      </w:r>
    </w:p>
    <w:p>
      <w:pPr>
        <w:ind w:left="10"/>
        <w:spacing w:after="0" w:line="204" w:lineRule="auto"/>
        <w:rPr>
          <w:sz w:val="20"/>
          <w:szCs w:val="20"/>
          <w:color w:val="auto"/>
        </w:rPr>
      </w:pPr>
      <w:r>
        <w:rPr>
          <w:rFonts w:ascii="Times New Roman" w:cs="Times New Roman" w:eastAsia="Times New Roman" w:hAnsi="Times New Roman"/>
          <w:sz w:val="16"/>
          <w:szCs w:val="16"/>
          <w:color w:val="auto"/>
        </w:rPr>
        <w:t>targets. In connection with this program, we expect to incur</w:t>
      </w:r>
    </w:p>
    <w:p>
      <w:pPr>
        <w:ind w:left="10"/>
        <w:spacing w:after="0" w:line="203" w:lineRule="auto"/>
        <w:rPr>
          <w:sz w:val="20"/>
          <w:szCs w:val="20"/>
          <w:color w:val="auto"/>
        </w:rPr>
      </w:pPr>
      <w:r>
        <w:rPr>
          <w:rFonts w:ascii="Times New Roman" w:cs="Times New Roman" w:eastAsia="Times New Roman" w:hAnsi="Times New Roman"/>
          <w:sz w:val="16"/>
          <w:szCs w:val="16"/>
          <w:color w:val="auto"/>
        </w:rPr>
        <w:t>approximately $140 million in pre-tax charges. We have</w:t>
      </w:r>
    </w:p>
    <w:p>
      <w:pPr>
        <w:ind w:left="10"/>
        <w:spacing w:after="0" w:line="204" w:lineRule="auto"/>
        <w:rPr>
          <w:sz w:val="20"/>
          <w:szCs w:val="20"/>
          <w:color w:val="auto"/>
        </w:rPr>
      </w:pPr>
      <w:r>
        <w:rPr>
          <w:rFonts w:ascii="Times New Roman" w:cs="Times New Roman" w:eastAsia="Times New Roman" w:hAnsi="Times New Roman"/>
          <w:sz w:val="16"/>
          <w:szCs w:val="16"/>
          <w:color w:val="auto"/>
        </w:rPr>
        <w:t>incurred costs principally related to employee-related costs,</w:t>
      </w:r>
    </w:p>
    <w:p>
      <w:pPr>
        <w:ind w:left="10"/>
        <w:spacing w:after="0" w:line="204" w:lineRule="auto"/>
        <w:rPr>
          <w:sz w:val="20"/>
          <w:szCs w:val="20"/>
          <w:color w:val="auto"/>
        </w:rPr>
      </w:pPr>
      <w:r>
        <w:rPr>
          <w:rFonts w:ascii="Times New Roman" w:cs="Times New Roman" w:eastAsia="Times New Roman" w:hAnsi="Times New Roman"/>
          <w:sz w:val="16"/>
          <w:szCs w:val="16"/>
          <w:color w:val="auto"/>
        </w:rPr>
        <w:t>contract terminations, asset impairments and other related</w:t>
      </w:r>
    </w:p>
    <w:p>
      <w:pPr>
        <w:ind w:left="10"/>
        <w:spacing w:after="0" w:line="203" w:lineRule="auto"/>
        <w:rPr>
          <w:sz w:val="20"/>
          <w:szCs w:val="20"/>
          <w:color w:val="auto"/>
        </w:rPr>
      </w:pPr>
      <w:r>
        <w:rPr>
          <w:rFonts w:ascii="Times New Roman" w:cs="Times New Roman" w:eastAsia="Times New Roman" w:hAnsi="Times New Roman"/>
          <w:sz w:val="16"/>
          <w:szCs w:val="16"/>
          <w:color w:val="auto"/>
        </w:rPr>
        <w:t>costs and expect to incur additional costs in these areas in an</w:t>
      </w:r>
    </w:p>
    <w:p>
      <w:pPr>
        <w:ind w:left="10"/>
        <w:spacing w:after="0" w:line="204" w:lineRule="auto"/>
        <w:rPr>
          <w:sz w:val="20"/>
          <w:szCs w:val="20"/>
          <w:color w:val="auto"/>
        </w:rPr>
      </w:pPr>
      <w:r>
        <w:rPr>
          <w:rFonts w:ascii="Times New Roman" w:cs="Times New Roman" w:eastAsia="Times New Roman" w:hAnsi="Times New Roman"/>
          <w:sz w:val="16"/>
          <w:szCs w:val="16"/>
          <w:color w:val="auto"/>
        </w:rPr>
        <w:t>effort to accelerate efficiencies through location strategy and</w:t>
      </w:r>
    </w:p>
    <w:p>
      <w:pPr>
        <w:ind w:left="10"/>
        <w:spacing w:after="0" w:line="203" w:lineRule="auto"/>
        <w:rPr>
          <w:sz w:val="20"/>
          <w:szCs w:val="20"/>
          <w:color w:val="auto"/>
        </w:rPr>
      </w:pPr>
      <w:r>
        <w:rPr>
          <w:rFonts w:ascii="Times New Roman" w:cs="Times New Roman" w:eastAsia="Times New Roman" w:hAnsi="Times New Roman"/>
          <w:sz w:val="16"/>
          <w:szCs w:val="16"/>
          <w:color w:val="auto"/>
        </w:rPr>
        <w:t>enhanced AI capabilities. Actions taken as part of this</w:t>
      </w:r>
    </w:p>
    <w:p>
      <w:pPr>
        <w:ind w:left="10"/>
        <w:spacing w:after="0" w:line="204" w:lineRule="auto"/>
        <w:rPr>
          <w:sz w:val="20"/>
          <w:szCs w:val="20"/>
          <w:color w:val="auto"/>
        </w:rPr>
      </w:pPr>
      <w:r>
        <w:rPr>
          <w:rFonts w:ascii="Times New Roman" w:cs="Times New Roman" w:eastAsia="Times New Roman" w:hAnsi="Times New Roman"/>
          <w:sz w:val="16"/>
          <w:szCs w:val="16"/>
          <w:color w:val="auto"/>
        </w:rPr>
        <w:t>program were completed as of December 31, 2025, while</w:t>
      </w:r>
    </w:p>
    <w:p>
      <w:pPr>
        <w:ind w:left="10"/>
        <w:spacing w:after="0" w:line="203" w:lineRule="auto"/>
        <w:rPr>
          <w:sz w:val="20"/>
          <w:szCs w:val="20"/>
          <w:color w:val="auto"/>
        </w:rPr>
      </w:pPr>
      <w:r>
        <w:rPr>
          <w:rFonts w:ascii="Times New Roman" w:cs="Times New Roman" w:eastAsia="Times New Roman" w:hAnsi="Times New Roman"/>
          <w:sz w:val="16"/>
          <w:szCs w:val="16"/>
          <w:color w:val="auto"/>
        </w:rPr>
        <w:t>certain costs may be recognized in the first half of 2026. We</w:t>
      </w:r>
    </w:p>
    <w:p>
      <w:pPr>
        <w:ind w:left="10"/>
        <w:spacing w:after="0" w:line="204" w:lineRule="auto"/>
        <w:rPr>
          <w:sz w:val="20"/>
          <w:szCs w:val="20"/>
          <w:color w:val="auto"/>
        </w:rPr>
      </w:pPr>
      <w:r>
        <w:rPr>
          <w:rFonts w:ascii="Times New Roman" w:cs="Times New Roman" w:eastAsia="Times New Roman" w:hAnsi="Times New Roman"/>
          <w:sz w:val="16"/>
          <w:szCs w:val="16"/>
          <w:color w:val="auto"/>
        </w:rPr>
        <w:t>have achieved benefits primarily in the form of expense</w:t>
      </w:r>
    </w:p>
    <w:p>
      <w:pPr>
        <w:ind w:left="10"/>
        <w:spacing w:after="0" w:line="203" w:lineRule="auto"/>
        <w:rPr>
          <w:sz w:val="20"/>
          <w:szCs w:val="20"/>
          <w:color w:val="auto"/>
        </w:rPr>
      </w:pPr>
      <w:r>
        <w:rPr>
          <w:rFonts w:ascii="Times New Roman" w:cs="Times New Roman" w:eastAsia="Times New Roman" w:hAnsi="Times New Roman"/>
          <w:sz w:val="16"/>
          <w:szCs w:val="16"/>
          <w:color w:val="auto"/>
        </w:rPr>
        <w:t>synergies with over $160 million net expense synergies</w:t>
      </w:r>
    </w:p>
    <w:p>
      <w:pPr>
        <w:ind w:left="10"/>
        <w:spacing w:after="0" w:line="204" w:lineRule="auto"/>
        <w:rPr>
          <w:sz w:val="20"/>
          <w:szCs w:val="20"/>
          <w:color w:val="auto"/>
        </w:rPr>
      </w:pPr>
      <w:r>
        <w:rPr>
          <w:rFonts w:ascii="Times New Roman" w:cs="Times New Roman" w:eastAsia="Times New Roman" w:hAnsi="Times New Roman"/>
          <w:sz w:val="16"/>
          <w:szCs w:val="16"/>
          <w:color w:val="auto"/>
        </w:rPr>
        <w:t>actioned through December 31, 2025.</w:t>
      </w:r>
    </w:p>
    <w:p>
      <w:pPr>
        <w:ind w:left="10"/>
        <w:spacing w:after="0" w:line="204" w:lineRule="auto"/>
        <w:rPr>
          <w:sz w:val="20"/>
          <w:szCs w:val="20"/>
          <w:color w:val="auto"/>
        </w:rPr>
      </w:pPr>
      <w:r>
        <w:rPr>
          <w:rFonts w:ascii="Times New Roman" w:cs="Times New Roman" w:eastAsia="Times New Roman" w:hAnsi="Times New Roman"/>
          <w:sz w:val="16"/>
          <w:szCs w:val="16"/>
          <w:color w:val="auto"/>
        </w:rPr>
        <w:t>Costs related to these programs are recorded as restructuring</w:t>
      </w:r>
    </w:p>
    <w:p>
      <w:pPr>
        <w:ind w:left="10"/>
        <w:spacing w:after="0" w:line="203" w:lineRule="auto"/>
        <w:rPr>
          <w:sz w:val="20"/>
          <w:szCs w:val="20"/>
          <w:color w:val="auto"/>
        </w:rPr>
      </w:pPr>
      <w:r>
        <w:rPr>
          <w:rFonts w:ascii="Times New Roman" w:cs="Times New Roman" w:eastAsia="Times New Roman" w:hAnsi="Times New Roman"/>
          <w:sz w:val="16"/>
          <w:szCs w:val="16"/>
          <w:color w:val="auto"/>
        </w:rPr>
        <w:t>charges in the Consolidated Statements of Income.</w:t>
      </w:r>
    </w:p>
    <w:p>
      <w:pPr>
        <w:ind w:left="10"/>
        <w:spacing w:after="0" w:line="204" w:lineRule="auto"/>
        <w:rPr>
          <w:sz w:val="20"/>
          <w:szCs w:val="20"/>
          <w:color w:val="auto"/>
        </w:rPr>
      </w:pPr>
      <w:r>
        <w:rPr>
          <w:rFonts w:ascii="Times New Roman" w:cs="Times New Roman" w:eastAsia="Times New Roman" w:hAnsi="Times New Roman"/>
          <w:sz w:val="16"/>
          <w:szCs w:val="16"/>
          <w:color w:val="auto"/>
        </w:rPr>
        <w:t>The following table presents a summary of the Adenza</w:t>
      </w:r>
    </w:p>
    <w:p>
      <w:pPr>
        <w:ind w:left="10"/>
        <w:spacing w:after="0" w:line="203" w:lineRule="auto"/>
        <w:rPr>
          <w:sz w:val="20"/>
          <w:szCs w:val="20"/>
          <w:color w:val="auto"/>
        </w:rPr>
      </w:pPr>
      <w:r>
        <w:rPr>
          <w:rFonts w:ascii="Times New Roman" w:cs="Times New Roman" w:eastAsia="Times New Roman" w:hAnsi="Times New Roman"/>
          <w:sz w:val="16"/>
          <w:szCs w:val="16"/>
          <w:color w:val="auto"/>
        </w:rPr>
        <w:t>restructuring program and our divisional realignment</w:t>
      </w:r>
    </w:p>
    <w:p>
      <w:pPr>
        <w:ind w:left="10"/>
        <w:spacing w:after="0" w:line="204" w:lineRule="auto"/>
        <w:rPr>
          <w:sz w:val="20"/>
          <w:szCs w:val="20"/>
          <w:color w:val="auto"/>
        </w:rPr>
      </w:pPr>
      <w:r>
        <w:rPr>
          <w:rFonts w:ascii="Times New Roman" w:cs="Times New Roman" w:eastAsia="Times New Roman" w:hAnsi="Times New Roman"/>
          <w:sz w:val="16"/>
          <w:szCs w:val="16"/>
          <w:color w:val="auto"/>
        </w:rPr>
        <w:t>program charges for the years ended December 31, 2025,</w:t>
      </w:r>
    </w:p>
    <w:p>
      <w:pPr>
        <w:ind w:left="10"/>
        <w:spacing w:after="0" w:line="228" w:lineRule="auto"/>
        <w:rPr>
          <w:sz w:val="20"/>
          <w:szCs w:val="20"/>
          <w:color w:val="auto"/>
        </w:rPr>
      </w:pPr>
      <w:r>
        <w:rPr>
          <w:rFonts w:ascii="Times New Roman" w:cs="Times New Roman" w:eastAsia="Times New Roman" w:hAnsi="Times New Roman"/>
          <w:sz w:val="16"/>
          <w:szCs w:val="16"/>
          <w:color w:val="auto"/>
        </w:rPr>
        <w:t>2024 and 2023:</w:t>
      </w:r>
    </w:p>
    <w:tbl>
      <w:tblPr>
        <w:tblLayout w:type="fixed"/>
        <w:tblInd w:w="10" w:type="dxa"/>
        <w:tblCellMar>
          <w:top w:w="0" w:type="dxa"/>
          <w:left w:w="0" w:type="dxa"/>
          <w:bottom w:w="0" w:type="dxa"/>
          <w:right w:w="0" w:type="dxa"/>
        </w:tblCellMar>
      </w:tblPr>
      <w:tr>
        <w:trPr>
          <w:trHeight w:val="142"/>
        </w:trPr>
        <w:tc>
          <w:tcPr>
            <w:tcW w:w="2340" w:type="dxa"/>
            <w:vAlign w:val="bottom"/>
          </w:tcPr>
          <w:p>
            <w:pPr>
              <w:spacing w:after="0"/>
              <w:rPr>
                <w:sz w:val="12"/>
                <w:szCs w:val="12"/>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38"/>
        </w:trPr>
        <w:tc>
          <w:tcPr>
            <w:tcW w:w="274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340" w:type="dxa"/>
            <w:vAlign w:val="bottom"/>
          </w:tcPr>
          <w:p>
            <w:pPr>
              <w:spacing w:after="0"/>
              <w:rPr>
                <w:sz w:val="11"/>
                <w:szCs w:val="11"/>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top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8"/>
        </w:trPr>
        <w:tc>
          <w:tcPr>
            <w:tcW w:w="23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 impairment charges</w:t>
            </w: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3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Adenza restructuring</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2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20"/>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Divisional realignment</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12</w:t>
            </w: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Consulting services</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50"/>
        </w:trPr>
        <w:tc>
          <w:tcPr>
            <w:tcW w:w="2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20"/>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Adenza restructuring</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Divisional realignment</w:t>
            </w:r>
          </w:p>
        </w:tc>
        <w:tc>
          <w:tcPr>
            <w:tcW w:w="160" w:type="dxa"/>
            <w:vAlign w:val="bottom"/>
          </w:tcPr>
          <w:p>
            <w:pPr>
              <w:spacing w:after="0"/>
              <w:rPr>
                <w:sz w:val="17"/>
                <w:szCs w:val="17"/>
                <w:color w:val="auto"/>
              </w:rPr>
            </w:pP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34</w:t>
            </w:r>
          </w:p>
        </w:tc>
      </w:tr>
      <w:tr>
        <w:trPr>
          <w:trHeight w:val="37"/>
        </w:trPr>
        <w:tc>
          <w:tcPr>
            <w:tcW w:w="2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20"/>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Employee-related costs</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Adenza restructuring</w:t>
            </w:r>
          </w:p>
        </w:tc>
        <w:tc>
          <w:tcPr>
            <w:tcW w:w="160" w:type="dxa"/>
            <w:vAlign w:val="bottom"/>
          </w:tcPr>
          <w:p>
            <w:pPr>
              <w:spacing w:after="0"/>
              <w:rPr>
                <w:sz w:val="17"/>
                <w:szCs w:val="17"/>
                <w:color w:val="auto"/>
              </w:rPr>
            </w:pP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r>
      <w:tr>
        <w:trPr>
          <w:trHeight w:val="37"/>
        </w:trPr>
        <w:tc>
          <w:tcPr>
            <w:tcW w:w="2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20"/>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Divisional realignment</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w:t>
            </w: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50"/>
        </w:trPr>
        <w:tc>
          <w:tcPr>
            <w:tcW w:w="2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20"/>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Adenza restructuring</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Divisional realignment</w:t>
            </w:r>
          </w:p>
        </w:tc>
        <w:tc>
          <w:tcPr>
            <w:tcW w:w="160" w:type="dxa"/>
            <w:vAlign w:val="bottom"/>
          </w:tcPr>
          <w:p>
            <w:pPr>
              <w:spacing w:after="0"/>
              <w:rPr>
                <w:sz w:val="17"/>
                <w:szCs w:val="17"/>
                <w:color w:val="auto"/>
              </w:rPr>
            </w:pP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w:t>
            </w:r>
          </w:p>
        </w:tc>
      </w:tr>
      <w:tr>
        <w:trPr>
          <w:trHeight w:val="37"/>
        </w:trPr>
        <w:tc>
          <w:tcPr>
            <w:tcW w:w="23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00"/>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restructuring charges</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80</w:t>
            </w:r>
          </w:p>
        </w:tc>
      </w:tr>
    </w:tbl>
    <w:p>
      <w:pPr>
        <w:ind w:left="10"/>
        <w:spacing w:after="0" w:line="225" w:lineRule="auto"/>
        <w:rPr>
          <w:sz w:val="20"/>
          <w:szCs w:val="20"/>
          <w:color w:val="auto"/>
        </w:rPr>
      </w:pPr>
      <w:r>
        <w:rPr>
          <w:rFonts w:ascii="Times New Roman" w:cs="Times New Roman" w:eastAsia="Times New Roman" w:hAnsi="Times New Roman"/>
          <w:sz w:val="16"/>
          <w:szCs w:val="16"/>
          <w:color w:val="auto"/>
        </w:rPr>
        <w:t>The following table presents total program costs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-100965</wp:posOffset>
            </wp:positionV>
            <wp:extent cx="10591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1059180" cy="7620"/>
                    </a:xfrm>
                    <a:prstGeom prst="rect">
                      <a:avLst/>
                    </a:prstGeom>
                    <a:noFill/>
                  </pic:spPr>
                </pic:pic>
              </a:graphicData>
            </a:graphic>
          </wp:anchor>
        </w:drawing>
      </w:r>
    </w:p>
    <w:p>
      <w:pPr>
        <w:ind w:left="10"/>
        <w:spacing w:after="0" w:line="218" w:lineRule="auto"/>
        <w:rPr>
          <w:sz w:val="20"/>
          <w:szCs w:val="20"/>
          <w:color w:val="auto"/>
        </w:rPr>
      </w:pPr>
      <w:r>
        <w:rPr>
          <w:rFonts w:ascii="Times New Roman" w:cs="Times New Roman" w:eastAsia="Times New Roman" w:hAnsi="Times New Roman"/>
          <w:sz w:val="16"/>
          <w:szCs w:val="16"/>
          <w:color w:val="auto"/>
        </w:rPr>
        <w:t>since the inception date of each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2515235" cy="152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2515235" cy="152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4"/>
          <w:szCs w:val="14"/>
          <w:b w:val="1"/>
          <w:bCs w:val="1"/>
          <w:color w:val="auto"/>
        </w:rPr>
        <w:t>Total Program Costs Incurred (in millions)</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Adenza restructuring</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142"/>
              <w:spacing w:after="0"/>
              <w:rPr>
                <w:sz w:val="20"/>
                <w:szCs w:val="20"/>
                <w:color w:val="auto"/>
              </w:rPr>
            </w:pPr>
            <w:r>
              <w:rPr>
                <w:rFonts w:ascii="Times New Roman" w:cs="Times New Roman" w:eastAsia="Times New Roman" w:hAnsi="Times New Roman"/>
                <w:sz w:val="16"/>
                <w:szCs w:val="16"/>
                <w:color w:val="auto"/>
              </w:rPr>
              <w:t>114</w:t>
            </w:r>
          </w:p>
        </w:tc>
      </w:tr>
      <w:tr>
        <w:trPr>
          <w:trHeight w:val="50"/>
        </w:trPr>
        <w:tc>
          <w:tcPr>
            <w:tcW w:w="1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20"/>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Divisional realignment*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1142"/>
              <w:spacing w:after="0"/>
              <w:rPr>
                <w:sz w:val="20"/>
                <w:szCs w:val="20"/>
                <w:color w:val="auto"/>
              </w:rPr>
            </w:pPr>
            <w:r>
              <w:rPr>
                <w:rFonts w:ascii="Times New Roman" w:cs="Times New Roman" w:eastAsia="Times New Roman" w:hAnsi="Times New Roman"/>
                <w:sz w:val="16"/>
                <w:szCs w:val="16"/>
                <w:color w:val="auto"/>
              </w:rPr>
              <w:t>139</w:t>
            </w:r>
          </w:p>
        </w:tc>
      </w:tr>
      <w:tr>
        <w:trPr>
          <w:trHeight w:val="100"/>
        </w:trPr>
        <w:tc>
          <w:tcPr>
            <w:tcW w:w="192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____________</w:t>
            </w:r>
          </w:p>
        </w:tc>
        <w:tc>
          <w:tcPr>
            <w:tcW w:w="540" w:type="dxa"/>
            <w:vAlign w:val="bottom"/>
          </w:tcPr>
          <w:p>
            <w:pPr>
              <w:spacing w:after="0"/>
              <w:rPr>
                <w:sz w:val="8"/>
                <w:szCs w:val="8"/>
                <w:color w:val="auto"/>
              </w:rPr>
            </w:pPr>
          </w:p>
        </w:tc>
        <w:tc>
          <w:tcPr>
            <w:tcW w:w="1500" w:type="dxa"/>
            <w:vAlign w:val="bottom"/>
          </w:tcPr>
          <w:p>
            <w:pPr>
              <w:spacing w:after="0"/>
              <w:rPr>
                <w:sz w:val="8"/>
                <w:szCs w:val="8"/>
                <w:color w:val="auto"/>
              </w:rPr>
            </w:pPr>
          </w:p>
        </w:tc>
      </w:tr>
    </w:tbl>
    <w:p>
      <w:pPr>
        <w:ind w:left="10" w:right="5500" w:hanging="10"/>
        <w:spacing w:after="0" w:line="223" w:lineRule="auto"/>
        <w:tabs>
          <w:tab w:leader="none" w:pos="11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2022, following our September 2022 announcement to realign our segments and leadership, we initiated a divisional realignment program with a focus on realizing the full potential of this structure. As of September 30, 2024, we completed our divisional realignment program.</w:t>
      </w:r>
    </w:p>
    <w:p>
      <w:pPr>
        <w:sectPr>
          <w:pgSz w:w="11900" w:h="16840" w:orient="portrait"/>
          <w:cols w:equalWidth="0" w:num="1">
            <w:col w:w="9410"/>
          </w:cols>
          <w:pgMar w:left="1050" w:top="547" w:right="1440" w:bottom="1440" w:gutter="0" w:footer="0" w:header="0"/>
        </w:sectPr>
      </w:pPr>
    </w:p>
    <w:bookmarkStart w:id="92" w:name="page93"/>
    <w:bookmarkEnd w:id="92"/>
    <w:p>
      <w:pPr>
        <w:spacing w:after="0" w:line="223" w:lineRule="auto"/>
        <w:tabs>
          <w:tab w:leader="none" w:pos="118" w:val="left"/>
        </w:tabs>
        <w:rPr>
          <w:sz w:val="20"/>
          <w:szCs w:val="20"/>
          <w:color w:val="auto"/>
        </w:rPr>
      </w:pPr>
    </w:p>
    <w:p>
      <w:pPr>
        <w:sectPr>
          <w:pgSz w:w="11900" w:h="16840" w:orient="portrait"/>
          <w:cols w:equalWidth="1" w:num="1" w:space="0"/>
          <w:pgMar w:left="1440" w:top="1440" w:right="1440" w:bottom="875" w:gutter="0" w:footer="0" w:header="0"/>
        </w:sectPr>
      </w:pPr>
    </w:p>
    <w:bookmarkStart w:id="93" w:name="page94"/>
    <w:bookmarkEnd w:id="93"/>
    <w:p>
      <w:pPr>
        <w:spacing w:after="0" w:line="303"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6"/>
          <w:szCs w:val="16"/>
          <w:b w:val="1"/>
          <w:bCs w:val="1"/>
          <w:color w:val="auto"/>
        </w:rPr>
        <w:t>Exhibit 4.21</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DESCRIPTION OF THE REGISTRANT’S SECURITIES</w:t>
      </w:r>
    </w:p>
    <w:p>
      <w:pPr>
        <w:spacing w:after="0" w:line="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REGISTERED PURSUANT TO SECTION 12 OF THE</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276" w:lineRule="exact"/>
        <w:rPr>
          <w:sz w:val="20"/>
          <w:szCs w:val="20"/>
          <w:color w:val="auto"/>
        </w:rPr>
      </w:pPr>
    </w:p>
    <w:p>
      <w:pPr>
        <w:ind w:firstLine="576"/>
        <w:spacing w:after="0" w:line="325" w:lineRule="auto"/>
        <w:rPr>
          <w:sz w:val="20"/>
          <w:szCs w:val="20"/>
          <w:color w:val="auto"/>
        </w:rPr>
      </w:pPr>
      <w:r>
        <w:rPr>
          <w:rFonts w:ascii="Times New Roman" w:cs="Times New Roman" w:eastAsia="Times New Roman" w:hAnsi="Times New Roman"/>
          <w:sz w:val="19"/>
          <w:szCs w:val="19"/>
          <w:color w:val="auto"/>
        </w:rPr>
        <w:t>Nasdaq,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five classes of securities registered under Section 12 of the Securities Exchange Act of 1934, as amended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left="960" w:hanging="282"/>
        <w:spacing w:after="0"/>
        <w:tabs>
          <w:tab w:leader="none" w:pos="9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Common Stock, par value $0.01 per share (“Common Stock”);</w:t>
      </w:r>
    </w:p>
    <w:p>
      <w:pPr>
        <w:spacing w:after="0" w:line="273" w:lineRule="exact"/>
        <w:rPr>
          <w:rFonts w:ascii="Times New Roman" w:cs="Times New Roman" w:eastAsia="Times New Roman" w:hAnsi="Times New Roman"/>
          <w:sz w:val="19"/>
          <w:szCs w:val="19"/>
          <w:color w:val="auto"/>
        </w:rPr>
      </w:pPr>
    </w:p>
    <w:p>
      <w:pPr>
        <w:ind w:left="960" w:hanging="282"/>
        <w:spacing w:after="0"/>
        <w:tabs>
          <w:tab w:leader="none" w:pos="9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4.500% Senior Notes due 2032;</w:t>
      </w:r>
    </w:p>
    <w:p>
      <w:pPr>
        <w:spacing w:after="0" w:line="273" w:lineRule="exact"/>
        <w:rPr>
          <w:rFonts w:ascii="Times New Roman" w:cs="Times New Roman" w:eastAsia="Times New Roman" w:hAnsi="Times New Roman"/>
          <w:sz w:val="19"/>
          <w:szCs w:val="19"/>
          <w:color w:val="auto"/>
        </w:rPr>
      </w:pPr>
    </w:p>
    <w:p>
      <w:pPr>
        <w:ind w:left="960" w:hanging="282"/>
        <w:spacing w:after="0"/>
        <w:tabs>
          <w:tab w:leader="none" w:pos="9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0.900% Senior Notes due 2033;</w:t>
      </w:r>
    </w:p>
    <w:p>
      <w:pPr>
        <w:spacing w:after="0" w:line="273" w:lineRule="exact"/>
        <w:rPr>
          <w:rFonts w:ascii="Times New Roman" w:cs="Times New Roman" w:eastAsia="Times New Roman" w:hAnsi="Times New Roman"/>
          <w:sz w:val="19"/>
          <w:szCs w:val="19"/>
          <w:color w:val="auto"/>
        </w:rPr>
      </w:pPr>
    </w:p>
    <w:p>
      <w:pPr>
        <w:ind w:left="960" w:hanging="282"/>
        <w:spacing w:after="0"/>
        <w:tabs>
          <w:tab w:leader="none" w:pos="9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0.875% Senior Notes due 2030; and</w:t>
      </w:r>
    </w:p>
    <w:p>
      <w:pPr>
        <w:spacing w:after="0" w:line="273" w:lineRule="exact"/>
        <w:rPr>
          <w:rFonts w:ascii="Times New Roman" w:cs="Times New Roman" w:eastAsia="Times New Roman" w:hAnsi="Times New Roman"/>
          <w:sz w:val="19"/>
          <w:szCs w:val="19"/>
          <w:color w:val="auto"/>
        </w:rPr>
      </w:pPr>
    </w:p>
    <w:p>
      <w:pPr>
        <w:ind w:left="960" w:hanging="282"/>
        <w:spacing w:after="0"/>
        <w:tabs>
          <w:tab w:leader="none" w:pos="9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1.75% Senior Notes due 2029.</w:t>
      </w:r>
    </w:p>
    <w:p>
      <w:pPr>
        <w:spacing w:after="0" w:line="286" w:lineRule="exact"/>
        <w:rPr>
          <w:sz w:val="20"/>
          <w:szCs w:val="20"/>
          <w:color w:val="auto"/>
        </w:rPr>
      </w:pPr>
    </w:p>
    <w:p>
      <w:pPr>
        <w:jc w:val="both"/>
        <w:ind w:right="60" w:firstLine="576"/>
        <w:spacing w:after="0" w:line="352" w:lineRule="auto"/>
        <w:rPr>
          <w:sz w:val="20"/>
          <w:szCs w:val="20"/>
          <w:color w:val="auto"/>
        </w:rPr>
      </w:pPr>
      <w:r>
        <w:rPr>
          <w:rFonts w:ascii="Times New Roman" w:cs="Times New Roman" w:eastAsia="Times New Roman" w:hAnsi="Times New Roman"/>
          <w:sz w:val="19"/>
          <w:szCs w:val="19"/>
          <w:color w:val="auto"/>
        </w:rPr>
        <w:t>As used in this summary, the terms “Nasdaq,” “the Company,” “we,” “our,” and “us” refer solely to Nasdaq, Inc. and not its subsidiaries, unless otherwise specified.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Description of Common Stock</w:t>
      </w:r>
    </w:p>
    <w:p>
      <w:pPr>
        <w:spacing w:after="0" w:line="276" w:lineRule="exact"/>
        <w:rPr>
          <w:sz w:val="20"/>
          <w:szCs w:val="20"/>
          <w:color w:val="auto"/>
        </w:rPr>
      </w:pPr>
    </w:p>
    <w:p>
      <w:pPr>
        <w:jc w:val="both"/>
        <w:ind w:right="40" w:firstLine="576"/>
        <w:spacing w:after="0" w:line="302" w:lineRule="auto"/>
        <w:rPr>
          <w:sz w:val="20"/>
          <w:szCs w:val="20"/>
          <w:color w:val="auto"/>
        </w:rPr>
      </w:pPr>
      <w:r>
        <w:rPr>
          <w:rFonts w:ascii="Times New Roman" w:cs="Times New Roman" w:eastAsia="Times New Roman" w:hAnsi="Times New Roman"/>
          <w:sz w:val="19"/>
          <w:szCs w:val="19"/>
          <w:color w:val="auto"/>
        </w:rPr>
        <w:t>The following is a description of the material terms and provisions relating to our common stock. Because it is a summary, the following description is not complete and is subject to and qualified in its entirety by reference to our Amended and Restated Certificate of Incorporation, as amended, or Certificate, and our Amended and Restated By-Laws, or By-Laws, each of which is incorporated by reference as an exhibit to the Annual Report on Form 10-K, and provisions of Delaware law, which define the rights of our stockholders.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As of December 31, 2025, 900,000,000 shares of our common stock were authorized.</w:t>
      </w:r>
    </w:p>
    <w:p>
      <w:pPr>
        <w:spacing w:after="0" w:line="274"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The holders of our common stock are entitled to one vote per share on all matters to be voted upon by the stockholders except that no person may exercise voting rights in respect of any shares in excess of 5% of the then outstanding shares of our Common Stock. Subject to certain additional conditions, this limitation does not apply to persons exempted from this limitation by our Board of Directors prior to the time such person owns more than 5.0% of the then-outstanding shares of our common stock.</w:t>
      </w:r>
    </w:p>
    <w:p>
      <w:pPr>
        <w:sectPr>
          <w:pgSz w:w="11900" w:h="16840" w:orient="portrait"/>
          <w:cols w:equalWidth="0" w:num="1">
            <w:col w:w="10600"/>
          </w:cols>
          <w:pgMar w:left="660" w:top="1440" w:right="640" w:bottom="1440" w:gutter="0" w:footer="0" w:header="0"/>
        </w:sectPr>
      </w:pPr>
    </w:p>
    <w:bookmarkStart w:id="94" w:name="page95"/>
    <w:bookmarkEnd w:id="94"/>
    <w:p>
      <w:pPr>
        <w:spacing w:after="0" w:line="2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At any meeting of our stockholders, a majority of the votes entitled to be cast will constitute a quorum for such meeting.</w:t>
      </w:r>
    </w:p>
    <w:p>
      <w:pPr>
        <w:spacing w:after="0" w:line="274" w:lineRule="exact"/>
        <w:rPr>
          <w:sz w:val="20"/>
          <w:szCs w:val="20"/>
          <w:color w:val="auto"/>
        </w:rPr>
      </w:pPr>
    </w:p>
    <w:p>
      <w:pPr>
        <w:jc w:val="both"/>
        <w:ind w:firstLine="576"/>
        <w:spacing w:after="0" w:line="297" w:lineRule="auto"/>
        <w:rPr>
          <w:sz w:val="20"/>
          <w:szCs w:val="20"/>
          <w:color w:val="auto"/>
        </w:rPr>
      </w:pPr>
      <w:r>
        <w:rPr>
          <w:rFonts w:ascii="Times New Roman" w:cs="Times New Roman" w:eastAsia="Times New Roman" w:hAnsi="Times New Roman"/>
          <w:sz w:val="19"/>
          <w:szCs w:val="19"/>
          <w:color w:val="auto"/>
        </w:rPr>
        <w:t>Holders of common stock are entitled to receive ratably such dividends, if any, as may be declared from time to time by our board of directors out of funds legally available for them. In the event of our liquidation, dissolution, or winding-up, the holders of our common stock are entitled to share ratably in all assets remaining after payment of liabilities, subject to prior distribution rights of preferred stock, if any, then outstanding. Our common stock has no preemptive or conversion rights or other subscription rights. There are no redemption or sinking fund provisions applicable to our common stock. All outstanding shares of common stock are fully paid and non-assessable. Future dividends, if any, will be determined by our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Certain Provisions of our Certificate and By-Laws</w:t>
      </w:r>
    </w:p>
    <w:p>
      <w:pPr>
        <w:spacing w:after="0" w:line="276"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Some provisions of our Certificate and By-Laws, which provisions are summarized below,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Advance Notice Requirements for Stockholder Proposals and Directors Nominations</w:t>
      </w:r>
    </w:p>
    <w:p>
      <w:pPr>
        <w:spacing w:after="0" w:line="278" w:lineRule="exact"/>
        <w:rPr>
          <w:sz w:val="20"/>
          <w:szCs w:val="20"/>
          <w:color w:val="auto"/>
        </w:rPr>
      </w:pPr>
    </w:p>
    <w:p>
      <w:pPr>
        <w:jc w:val="both"/>
        <w:ind w:firstLine="576"/>
        <w:spacing w:after="0" w:line="295" w:lineRule="auto"/>
        <w:rPr>
          <w:sz w:val="20"/>
          <w:szCs w:val="20"/>
          <w:color w:val="auto"/>
        </w:rPr>
      </w:pPr>
      <w:r>
        <w:rPr>
          <w:rFonts w:ascii="Times New Roman" w:cs="Times New Roman" w:eastAsia="Times New Roman" w:hAnsi="Times New Roman"/>
          <w:sz w:val="19"/>
          <w:szCs w:val="19"/>
          <w:color w:val="auto"/>
        </w:rPr>
        <w:t>Our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less than 90 nor more than 120 days prior to the anniversary date of the immediately preceding annual meeting of stockholders; provided, that in the event that the annual meeting is called for a date that is not within 30 days before or 90 days after such anniversary date, notice by the stockholder in order to be timely must be received not earlier than 120 days prior to the meeting and not later than the later of 90 days prior to the meeting and the close of business on the 10th day following the date on which notice of the date of the annual meeting was first publicly announced by Nasdaq.</w:t>
      </w:r>
    </w:p>
    <w:p>
      <w:pPr>
        <w:spacing w:after="0" w:line="192"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In the case of a special meeting of stockholders called for the purpose of electing directors, notice by the stockholder in order to be timely must be received not earlier than 120 days prior to the meeting and not later than the later of 90 days prior to the meeting or the close of business on the 10th day following the day on which public disclosure of the date of the special meeting and our nominees was first made. In addition, our by-laws specify certain requirements as to the form and content of a stockholder’s notice. These provisions may preclude</w:t>
      </w:r>
    </w:p>
    <w:p>
      <w:pPr>
        <w:sectPr>
          <w:pgSz w:w="11900" w:h="16840" w:orient="portrait"/>
          <w:cols w:equalWidth="0" w:num="1">
            <w:col w:w="10580"/>
          </w:cols>
          <w:pgMar w:left="660" w:top="1440" w:right="660" w:bottom="1440" w:gutter="0" w:footer="0" w:header="0"/>
        </w:sectPr>
      </w:pPr>
    </w:p>
    <w:bookmarkStart w:id="95" w:name="page96"/>
    <w:bookmarkEnd w:id="95"/>
    <w:p>
      <w:pPr>
        <w:spacing w:after="0" w:line="28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19"/>
          <w:szCs w:val="19"/>
          <w:color w:val="auto"/>
        </w:rPr>
        <w:t>stockholders from bringing matters before an annual meeting of stockholders or from making nominations for directors at an annual or special meeting of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Proxy Access</w:t>
      </w:r>
    </w:p>
    <w:p>
      <w:pPr>
        <w:spacing w:after="0" w:line="278"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9"/>
          <w:szCs w:val="19"/>
          <w:color w:val="auto"/>
        </w:rPr>
        <w:t>Our by-laws include a proxy access provision that permits a stockholder, or a group of stockholders, owning at least three percent of our outstanding shares of common stock continuously for at least three years to nominate and include in the proxy materials for an annual meeting of stockholders director nominees constituting up to the greater of two individuals and 25% of the total number of directors then in office, provided that the stockholder(s) and nominee(s) satisfy the requirements specified in the by-laws.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Stockholder Action</w:t>
      </w:r>
    </w:p>
    <w:p>
      <w:pPr>
        <w:spacing w:after="0" w:line="2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Our Certificate provides that stockholders are not entitled to act by written consent in lieu of a meeting.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Right to Call Special Meeting</w:t>
      </w:r>
    </w:p>
    <w:p>
      <w:pPr>
        <w:spacing w:after="0" w:line="278" w:lineRule="exact"/>
        <w:rPr>
          <w:sz w:val="20"/>
          <w:szCs w:val="20"/>
          <w:color w:val="auto"/>
        </w:rPr>
      </w:pPr>
    </w:p>
    <w:p>
      <w:pPr>
        <w:jc w:val="both"/>
        <w:ind w:right="20" w:firstLine="576"/>
        <w:spacing w:after="0" w:line="325" w:lineRule="auto"/>
        <w:rPr>
          <w:sz w:val="20"/>
          <w:szCs w:val="20"/>
          <w:color w:val="auto"/>
        </w:rPr>
      </w:pPr>
      <w:r>
        <w:rPr>
          <w:rFonts w:ascii="Times New Roman" w:cs="Times New Roman" w:eastAsia="Times New Roman" w:hAnsi="Times New Roman"/>
          <w:sz w:val="19"/>
          <w:szCs w:val="19"/>
          <w:color w:val="auto"/>
        </w:rPr>
        <w:t>Our by-laws provide that stockholders representing 15% or more of our outstanding shares can convene a special meeting of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Amendments; Vote Requirements</w:t>
      </w:r>
    </w:p>
    <w:p>
      <w:pPr>
        <w:spacing w:after="0" w:line="278" w:lineRule="exact"/>
        <w:rPr>
          <w:sz w:val="20"/>
          <w:szCs w:val="20"/>
          <w:color w:val="auto"/>
        </w:rPr>
      </w:pPr>
    </w:p>
    <w:p>
      <w:pPr>
        <w:jc w:val="both"/>
        <w:ind w:firstLine="576"/>
        <w:spacing w:after="0" w:line="297" w:lineRule="auto"/>
        <w:rPr>
          <w:sz w:val="20"/>
          <w:szCs w:val="20"/>
          <w:color w:val="auto"/>
        </w:rPr>
      </w:pPr>
      <w:r>
        <w:rPr>
          <w:rFonts w:ascii="Times New Roman" w:cs="Times New Roman" w:eastAsia="Times New Roman" w:hAnsi="Times New Roman"/>
          <w:sz w:val="19"/>
          <w:szCs w:val="19"/>
          <w:color w:val="auto"/>
        </w:rPr>
        <w:t>The General Corporation Law of the State of Delaware provides generally that the affirmative vote of a majority of the shares entitled to vote on any matter is required to amend a corporation’s certificate of incorporation, unless a corporation’s certificate of incorporation requires a greater percentage. Our Certificate imposes majority voting requirements in connection with stockholder amendments to the by-laws and in connection with the amendment of certain provisions of the Certificate, including those provisions of the Certificate relating to the limitations on voting rights of certain persons, removal of directors and prohibitions on stockholder action by written consent.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Authorized But Unissued Shares</w:t>
      </w:r>
    </w:p>
    <w:p>
      <w:pPr>
        <w:spacing w:after="0" w:line="278"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The authorized but unissued shares of our common stock will be available for future issuance without stockholder approval in most cases. These additional shares may be utilized for a variety of corporate purposes, including future public or private offerings to raise additional capital, corporate acquisitions and employee benefit plans. The existence of authorized but</w:t>
      </w:r>
    </w:p>
    <w:p>
      <w:pPr>
        <w:sectPr>
          <w:pgSz w:w="11900" w:h="16840" w:orient="portrait"/>
          <w:cols w:equalWidth="0" w:num="1">
            <w:col w:w="10580"/>
          </w:cols>
          <w:pgMar w:left="660" w:top="1440" w:right="660" w:bottom="1440" w:gutter="0" w:footer="0" w:header="0"/>
        </w:sectPr>
      </w:pPr>
    </w:p>
    <w:bookmarkStart w:id="96" w:name="page97"/>
    <w:bookmarkEnd w:id="96"/>
    <w:p>
      <w:pPr>
        <w:spacing w:after="0" w:line="28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19"/>
          <w:szCs w:val="19"/>
          <w:color w:val="auto"/>
        </w:rPr>
        <w:t>unissued shares of our common stock could render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Forum Selection</w:t>
      </w:r>
    </w:p>
    <w:p>
      <w:pPr>
        <w:spacing w:after="0" w:line="278" w:lineRule="exact"/>
        <w:rPr>
          <w:sz w:val="20"/>
          <w:szCs w:val="20"/>
          <w:color w:val="auto"/>
        </w:rPr>
      </w:pPr>
    </w:p>
    <w:p>
      <w:pPr>
        <w:jc w:val="both"/>
        <w:ind w:firstLine="300"/>
        <w:spacing w:after="0" w:line="325" w:lineRule="auto"/>
        <w:rPr>
          <w:sz w:val="20"/>
          <w:szCs w:val="20"/>
          <w:color w:val="auto"/>
        </w:rPr>
      </w:pPr>
      <w:r>
        <w:rPr>
          <w:rFonts w:ascii="Times New Roman" w:cs="Times New Roman" w:eastAsia="Times New Roman" w:hAnsi="Times New Roman"/>
          <w:sz w:val="19"/>
          <w:szCs w:val="19"/>
          <w:color w:val="auto"/>
        </w:rPr>
        <w:t>The By-Laws provide that Delaware or federal courts, as applicable, shall be the exclusive forum for certain claims against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Delaware Business Combination Statute</w:t>
      </w:r>
    </w:p>
    <w:p>
      <w:pPr>
        <w:spacing w:after="0" w:line="278" w:lineRule="exact"/>
        <w:rPr>
          <w:sz w:val="20"/>
          <w:szCs w:val="20"/>
          <w:color w:val="auto"/>
        </w:rPr>
      </w:pPr>
    </w:p>
    <w:p>
      <w:pPr>
        <w:jc w:val="both"/>
        <w:ind w:right="20" w:firstLine="576"/>
        <w:spacing w:after="0" w:line="297" w:lineRule="auto"/>
        <w:rPr>
          <w:sz w:val="20"/>
          <w:szCs w:val="20"/>
          <w:color w:val="auto"/>
        </w:rPr>
      </w:pPr>
      <w:r>
        <w:rPr>
          <w:rFonts w:ascii="Times New Roman" w:cs="Times New Roman" w:eastAsia="Times New Roman" w:hAnsi="Times New Roman"/>
          <w:sz w:val="19"/>
          <w:szCs w:val="19"/>
          <w:color w:val="auto"/>
        </w:rPr>
        <w:t>We are organized under Delaware law. Delaware law generally prohibits a publicly-held or widely-held corporation from engaging in a “business combination” with an “interested stockholder” for three years after the stockholder becomes an interested stockholder. An “interested stockholder” is a person who, together with affiliates and associates, owns (or, in some cases, within three years, did own) directly or indirectly 15% or more of the corporation’s outstanding voting stock. A “business combination” includes a merger, asset sale or other transaction that results in a financial benefit to the interested stockholder. However, Delaware law does not prohibit these business combinations if:</w:t>
      </w:r>
    </w:p>
    <w:p>
      <w:pPr>
        <w:spacing w:after="0" w:line="190" w:lineRule="exact"/>
        <w:rPr>
          <w:sz w:val="20"/>
          <w:szCs w:val="20"/>
          <w:color w:val="auto"/>
        </w:rPr>
      </w:pPr>
    </w:p>
    <w:p>
      <w:pPr>
        <w:ind w:left="580" w:right="40" w:hanging="286"/>
        <w:spacing w:after="0" w:line="325" w:lineRule="auto"/>
        <w:tabs>
          <w:tab w:leader="none" w:pos="5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the stockholder becomes an interested stockholder, the corporation’s board approved either the business combination or the transaction that resulted in the stockholder becoming an interested stockholder;</w:t>
      </w:r>
    </w:p>
    <w:p>
      <w:pPr>
        <w:spacing w:after="0" w:line="164" w:lineRule="exact"/>
        <w:rPr>
          <w:rFonts w:ascii="Times New Roman" w:cs="Times New Roman" w:eastAsia="Times New Roman" w:hAnsi="Times New Roman"/>
          <w:sz w:val="19"/>
          <w:szCs w:val="19"/>
          <w:color w:val="auto"/>
        </w:rPr>
      </w:pPr>
    </w:p>
    <w:p>
      <w:pPr>
        <w:ind w:left="580" w:right="20" w:hanging="286"/>
        <w:spacing w:after="0" w:line="325" w:lineRule="auto"/>
        <w:tabs>
          <w:tab w:leader="none" w:pos="5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transaction that results in the stockholder becoming an interested stockholder, the interested stockholder owns at least 85% of the corporation’s outstanding voting stock (excluding certain shares); or</w:t>
      </w:r>
    </w:p>
    <w:p>
      <w:pPr>
        <w:spacing w:after="0" w:line="164" w:lineRule="exact"/>
        <w:rPr>
          <w:rFonts w:ascii="Times New Roman" w:cs="Times New Roman" w:eastAsia="Times New Roman" w:hAnsi="Times New Roman"/>
          <w:sz w:val="19"/>
          <w:szCs w:val="19"/>
          <w:color w:val="auto"/>
        </w:rPr>
      </w:pPr>
    </w:p>
    <w:p>
      <w:pPr>
        <w:ind w:left="580" w:right="40" w:hanging="286"/>
        <w:spacing w:after="0" w:line="325" w:lineRule="auto"/>
        <w:tabs>
          <w:tab w:leader="none" w:pos="5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board approves the business combination and the holders of at least two-thirds of the corporation’s outstanding voting stock that the interested stockholder does not own authorize the business combination at a meeting of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Stockholders’ Agreements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Investor AB</w:t>
      </w:r>
    </w:p>
    <w:p>
      <w:pPr>
        <w:spacing w:after="0" w:line="276"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 xml:space="preserve">On December 14, 2022, we entered into an amendment to our stockholders’ agreement with Investor AB (the “ </w:t>
      </w:r>
      <w:r>
        <w:rPr>
          <w:rFonts w:ascii="Times New Roman" w:cs="Times New Roman" w:eastAsia="Times New Roman" w:hAnsi="Times New Roman"/>
          <w:sz w:val="19"/>
          <w:szCs w:val="19"/>
          <w:u w:val="single" w:color="auto"/>
          <w:color w:val="auto"/>
        </w:rPr>
        <w:t>Amended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Stockholders’ Agreement</w:t>
      </w:r>
      <w:r>
        <w:rPr>
          <w:rFonts w:ascii="Times New Roman" w:cs="Times New Roman" w:eastAsia="Times New Roman" w:hAnsi="Times New Roman"/>
          <w:sz w:val="19"/>
          <w:szCs w:val="19"/>
          <w:color w:val="auto"/>
        </w:rPr>
        <w:t xml:space="preserve"> ”), amending the original stockholders’ agreement that was entered into between Nasdaq and Investor AB on December 16, 2010.</w:t>
      </w:r>
    </w:p>
    <w:p>
      <w:pPr>
        <w:sectPr>
          <w:pgSz w:w="11900" w:h="16840" w:orient="portrait"/>
          <w:cols w:equalWidth="0" w:num="1">
            <w:col w:w="10580"/>
          </w:cols>
          <w:pgMar w:left="660" w:top="1440" w:right="660" w:bottom="1440" w:gutter="0" w:footer="0" w:header="0"/>
        </w:sectPr>
      </w:pPr>
    </w:p>
    <w:bookmarkStart w:id="97" w:name="page98"/>
    <w:bookmarkEnd w:id="97"/>
    <w:p>
      <w:pPr>
        <w:spacing w:after="0" w:line="281"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9"/>
          <w:szCs w:val="19"/>
          <w:color w:val="auto"/>
        </w:rPr>
        <w:t>The Amended Stockholders’ Agreement reinstated Investor AB’s right to propose for nomination one person, reasonably acceptable to our Nominating &amp; ESG Committee, for election to our Board of Directors so long as Investor AB continues to beneficially own at least 10% of the outstanding common stock of Nasdaq. We are obligated by the terms of the Amended Stockholders’ Agreement to (i) include the Investor AB designee as a nominee to the Board of Directors on each slate of nominees for election to the Board of Directors proposed by management of Nasdaq, (ii) recommend the election of the Investor AB designee to our stockholders and</w:t>
      </w:r>
    </w:p>
    <w:p>
      <w:pPr>
        <w:ind w:right="20" w:firstLine="6"/>
        <w:spacing w:after="0" w:line="325" w:lineRule="auto"/>
        <w:tabs>
          <w:tab w:leader="none" w:pos="35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use our reasonable best efforts (which shall include the solicitation of proxies) to cause the Investor AB designee to be elected to the Board of Directors.</w:t>
      </w:r>
    </w:p>
    <w:p>
      <w:pPr>
        <w:spacing w:after="0" w:line="165" w:lineRule="exact"/>
        <w:rPr>
          <w:sz w:val="20"/>
          <w:szCs w:val="20"/>
          <w:color w:val="auto"/>
        </w:rPr>
      </w:pPr>
    </w:p>
    <w:p>
      <w:pPr>
        <w:jc w:val="both"/>
        <w:ind w:right="40" w:firstLine="576"/>
        <w:spacing w:after="0" w:line="308" w:lineRule="auto"/>
        <w:rPr>
          <w:sz w:val="20"/>
          <w:szCs w:val="20"/>
          <w:color w:val="auto"/>
        </w:rPr>
      </w:pPr>
      <w:r>
        <w:rPr>
          <w:rFonts w:ascii="Times New Roman" w:cs="Times New Roman" w:eastAsia="Times New Roman" w:hAnsi="Times New Roman"/>
          <w:sz w:val="19"/>
          <w:szCs w:val="19"/>
          <w:color w:val="auto"/>
        </w:rPr>
        <w:t>The foregoing summary of the Amended Stockholders’ Agreement does not purport to be complete and is subject to, and qualified in its entirety by, the full text of the Amended Stockholders’ Agreement, which was filed as Exhibit 4.1 to Nasdaq’s Current Report on Form 8-K filed on December 16,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Borse Dubai</w:t>
      </w:r>
    </w:p>
    <w:p>
      <w:pPr>
        <w:spacing w:after="0" w:line="276" w:lineRule="exact"/>
        <w:rPr>
          <w:sz w:val="20"/>
          <w:szCs w:val="20"/>
          <w:color w:val="auto"/>
        </w:rPr>
      </w:pPr>
    </w:p>
    <w:p>
      <w:pPr>
        <w:jc w:val="both"/>
        <w:ind w:right="40" w:firstLine="244"/>
        <w:spacing w:after="0" w:line="325" w:lineRule="auto"/>
        <w:rPr>
          <w:sz w:val="20"/>
          <w:szCs w:val="20"/>
          <w:color w:val="auto"/>
        </w:rPr>
      </w:pPr>
      <w:r>
        <w:rPr>
          <w:rFonts w:ascii="Times New Roman" w:cs="Times New Roman" w:eastAsia="Times New Roman" w:hAnsi="Times New Roman"/>
          <w:sz w:val="19"/>
          <w:szCs w:val="19"/>
          <w:color w:val="auto"/>
        </w:rPr>
        <w:t>On March 19, 2024, we entered into an Amendment No. 2 (the “Amendment”) to the Stockholders’ Agreement (the “Agreement”), dated as of February 19, 2009, by and between the Company and Borse Dubai Limited (the “Selling Stockholder”), as amended.</w:t>
      </w:r>
    </w:p>
    <w:p>
      <w:pPr>
        <w:spacing w:after="0" w:line="56"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The Amendment provides, among other things, that so long as the Selling Stockholder continues to beneficially own at least 10% of our shares outstanding as of March 19, 2024, the Selling Stockholder will be entitled to nominate one person mutually agreed by the Selling Stockholder and the Company’s Nominating &amp; Governance Committee as a director on the Company’s board of directors (which person will initially be Essa Kazim, who has been a director on our board since March 1, 2008), and we will recommend such nominee for election and otherwise use its reasonable best efforts to cause such nominee to be elected to our board of directors.</w:t>
      </w:r>
    </w:p>
    <w:p>
      <w:pPr>
        <w:spacing w:after="0" w:line="188" w:lineRule="exact"/>
        <w:rPr>
          <w:sz w:val="20"/>
          <w:szCs w:val="20"/>
          <w:color w:val="auto"/>
        </w:rPr>
      </w:pPr>
    </w:p>
    <w:p>
      <w:pPr>
        <w:jc w:val="both"/>
        <w:ind w:right="20" w:firstLine="576"/>
        <w:spacing w:after="0" w:line="325" w:lineRule="auto"/>
        <w:rPr>
          <w:sz w:val="20"/>
          <w:szCs w:val="20"/>
          <w:color w:val="auto"/>
        </w:rPr>
      </w:pPr>
      <w:r>
        <w:rPr>
          <w:rFonts w:ascii="Times New Roman" w:cs="Times New Roman" w:eastAsia="Times New Roman" w:hAnsi="Times New Roman"/>
          <w:sz w:val="19"/>
          <w:szCs w:val="19"/>
          <w:color w:val="auto"/>
        </w:rPr>
        <w:t>The foregoing description of the Amendment does not purport to be complete and is qualified in its entirety by the full text of the Amendment, which was filed as Exhibit 4.1 to Nasdaq’s Current Report on Form 8-K filed on March 20, 2024.</w:t>
      </w:r>
    </w:p>
    <w:p>
      <w:pPr>
        <w:sectPr>
          <w:pgSz w:w="11900" w:h="16840" w:orient="portrait"/>
          <w:cols w:equalWidth="0" w:num="1">
            <w:col w:w="10580"/>
          </w:cols>
          <w:pgMar w:left="660" w:top="1440" w:right="660" w:bottom="1440" w:gutter="0" w:footer="0" w:header="0"/>
        </w:sectPr>
      </w:pPr>
    </w:p>
    <w:bookmarkStart w:id="98" w:name="page99"/>
    <w:bookmarkEnd w:id="98"/>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 and Registrar</w:t>
      </w:r>
    </w:p>
    <w:p>
      <w:pPr>
        <w:spacing w:after="0" w:line="276" w:lineRule="exact"/>
        <w:rPr>
          <w:sz w:val="20"/>
          <w:szCs w:val="20"/>
          <w:color w:val="auto"/>
        </w:rPr>
      </w:pPr>
    </w:p>
    <w:p>
      <w:pPr>
        <w:ind w:firstLine="576"/>
        <w:spacing w:after="0" w:line="325" w:lineRule="auto"/>
        <w:rPr>
          <w:sz w:val="20"/>
          <w:szCs w:val="20"/>
          <w:color w:val="auto"/>
        </w:rPr>
      </w:pPr>
      <w:r>
        <w:rPr>
          <w:rFonts w:ascii="Times New Roman" w:cs="Times New Roman" w:eastAsia="Times New Roman" w:hAnsi="Times New Roman"/>
          <w:sz w:val="19"/>
          <w:szCs w:val="19"/>
          <w:color w:val="auto"/>
        </w:rPr>
        <w:t>The transfer agent and registrar for our common stock is Computershare. Its address is 150 Royall St, Suite 101, Canton, MA 02021 and its telephone number is (800) 564-6253.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Listing</w:t>
      </w: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Our common stock is listed on The Nasdaq Stock Market under the trading symbol “NDAQ.”</w:t>
      </w:r>
    </w:p>
    <w:p>
      <w:pPr>
        <w:sectPr>
          <w:pgSz w:w="11900" w:h="16840" w:orient="portrait"/>
          <w:cols w:equalWidth="0" w:num="1">
            <w:col w:w="10200"/>
          </w:cols>
          <w:pgMar w:left="660" w:top="1440" w:right="1040" w:bottom="1440" w:gutter="0" w:footer="0" w:header="0"/>
        </w:sectPr>
      </w:pPr>
    </w:p>
    <w:bookmarkStart w:id="99" w:name="page100"/>
    <w:bookmarkEnd w:id="99"/>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Description of the 4.500% Senior Notes due 2032</w:t>
      </w:r>
    </w:p>
    <w:p>
      <w:pPr>
        <w:spacing w:after="0" w:line="200" w:lineRule="exact"/>
        <w:rPr>
          <w:sz w:val="20"/>
          <w:szCs w:val="20"/>
          <w:color w:val="auto"/>
        </w:rPr>
      </w:pPr>
    </w:p>
    <w:p>
      <w:pPr>
        <w:spacing w:after="0" w:line="208"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The 4.500% Senior Notes due 2032 (the “</w:t>
      </w:r>
      <w:r>
        <w:rPr>
          <w:rFonts w:ascii="Times New Roman" w:cs="Times New Roman" w:eastAsia="Times New Roman" w:hAnsi="Times New Roman"/>
          <w:sz w:val="19"/>
          <w:szCs w:val="19"/>
          <w:u w:val="single" w:color="auto"/>
          <w:color w:val="auto"/>
        </w:rPr>
        <w:t>2032 Notes</w:t>
      </w:r>
      <w:r>
        <w:rPr>
          <w:rFonts w:ascii="Times New Roman" w:cs="Times New Roman" w:eastAsia="Times New Roman" w:hAnsi="Times New Roman"/>
          <w:sz w:val="19"/>
          <w:szCs w:val="19"/>
          <w:color w:val="auto"/>
        </w:rPr>
        <w:t>”) were issued under an indenture, dated as of June 7, 2013 (the “</w:t>
      </w:r>
      <w:r>
        <w:rPr>
          <w:rFonts w:ascii="Times New Roman" w:cs="Times New Roman" w:eastAsia="Times New Roman" w:hAnsi="Times New Roman"/>
          <w:sz w:val="19"/>
          <w:szCs w:val="19"/>
          <w:u w:val="single" w:color="auto"/>
          <w:color w:val="auto"/>
        </w:rPr>
        <w:t>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between Nasdaq, Inc. and Wells Fargo Bank, National Association, as trustee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and a nineteenth supplemental indenture dated as of June 28, 2023 (the “</w:t>
      </w:r>
      <w:r>
        <w:rPr>
          <w:rFonts w:ascii="Times New Roman" w:cs="Times New Roman" w:eastAsia="Times New Roman" w:hAnsi="Times New Roman"/>
          <w:sz w:val="19"/>
          <w:szCs w:val="19"/>
          <w:u w:val="single" w:color="auto"/>
          <w:color w:val="auto"/>
        </w:rPr>
        <w:t>supplemental indenture</w:t>
      </w:r>
      <w:r>
        <w:rPr>
          <w:rFonts w:ascii="Times New Roman" w:cs="Times New Roman" w:eastAsia="Times New Roman" w:hAnsi="Times New Roman"/>
          <w:sz w:val="19"/>
          <w:szCs w:val="19"/>
          <w:color w:val="auto"/>
        </w:rPr>
        <w:t>” and, together with the base indenture,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by and among Nasdaq, Computershare Trust Company, N.A., as trustee, as successor to Wells Fargo Bank, (the “Trustee”) and HSBC Bank USA, National Association, as paying agent, registrar and transfer agent. The indenture is publicly available at www.sec.gov.</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We issued €750 million aggregate principal amount of the 2032 Notes on June 28, 2023.</w:t>
      </w:r>
    </w:p>
    <w:p>
      <w:pPr>
        <w:spacing w:after="0" w:line="274" w:lineRule="exact"/>
        <w:rPr>
          <w:sz w:val="20"/>
          <w:szCs w:val="20"/>
          <w:color w:val="auto"/>
        </w:rPr>
      </w:pPr>
    </w:p>
    <w:p>
      <w:pPr>
        <w:jc w:val="both"/>
        <w:ind w:right="20" w:firstLine="576"/>
        <w:spacing w:after="0" w:line="325" w:lineRule="auto"/>
        <w:rPr>
          <w:sz w:val="20"/>
          <w:szCs w:val="20"/>
          <w:color w:val="auto"/>
        </w:rPr>
      </w:pPr>
      <w:r>
        <w:rPr>
          <w:rFonts w:ascii="Times New Roman" w:cs="Times New Roman" w:eastAsia="Times New Roman" w:hAnsi="Times New Roman"/>
          <w:sz w:val="19"/>
          <w:szCs w:val="19"/>
          <w:color w:val="auto"/>
        </w:rPr>
        <w:t>This summary is subject to, and qualified in its entirety by reference to, all the provisions of the 2032 Notes and the indenture, including definitions of certain terms used therein.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2032 Notes:</w:t>
      </w:r>
    </w:p>
    <w:p>
      <w:pPr>
        <w:spacing w:after="0" w:line="274" w:lineRule="exact"/>
        <w:rPr>
          <w:sz w:val="20"/>
          <w:szCs w:val="20"/>
          <w:color w:val="auto"/>
        </w:rPr>
      </w:pPr>
    </w:p>
    <w:p>
      <w:pPr>
        <w:ind w:left="1160" w:hanging="290"/>
        <w:spacing w:after="0"/>
        <w:tabs>
          <w:tab w:leader="none" w:pos="11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senior unsecured obligations of ours;</w:t>
      </w:r>
    </w:p>
    <w:p>
      <w:pPr>
        <w:spacing w:after="0" w:line="273"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rank equally in right of payment with all of our other senior unsecured indebtedness from time to time outstanding, commercial paper issuances and indebtedness under our credit facility;</w:t>
      </w:r>
    </w:p>
    <w:p>
      <w:pPr>
        <w:spacing w:after="0" w:line="164"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structurally subordinated in right of payment to all existing and future obligations of our subsidiaries, including claims with respect to trade payables; and</w:t>
      </w:r>
    </w:p>
    <w:p>
      <w:pPr>
        <w:spacing w:after="0" w:line="164"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2032 Notes were issued in minimum denominations of €100,000 and integral multiples of €1,000 in excess thereof.</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Principal, Maturity and Interest</w:t>
      </w:r>
    </w:p>
    <w:p>
      <w:pPr>
        <w:spacing w:after="0" w:line="276" w:lineRule="exact"/>
        <w:rPr>
          <w:sz w:val="20"/>
          <w:szCs w:val="20"/>
          <w:color w:val="auto"/>
        </w:rPr>
      </w:pPr>
    </w:p>
    <w:p>
      <w:pPr>
        <w:ind w:right="20" w:firstLine="576"/>
        <w:spacing w:after="0" w:line="325" w:lineRule="auto"/>
        <w:rPr>
          <w:sz w:val="20"/>
          <w:szCs w:val="20"/>
          <w:color w:val="auto"/>
        </w:rPr>
      </w:pPr>
      <w:r>
        <w:rPr>
          <w:rFonts w:ascii="Times New Roman" w:cs="Times New Roman" w:eastAsia="Times New Roman" w:hAnsi="Times New Roman"/>
          <w:sz w:val="19"/>
          <w:szCs w:val="19"/>
          <w:color w:val="auto"/>
        </w:rPr>
        <w:t>The 2032 Notes will bear interest at a rate of 4.500% per year. Interest on the Notes is payable annually in arrears on February 15 of each year, beginning on February 15, 2024, and</w:t>
      </w:r>
    </w:p>
    <w:p>
      <w:pPr>
        <w:sectPr>
          <w:pgSz w:w="11900" w:h="16840" w:orient="portrait"/>
          <w:cols w:equalWidth="0" w:num="1">
            <w:col w:w="10580"/>
          </w:cols>
          <w:pgMar w:left="660" w:top="1440" w:right="660" w:bottom="1440" w:gutter="0" w:footer="0" w:header="0"/>
        </w:sectPr>
      </w:pPr>
    </w:p>
    <w:bookmarkStart w:id="100" w:name="page101"/>
    <w:bookmarkEnd w:id="100"/>
    <w:p>
      <w:pPr>
        <w:spacing w:after="0" w:line="2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will be computed on the basis of the actual number of days in the period for which interest is being calculated and the actual number of days from and including the last date on which interest was paid on the 2032 Notes (or the settlement date if no interest has been paid or duly provided for on the 2032 Notes), to but excluding the next date on which interest is paid or duly provided for. This payment convention is referred to as ACTUAL/ACTUAL (ICMA) as defined in the rulebook of the International Capital Market Association. Interest on the 2032 Notes will accrue from and including the settlement date and will be paid to holders of record on the day immediately prior to the applicable interest payment date.</w:t>
      </w:r>
    </w:p>
    <w:p>
      <w:pPr>
        <w:spacing w:after="0" w:line="190"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The 2032 Notes will mature on February 15, 2032. On the maturity date of the 2032 Notes, the holders will be entitled to receive 100% of the principal amount of such 2032 Notes. The 2032 Notes will not have the benefit of any sinking fund.</w:t>
      </w:r>
    </w:p>
    <w:p>
      <w:pPr>
        <w:spacing w:after="0" w:line="16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2032 Notes, when we use the term “business day” we mean any day except a Saturday, a Sunday or a day on which banking institutions in the applicable place of payment are authorized or required by law, regulation or executive order to close.</w:t>
      </w:r>
    </w:p>
    <w:p>
      <w:pPr>
        <w:spacing w:after="0" w:line="18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Claims against the Company for payment of principal, interest and additional amounts, if any, on the 2032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Euro Notes—Issuance in Euros</w:t>
      </w:r>
    </w:p>
    <w:p>
      <w:pPr>
        <w:spacing w:after="0" w:line="276" w:lineRule="exact"/>
        <w:rPr>
          <w:sz w:val="20"/>
          <w:szCs w:val="20"/>
          <w:color w:val="auto"/>
        </w:rPr>
      </w:pPr>
    </w:p>
    <w:p>
      <w:pPr>
        <w:jc w:val="both"/>
        <w:ind w:right="20" w:firstLine="576"/>
        <w:spacing w:after="0" w:line="297" w:lineRule="auto"/>
        <w:rPr>
          <w:sz w:val="20"/>
          <w:szCs w:val="20"/>
          <w:color w:val="auto"/>
        </w:rPr>
      </w:pPr>
      <w:r>
        <w:rPr>
          <w:rFonts w:ascii="Times New Roman" w:cs="Times New Roman" w:eastAsia="Times New Roman" w:hAnsi="Times New Roman"/>
          <w:sz w:val="19"/>
          <w:szCs w:val="19"/>
          <w:color w:val="auto"/>
        </w:rPr>
        <w:t>Initial holders of the 2032 Notes paid for the 2032 Notes in euros, and principal, premium, if any, and interest payments and additional amounts, if any, in respect of the 2032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2032 Notes will be made in U.S. dollars until the euro is again available to us or so used.</w:t>
      </w:r>
    </w:p>
    <w:p>
      <w:pPr>
        <w:spacing w:after="0" w:line="190"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The amount payable on any date in euros will be converted to U.S. dollars on the basis of the most recently available market exchange rate for euros as determined by us in our sole discretion. Any payment in respect of the 2032 Notes so made in U.S. dollars will not constitute</w:t>
      </w:r>
    </w:p>
    <w:p>
      <w:pPr>
        <w:sectPr>
          <w:pgSz w:w="11900" w:h="16840" w:orient="portrait"/>
          <w:cols w:equalWidth="0" w:num="1">
            <w:col w:w="10580"/>
          </w:cols>
          <w:pgMar w:left="660" w:top="1440" w:right="660" w:bottom="1440" w:gutter="0" w:footer="0" w:header="0"/>
        </w:sectPr>
      </w:pPr>
    </w:p>
    <w:bookmarkStart w:id="101" w:name="page102"/>
    <w:bookmarkEnd w:id="101"/>
    <w:p>
      <w:pPr>
        <w:spacing w:after="0" w:line="28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19"/>
          <w:szCs w:val="19"/>
          <w:color w:val="auto"/>
        </w:rPr>
        <w:t>an event of default under the indenture or the 2032 Notes. Neither the trustee nor the paying agent will be responsible for obtaining exchange rates, effecting conversions or otherwise handling redenominations.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Ranking</w:t>
      </w:r>
    </w:p>
    <w:p>
      <w:pPr>
        <w:spacing w:after="0" w:line="276"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The 2032 Notes are general unsecured obligations of ours and will rank equally with all of our existing and future unsubordinated obligations.</w:t>
      </w:r>
    </w:p>
    <w:p>
      <w:pPr>
        <w:spacing w:after="0" w:line="165"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Holders of any secured indebtedness and other secured obligations of the Company will have claims that are prior to your claims as holders of the 2032 Notes, to the extent of the value of the assets securing such indebtedness and other obligations, in the event of any bankruptcy, liquidation or similar proceeding.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Further Issues</w:t>
      </w:r>
    </w:p>
    <w:p>
      <w:pPr>
        <w:spacing w:after="0" w:line="276"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9"/>
          <w:szCs w:val="19"/>
          <w:color w:val="auto"/>
        </w:rPr>
        <w:t xml:space="preserve">The 2032 Notes constituted a separate series of debt securities under the indenture, limited to €750 million. Under the indenture, we may, without the consent of the holders of the 2032 Notes, issue additional 2032 Notes of the same or a different series from time to time in the future in an unlimited aggregate principal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any such additional 2032 Notes are not fungible with the 2032 Notes offered hereby (or any other tranche of additional 2032 Notes) for U.S. federal income tax purposes, then such additional 2032 Notes will have different ISIN and/or Common Code numbers than the Notes offered hereby (and any such other tranche of additional 2032 Notes). The 2032 Notes and any additional 2032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2032 Notes, as well as any additional 2032 Notes that we may issue by reopening such series, will vote or take action as a single class.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Redemption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Optional Redemption</w:t>
      </w:r>
    </w:p>
    <w:p>
      <w:pPr>
        <w:spacing w:after="0" w:line="278"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The 2032 Notes will be redeemable, in whole at any time or in part from time to time, at our option, prior to December 15, 2031, at a redemption price (the “make-whole redemption price”) equal to the greater of (i) 100% of the principal amount of the 2032 Notes and (ii) as determined by the Quotation Agent (as defined below), the sum of the present values of the remaining scheduled payments of principal and interest on the 2032 Notes (exclusive of interest accrued and unpaid as of the date of redemption), discounted to the date of redemption on an</w:t>
      </w:r>
    </w:p>
    <w:p>
      <w:pPr>
        <w:sectPr>
          <w:pgSz w:w="11900" w:h="16840" w:orient="portrait"/>
          <w:cols w:equalWidth="0" w:num="1">
            <w:col w:w="10580"/>
          </w:cols>
          <w:pgMar w:left="660" w:top="1440" w:right="660" w:bottom="1440" w:gutter="0" w:footer="0" w:header="0"/>
        </w:sectPr>
      </w:pPr>
    </w:p>
    <w:bookmarkStart w:id="102" w:name="page103"/>
    <w:bookmarkEnd w:id="102"/>
    <w:p>
      <w:pPr>
        <w:spacing w:after="0" w:line="281"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9"/>
          <w:szCs w:val="19"/>
          <w:color w:val="auto"/>
        </w:rPr>
        <w:t>annual basis (ACTUAL/ACTUAL (ICMA)) at the Bund Rate (as defined below), plus 35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79" w:lineRule="exact"/>
        <w:rPr>
          <w:sz w:val="20"/>
          <w:szCs w:val="20"/>
          <w:color w:val="auto"/>
        </w:rPr>
      </w:pPr>
    </w:p>
    <w:p>
      <w:pPr>
        <w:jc w:val="both"/>
        <w:ind w:right="20" w:firstLine="576"/>
        <w:spacing w:after="0" w:line="309" w:lineRule="auto"/>
        <w:rPr>
          <w:sz w:val="20"/>
          <w:szCs w:val="20"/>
          <w:color w:val="auto"/>
        </w:rPr>
      </w:pPr>
      <w:r>
        <w:rPr>
          <w:rFonts w:ascii="Times New Roman" w:cs="Times New Roman" w:eastAsia="Times New Roman" w:hAnsi="Times New Roman"/>
          <w:sz w:val="19"/>
          <w:szCs w:val="19"/>
          <w:color w:val="auto"/>
        </w:rPr>
        <w:t>Notwithstanding the foregoing, at any time on or after December 15, 2031 (three months before their maturity date), the 2032 Notes will be redeemable, in whole or in part, at our option and at any time or from time to time, at a redemption price equal to 100% of the principal amount of the 2032 Notes to be redeemed plus accrued and unpaid interest thereon to, but excluding, the date of redemption.</w:t>
      </w:r>
    </w:p>
    <w:p>
      <w:pPr>
        <w:spacing w:after="0" w:line="200" w:lineRule="exact"/>
        <w:rPr>
          <w:sz w:val="20"/>
          <w:szCs w:val="20"/>
          <w:color w:val="auto"/>
        </w:rPr>
      </w:pPr>
    </w:p>
    <w:p>
      <w:pPr>
        <w:spacing w:after="0" w:line="240"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Notice of any redemption will be mailed at least 10 days, but not more than 60 days, before the redemption date to each registered holder of 2032 Notes to be redeemed. Once notice of redemption is mailed, the 2032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2032 Notes (or portion thereof) to be redeemed on such redemption date.</w:t>
      </w:r>
    </w:p>
    <w:p>
      <w:pPr>
        <w:spacing w:after="0" w:line="188"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Bund Rate</w:t>
      </w:r>
      <w:r>
        <w:rPr>
          <w:rFonts w:ascii="Times New Roman" w:cs="Times New Roman" w:eastAsia="Times New Roman" w:hAnsi="Times New Roman"/>
          <w:sz w:val="19"/>
          <w:szCs w:val="19"/>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79"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Comparable German Bund Issue</w:t>
      </w:r>
      <w:r>
        <w:rPr>
          <w:rFonts w:ascii="Times New Roman" w:cs="Times New Roman" w:eastAsia="Times New Roman" w:hAnsi="Times New Roman"/>
          <w:sz w:val="19"/>
          <w:szCs w:val="19"/>
          <w:color w:val="auto"/>
        </w:rPr>
        <w:t>” means that German Bundesanleihe security selected by the Quotation Agent as having a maturity comparable to the remaining term of the 2032 Notes to be redeemed that would be utilized, at the time of selection and in accordance with customary</w:t>
      </w:r>
    </w:p>
    <w:p>
      <w:pPr>
        <w:spacing w:after="0"/>
        <w:rPr>
          <w:sz w:val="20"/>
          <w:szCs w:val="20"/>
          <w:color w:val="auto"/>
        </w:rPr>
      </w:pPr>
      <w:r>
        <w:rPr>
          <w:rFonts w:ascii="Times New Roman" w:cs="Times New Roman" w:eastAsia="Times New Roman" w:hAnsi="Times New Roman"/>
          <w:sz w:val="19"/>
          <w:szCs w:val="19"/>
          <w:color w:val="auto"/>
        </w:rPr>
        <w:t>financial practice, in pricing new issues of corporate notes of comparable maturity to the remaining term of the Notes.</w:t>
      </w:r>
    </w:p>
    <w:p>
      <w:pPr>
        <w:spacing w:after="0" w:line="310"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Comparable German Bund Price</w:t>
      </w:r>
      <w:r>
        <w:rPr>
          <w:rFonts w:ascii="Times New Roman" w:cs="Times New Roman" w:eastAsia="Times New Roman" w:hAnsi="Times New Roman"/>
          <w:sz w:val="19"/>
          <w:szCs w:val="19"/>
          <w:color w:val="auto"/>
        </w:rPr>
        <w:t>” means, with respect to any redemption date, (i) the average of four Reference German Bund Dealer Quotations for such redemption date, after excluding the highest and lowest such Reference German Bund Dealer Quotations or</w:t>
      </w:r>
    </w:p>
    <w:p>
      <w:pPr>
        <w:ind w:left="580" w:right="200" w:hanging="574"/>
        <w:spacing w:after="0" w:line="540" w:lineRule="auto"/>
        <w:tabs>
          <w:tab w:leader="none" w:pos="286"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Quotation Agent obtains fewer than four such Reference German Bund Dealer Quotations, the average of all such quotations. “</w:t>
      </w:r>
      <w:r>
        <w:rPr>
          <w:rFonts w:ascii="Times New Roman" w:cs="Times New Roman" w:eastAsia="Times New Roman" w:hAnsi="Times New Roman"/>
          <w:sz w:val="19"/>
          <w:szCs w:val="19"/>
          <w:u w:val="single" w:color="auto"/>
          <w:color w:val="auto"/>
        </w:rPr>
        <w:t>Quotation Agent</w:t>
      </w:r>
      <w:r>
        <w:rPr>
          <w:rFonts w:ascii="Times New Roman" w:cs="Times New Roman" w:eastAsia="Times New Roman" w:hAnsi="Times New Roman"/>
          <w:sz w:val="19"/>
          <w:szCs w:val="19"/>
          <w:color w:val="auto"/>
        </w:rPr>
        <w:t>” means a Reference German Bund Dealer appointed by us.</w:t>
      </w:r>
    </w:p>
    <w:p>
      <w:pPr>
        <w:spacing w:after="0" w:line="1"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German Bund Dealer</w:t>
      </w:r>
      <w:r>
        <w:rPr>
          <w:rFonts w:ascii="Times New Roman" w:cs="Times New Roman" w:eastAsia="Times New Roman" w:hAnsi="Times New Roman"/>
          <w:sz w:val="19"/>
          <w:szCs w:val="19"/>
          <w:color w:val="auto"/>
        </w:rPr>
        <w:t>” means any dealer of German Bundesanleihe securities selected by us in good faith.</w:t>
      </w:r>
    </w:p>
    <w:p>
      <w:pPr>
        <w:sectPr>
          <w:pgSz w:w="11900" w:h="16840" w:orient="portrait"/>
          <w:cols w:equalWidth="0" w:num="1">
            <w:col w:w="10580"/>
          </w:cols>
          <w:pgMar w:left="660" w:top="1440" w:right="660" w:bottom="1440" w:gutter="0" w:footer="0" w:header="0"/>
        </w:sectPr>
      </w:pPr>
    </w:p>
    <w:bookmarkStart w:id="103" w:name="page104"/>
    <w:bookmarkEnd w:id="103"/>
    <w:p>
      <w:pPr>
        <w:spacing w:after="0" w:line="200" w:lineRule="exact"/>
        <w:rPr>
          <w:sz w:val="20"/>
          <w:szCs w:val="20"/>
          <w:color w:val="auto"/>
        </w:rPr>
      </w:pPr>
    </w:p>
    <w:p>
      <w:pPr>
        <w:spacing w:after="0" w:line="309"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German Bund Dealer Quotations</w:t>
      </w:r>
      <w:r>
        <w:rPr>
          <w:rFonts w:ascii="Times New Roman" w:cs="Times New Roman" w:eastAsia="Times New Roman" w:hAnsi="Times New Roman"/>
          <w:sz w:val="19"/>
          <w:szCs w:val="19"/>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18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If we elect to redeem less than all of the 2032 Notes, and such 2032 Notes are at the time represented by a global note, then the depositary will select by lot the particular interests to be redeemed. If we elect to redeem less than all of the 2032 Notes, and any of such 2032 Notes are not represented by a global note, then the trustee will select the particular 2032 Notes to be redeemed in a manner it deems appropriate and fair (and the depositary will select by lot the particular interests in any global note to be redeemed).</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We may at any time, and from time to time, purchase the 2032 Notes at any price or prices in the open market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Repurchase upon Change of Control Triggering Event</w:t>
      </w:r>
    </w:p>
    <w:p>
      <w:pPr>
        <w:spacing w:after="0" w:line="276"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9"/>
          <w:szCs w:val="19"/>
          <w:color w:val="auto"/>
        </w:rPr>
        <w:t>If a Change of Control Triggering Event (as defined below) occurs with respect to the 2032 Notes, unless we have exercised our right to redeem the 2032 Notes, we will be required to make an offer to repurchase all or, at the holder’s option, any part (equal to €100,000 or any integral multiple of €1,000 in excess thereof) of each holder’s 2032 Notes pursuant to the offer described below (the “Change of Control Offer”).</w:t>
      </w:r>
    </w:p>
    <w:p>
      <w:pPr>
        <w:spacing w:after="0" w:line="185"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In the Change of Control Offer, we will be required to offer payment in cash equal to 101% of the aggregate principal amount of 2032 Notes repurchased plus accrued and unpaid interest, if any, on the 2032 Notes repurchased to, but not including, the date of purchase (the “Change of Control Payment”).</w:t>
      </w:r>
    </w:p>
    <w:p>
      <w:pPr>
        <w:spacing w:after="0" w:line="179" w:lineRule="exact"/>
        <w:rPr>
          <w:sz w:val="20"/>
          <w:szCs w:val="20"/>
          <w:color w:val="auto"/>
        </w:rPr>
      </w:pPr>
    </w:p>
    <w:p>
      <w:pPr>
        <w:jc w:val="both"/>
        <w:ind w:firstLine="576"/>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w:t>
      </w:r>
    </w:p>
    <w:p>
      <w:pPr>
        <w:sectPr>
          <w:pgSz w:w="11900" w:h="16840" w:orient="portrait"/>
          <w:cols w:equalWidth="0" w:num="1">
            <w:col w:w="10580"/>
          </w:cols>
          <w:pgMar w:left="660" w:top="1440" w:right="660" w:bottom="1440" w:gutter="0" w:footer="0" w:header="0"/>
        </w:sectPr>
      </w:pPr>
    </w:p>
    <w:bookmarkStart w:id="104" w:name="page105"/>
    <w:bookmarkEnd w:id="104"/>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or (4) the first day on which a majority of the members of our board of directors are not Continuing Directors.</w:t>
      </w:r>
    </w:p>
    <w:p>
      <w:pPr>
        <w:spacing w:after="0" w:line="274"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88"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 Triggering Event</w:t>
      </w:r>
      <w:r>
        <w:rPr>
          <w:rFonts w:ascii="Times New Roman" w:cs="Times New Roman" w:eastAsia="Times New Roman" w:hAnsi="Times New Roman"/>
          <w:sz w:val="19"/>
          <w:szCs w:val="19"/>
          <w:color w:val="auto"/>
        </w:rPr>
        <w:t>” means the occurrence of both a Change of Control and a Below Investment Grade Rating Event (as such term is defined in the indenture) occurring in respect of that Change of Control.</w:t>
      </w:r>
    </w:p>
    <w:p>
      <w:pPr>
        <w:spacing w:after="0" w:line="165" w:lineRule="exact"/>
        <w:rPr>
          <w:sz w:val="20"/>
          <w:szCs w:val="20"/>
          <w:color w:val="auto"/>
        </w:rPr>
      </w:pPr>
    </w:p>
    <w:p>
      <w:pPr>
        <w:jc w:val="both"/>
        <w:ind w:right="20" w:firstLine="576"/>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Continuing Directors</w:t>
      </w:r>
      <w:r>
        <w:rPr>
          <w:rFonts w:ascii="Times New Roman" w:cs="Times New Roman" w:eastAsia="Times New Roman" w:hAnsi="Times New Roman"/>
          <w:sz w:val="19"/>
          <w:szCs w:val="19"/>
          <w:color w:val="auto"/>
        </w:rPr>
        <w:t>” means, as of any date of determination, any member of our board of directors who (1) was a member of our board of directors on the date of the issuance of the 2032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188"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79" w:lineRule="exact"/>
        <w:rPr>
          <w:sz w:val="20"/>
          <w:szCs w:val="20"/>
          <w:color w:val="auto"/>
        </w:rPr>
      </w:pPr>
    </w:p>
    <w:p>
      <w:pPr>
        <w:jc w:val="both"/>
        <w:ind w:right="20" w:firstLine="396"/>
        <w:spacing w:after="0" w:line="3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Stock</w:t>
      </w:r>
      <w:r>
        <w:rPr>
          <w:rFonts w:ascii="Times New Roman" w:cs="Times New Roman" w:eastAsia="Times New Roman" w:hAnsi="Times New Roman"/>
          <w:sz w:val="19"/>
          <w:szCs w:val="19"/>
          <w:color w:val="auto"/>
        </w:rPr>
        <w:t>” of any specified Person as of any date means the capital stock of such Person that is at the time entitled to vote generally in the election of the board of directors of such Person.</w:t>
      </w:r>
    </w:p>
    <w:p>
      <w:pPr>
        <w:spacing w:after="0" w:line="16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2032 Notes as a result of the sale, transfer, conveyance or other disposition of less than all of our assets may be uncertain.</w:t>
      </w:r>
    </w:p>
    <w:p>
      <w:pPr>
        <w:sectPr>
          <w:pgSz w:w="11900" w:h="16840" w:orient="portrait"/>
          <w:cols w:equalWidth="0" w:num="1">
            <w:col w:w="10580"/>
          </w:cols>
          <w:pgMar w:left="660" w:top="1440" w:right="660" w:bottom="1440" w:gutter="0" w:footer="0" w:header="0"/>
        </w:sectPr>
      </w:pPr>
    </w:p>
    <w:bookmarkStart w:id="105" w:name="page106"/>
    <w:bookmarkEnd w:id="105"/>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Certain Covenants</w:t>
      </w:r>
    </w:p>
    <w:p>
      <w:pPr>
        <w:spacing w:after="0" w:line="276"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Holders of the 2032 Notes will have specified rights if an Event of Default (as defined below) occurs. The term “</w:t>
      </w:r>
      <w:r>
        <w:rPr>
          <w:rFonts w:ascii="Times New Roman" w:cs="Times New Roman" w:eastAsia="Times New Roman" w:hAnsi="Times New Roman"/>
          <w:sz w:val="19"/>
          <w:szCs w:val="19"/>
          <w:u w:val="single" w:color="auto"/>
          <w:color w:val="auto"/>
        </w:rPr>
        <w:t>Event 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in respect of the 2032 Notes means any of the following:</w:t>
      </w:r>
    </w:p>
    <w:p>
      <w:pPr>
        <w:spacing w:after="0" w:line="346" w:lineRule="exact"/>
        <w:rPr>
          <w:sz w:val="20"/>
          <w:szCs w:val="20"/>
          <w:color w:val="auto"/>
        </w:rPr>
      </w:pPr>
    </w:p>
    <w:p>
      <w:pPr>
        <w:ind w:left="1260" w:hanging="1242"/>
        <w:spacing w:after="0"/>
        <w:tabs>
          <w:tab w:leader="none" w:pos="12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do not pay interest on any of the 2032 Notes within 30 days of its due date;</w:t>
      </w:r>
    </w:p>
    <w:p>
      <w:pPr>
        <w:spacing w:after="0" w:line="200" w:lineRule="exact"/>
        <w:rPr>
          <w:rFonts w:ascii="Times New Roman" w:cs="Times New Roman" w:eastAsia="Times New Roman" w:hAnsi="Times New Roman"/>
          <w:sz w:val="19"/>
          <w:szCs w:val="19"/>
          <w:color w:val="auto"/>
        </w:rPr>
      </w:pPr>
    </w:p>
    <w:p>
      <w:pPr>
        <w:spacing w:after="0" w:line="253" w:lineRule="exact"/>
        <w:rPr>
          <w:rFonts w:ascii="Times New Roman" w:cs="Times New Roman" w:eastAsia="Times New Roman" w:hAnsi="Times New Roman"/>
          <w:sz w:val="19"/>
          <w:szCs w:val="19"/>
          <w:color w:val="auto"/>
        </w:rPr>
      </w:pPr>
    </w:p>
    <w:p>
      <w:pPr>
        <w:ind w:left="1220" w:right="20" w:hanging="1202"/>
        <w:spacing w:after="0" w:line="352" w:lineRule="auto"/>
        <w:tabs>
          <w:tab w:leader="none" w:pos="12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fail to pay the principal (or premium, if any) of any 2033 Note, when such principal becomes due and payable, at maturity, upon acceleration, upon redemption or otherwise;</w:t>
      </w:r>
    </w:p>
    <w:p>
      <w:pPr>
        <w:spacing w:after="0" w:line="319" w:lineRule="exact"/>
        <w:rPr>
          <w:rFonts w:ascii="Times New Roman" w:cs="Times New Roman" w:eastAsia="Times New Roman" w:hAnsi="Times New Roman"/>
          <w:sz w:val="19"/>
          <w:szCs w:val="19"/>
          <w:color w:val="auto"/>
        </w:rPr>
      </w:pPr>
    </w:p>
    <w:p>
      <w:pPr>
        <w:ind w:left="1240" w:hanging="1222"/>
        <w:spacing w:after="0"/>
        <w:tabs>
          <w:tab w:leader="none" w:pos="12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fail to comply with certain covenants under the indenture;</w:t>
      </w:r>
    </w:p>
    <w:p>
      <w:pPr>
        <w:spacing w:after="0" w:line="200" w:lineRule="exact"/>
        <w:rPr>
          <w:rFonts w:ascii="Times New Roman" w:cs="Times New Roman" w:eastAsia="Times New Roman" w:hAnsi="Times New Roman"/>
          <w:sz w:val="19"/>
          <w:szCs w:val="19"/>
          <w:color w:val="auto"/>
        </w:rPr>
      </w:pPr>
    </w:p>
    <w:p>
      <w:pPr>
        <w:spacing w:after="0" w:line="253" w:lineRule="exact"/>
        <w:rPr>
          <w:rFonts w:ascii="Times New Roman" w:cs="Times New Roman" w:eastAsia="Times New Roman" w:hAnsi="Times New Roman"/>
          <w:sz w:val="19"/>
          <w:szCs w:val="19"/>
          <w:color w:val="auto"/>
        </w:rPr>
      </w:pPr>
    </w:p>
    <w:p>
      <w:pPr>
        <w:jc w:val="both"/>
        <w:ind w:left="1240" w:right="20" w:hanging="1222"/>
        <w:spacing w:after="0" w:line="328" w:lineRule="auto"/>
        <w:tabs>
          <w:tab w:leader="none" w:pos="12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remain in breach of a covenant or warranty in respect of the indenture or 2032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2032 Notes;</w:t>
      </w:r>
    </w:p>
    <w:p>
      <w:pPr>
        <w:spacing w:after="0" w:line="342" w:lineRule="exact"/>
        <w:rPr>
          <w:rFonts w:ascii="Times New Roman" w:cs="Times New Roman" w:eastAsia="Times New Roman" w:hAnsi="Times New Roman"/>
          <w:sz w:val="19"/>
          <w:szCs w:val="19"/>
          <w:color w:val="auto"/>
        </w:rPr>
      </w:pPr>
    </w:p>
    <w:p>
      <w:pPr>
        <w:ind w:left="1220" w:hanging="1202"/>
        <w:spacing w:after="0"/>
        <w:tabs>
          <w:tab w:leader="none" w:pos="12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file for bankruptcy, or other events of bankruptcy, insolvency or reorganization specified in the indenture;</w:t>
      </w:r>
    </w:p>
    <w:p>
      <w:pPr>
        <w:spacing w:after="0" w:line="200" w:lineRule="exact"/>
        <w:rPr>
          <w:rFonts w:ascii="Times New Roman" w:cs="Times New Roman" w:eastAsia="Times New Roman" w:hAnsi="Times New Roman"/>
          <w:sz w:val="19"/>
          <w:szCs w:val="19"/>
          <w:color w:val="auto"/>
        </w:rPr>
      </w:pPr>
    </w:p>
    <w:p>
      <w:pPr>
        <w:spacing w:after="0" w:line="253" w:lineRule="exact"/>
        <w:rPr>
          <w:rFonts w:ascii="Times New Roman" w:cs="Times New Roman" w:eastAsia="Times New Roman" w:hAnsi="Times New Roman"/>
          <w:sz w:val="19"/>
          <w:szCs w:val="19"/>
          <w:color w:val="auto"/>
        </w:rPr>
      </w:pPr>
    </w:p>
    <w:p>
      <w:pPr>
        <w:jc w:val="both"/>
        <w:ind w:left="1220" w:right="20" w:hanging="1202"/>
        <w:spacing w:after="0" w:line="328" w:lineRule="auto"/>
        <w:tabs>
          <w:tab w:leader="none" w:pos="12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default on any indebtedness of ours or of a significant subsidiary having an aggregate amount of at least $200,000,000,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2032 Notes; or</w:t>
      </w:r>
    </w:p>
    <w:p>
      <w:pPr>
        <w:sectPr>
          <w:pgSz w:w="11900" w:h="16840" w:orient="portrait"/>
          <w:cols w:equalWidth="0" w:num="1">
            <w:col w:w="10580"/>
          </w:cols>
          <w:pgMar w:left="660" w:top="1440" w:right="660" w:bottom="1440" w:gutter="0" w:footer="0" w:header="0"/>
        </w:sectPr>
      </w:pPr>
    </w:p>
    <w:bookmarkStart w:id="106" w:name="page107"/>
    <w:bookmarkEnd w:id="106"/>
    <w:p>
      <w:pPr>
        <w:spacing w:after="0" w:line="200" w:lineRule="exact"/>
        <w:rPr>
          <w:sz w:val="20"/>
          <w:szCs w:val="20"/>
          <w:color w:val="auto"/>
        </w:rPr>
      </w:pPr>
    </w:p>
    <w:p>
      <w:pPr>
        <w:spacing w:after="0" w:line="381" w:lineRule="exact"/>
        <w:rPr>
          <w:sz w:val="20"/>
          <w:szCs w:val="20"/>
          <w:color w:val="auto"/>
        </w:rPr>
      </w:pPr>
    </w:p>
    <w:p>
      <w:pPr>
        <w:jc w:val="both"/>
        <w:ind w:left="1220" w:right="20" w:hanging="1202"/>
        <w:spacing w:after="0" w:line="334" w:lineRule="auto"/>
        <w:tabs>
          <w:tab w:leader="none" w:pos="122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more final judgments for the payment of money in an aggregate amount in excess of $200,000,000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30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If an Event of Default (other than an Event of Default specified in clause (5) above) with respect to the 2032 Notes has occurred, the trustee or the holders of at least 25% in principal amount of the 2032 Notes may declare the entire unpaid principal amount of (and premium, if any), and all the accrued interest on, the Notes to be due and immediately payable. This is called a declaration of acceleration of maturity. There is no action on the part of the trustee or any holder of the 2032 Notes required for such declaration if the Event of Default is the Company’s bankruptcy, insolvency or reorganization. Holders of a majority in principal amount of the 2032 Notes may also waive certain past defaults under the indenture with respect to the 2032 Notes on behalf of all of the holders of the 2032 Notes. A declaration of acceleration of maturity may be canceled, under specified circumstances, by the holders of at least a majority in principal amount of the 2032 Notes and the trustee.</w:t>
      </w:r>
    </w:p>
    <w:p>
      <w:pPr>
        <w:spacing w:after="0" w:line="19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2032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Modification of the Indenture and Waiver of Rights of Holders</w:t>
      </w:r>
    </w:p>
    <w:p>
      <w:pPr>
        <w:spacing w:after="0" w:line="27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Under certain circumstances, we can make changes to the indenture and the 2032 Notes. Some types of changes require the approval of each holder of 2032 Notes, some require approval by a vote of a majority of the holders of the 2032 Notes, and some changes do not require any approval at all.</w:t>
      </w:r>
    </w:p>
    <w:p>
      <w:pPr>
        <w:sectPr>
          <w:pgSz w:w="11900" w:h="16840" w:orient="portrait"/>
          <w:cols w:equalWidth="0" w:num="1">
            <w:col w:w="10580"/>
          </w:cols>
          <w:pgMar w:left="660" w:top="1440" w:right="660" w:bottom="1440" w:gutter="0" w:footer="0" w:header="0"/>
        </w:sectPr>
      </w:pPr>
    </w:p>
    <w:bookmarkStart w:id="107" w:name="page108"/>
    <w:bookmarkEnd w:id="107"/>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Description of the 0.900% Senior Notes Due 2033</w:t>
      </w:r>
    </w:p>
    <w:p>
      <w:pPr>
        <w:spacing w:after="0" w:line="288"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The 0.900% Senior Notes due 2033 (the “</w:t>
      </w:r>
      <w:r>
        <w:rPr>
          <w:rFonts w:ascii="Times New Roman" w:cs="Times New Roman" w:eastAsia="Times New Roman" w:hAnsi="Times New Roman"/>
          <w:sz w:val="19"/>
          <w:szCs w:val="19"/>
          <w:u w:val="single" w:color="auto"/>
          <w:color w:val="auto"/>
        </w:rPr>
        <w:t>2033 Notes</w:t>
      </w:r>
      <w:r>
        <w:rPr>
          <w:rFonts w:ascii="Times New Roman" w:cs="Times New Roman" w:eastAsia="Times New Roman" w:hAnsi="Times New Roman"/>
          <w:sz w:val="19"/>
          <w:szCs w:val="19"/>
          <w:color w:val="auto"/>
        </w:rPr>
        <w:t>”) were issued under an indenture, dated as of June 7, 2013 (the “</w:t>
      </w:r>
      <w:r>
        <w:rPr>
          <w:rFonts w:ascii="Times New Roman" w:cs="Times New Roman" w:eastAsia="Times New Roman" w:hAnsi="Times New Roman"/>
          <w:sz w:val="19"/>
          <w:szCs w:val="19"/>
          <w:u w:val="single" w:color="auto"/>
          <w:color w:val="auto"/>
        </w:rPr>
        <w:t>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between Nasdaq, Inc. and Wells Fargo Bank, National Association, as trustee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and a twelfth supplemental indenture dated as of July 30, 2021 (the “</w:t>
      </w:r>
      <w:r>
        <w:rPr>
          <w:rFonts w:ascii="Times New Roman" w:cs="Times New Roman" w:eastAsia="Times New Roman" w:hAnsi="Times New Roman"/>
          <w:sz w:val="19"/>
          <w:szCs w:val="19"/>
          <w:u w:val="single" w:color="auto"/>
          <w:color w:val="auto"/>
        </w:rPr>
        <w:t>supplemental indenture</w:t>
      </w:r>
      <w:r>
        <w:rPr>
          <w:rFonts w:ascii="Times New Roman" w:cs="Times New Roman" w:eastAsia="Times New Roman" w:hAnsi="Times New Roman"/>
          <w:sz w:val="19"/>
          <w:szCs w:val="19"/>
          <w:color w:val="auto"/>
        </w:rPr>
        <w:t>” and, together with the base indenture,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by and among Nasdaq, the Trustee and HSBC Bank USA, National Association, as registrar and transfer agent. The indenture is publicly available at www.sec.gov.</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We issued €615 million aggregate principal amount of the 2033 Notes on July 30, 2021.</w:t>
      </w:r>
    </w:p>
    <w:p>
      <w:pPr>
        <w:spacing w:after="0" w:line="274" w:lineRule="exact"/>
        <w:rPr>
          <w:sz w:val="20"/>
          <w:szCs w:val="20"/>
          <w:color w:val="auto"/>
        </w:rPr>
      </w:pPr>
    </w:p>
    <w:p>
      <w:pPr>
        <w:jc w:val="both"/>
        <w:ind w:right="20" w:firstLine="576"/>
        <w:spacing w:after="0" w:line="325" w:lineRule="auto"/>
        <w:rPr>
          <w:sz w:val="20"/>
          <w:szCs w:val="20"/>
          <w:color w:val="auto"/>
        </w:rPr>
      </w:pPr>
      <w:r>
        <w:rPr>
          <w:rFonts w:ascii="Times New Roman" w:cs="Times New Roman" w:eastAsia="Times New Roman" w:hAnsi="Times New Roman"/>
          <w:sz w:val="19"/>
          <w:szCs w:val="19"/>
          <w:color w:val="auto"/>
        </w:rPr>
        <w:t>This summary is subject to, and qualified in its entirety by reference to, all the provisions of the 2033 Notes and the indenture, including definitions of certain terms used therein.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2033 Notes:</w:t>
      </w:r>
    </w:p>
    <w:p>
      <w:pPr>
        <w:spacing w:after="0" w:line="274" w:lineRule="exact"/>
        <w:rPr>
          <w:sz w:val="20"/>
          <w:szCs w:val="20"/>
          <w:color w:val="auto"/>
        </w:rPr>
      </w:pPr>
    </w:p>
    <w:p>
      <w:pPr>
        <w:ind w:left="1160" w:hanging="290"/>
        <w:spacing w:after="0"/>
        <w:tabs>
          <w:tab w:leader="none" w:pos="11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senior unsecured obligations of ours;</w:t>
      </w:r>
    </w:p>
    <w:p>
      <w:pPr>
        <w:spacing w:after="0" w:line="273"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rank equally in right of payment with all of our other senior unsecured indebtedness from time to time outstanding, commercial paper issuances and indebtedness under our credit facility;</w:t>
      </w:r>
    </w:p>
    <w:p>
      <w:pPr>
        <w:spacing w:after="0" w:line="164"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structurally subordinated in right of payment to all existing and future obligations of our subsidiaries, including claims with respect to trade payables; and</w:t>
      </w:r>
    </w:p>
    <w:p>
      <w:pPr>
        <w:spacing w:after="0" w:line="164"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2033 Notes were issued in minimum denominations of €100,000 and integral multiples of €1,000 in excess thereof.</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Principal, Maturity and Interest</w:t>
      </w:r>
    </w:p>
    <w:p>
      <w:pPr>
        <w:spacing w:after="0" w:line="276"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The 2033 Notes will bear interest at a rate of 0.900% per year. Interest on the Notes is payable annually in arrears on July 30 of each year, beginning on July 30, 2022, and will be computed on the basis of the actual number of days in the period for which interest is being</w:t>
      </w:r>
    </w:p>
    <w:p>
      <w:pPr>
        <w:sectPr>
          <w:pgSz w:w="11900" w:h="16840" w:orient="portrait"/>
          <w:cols w:equalWidth="0" w:num="1">
            <w:col w:w="10580"/>
          </w:cols>
          <w:pgMar w:left="660" w:top="1440" w:right="660" w:bottom="1440" w:gutter="0" w:footer="0" w:header="0"/>
        </w:sectPr>
      </w:pPr>
    </w:p>
    <w:bookmarkStart w:id="108" w:name="page109"/>
    <w:bookmarkEnd w:id="108"/>
    <w:p>
      <w:pPr>
        <w:spacing w:after="0" w:line="281"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9"/>
          <w:szCs w:val="19"/>
          <w:color w:val="auto"/>
        </w:rPr>
        <w:t>calculated and the actual number of days from and including the last date on which interest was paid on the 2033 Notes (or the settlement date if no interest has been paid or duly provided for on the 2033 Notes), to but excluding the next date on which interest is paid or duly provided for. This payment convention is referred to as ACTUAL/ACTUAL (ICMA) as defined in the rulebook of the International Capital Market Association. Interest on the 2033 Notes will accrue from and including the settlement date and will be paid to holders of record on the day immediately prior to the applicable interest payment date.</w:t>
      </w:r>
    </w:p>
    <w:p>
      <w:pPr>
        <w:spacing w:after="0" w:line="188"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The 2033 Notes will mature on July 30, 2033. On the maturity date of the 2033 Notes, the holders will be entitled to receive 100% of the principal amount of such 2033 Notes. The 2033 Notes will not have the benefit of any sinking fund.</w:t>
      </w:r>
    </w:p>
    <w:p>
      <w:pPr>
        <w:spacing w:after="0" w:line="16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2033 Notes, when we use the term “business day” we mean any day except a Saturday, a Sunday or a day on which banking institutions in the applicable place of payment are authorized or required by law, regulation or executive order to close.</w:t>
      </w:r>
    </w:p>
    <w:p>
      <w:pPr>
        <w:spacing w:after="0" w:line="18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Claims against the Company for payment of principal, interest and additional amounts, if any, on the 2033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Euro Notes—Issuance in Euros</w:t>
      </w:r>
    </w:p>
    <w:p>
      <w:pPr>
        <w:spacing w:after="0" w:line="276" w:lineRule="exact"/>
        <w:rPr>
          <w:sz w:val="20"/>
          <w:szCs w:val="20"/>
          <w:color w:val="auto"/>
        </w:rPr>
      </w:pPr>
    </w:p>
    <w:p>
      <w:pPr>
        <w:jc w:val="both"/>
        <w:ind w:right="20" w:firstLine="576"/>
        <w:spacing w:after="0" w:line="297" w:lineRule="auto"/>
        <w:rPr>
          <w:sz w:val="20"/>
          <w:szCs w:val="20"/>
          <w:color w:val="auto"/>
        </w:rPr>
      </w:pPr>
      <w:r>
        <w:rPr>
          <w:rFonts w:ascii="Times New Roman" w:cs="Times New Roman" w:eastAsia="Times New Roman" w:hAnsi="Times New Roman"/>
          <w:sz w:val="19"/>
          <w:szCs w:val="19"/>
          <w:color w:val="auto"/>
        </w:rPr>
        <w:t>Initial holders of the 2033 Notes paid for the 2033 Notes in euros, and principal, premium, if any, and interest payments and additional amounts, if any, in respect of the 2033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2033 Notes will be made in U.S. dollars until the euro is again available to us or so used.</w:t>
      </w:r>
    </w:p>
    <w:p>
      <w:pPr>
        <w:spacing w:after="0" w:line="190"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The amount payable on any date in euros will be converted to U.S. dollars on the basis of the most recently available market exchange rate for euros as determined by us in our sole discretion. Any payment in respect of the 2033 Notes so made in U.S. dollars will not constitute an event of default under the indenture or the 2033 Notes. Neither the trustee nor the paying</w:t>
      </w:r>
    </w:p>
    <w:p>
      <w:pPr>
        <w:sectPr>
          <w:pgSz w:w="11900" w:h="16840" w:orient="portrait"/>
          <w:cols w:equalWidth="0" w:num="1">
            <w:col w:w="10580"/>
          </w:cols>
          <w:pgMar w:left="660" w:top="1440" w:right="660" w:bottom="1440" w:gutter="0" w:footer="0" w:header="0"/>
        </w:sectPr>
      </w:pPr>
    </w:p>
    <w:bookmarkStart w:id="109" w:name="page110"/>
    <w:bookmarkEnd w:id="109"/>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 will be responsible for obtaining exchange rates, effecting conversions or otherwise handling redenominations.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Ranking</w:t>
      </w:r>
    </w:p>
    <w:p>
      <w:pPr>
        <w:spacing w:after="0" w:line="276"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The 2033 Notes are general unsecured obligations of ours and will rank equally with all of our existing and future unsubordinated obligations.</w:t>
      </w:r>
    </w:p>
    <w:p>
      <w:pPr>
        <w:spacing w:after="0" w:line="165"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Holders of any secured indebtedness and other secured obligations of the Company will have claims that are prior to your claims as holders of the 2033 Notes, to the extent of the value of the assets securing such indebtedness and other obligations, in the event of any bankruptcy, liquidation or similar proceeding.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Further Issues</w:t>
      </w:r>
    </w:p>
    <w:p>
      <w:pPr>
        <w:spacing w:after="0" w:line="276"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9"/>
          <w:szCs w:val="19"/>
          <w:color w:val="auto"/>
        </w:rPr>
        <w:t xml:space="preserve">The 2033 Notes constituted a separate series of debt securities under the indenture, limited to €615 million. Under the indenture, we may, without the consent of the holders of the 2033 Notes, issue additional 2033 Notes of the same or a different series from time to time in the future in an unlimited aggregate principal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any such additional 2033 Notes are not fungible with the 2033 Notes offered hereby (or any other tranche of additional 2033 Notes) for U.S. federal income tax purposes, then such additional 2033 Notes will have different ISIN and/or Common Code numbers than the Notes offered hereby (and any such other tranche of additional 2033 Notes). The 2033 Notes and any additional 2033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2033 Notes, as well as any additional 2033 Notes that we may issue by reopening such series, will vote or take action as a single class.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Redemption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Optional Redemption</w:t>
      </w:r>
    </w:p>
    <w:p>
      <w:pPr>
        <w:spacing w:after="0" w:line="278" w:lineRule="exact"/>
        <w:rPr>
          <w:sz w:val="20"/>
          <w:szCs w:val="20"/>
          <w:color w:val="auto"/>
        </w:rPr>
      </w:pPr>
    </w:p>
    <w:p>
      <w:pPr>
        <w:ind w:right="20" w:firstLine="576"/>
        <w:spacing w:after="0" w:line="290" w:lineRule="auto"/>
        <w:rPr>
          <w:sz w:val="20"/>
          <w:szCs w:val="20"/>
          <w:color w:val="auto"/>
        </w:rPr>
      </w:pPr>
      <w:r>
        <w:rPr>
          <w:rFonts w:ascii="Times New Roman" w:cs="Times New Roman" w:eastAsia="Times New Roman" w:hAnsi="Times New Roman"/>
          <w:sz w:val="19"/>
          <w:szCs w:val="19"/>
          <w:color w:val="auto"/>
        </w:rPr>
        <w:t>The 2033 Notes will be redeemable, in whole at any time or in part from time to time, at our option, prior to April 30, 2033, at a redemption price (the “make-whole redemption price”) equal to the greater of (i) 100% of the principal amount of the 2033 Notes and</w:t>
      </w:r>
    </w:p>
    <w:p>
      <w:pPr>
        <w:jc w:val="both"/>
        <w:ind w:right="20" w:firstLine="6"/>
        <w:spacing w:after="0" w:line="308" w:lineRule="auto"/>
        <w:tabs>
          <w:tab w:leader="none" w:pos="30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determined by the Quotation Agent (as defined below), the sum of the present values of the remaining scheduled payments of principal and interest on the 2033 Notes (exclusive of interest accrued and unpaid as of the date of redemption), discounted to the date of redemption on an annual basis (ACTUAL/ACTUAL (ICMA)) at the Bund Rate (as defined below), plus 20 basis points, plus</w:t>
      </w:r>
    </w:p>
    <w:p>
      <w:pPr>
        <w:sectPr>
          <w:pgSz w:w="11900" w:h="16840" w:orient="portrait"/>
          <w:cols w:equalWidth="0" w:num="1">
            <w:col w:w="10580"/>
          </w:cols>
          <w:pgMar w:left="660" w:top="1440" w:right="660" w:bottom="1440" w:gutter="0" w:footer="0" w:header="0"/>
        </w:sectPr>
      </w:pPr>
    </w:p>
    <w:bookmarkStart w:id="110" w:name="page111"/>
    <w:bookmarkEnd w:id="110"/>
    <w:p>
      <w:pPr>
        <w:spacing w:after="0" w:line="28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19"/>
          <w:szCs w:val="19"/>
          <w:color w:val="auto"/>
        </w:rPr>
        <w:t>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65"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Notwithstanding the foregoing, at any time on or after April 30, 2033 (three months before their maturity date), the 2033 Notes will be redeemable, in whole or in part, at our option and at any time or from time to time, at a redemption price equal to 100% of the principal amount of the 2033 Notes to be redeemed plus accrued and unpaid interest thereon to, but excluding, the date of redemption.</w:t>
      </w:r>
    </w:p>
    <w:p>
      <w:pPr>
        <w:spacing w:after="0" w:line="179"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Notice of any redemption will be mailed at least 10 days, but not more than 60 days, before the redemption date to each registered holder of 2033 Notes to be redeemed. Once notice of redemption is mailed, the 2033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2033 Notes (or portion thereof) to be redeemed on such redemption date.</w:t>
      </w:r>
    </w:p>
    <w:p>
      <w:pPr>
        <w:spacing w:after="0" w:line="188"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Bund Rate</w:t>
      </w:r>
      <w:r>
        <w:rPr>
          <w:rFonts w:ascii="Times New Roman" w:cs="Times New Roman" w:eastAsia="Times New Roman" w:hAnsi="Times New Roman"/>
          <w:sz w:val="19"/>
          <w:szCs w:val="19"/>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79"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Comparable German Bund Issue</w:t>
      </w:r>
      <w:r>
        <w:rPr>
          <w:rFonts w:ascii="Times New Roman" w:cs="Times New Roman" w:eastAsia="Times New Roman" w:hAnsi="Times New Roman"/>
          <w:sz w:val="19"/>
          <w:szCs w:val="19"/>
          <w:color w:val="auto"/>
        </w:rPr>
        <w:t>” means that German Bundesanleihe security selected by the Quotation Agent as having a maturity comparable to the remaining term of the 2033 Notes to be redeemed that would be utilized, at the time of selection and in accordance with customary</w:t>
      </w:r>
    </w:p>
    <w:p>
      <w:pPr>
        <w:spacing w:after="0"/>
        <w:rPr>
          <w:sz w:val="20"/>
          <w:szCs w:val="20"/>
          <w:color w:val="auto"/>
        </w:rPr>
      </w:pPr>
      <w:r>
        <w:rPr>
          <w:rFonts w:ascii="Times New Roman" w:cs="Times New Roman" w:eastAsia="Times New Roman" w:hAnsi="Times New Roman"/>
          <w:sz w:val="19"/>
          <w:szCs w:val="19"/>
          <w:color w:val="auto"/>
        </w:rPr>
        <w:t>financial practice, in pricing new issues of corporate notes of comparable maturity to the remaining term of the Notes.</w:t>
      </w:r>
    </w:p>
    <w:p>
      <w:pPr>
        <w:spacing w:after="0" w:line="310"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Comparable German Bund Price</w:t>
      </w:r>
      <w:r>
        <w:rPr>
          <w:rFonts w:ascii="Times New Roman" w:cs="Times New Roman" w:eastAsia="Times New Roman" w:hAnsi="Times New Roman"/>
          <w:sz w:val="19"/>
          <w:szCs w:val="19"/>
          <w:color w:val="auto"/>
        </w:rPr>
        <w:t>” means, with respect to any redemption date, (i) the average of four Reference German Bund Dealer Quotations for such redemption date, after excluding the highest and lowest such Reference German Bund Dealer Quotations or</w:t>
      </w:r>
    </w:p>
    <w:p>
      <w:pPr>
        <w:ind w:left="580" w:right="200" w:hanging="574"/>
        <w:spacing w:after="0" w:line="540" w:lineRule="auto"/>
        <w:tabs>
          <w:tab w:leader="none" w:pos="286"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Quotation Agent obtains fewer than four such Reference German Bund Dealer Quotations, the average of all such quotations. “</w:t>
      </w:r>
      <w:r>
        <w:rPr>
          <w:rFonts w:ascii="Times New Roman" w:cs="Times New Roman" w:eastAsia="Times New Roman" w:hAnsi="Times New Roman"/>
          <w:sz w:val="19"/>
          <w:szCs w:val="19"/>
          <w:u w:val="single" w:color="auto"/>
          <w:color w:val="auto"/>
        </w:rPr>
        <w:t>Quotation Agent</w:t>
      </w:r>
      <w:r>
        <w:rPr>
          <w:rFonts w:ascii="Times New Roman" w:cs="Times New Roman" w:eastAsia="Times New Roman" w:hAnsi="Times New Roman"/>
          <w:sz w:val="19"/>
          <w:szCs w:val="19"/>
          <w:color w:val="auto"/>
        </w:rPr>
        <w:t>” means a Reference German Bund Dealer appointed by us.</w:t>
      </w:r>
    </w:p>
    <w:p>
      <w:pPr>
        <w:spacing w:after="0" w:line="1"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German Bund Dealer</w:t>
      </w:r>
      <w:r>
        <w:rPr>
          <w:rFonts w:ascii="Times New Roman" w:cs="Times New Roman" w:eastAsia="Times New Roman" w:hAnsi="Times New Roman"/>
          <w:sz w:val="19"/>
          <w:szCs w:val="19"/>
          <w:color w:val="auto"/>
        </w:rPr>
        <w:t>” means any dealer of German Bundesanleihe securities selected by us in good faith.</w:t>
      </w:r>
    </w:p>
    <w:p>
      <w:pPr>
        <w:sectPr>
          <w:pgSz w:w="11900" w:h="16840" w:orient="portrait"/>
          <w:cols w:equalWidth="0" w:num="1">
            <w:col w:w="10580"/>
          </w:cols>
          <w:pgMar w:left="660" w:top="1440" w:right="660" w:bottom="1440" w:gutter="0" w:footer="0" w:header="0"/>
        </w:sectPr>
      </w:pPr>
    </w:p>
    <w:bookmarkStart w:id="111" w:name="page112"/>
    <w:bookmarkEnd w:id="111"/>
    <w:p>
      <w:pPr>
        <w:spacing w:after="0" w:line="200" w:lineRule="exact"/>
        <w:rPr>
          <w:sz w:val="20"/>
          <w:szCs w:val="20"/>
          <w:color w:val="auto"/>
        </w:rPr>
      </w:pPr>
    </w:p>
    <w:p>
      <w:pPr>
        <w:spacing w:after="0" w:line="309"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German Bund Dealer Quotations</w:t>
      </w:r>
      <w:r>
        <w:rPr>
          <w:rFonts w:ascii="Times New Roman" w:cs="Times New Roman" w:eastAsia="Times New Roman" w:hAnsi="Times New Roman"/>
          <w:sz w:val="19"/>
          <w:szCs w:val="19"/>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18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If we elect to redeem less than all of the 2033 Notes, and such 2033 Notes are at the time represented by a global note, then the depositary will select by lot the particular interests to be redeemed. If we elect to redeem less than all of the 2033 Notes, and any of such 2033 Notes are not represented by a global note, then the trustee will select the particular 2033 Notes to be redeemed in a manner it deems appropriate and fair (and the depositary will select by lot the particular interests in any global note to be redeemed).</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We may at any time, and from time to time, purchase the 2033 Notes at any price or prices in the open market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Repurchase upon Change of Control Triggering Event</w:t>
      </w:r>
    </w:p>
    <w:p>
      <w:pPr>
        <w:spacing w:after="0" w:line="276"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9"/>
          <w:szCs w:val="19"/>
          <w:color w:val="auto"/>
        </w:rPr>
        <w:t>If a Change of Control Triggering Event (as defined below) occurs with respect to the 2033 Notes, unless we have exercised our right to redeem the 2033 Notes, we will be required to make an offer to repurchase all or, at the holder’s option, any part (equal to €100,000 or any integral multiple of €1,000 in excess thereof) of each holder’s 2033 Notes pursuant to the offer described below (the “Change of Control Offer”).</w:t>
      </w:r>
    </w:p>
    <w:p>
      <w:pPr>
        <w:spacing w:after="0" w:line="185"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In the Change of Control Offer, we will be required to offer payment in cash equal to 101% of the aggregate principal amount of 2033 Notes repurchased plus accrued and unpaid interest, if any, on the 2033 Notes repurchased to, but not including, the date of purchase (the “Change of Control Payment”).</w:t>
      </w:r>
    </w:p>
    <w:p>
      <w:pPr>
        <w:spacing w:after="0" w:line="179" w:lineRule="exact"/>
        <w:rPr>
          <w:sz w:val="20"/>
          <w:szCs w:val="20"/>
          <w:color w:val="auto"/>
        </w:rPr>
      </w:pPr>
    </w:p>
    <w:p>
      <w:pPr>
        <w:jc w:val="both"/>
        <w:ind w:firstLine="576"/>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w:t>
      </w:r>
    </w:p>
    <w:p>
      <w:pPr>
        <w:sectPr>
          <w:pgSz w:w="11900" w:h="16840" w:orient="portrait"/>
          <w:cols w:equalWidth="0" w:num="1">
            <w:col w:w="10580"/>
          </w:cols>
          <w:pgMar w:left="660" w:top="1440" w:right="660" w:bottom="1440" w:gutter="0" w:footer="0" w:header="0"/>
        </w:sectPr>
      </w:pPr>
    </w:p>
    <w:bookmarkStart w:id="112" w:name="page113"/>
    <w:bookmarkEnd w:id="112"/>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or (4) the first day on which a majority of the members of our board of directors are not Continuing Directors.</w:t>
      </w:r>
    </w:p>
    <w:p>
      <w:pPr>
        <w:spacing w:after="0" w:line="274"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88"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 Triggering Event</w:t>
      </w:r>
      <w:r>
        <w:rPr>
          <w:rFonts w:ascii="Times New Roman" w:cs="Times New Roman" w:eastAsia="Times New Roman" w:hAnsi="Times New Roman"/>
          <w:sz w:val="19"/>
          <w:szCs w:val="19"/>
          <w:color w:val="auto"/>
        </w:rPr>
        <w:t>” means the occurrence of both a Change of Control and a Below Investment Grade Rating Event (as such term is defined in the indenture) occurring in respect of that Change of Control.</w:t>
      </w:r>
    </w:p>
    <w:p>
      <w:pPr>
        <w:spacing w:after="0" w:line="165" w:lineRule="exact"/>
        <w:rPr>
          <w:sz w:val="20"/>
          <w:szCs w:val="20"/>
          <w:color w:val="auto"/>
        </w:rPr>
      </w:pPr>
    </w:p>
    <w:p>
      <w:pPr>
        <w:jc w:val="both"/>
        <w:ind w:right="20" w:firstLine="576"/>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Continuing Directors</w:t>
      </w:r>
      <w:r>
        <w:rPr>
          <w:rFonts w:ascii="Times New Roman" w:cs="Times New Roman" w:eastAsia="Times New Roman" w:hAnsi="Times New Roman"/>
          <w:sz w:val="19"/>
          <w:szCs w:val="19"/>
          <w:color w:val="auto"/>
        </w:rPr>
        <w:t>” means, as of any date of determination, any member of our board of directors who (1) was a member of our board of directors on the date of the issuance of the 2033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188"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79" w:lineRule="exact"/>
        <w:rPr>
          <w:sz w:val="20"/>
          <w:szCs w:val="20"/>
          <w:color w:val="auto"/>
        </w:rPr>
      </w:pPr>
    </w:p>
    <w:p>
      <w:pPr>
        <w:jc w:val="both"/>
        <w:ind w:right="20" w:firstLine="396"/>
        <w:spacing w:after="0" w:line="3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Stock</w:t>
      </w:r>
      <w:r>
        <w:rPr>
          <w:rFonts w:ascii="Times New Roman" w:cs="Times New Roman" w:eastAsia="Times New Roman" w:hAnsi="Times New Roman"/>
          <w:sz w:val="19"/>
          <w:szCs w:val="19"/>
          <w:color w:val="auto"/>
        </w:rPr>
        <w:t>” of any specified Person as of any date means the capital stock of such Person that is at the time entitled to vote generally in the election of the board of directors of such Person.</w:t>
      </w:r>
    </w:p>
    <w:p>
      <w:pPr>
        <w:spacing w:after="0" w:line="16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2033 Notes as a result of the sale, transfer, conveyance or other disposition of less than all of our assets may be uncertain.</w:t>
      </w:r>
    </w:p>
    <w:p>
      <w:pPr>
        <w:sectPr>
          <w:pgSz w:w="11900" w:h="16840" w:orient="portrait"/>
          <w:cols w:equalWidth="0" w:num="1">
            <w:col w:w="10580"/>
          </w:cols>
          <w:pgMar w:left="660" w:top="1440" w:right="660" w:bottom="1440" w:gutter="0" w:footer="0" w:header="0"/>
        </w:sectPr>
      </w:pPr>
    </w:p>
    <w:bookmarkStart w:id="113" w:name="page114"/>
    <w:bookmarkEnd w:id="113"/>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Certain Covenants</w:t>
      </w:r>
    </w:p>
    <w:p>
      <w:pPr>
        <w:spacing w:after="0" w:line="276"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Holders of the 2033 Notes will have specified rights if an Event of Default (as defined below) occurs. The term “</w:t>
      </w:r>
      <w:r>
        <w:rPr>
          <w:rFonts w:ascii="Times New Roman" w:cs="Times New Roman" w:eastAsia="Times New Roman" w:hAnsi="Times New Roman"/>
          <w:sz w:val="19"/>
          <w:szCs w:val="19"/>
          <w:u w:val="single" w:color="auto"/>
          <w:color w:val="auto"/>
        </w:rPr>
        <w:t>Event 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in respect of the 2033 Notes means any of the following:</w:t>
      </w:r>
    </w:p>
    <w:p>
      <w:pPr>
        <w:spacing w:after="0" w:line="346" w:lineRule="exact"/>
        <w:rPr>
          <w:sz w:val="20"/>
          <w:szCs w:val="20"/>
          <w:color w:val="auto"/>
        </w:rPr>
      </w:pPr>
    </w:p>
    <w:p>
      <w:pPr>
        <w:ind w:left="1260" w:hanging="1242"/>
        <w:spacing w:after="0"/>
        <w:tabs>
          <w:tab w:leader="none" w:pos="12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do not pay interest on any of the 2033 Notes within 30 days of its due date;</w:t>
      </w:r>
    </w:p>
    <w:p>
      <w:pPr>
        <w:spacing w:after="0" w:line="200" w:lineRule="exact"/>
        <w:rPr>
          <w:rFonts w:ascii="Times New Roman" w:cs="Times New Roman" w:eastAsia="Times New Roman" w:hAnsi="Times New Roman"/>
          <w:sz w:val="19"/>
          <w:szCs w:val="19"/>
          <w:color w:val="auto"/>
        </w:rPr>
      </w:pPr>
    </w:p>
    <w:p>
      <w:pPr>
        <w:spacing w:after="0" w:line="373" w:lineRule="exact"/>
        <w:rPr>
          <w:rFonts w:ascii="Times New Roman" w:cs="Times New Roman" w:eastAsia="Times New Roman" w:hAnsi="Times New Roman"/>
          <w:sz w:val="19"/>
          <w:szCs w:val="19"/>
          <w:color w:val="auto"/>
        </w:rPr>
      </w:pPr>
    </w:p>
    <w:p>
      <w:pPr>
        <w:ind w:left="1220" w:right="20" w:hanging="1202"/>
        <w:spacing w:after="0" w:line="352" w:lineRule="auto"/>
        <w:tabs>
          <w:tab w:leader="none" w:pos="12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fail to pay the principal (or premium, if any) of any 2033 Note, when such principal becomes due and payable, at maturity, upon acceleration, upon redemption or otherwise;</w:t>
      </w:r>
    </w:p>
    <w:p>
      <w:pPr>
        <w:spacing w:after="0" w:line="319" w:lineRule="exact"/>
        <w:rPr>
          <w:rFonts w:ascii="Times New Roman" w:cs="Times New Roman" w:eastAsia="Times New Roman" w:hAnsi="Times New Roman"/>
          <w:sz w:val="19"/>
          <w:szCs w:val="19"/>
          <w:color w:val="auto"/>
        </w:rPr>
      </w:pPr>
    </w:p>
    <w:p>
      <w:pPr>
        <w:ind w:left="1240" w:hanging="1222"/>
        <w:spacing w:after="0"/>
        <w:tabs>
          <w:tab w:leader="none" w:pos="124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fail to comply with certain covenants under the indenture;</w:t>
      </w:r>
    </w:p>
    <w:p>
      <w:pPr>
        <w:spacing w:after="0" w:line="200" w:lineRule="exact"/>
        <w:rPr>
          <w:rFonts w:ascii="Times New Roman" w:cs="Times New Roman" w:eastAsia="Times New Roman" w:hAnsi="Times New Roman"/>
          <w:sz w:val="19"/>
          <w:szCs w:val="19"/>
          <w:color w:val="auto"/>
        </w:rPr>
      </w:pPr>
    </w:p>
    <w:p>
      <w:pPr>
        <w:spacing w:after="0" w:line="253" w:lineRule="exact"/>
        <w:rPr>
          <w:rFonts w:ascii="Times New Roman" w:cs="Times New Roman" w:eastAsia="Times New Roman" w:hAnsi="Times New Roman"/>
          <w:sz w:val="19"/>
          <w:szCs w:val="19"/>
          <w:color w:val="auto"/>
        </w:rPr>
      </w:pPr>
    </w:p>
    <w:p>
      <w:pPr>
        <w:jc w:val="both"/>
        <w:ind w:left="1240" w:right="20" w:hanging="1222"/>
        <w:spacing w:after="0" w:line="328" w:lineRule="auto"/>
        <w:tabs>
          <w:tab w:leader="none" w:pos="124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remain in breach of a covenant or warranty in respect of the indenture or 2033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2033 Notes;</w:t>
      </w:r>
    </w:p>
    <w:p>
      <w:pPr>
        <w:spacing w:after="0" w:line="342" w:lineRule="exact"/>
        <w:rPr>
          <w:rFonts w:ascii="Times New Roman" w:cs="Times New Roman" w:eastAsia="Times New Roman" w:hAnsi="Times New Roman"/>
          <w:sz w:val="19"/>
          <w:szCs w:val="19"/>
          <w:color w:val="auto"/>
        </w:rPr>
      </w:pPr>
    </w:p>
    <w:p>
      <w:pPr>
        <w:ind w:left="1220" w:hanging="1202"/>
        <w:spacing w:after="0"/>
        <w:tabs>
          <w:tab w:leader="none" w:pos="12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file for bankruptcy, or other events of bankruptcy, insolvency or reorganization specified in the indenture;</w:t>
      </w:r>
    </w:p>
    <w:p>
      <w:pPr>
        <w:sectPr>
          <w:pgSz w:w="11900" w:h="16840" w:orient="portrait"/>
          <w:cols w:equalWidth="0" w:num="1">
            <w:col w:w="10580"/>
          </w:cols>
          <w:pgMar w:left="660" w:top="1440" w:right="660" w:bottom="1440" w:gutter="0" w:footer="0" w:header="0"/>
        </w:sectPr>
      </w:pPr>
    </w:p>
    <w:bookmarkStart w:id="114" w:name="page115"/>
    <w:bookmarkEnd w:id="114"/>
    <w:p>
      <w:pPr>
        <w:spacing w:after="0" w:line="200" w:lineRule="exact"/>
        <w:rPr>
          <w:sz w:val="20"/>
          <w:szCs w:val="20"/>
          <w:color w:val="auto"/>
        </w:rPr>
      </w:pPr>
    </w:p>
    <w:p>
      <w:pPr>
        <w:spacing w:after="0" w:line="381" w:lineRule="exact"/>
        <w:rPr>
          <w:sz w:val="20"/>
          <w:szCs w:val="20"/>
          <w:color w:val="auto"/>
        </w:rPr>
      </w:pPr>
    </w:p>
    <w:p>
      <w:pPr>
        <w:jc w:val="both"/>
        <w:ind w:left="1220" w:right="20" w:hanging="1202"/>
        <w:spacing w:after="0" w:line="328" w:lineRule="auto"/>
        <w:tabs>
          <w:tab w:leader="none" w:pos="12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default on any indebtedness of ours or of a significant subsidiary having an aggregate amount of at least $200,000,000,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2033 Notes; or</w:t>
      </w:r>
    </w:p>
    <w:p>
      <w:pPr>
        <w:spacing w:after="0" w:line="342" w:lineRule="exact"/>
        <w:rPr>
          <w:rFonts w:ascii="Times New Roman" w:cs="Times New Roman" w:eastAsia="Times New Roman" w:hAnsi="Times New Roman"/>
          <w:sz w:val="19"/>
          <w:szCs w:val="19"/>
          <w:color w:val="auto"/>
        </w:rPr>
      </w:pPr>
    </w:p>
    <w:p>
      <w:pPr>
        <w:jc w:val="both"/>
        <w:ind w:left="1220" w:right="20" w:hanging="1202"/>
        <w:spacing w:after="0" w:line="334" w:lineRule="auto"/>
        <w:tabs>
          <w:tab w:leader="none" w:pos="12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more final judgments for the payment of money in an aggregate amount in excess of $200,000,000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30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If an Event of Default (other than an Event of Default specified in clause (5) above) with respect to the 2033 Notes has occurred, the trustee or the holders of at least 25% in principal amount of the 2033 Notes may declare the entire unpaid principal amount of (and premium, if any), and all the accrued interest on, the Notes to be due and immediately payable. This is called a declaration of acceleration of maturity. There is no action on the part of the trustee or any holder of the 2033 Notes required for such declaration if the Event of Default is the Company’s bankruptcy, insolvency or reorganization. Holders of a majority in principal amount of the 2033 Notes may also waive certain past defaults under the indenture with respect to the 2033 Notes on behalf of all of the holders of the 2033 Notes. A declaration of acceleration of maturity may be canceled, under specified circumstances, by the holders of at least a majority in principal amount of the 2033 Notes and the trustee.</w:t>
      </w:r>
    </w:p>
    <w:p>
      <w:pPr>
        <w:spacing w:after="0" w:line="19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2033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ectPr>
          <w:pgSz w:w="11900" w:h="16840" w:orient="portrait"/>
          <w:cols w:equalWidth="0" w:num="1">
            <w:col w:w="10580"/>
          </w:cols>
          <w:pgMar w:left="660" w:top="1440" w:right="660" w:bottom="1440" w:gutter="0" w:footer="0" w:header="0"/>
        </w:sectPr>
      </w:pPr>
    </w:p>
    <w:bookmarkStart w:id="115" w:name="page116"/>
    <w:bookmarkEnd w:id="115"/>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Modification of the Indenture and Waiver of Rights of Holders</w:t>
      </w:r>
    </w:p>
    <w:p>
      <w:pPr>
        <w:spacing w:after="0" w:line="27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Under certain circumstances, we can make changes to the indenture and the 2033 Notes. Some types of changes require the approval of each holder of 2033 Notes, some require approval by a vote of a majority of the holders of the 2033 Notes, and some changes do not require any approval at all.</w:t>
      </w:r>
    </w:p>
    <w:p>
      <w:pPr>
        <w:sectPr>
          <w:pgSz w:w="11900" w:h="16840" w:orient="portrait"/>
          <w:cols w:equalWidth="0" w:num="1">
            <w:col w:w="10580"/>
          </w:cols>
          <w:pgMar w:left="660" w:top="1440" w:right="660" w:bottom="1440" w:gutter="0" w:footer="0" w:header="0"/>
        </w:sectPr>
      </w:pPr>
    </w:p>
    <w:bookmarkStart w:id="116" w:name="page117"/>
    <w:bookmarkEnd w:id="116"/>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Description of the 0.875% Senior Notes Due 2030</w:t>
      </w:r>
    </w:p>
    <w:p>
      <w:pPr>
        <w:spacing w:after="0" w:line="288"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9"/>
          <w:szCs w:val="19"/>
          <w:color w:val="auto"/>
        </w:rPr>
        <w:t>The 0.875% Senior Notes due 2030 (the “</w:t>
      </w:r>
      <w:r>
        <w:rPr>
          <w:rFonts w:ascii="Times New Roman" w:cs="Times New Roman" w:eastAsia="Times New Roman" w:hAnsi="Times New Roman"/>
          <w:sz w:val="19"/>
          <w:szCs w:val="19"/>
          <w:u w:val="single" w:color="auto"/>
          <w:color w:val="auto"/>
        </w:rPr>
        <w:t>2030 Notes</w:t>
      </w:r>
      <w:r>
        <w:rPr>
          <w:rFonts w:ascii="Times New Roman" w:cs="Times New Roman" w:eastAsia="Times New Roman" w:hAnsi="Times New Roman"/>
          <w:sz w:val="19"/>
          <w:szCs w:val="19"/>
          <w:color w:val="auto"/>
        </w:rPr>
        <w:t>”) were issued under an indenture, dated as of June 7, 2013 (the “</w:t>
      </w:r>
      <w:r>
        <w:rPr>
          <w:rFonts w:ascii="Times New Roman" w:cs="Times New Roman" w:eastAsia="Times New Roman" w:hAnsi="Times New Roman"/>
          <w:sz w:val="19"/>
          <w:szCs w:val="19"/>
          <w:u w:val="single" w:color="auto"/>
          <w:color w:val="auto"/>
        </w:rPr>
        <w:t>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between Nasdaq, Inc. and Wells Fargo Bank, National Association, as trustee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and a seventh supplemental indenture dated as of February 13, 2020 (the “</w:t>
      </w:r>
      <w:r>
        <w:rPr>
          <w:rFonts w:ascii="Times New Roman" w:cs="Times New Roman" w:eastAsia="Times New Roman" w:hAnsi="Times New Roman"/>
          <w:sz w:val="19"/>
          <w:szCs w:val="19"/>
          <w:u w:val="single" w:color="auto"/>
          <w:color w:val="auto"/>
        </w:rPr>
        <w:t>supplemental indenture</w:t>
      </w:r>
      <w:r>
        <w:rPr>
          <w:rFonts w:ascii="Times New Roman" w:cs="Times New Roman" w:eastAsia="Times New Roman" w:hAnsi="Times New Roman"/>
          <w:sz w:val="19"/>
          <w:szCs w:val="19"/>
          <w:color w:val="auto"/>
        </w:rPr>
        <w:t>” and, together with the base indenture,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The indenture is publicly available at www.sec.gov.</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We issued €600 million aggregate principal amount of the 2030 Notes on February 13, 2020.</w:t>
      </w:r>
    </w:p>
    <w:p>
      <w:pPr>
        <w:spacing w:after="0" w:line="274" w:lineRule="exact"/>
        <w:rPr>
          <w:sz w:val="20"/>
          <w:szCs w:val="20"/>
          <w:color w:val="auto"/>
        </w:rPr>
      </w:pPr>
    </w:p>
    <w:p>
      <w:pPr>
        <w:jc w:val="both"/>
        <w:ind w:right="20" w:firstLine="576"/>
        <w:spacing w:after="0" w:line="325" w:lineRule="auto"/>
        <w:rPr>
          <w:sz w:val="20"/>
          <w:szCs w:val="20"/>
          <w:color w:val="auto"/>
        </w:rPr>
      </w:pPr>
      <w:r>
        <w:rPr>
          <w:rFonts w:ascii="Times New Roman" w:cs="Times New Roman" w:eastAsia="Times New Roman" w:hAnsi="Times New Roman"/>
          <w:sz w:val="19"/>
          <w:szCs w:val="19"/>
          <w:color w:val="auto"/>
        </w:rPr>
        <w:t>This summary is subject to, and qualified in its entirety by reference to, all the provisions of the 2030 Notes and the indenture, including definitions of certain terms used therein.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2030 Notes:</w:t>
      </w:r>
    </w:p>
    <w:p>
      <w:pPr>
        <w:spacing w:after="0" w:line="274" w:lineRule="exact"/>
        <w:rPr>
          <w:sz w:val="20"/>
          <w:szCs w:val="20"/>
          <w:color w:val="auto"/>
        </w:rPr>
      </w:pPr>
    </w:p>
    <w:p>
      <w:pPr>
        <w:ind w:left="1160" w:hanging="290"/>
        <w:spacing w:after="0"/>
        <w:tabs>
          <w:tab w:leader="none" w:pos="11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senior unsecured obligations of ours;</w:t>
      </w:r>
    </w:p>
    <w:p>
      <w:pPr>
        <w:spacing w:after="0" w:line="273"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rank equally in right of payment with all of our other senior unsecured indebtedness from time to time outstanding, commercial paper issuances and indebtedness under our credit facility;</w:t>
      </w:r>
    </w:p>
    <w:p>
      <w:pPr>
        <w:spacing w:after="0" w:line="164"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structurally subordinated in right of payment to all existing and future obligations of our subsidiaries, including claims with respect to trade payables; and</w:t>
      </w:r>
    </w:p>
    <w:p>
      <w:pPr>
        <w:spacing w:after="0" w:line="164" w:lineRule="exact"/>
        <w:rPr>
          <w:rFonts w:ascii="Times New Roman" w:cs="Times New Roman" w:eastAsia="Times New Roman" w:hAnsi="Times New Roman"/>
          <w:sz w:val="19"/>
          <w:szCs w:val="19"/>
          <w:color w:val="auto"/>
        </w:rPr>
      </w:pPr>
    </w:p>
    <w:p>
      <w:pPr>
        <w:ind w:left="1160" w:right="20" w:hanging="290"/>
        <w:spacing w:after="0" w:line="325" w:lineRule="auto"/>
        <w:tabs>
          <w:tab w:leader="none" w:pos="11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2030 Notes were issued in minimum denominations of €100,000 and integral multiples of €1,000 in excess thereof.</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Principal, Maturity and Interest</w:t>
      </w:r>
    </w:p>
    <w:p>
      <w:pPr>
        <w:spacing w:after="0" w:line="276"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The 2030 Notes will bear interest at a rate of 0.875% per year. Interest on the Notes is payable annually in arrears on February 13 of each year, beginning on February 13, 2021, and will be computed on the basis of the actual number of days in the period for which interest is</w:t>
      </w:r>
    </w:p>
    <w:p>
      <w:pPr>
        <w:sectPr>
          <w:pgSz w:w="11900" w:h="16840" w:orient="portrait"/>
          <w:cols w:equalWidth="0" w:num="1">
            <w:col w:w="10580"/>
          </w:cols>
          <w:pgMar w:left="660" w:top="1440" w:right="660" w:bottom="1440" w:gutter="0" w:footer="0" w:header="0"/>
        </w:sectPr>
      </w:pPr>
    </w:p>
    <w:bookmarkStart w:id="117" w:name="page118"/>
    <w:bookmarkEnd w:id="117"/>
    <w:p>
      <w:pPr>
        <w:spacing w:after="0" w:line="281"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9"/>
          <w:szCs w:val="19"/>
          <w:color w:val="auto"/>
        </w:rPr>
        <w:t>being calculated and the actual number of days from and including the last date on which interest was paid on the 2030 Notes (or the settlement date if no interest has been paid or duly provided for on the 2030 Notes), to but excluding the next date on which interest is paid or duly provided for. This payment convention is referred to as ACTUAL/ACTUAL (ICMA) as defined in the rulebook of the International Capital Market Association. Interest on the 2030 Notes will accrue from and including the settlement date and will be paid to holders of record on the day immediately prior to the applicable interest payment date.</w:t>
      </w:r>
    </w:p>
    <w:p>
      <w:pPr>
        <w:spacing w:after="0" w:line="188"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The 2030 Notes will mature on February 13, 2030. On the maturity date of the 2030 Notes, the holders will be entitled to receive 100% of the principal amount of such 2030 Notes. The 2030 2030 Notes will not have the benefit of any sinking fund.</w:t>
      </w:r>
    </w:p>
    <w:p>
      <w:pPr>
        <w:spacing w:after="0" w:line="16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2030 Notes, when we use the term “business day” we mean any day except a Saturday, a Sunday or a day on which banking institutions in the applicable place of payment are authorized or required by law, regulation or executive order to close.</w:t>
      </w:r>
    </w:p>
    <w:p>
      <w:pPr>
        <w:spacing w:after="0" w:line="18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Claims against the Company for payment of principal, interest and additional amounts, if any, on the 2030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Euro Notes—Issuance in Euros</w:t>
      </w:r>
    </w:p>
    <w:p>
      <w:pPr>
        <w:spacing w:after="0" w:line="276" w:lineRule="exact"/>
        <w:rPr>
          <w:sz w:val="20"/>
          <w:szCs w:val="20"/>
          <w:color w:val="auto"/>
        </w:rPr>
      </w:pPr>
    </w:p>
    <w:p>
      <w:pPr>
        <w:jc w:val="both"/>
        <w:ind w:right="20" w:firstLine="576"/>
        <w:spacing w:after="0" w:line="297" w:lineRule="auto"/>
        <w:rPr>
          <w:sz w:val="20"/>
          <w:szCs w:val="20"/>
          <w:color w:val="auto"/>
        </w:rPr>
      </w:pPr>
      <w:r>
        <w:rPr>
          <w:rFonts w:ascii="Times New Roman" w:cs="Times New Roman" w:eastAsia="Times New Roman" w:hAnsi="Times New Roman"/>
          <w:sz w:val="19"/>
          <w:szCs w:val="19"/>
          <w:color w:val="auto"/>
        </w:rPr>
        <w:t>Initial holders of the 2030 Notes paid for the 2030 Notes in euros, and principal, premium, if any, and interest payments and additional amounts, if any, in respect of the 2030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2030 Notes will be made in U.S. dollars until the euro is again available to us or so used.</w:t>
      </w:r>
    </w:p>
    <w:p>
      <w:pPr>
        <w:spacing w:after="0" w:line="190"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The amount payable on any date in euros will be converted to U.S. dollars on the basis of the most recently available market exchange rate for euros as determined by us in our sole discretion. Any payment in respect of the 2030 Notes so made in U.S. dollars will not constitute an event of default under the indenture or the 2030 Notes. Neither the trustee nor the paying</w:t>
      </w:r>
    </w:p>
    <w:p>
      <w:pPr>
        <w:sectPr>
          <w:pgSz w:w="11900" w:h="16840" w:orient="portrait"/>
          <w:cols w:equalWidth="0" w:num="1">
            <w:col w:w="10580"/>
          </w:cols>
          <w:pgMar w:left="660" w:top="1440" w:right="660" w:bottom="1440" w:gutter="0" w:footer="0" w:header="0"/>
        </w:sectPr>
      </w:pPr>
    </w:p>
    <w:bookmarkStart w:id="118" w:name="page119"/>
    <w:bookmarkEnd w:id="118"/>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 will be responsible for obtaining exchange rates, effecting conversions or otherwise handling redenominations.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Ranking</w:t>
      </w:r>
    </w:p>
    <w:p>
      <w:pPr>
        <w:spacing w:after="0" w:line="276"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The 2030 Notes are general unsecured obligations of ours and will rank equally with all of our existing and future unsubordinated obligations.</w:t>
      </w:r>
    </w:p>
    <w:p>
      <w:pPr>
        <w:spacing w:after="0" w:line="165"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Holders of any secured indebtedness and other secured obligations of the Company will have claims that are prior to your claims as holders of the 2030 Notes, to the extent of the value of the assets securing such indebtedness and other obligations, in the event of any bankruptcy, liquidation or similar proceeding.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Further Issues</w:t>
      </w:r>
    </w:p>
    <w:p>
      <w:pPr>
        <w:spacing w:after="0" w:line="276"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9"/>
          <w:szCs w:val="19"/>
          <w:color w:val="auto"/>
        </w:rPr>
        <w:t xml:space="preserve">The 2030 Notes constituted a separate series of debt securities under the indenture, limited to €600 million. Under the indenture, we may, without the consent of the holders of the 2030 Notes, issue additional 2030 Notes of the same or a different series from time to time in the future in an unlimited aggregate principal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any such additional 2030 Notes are not fungible with the 2030 Notes offered hereby (or any other tranche of additional 2030 Notes) for U.S. federal income tax purposes, then such additional 2030 Notes will have different ISIN and/or Common Code numbers than the Notes offered hereby (and any such other tranche of additional 2030 Notes). The 2030 Notes and any additional 2030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2030 Notes, as well as any additional 2030 Notes that we may issue by reopening such series, will vote or take action as a single class.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Redemption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Optional Redemption</w:t>
      </w:r>
    </w:p>
    <w:p>
      <w:pPr>
        <w:spacing w:after="0" w:line="278"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The 2030 Notes will be redeemable, in whole at any time or in part from time to time, at our option, at a redemption price (the “make-whole redemption price”) equal to the greater of (i) 100% of the principal amount of the 2030 Notes and (ii) as determined by the Quotation Agent (as defined below), the sum of the present values of the remaining scheduled payments of principal and interest on the 2030 Notes (exclusive of interest accrued and unpaid as of the date of redemption), discounted to the date of redemption on an annual basis (ACTUAL/ACTUAL (ICMA)) at the Bund Rate (as defined below), plus 20 basis points, plus accrued and unpaid</w:t>
      </w:r>
    </w:p>
    <w:p>
      <w:pPr>
        <w:sectPr>
          <w:pgSz w:w="11900" w:h="16840" w:orient="portrait"/>
          <w:cols w:equalWidth="0" w:num="1">
            <w:col w:w="10580"/>
          </w:cols>
          <w:pgMar w:left="660" w:top="1440" w:right="660" w:bottom="1440" w:gutter="0" w:footer="0" w:header="0"/>
        </w:sectPr>
      </w:pPr>
    </w:p>
    <w:bookmarkStart w:id="119" w:name="page120"/>
    <w:bookmarkEnd w:id="119"/>
    <w:p>
      <w:pPr>
        <w:spacing w:after="0" w:line="28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19"/>
          <w:szCs w:val="19"/>
          <w:color w:val="auto"/>
        </w:rPr>
        <w:t>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65" w:lineRule="exact"/>
        <w:rPr>
          <w:sz w:val="20"/>
          <w:szCs w:val="20"/>
          <w:color w:val="auto"/>
        </w:rPr>
      </w:pPr>
    </w:p>
    <w:p>
      <w:pPr>
        <w:jc w:val="both"/>
        <w:ind w:right="20" w:firstLine="576"/>
        <w:spacing w:after="0" w:line="309" w:lineRule="auto"/>
        <w:rPr>
          <w:sz w:val="20"/>
          <w:szCs w:val="20"/>
          <w:color w:val="auto"/>
        </w:rPr>
      </w:pPr>
      <w:r>
        <w:rPr>
          <w:rFonts w:ascii="Times New Roman" w:cs="Times New Roman" w:eastAsia="Times New Roman" w:hAnsi="Times New Roman"/>
          <w:sz w:val="19"/>
          <w:szCs w:val="19"/>
          <w:color w:val="auto"/>
        </w:rPr>
        <w:t>Notwithstanding the foregoing, at any time on or after November 13, 2029 (three months before their maturity date), the 2030 Notes will be redeemable, in whole or in part, at our option and at any time or from time to time, at a redemption price equal to 100% of the principal amount of the 2030 Notes to be redeemed plus accrued and unpaid interest thereon to, but excluding, the date of redemption.</w:t>
      </w:r>
    </w:p>
    <w:p>
      <w:pPr>
        <w:spacing w:after="0" w:line="200" w:lineRule="exact"/>
        <w:rPr>
          <w:sz w:val="20"/>
          <w:szCs w:val="20"/>
          <w:color w:val="auto"/>
        </w:rPr>
      </w:pPr>
    </w:p>
    <w:p>
      <w:pPr>
        <w:spacing w:after="0" w:line="240"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Notice of any redemption will be mailed at least 30 days, but not more than 60 days, before the redemption date to each registered holder of 2030 Notes to be redeemed. Once notice of redemption is mailed, the 2030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2030 Notes (or portion thereof) to be redeemed on such redemption date.</w:t>
      </w:r>
    </w:p>
    <w:p>
      <w:pPr>
        <w:spacing w:after="0" w:line="188"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Bund Rate</w:t>
      </w:r>
      <w:r>
        <w:rPr>
          <w:rFonts w:ascii="Times New Roman" w:cs="Times New Roman" w:eastAsia="Times New Roman" w:hAnsi="Times New Roman"/>
          <w:sz w:val="19"/>
          <w:szCs w:val="19"/>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79"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Comparable German Bund Issue</w:t>
      </w:r>
      <w:r>
        <w:rPr>
          <w:rFonts w:ascii="Times New Roman" w:cs="Times New Roman" w:eastAsia="Times New Roman" w:hAnsi="Times New Roman"/>
          <w:sz w:val="19"/>
          <w:szCs w:val="19"/>
          <w:color w:val="auto"/>
        </w:rPr>
        <w:t>” means that German Bundesanleihe security selected by the Quotation Agent as having a maturity comparable to the remaining term of the 2030 Notes to be redeemed that would be utilized, at the time of selection and in accordance with customary</w:t>
      </w:r>
    </w:p>
    <w:p>
      <w:pPr>
        <w:spacing w:after="0"/>
        <w:rPr>
          <w:sz w:val="20"/>
          <w:szCs w:val="20"/>
          <w:color w:val="auto"/>
        </w:rPr>
      </w:pPr>
      <w:r>
        <w:rPr>
          <w:rFonts w:ascii="Times New Roman" w:cs="Times New Roman" w:eastAsia="Times New Roman" w:hAnsi="Times New Roman"/>
          <w:sz w:val="19"/>
          <w:szCs w:val="19"/>
          <w:color w:val="auto"/>
        </w:rPr>
        <w:t>financial practice, in pricing new issues of corporate notes of comparable maturity to the remaining term of the Notes.</w:t>
      </w:r>
    </w:p>
    <w:p>
      <w:pPr>
        <w:spacing w:after="0" w:line="310"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Comparable German Bund Price</w:t>
      </w:r>
      <w:r>
        <w:rPr>
          <w:rFonts w:ascii="Times New Roman" w:cs="Times New Roman" w:eastAsia="Times New Roman" w:hAnsi="Times New Roman"/>
          <w:sz w:val="19"/>
          <w:szCs w:val="19"/>
          <w:color w:val="auto"/>
        </w:rPr>
        <w:t>” means, with respect to any redemption date, (i) the average of four Reference German Bund Dealer Quotations for such redemption date, after excluding the highest and lowest such Reference German Bund Dealer Quotations or</w:t>
      </w:r>
    </w:p>
    <w:p>
      <w:pPr>
        <w:ind w:left="580" w:right="200" w:hanging="574"/>
        <w:spacing w:after="0" w:line="540" w:lineRule="auto"/>
        <w:tabs>
          <w:tab w:leader="none" w:pos="28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Quotation Agent obtains fewer than four such Reference German Bund Dealer Quotations, the average of all such quotations. “</w:t>
      </w:r>
      <w:r>
        <w:rPr>
          <w:rFonts w:ascii="Times New Roman" w:cs="Times New Roman" w:eastAsia="Times New Roman" w:hAnsi="Times New Roman"/>
          <w:sz w:val="19"/>
          <w:szCs w:val="19"/>
          <w:u w:val="single" w:color="auto"/>
          <w:color w:val="auto"/>
        </w:rPr>
        <w:t>Quotation Agent</w:t>
      </w:r>
      <w:r>
        <w:rPr>
          <w:rFonts w:ascii="Times New Roman" w:cs="Times New Roman" w:eastAsia="Times New Roman" w:hAnsi="Times New Roman"/>
          <w:sz w:val="19"/>
          <w:szCs w:val="19"/>
          <w:color w:val="auto"/>
        </w:rPr>
        <w:t>” means a Reference German Bund Dealer appointed by us.</w:t>
      </w:r>
    </w:p>
    <w:p>
      <w:pPr>
        <w:spacing w:after="0" w:line="1"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German Bund Dealer</w:t>
      </w:r>
      <w:r>
        <w:rPr>
          <w:rFonts w:ascii="Times New Roman" w:cs="Times New Roman" w:eastAsia="Times New Roman" w:hAnsi="Times New Roman"/>
          <w:sz w:val="19"/>
          <w:szCs w:val="19"/>
          <w:color w:val="auto"/>
        </w:rPr>
        <w:t>” means any dealer of German Bundesanleihe securities selected by us in good faith.</w:t>
      </w:r>
    </w:p>
    <w:p>
      <w:pPr>
        <w:sectPr>
          <w:pgSz w:w="11900" w:h="16840" w:orient="portrait"/>
          <w:cols w:equalWidth="0" w:num="1">
            <w:col w:w="10580"/>
          </w:cols>
          <w:pgMar w:left="660" w:top="1440" w:right="660" w:bottom="1440" w:gutter="0" w:footer="0" w:header="0"/>
        </w:sectPr>
      </w:pPr>
    </w:p>
    <w:bookmarkStart w:id="120" w:name="page121"/>
    <w:bookmarkEnd w:id="120"/>
    <w:p>
      <w:pPr>
        <w:spacing w:after="0" w:line="200" w:lineRule="exact"/>
        <w:rPr>
          <w:sz w:val="20"/>
          <w:szCs w:val="20"/>
          <w:color w:val="auto"/>
        </w:rPr>
      </w:pPr>
    </w:p>
    <w:p>
      <w:pPr>
        <w:spacing w:after="0" w:line="309"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German Bund Dealer Quotations</w:t>
      </w:r>
      <w:r>
        <w:rPr>
          <w:rFonts w:ascii="Times New Roman" w:cs="Times New Roman" w:eastAsia="Times New Roman" w:hAnsi="Times New Roman"/>
          <w:sz w:val="19"/>
          <w:szCs w:val="19"/>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18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If we elect to redeem less than all of the 2030 Notes, and such 2030 Notes are at the time represented by a global note, then the depositary will select by lot the particular interests to be redeemed. If we elect to redeem less than all of the 2030 Notes, and any of such 2030 Notes are not represented by a global note, then the trustee will select the particular 2030 Notes to be redeemed in a manner it deems appropriate and fair (and the depositary will select by lot the particular interests in any global note to be redeemed).</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We may at any time, and from time to time, purchase the 2030 Notes at any price or prices in the open market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Repurchase upon Change of Control Triggering Event</w:t>
      </w:r>
    </w:p>
    <w:p>
      <w:pPr>
        <w:spacing w:after="0" w:line="276"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9"/>
          <w:szCs w:val="19"/>
          <w:color w:val="auto"/>
        </w:rPr>
        <w:t>If a Change of Control Triggering Event (as defined below) occurs with respect to the 2030 Notes, unless we have exercised our right to redeem the 2030 Notes, we will be required to make an offer to repurchase all or, at the holder’s option, any part (equal to €100,000 or any integral multiple of €1,000 in excess thereof) of each holder’s 2030 Notes pursuant to the offer described below (the “Change of Control Offer”).</w:t>
      </w:r>
    </w:p>
    <w:p>
      <w:pPr>
        <w:spacing w:after="0" w:line="185" w:lineRule="exact"/>
        <w:rPr>
          <w:sz w:val="20"/>
          <w:szCs w:val="20"/>
          <w:color w:val="auto"/>
        </w:rPr>
      </w:pPr>
    </w:p>
    <w:p>
      <w:pPr>
        <w:jc w:val="both"/>
        <w:ind w:right="20" w:firstLine="576"/>
        <w:spacing w:after="0" w:line="308" w:lineRule="auto"/>
        <w:rPr>
          <w:sz w:val="20"/>
          <w:szCs w:val="20"/>
          <w:color w:val="auto"/>
        </w:rPr>
      </w:pPr>
      <w:r>
        <w:rPr>
          <w:rFonts w:ascii="Times New Roman" w:cs="Times New Roman" w:eastAsia="Times New Roman" w:hAnsi="Times New Roman"/>
          <w:sz w:val="19"/>
          <w:szCs w:val="19"/>
          <w:color w:val="auto"/>
        </w:rPr>
        <w:t>In the Change of Control Offer, we will be required to offer payment in cash equal to 101% of the aggregate principal amount of 2030 Notes repurchased plus accrued and unpaid interest, if any, on the 2030 Notes repurchased to, but not including, the date of purchase (the “Change of Control Payment”).</w:t>
      </w:r>
    </w:p>
    <w:p>
      <w:pPr>
        <w:spacing w:after="0" w:line="179" w:lineRule="exact"/>
        <w:rPr>
          <w:sz w:val="20"/>
          <w:szCs w:val="20"/>
          <w:color w:val="auto"/>
        </w:rPr>
      </w:pPr>
    </w:p>
    <w:p>
      <w:pPr>
        <w:jc w:val="both"/>
        <w:ind w:firstLine="576"/>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w:t>
      </w:r>
    </w:p>
    <w:p>
      <w:pPr>
        <w:sectPr>
          <w:pgSz w:w="11900" w:h="16840" w:orient="portrait"/>
          <w:cols w:equalWidth="0" w:num="1">
            <w:col w:w="10580"/>
          </w:cols>
          <w:pgMar w:left="660" w:top="1440" w:right="660" w:bottom="1440" w:gutter="0" w:footer="0" w:header="0"/>
        </w:sectPr>
      </w:pPr>
    </w:p>
    <w:bookmarkStart w:id="121" w:name="page122"/>
    <w:bookmarkEnd w:id="121"/>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or (4) the first day on which a majority of the members of our board of directors are not Continuing Directors.</w:t>
      </w:r>
    </w:p>
    <w:p>
      <w:pPr>
        <w:spacing w:after="0" w:line="274"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88"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 Triggering Event</w:t>
      </w:r>
      <w:r>
        <w:rPr>
          <w:rFonts w:ascii="Times New Roman" w:cs="Times New Roman" w:eastAsia="Times New Roman" w:hAnsi="Times New Roman"/>
          <w:sz w:val="19"/>
          <w:szCs w:val="19"/>
          <w:color w:val="auto"/>
        </w:rPr>
        <w:t>” means the occurrence of both a Change of Control and a Below Investment Grade Rating Event (as such term is defined in the indenture) occurring in respect of that Change of Control.</w:t>
      </w:r>
    </w:p>
    <w:p>
      <w:pPr>
        <w:spacing w:after="0" w:line="165" w:lineRule="exact"/>
        <w:rPr>
          <w:sz w:val="20"/>
          <w:szCs w:val="20"/>
          <w:color w:val="auto"/>
        </w:rPr>
      </w:pPr>
    </w:p>
    <w:p>
      <w:pPr>
        <w:jc w:val="both"/>
        <w:ind w:right="20" w:firstLine="576"/>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Continuing Directors</w:t>
      </w:r>
      <w:r>
        <w:rPr>
          <w:rFonts w:ascii="Times New Roman" w:cs="Times New Roman" w:eastAsia="Times New Roman" w:hAnsi="Times New Roman"/>
          <w:sz w:val="19"/>
          <w:szCs w:val="19"/>
          <w:color w:val="auto"/>
        </w:rPr>
        <w:t>” means, as of any date of determination, any member of our board of directors who (1) was a member of our board of directors on the date of the issuance of the 2030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188"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79" w:lineRule="exact"/>
        <w:rPr>
          <w:sz w:val="20"/>
          <w:szCs w:val="20"/>
          <w:color w:val="auto"/>
        </w:rPr>
      </w:pPr>
    </w:p>
    <w:p>
      <w:pPr>
        <w:jc w:val="both"/>
        <w:ind w:right="20" w:firstLine="396"/>
        <w:spacing w:after="0" w:line="3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Stock</w:t>
      </w:r>
      <w:r>
        <w:rPr>
          <w:rFonts w:ascii="Times New Roman" w:cs="Times New Roman" w:eastAsia="Times New Roman" w:hAnsi="Times New Roman"/>
          <w:sz w:val="19"/>
          <w:szCs w:val="19"/>
          <w:color w:val="auto"/>
        </w:rPr>
        <w:t>” of any specified Person as of any date means the capital stock of such Person that is at the time entitled to vote generally in the election of the board of directors of such Person.</w:t>
      </w:r>
    </w:p>
    <w:p>
      <w:pPr>
        <w:spacing w:after="0" w:line="165" w:lineRule="exact"/>
        <w:rPr>
          <w:sz w:val="20"/>
          <w:szCs w:val="20"/>
          <w:color w:val="auto"/>
        </w:rPr>
      </w:pPr>
    </w:p>
    <w:p>
      <w:pPr>
        <w:jc w:val="both"/>
        <w:ind w:right="20" w:firstLine="576"/>
        <w:spacing w:after="0" w:line="302" w:lineRule="auto"/>
        <w:rPr>
          <w:sz w:val="20"/>
          <w:szCs w:val="20"/>
          <w:color w:val="auto"/>
        </w:rPr>
      </w:pPr>
      <w:r>
        <w:rPr>
          <w:rFonts w:ascii="Times New Roman" w:cs="Times New Roman" w:eastAsia="Times New Roman" w:hAnsi="Times New Roman"/>
          <w:sz w:val="19"/>
          <w:szCs w:val="19"/>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2030 Notes as a result of the sale, transfer, conveyance or other disposition of less than all of our assets may be uncertain.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Certain Covenants</w:t>
      </w:r>
    </w:p>
    <w:p>
      <w:pPr>
        <w:sectPr>
          <w:pgSz w:w="11900" w:h="16840" w:orient="portrait"/>
          <w:cols w:equalWidth="0" w:num="1">
            <w:col w:w="10580"/>
          </w:cols>
          <w:pgMar w:left="660" w:top="1440" w:right="660" w:bottom="1440" w:gutter="0" w:footer="0" w:header="0"/>
        </w:sectPr>
      </w:pPr>
    </w:p>
    <w:bookmarkStart w:id="122" w:name="page123"/>
    <w:bookmarkEnd w:id="122"/>
    <w:p>
      <w:pPr>
        <w:spacing w:after="0" w:line="200" w:lineRule="exact"/>
        <w:rPr>
          <w:sz w:val="20"/>
          <w:szCs w:val="20"/>
          <w:color w:val="auto"/>
        </w:rPr>
      </w:pPr>
    </w:p>
    <w:p>
      <w:pPr>
        <w:spacing w:after="0" w:line="309" w:lineRule="exact"/>
        <w:rPr>
          <w:sz w:val="20"/>
          <w:szCs w:val="20"/>
          <w:color w:val="auto"/>
        </w:rPr>
      </w:pPr>
    </w:p>
    <w:p>
      <w:pPr>
        <w:jc w:val="both"/>
        <w:ind w:firstLine="576"/>
        <w:spacing w:after="0" w:line="308" w:lineRule="auto"/>
        <w:rPr>
          <w:sz w:val="20"/>
          <w:szCs w:val="20"/>
          <w:color w:val="auto"/>
        </w:rPr>
      </w:pPr>
      <w:r>
        <w:rPr>
          <w:rFonts w:ascii="Times New Roman" w:cs="Times New Roman" w:eastAsia="Times New Roman" w:hAnsi="Times New Roman"/>
          <w:sz w:val="19"/>
          <w:szCs w:val="19"/>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Holders of the 2030 Notes will have specified rights if an Event of Default (as defined below) occurs. The term “</w:t>
      </w:r>
      <w:r>
        <w:rPr>
          <w:rFonts w:ascii="Times New Roman" w:cs="Times New Roman" w:eastAsia="Times New Roman" w:hAnsi="Times New Roman"/>
          <w:sz w:val="19"/>
          <w:szCs w:val="19"/>
          <w:u w:val="single" w:color="auto"/>
          <w:color w:val="auto"/>
        </w:rPr>
        <w:t>Event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gridSpan w:val="2"/>
          </w:tcPr>
          <w:p>
            <w:pPr>
              <w:jc w:val="right"/>
              <w:ind w:right="264"/>
              <w:spacing w:after="0"/>
              <w:rPr>
                <w:sz w:val="20"/>
                <w:szCs w:val="20"/>
                <w:color w:val="auto"/>
              </w:rPr>
            </w:pPr>
            <w:r>
              <w:rPr>
                <w:rFonts w:ascii="Times New Roman" w:cs="Times New Roman" w:eastAsia="Times New Roman" w:hAnsi="Times New Roman"/>
                <w:sz w:val="19"/>
                <w:szCs w:val="19"/>
                <w:color w:val="auto"/>
                <w:w w:val="97"/>
              </w:rPr>
              <w:t>Default”</w:t>
            </w:r>
          </w:p>
        </w:tc>
        <w:tc>
          <w:tcPr>
            <w:tcW w:w="6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w:t>
            </w:r>
          </w:p>
        </w:tc>
        <w:tc>
          <w:tcPr>
            <w:tcW w:w="10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respect</w:t>
            </w:r>
          </w:p>
        </w:tc>
        <w:tc>
          <w:tcPr>
            <w:tcW w:w="7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of</w:t>
            </w:r>
          </w:p>
        </w:tc>
        <w:tc>
          <w:tcPr>
            <w:tcW w:w="7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the</w:t>
            </w: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9"/>
                <w:szCs w:val="19"/>
                <w:color w:val="auto"/>
              </w:rPr>
              <w:t>2030</w:t>
            </w:r>
          </w:p>
        </w:tc>
        <w:tc>
          <w:tcPr>
            <w:tcW w:w="9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Notes</w:t>
            </w:r>
          </w:p>
        </w:tc>
        <w:tc>
          <w:tcPr>
            <w:tcW w:w="10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means</w:t>
            </w:r>
          </w:p>
        </w:tc>
        <w:tc>
          <w:tcPr>
            <w:tcW w:w="10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any</w:t>
            </w:r>
          </w:p>
        </w:tc>
        <w:tc>
          <w:tcPr>
            <w:tcW w:w="4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of</w:t>
            </w:r>
          </w:p>
        </w:tc>
        <w:tc>
          <w:tcPr>
            <w:tcW w:w="7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the</w:t>
            </w:r>
          </w:p>
        </w:tc>
        <w:tc>
          <w:tcPr>
            <w:tcW w:w="108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8"/>
              </w:rPr>
              <w:t>following:</w:t>
            </w:r>
          </w:p>
        </w:tc>
      </w:tr>
      <w:tr>
        <w:trPr>
          <w:trHeight w:val="590"/>
        </w:trPr>
        <w:tc>
          <w:tcPr>
            <w:tcW w:w="580" w:type="dxa"/>
            <w:vAlign w:val="bottom"/>
            <w:tcBorders>
              <w:top w:val="single" w:sz="8" w:color="auto"/>
            </w:tcBorders>
          </w:tcPr>
          <w:p>
            <w:pPr>
              <w:spacing w:after="0"/>
              <w:rPr>
                <w:sz w:val="24"/>
                <w:szCs w:val="24"/>
                <w:color w:val="auto"/>
              </w:rPr>
            </w:pPr>
          </w:p>
        </w:tc>
        <w:tc>
          <w:tcPr>
            <w:tcW w:w="44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w w:val="99"/>
              </w:rPr>
              <w:t>(1)</w:t>
            </w:r>
          </w:p>
        </w:tc>
        <w:tc>
          <w:tcPr>
            <w:tcW w:w="620" w:type="dxa"/>
            <w:vAlign w:val="bottom"/>
          </w:tcPr>
          <w:p>
            <w:pPr>
              <w:spacing w:after="0"/>
              <w:rPr>
                <w:sz w:val="24"/>
                <w:szCs w:val="24"/>
                <w:color w:val="auto"/>
              </w:rPr>
            </w:pPr>
          </w:p>
        </w:tc>
        <w:tc>
          <w:tcPr>
            <w:tcW w:w="6600" w:type="dxa"/>
            <w:vAlign w:val="bottom"/>
            <w:gridSpan w:val="7"/>
          </w:tcPr>
          <w:p>
            <w:pPr>
              <w:ind w:left="520"/>
              <w:spacing w:after="0"/>
              <w:rPr>
                <w:sz w:val="20"/>
                <w:szCs w:val="20"/>
                <w:color w:val="auto"/>
              </w:rPr>
            </w:pPr>
            <w:r>
              <w:rPr>
                <w:rFonts w:ascii="Times New Roman" w:cs="Times New Roman" w:eastAsia="Times New Roman" w:hAnsi="Times New Roman"/>
                <w:sz w:val="19"/>
                <w:szCs w:val="19"/>
                <w:color w:val="auto"/>
              </w:rPr>
              <w:t>we do not pay interest on any of the 2030 Notes within 30 days of its due date;</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0" w:lineRule="exact"/>
        <w:rPr>
          <w:sz w:val="20"/>
          <w:szCs w:val="20"/>
          <w:color w:val="auto"/>
        </w:rPr>
      </w:pPr>
    </w:p>
    <w:p>
      <w:pPr>
        <w:spacing w:after="0" w:line="221" w:lineRule="exact"/>
        <w:rPr>
          <w:sz w:val="20"/>
          <w:szCs w:val="20"/>
          <w:color w:val="auto"/>
        </w:rPr>
      </w:pPr>
    </w:p>
    <w:p>
      <w:pPr>
        <w:ind w:left="1220" w:right="20" w:hanging="1202"/>
        <w:spacing w:after="0" w:line="352" w:lineRule="auto"/>
        <w:tabs>
          <w:tab w:leader="none" w:pos="12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fail to pay the principal (or premium, if any) of any 2030 Note, when such principal becomes due and payable, at maturity, upon acceleration, upon redemption or otherwise;</w:t>
      </w:r>
    </w:p>
    <w:p>
      <w:pPr>
        <w:spacing w:after="0" w:line="319" w:lineRule="exact"/>
        <w:rPr>
          <w:rFonts w:ascii="Times New Roman" w:cs="Times New Roman" w:eastAsia="Times New Roman" w:hAnsi="Times New Roman"/>
          <w:sz w:val="19"/>
          <w:szCs w:val="19"/>
          <w:color w:val="auto"/>
        </w:rPr>
      </w:pPr>
    </w:p>
    <w:p>
      <w:pPr>
        <w:ind w:left="1240" w:hanging="1222"/>
        <w:spacing w:after="0"/>
        <w:tabs>
          <w:tab w:leader="none" w:pos="124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fail to comply with certain covenants under the indenture;</w:t>
      </w:r>
    </w:p>
    <w:p>
      <w:pPr>
        <w:spacing w:after="0" w:line="200" w:lineRule="exact"/>
        <w:rPr>
          <w:rFonts w:ascii="Times New Roman" w:cs="Times New Roman" w:eastAsia="Times New Roman" w:hAnsi="Times New Roman"/>
          <w:sz w:val="19"/>
          <w:szCs w:val="19"/>
          <w:color w:val="auto"/>
        </w:rPr>
      </w:pPr>
    </w:p>
    <w:p>
      <w:pPr>
        <w:spacing w:after="0" w:line="253" w:lineRule="exact"/>
        <w:rPr>
          <w:rFonts w:ascii="Times New Roman" w:cs="Times New Roman" w:eastAsia="Times New Roman" w:hAnsi="Times New Roman"/>
          <w:sz w:val="19"/>
          <w:szCs w:val="19"/>
          <w:color w:val="auto"/>
        </w:rPr>
      </w:pPr>
    </w:p>
    <w:p>
      <w:pPr>
        <w:jc w:val="both"/>
        <w:ind w:left="1240" w:right="20" w:hanging="1222"/>
        <w:spacing w:after="0" w:line="328" w:lineRule="auto"/>
        <w:tabs>
          <w:tab w:leader="none" w:pos="124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remain in breach of a covenant or warranty in respect of the indenture or 2030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2030 Notes;</w:t>
      </w:r>
    </w:p>
    <w:p>
      <w:pPr>
        <w:spacing w:after="0" w:line="342" w:lineRule="exact"/>
        <w:rPr>
          <w:rFonts w:ascii="Times New Roman" w:cs="Times New Roman" w:eastAsia="Times New Roman" w:hAnsi="Times New Roman"/>
          <w:sz w:val="19"/>
          <w:szCs w:val="19"/>
          <w:color w:val="auto"/>
        </w:rPr>
      </w:pPr>
    </w:p>
    <w:p>
      <w:pPr>
        <w:ind w:left="1220" w:hanging="1202"/>
        <w:spacing w:after="0"/>
        <w:tabs>
          <w:tab w:leader="none" w:pos="12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file for bankruptcy, or other events of bankruptcy, insolvency or reorganization specified in the indenture;</w:t>
      </w:r>
    </w:p>
    <w:p>
      <w:pPr>
        <w:spacing w:after="0" w:line="200" w:lineRule="exact"/>
        <w:rPr>
          <w:rFonts w:ascii="Times New Roman" w:cs="Times New Roman" w:eastAsia="Times New Roman" w:hAnsi="Times New Roman"/>
          <w:sz w:val="19"/>
          <w:szCs w:val="19"/>
          <w:color w:val="auto"/>
        </w:rPr>
      </w:pPr>
    </w:p>
    <w:p>
      <w:pPr>
        <w:spacing w:after="0" w:line="253" w:lineRule="exact"/>
        <w:rPr>
          <w:rFonts w:ascii="Times New Roman" w:cs="Times New Roman" w:eastAsia="Times New Roman" w:hAnsi="Times New Roman"/>
          <w:sz w:val="19"/>
          <w:szCs w:val="19"/>
          <w:color w:val="auto"/>
        </w:rPr>
      </w:pPr>
    </w:p>
    <w:p>
      <w:pPr>
        <w:jc w:val="both"/>
        <w:ind w:left="1220" w:right="20" w:hanging="1202"/>
        <w:spacing w:after="0" w:line="328" w:lineRule="auto"/>
        <w:tabs>
          <w:tab w:leader="none" w:pos="12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2030 Notes; or</w:t>
      </w:r>
    </w:p>
    <w:p>
      <w:pPr>
        <w:sectPr>
          <w:pgSz w:w="11900" w:h="16840" w:orient="portrait"/>
          <w:cols w:equalWidth="0" w:num="1">
            <w:col w:w="10580"/>
          </w:cols>
          <w:pgMar w:left="660" w:top="1440" w:right="660" w:bottom="1440" w:gutter="0" w:footer="0" w:header="0"/>
        </w:sectPr>
      </w:pPr>
    </w:p>
    <w:bookmarkStart w:id="123" w:name="page124"/>
    <w:bookmarkEnd w:id="123"/>
    <w:p>
      <w:pPr>
        <w:spacing w:after="0" w:line="200" w:lineRule="exact"/>
        <w:rPr>
          <w:sz w:val="20"/>
          <w:szCs w:val="20"/>
          <w:color w:val="auto"/>
        </w:rPr>
      </w:pPr>
    </w:p>
    <w:p>
      <w:pPr>
        <w:spacing w:after="0" w:line="381" w:lineRule="exact"/>
        <w:rPr>
          <w:sz w:val="20"/>
          <w:szCs w:val="20"/>
          <w:color w:val="auto"/>
        </w:rPr>
      </w:pPr>
    </w:p>
    <w:p>
      <w:pPr>
        <w:jc w:val="both"/>
        <w:ind w:left="1220" w:right="20" w:hanging="1202"/>
        <w:spacing w:after="0" w:line="334" w:lineRule="auto"/>
        <w:tabs>
          <w:tab w:leader="none" w:pos="122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30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If an Event of Default (other than an Event of Default specified in clause (5) above) with respect to the 2030 Notes has occurred, the trustee or the holders of at least 25% in principal amount of the 2030 Notes may declare the entire unpaid principal amount of (and premium, if any), and all the accrued interest on, the Notes to be due and immediately payable. This is called a declaration of acceleration of maturity. There is no action on the part of the trustee or any holder of the 2030 Notes required for such declaration if the Event of Default is the Company’s bankruptcy, insolvency or reorganization. Holders of a majority in principal amount of the 2030 Notes may also waive certain past defaults under the indenture with respect to the 2030 Notes on behalf of all of the holders of the 2030 Notes. A declaration of acceleration of maturity may be canceled, under specified circumstances, by the holders of at least a majority in principal amount of the 2030 Notes and the trustee.</w:t>
      </w:r>
    </w:p>
    <w:p>
      <w:pPr>
        <w:spacing w:after="0" w:line="19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2030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Modification of the Indenture and Waiver of Rights of Holders</w:t>
      </w:r>
    </w:p>
    <w:p>
      <w:pPr>
        <w:spacing w:after="0" w:line="27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Under certain circumstances, we can make changes to the indenture and the 2030 Notes. Some types of changes require the approval of each holder of 2030 Notes, some require approval by a vote of a majority of the holders of the 2030 Notes, and some changes do not require any approval at all.</w:t>
      </w:r>
    </w:p>
    <w:p>
      <w:pPr>
        <w:sectPr>
          <w:pgSz w:w="11900" w:h="16840" w:orient="portrait"/>
          <w:cols w:equalWidth="0" w:num="1">
            <w:col w:w="10580"/>
          </w:cols>
          <w:pgMar w:left="660" w:top="1440" w:right="660" w:bottom="1440" w:gutter="0" w:footer="0" w:header="0"/>
        </w:sectPr>
      </w:pPr>
    </w:p>
    <w:bookmarkStart w:id="124" w:name="page125"/>
    <w:bookmarkEnd w:id="124"/>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Description of the 1.75% Senior Notes Due 2029</w:t>
      </w:r>
    </w:p>
    <w:p>
      <w:pPr>
        <w:spacing w:after="0" w:line="300" w:lineRule="exact"/>
        <w:rPr>
          <w:sz w:val="20"/>
          <w:szCs w:val="20"/>
          <w:color w:val="auto"/>
        </w:rPr>
      </w:pPr>
    </w:p>
    <w:p>
      <w:pPr>
        <w:jc w:val="both"/>
        <w:ind w:firstLine="396"/>
        <w:spacing w:after="0" w:line="315" w:lineRule="auto"/>
        <w:rPr>
          <w:sz w:val="20"/>
          <w:szCs w:val="20"/>
          <w:color w:val="auto"/>
        </w:rPr>
      </w:pPr>
      <w:r>
        <w:rPr>
          <w:rFonts w:ascii="Times New Roman" w:cs="Times New Roman" w:eastAsia="Times New Roman" w:hAnsi="Times New Roman"/>
          <w:sz w:val="19"/>
          <w:szCs w:val="19"/>
          <w:color w:val="auto"/>
        </w:rPr>
        <w:t>The 1.75% Senior Notes due 2029 (the “</w:t>
      </w:r>
      <w:r>
        <w:rPr>
          <w:rFonts w:ascii="Times New Roman" w:cs="Times New Roman" w:eastAsia="Times New Roman" w:hAnsi="Times New Roman"/>
          <w:sz w:val="19"/>
          <w:szCs w:val="19"/>
          <w:u w:val="single" w:color="auto"/>
          <w:color w:val="auto"/>
        </w:rPr>
        <w:t>2029 Notes</w:t>
      </w:r>
      <w:r>
        <w:rPr>
          <w:rFonts w:ascii="Times New Roman" w:cs="Times New Roman" w:eastAsia="Times New Roman" w:hAnsi="Times New Roman"/>
          <w:sz w:val="19"/>
          <w:szCs w:val="19"/>
          <w:color w:val="auto"/>
        </w:rPr>
        <w:t>”) were issued under an indenture, dated as of June 7, 2013 (the “</w:t>
      </w:r>
      <w:r>
        <w:rPr>
          <w:rFonts w:ascii="Times New Roman" w:cs="Times New Roman" w:eastAsia="Times New Roman" w:hAnsi="Times New Roman"/>
          <w:sz w:val="19"/>
          <w:szCs w:val="19"/>
          <w:u w:val="single" w:color="auto"/>
          <w:color w:val="auto"/>
        </w:rPr>
        <w:t>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between Nasdaq, Inc. and Wells Fargo Bank, National Association, as trustee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and a sixth supplemental indenture dated as of April 1, 2019 (the “</w:t>
      </w:r>
      <w:r>
        <w:rPr>
          <w:rFonts w:ascii="Times New Roman" w:cs="Times New Roman" w:eastAsia="Times New Roman" w:hAnsi="Times New Roman"/>
          <w:sz w:val="19"/>
          <w:szCs w:val="19"/>
          <w:u w:val="single" w:color="auto"/>
          <w:color w:val="auto"/>
        </w:rPr>
        <w:t>supplemental indentu</w:t>
      </w:r>
      <w:r>
        <w:rPr>
          <w:rFonts w:ascii="Times New Roman" w:cs="Times New Roman" w:eastAsia="Times New Roman" w:hAnsi="Times New Roman"/>
          <w:sz w:val="19"/>
          <w:szCs w:val="19"/>
          <w:color w:val="auto"/>
        </w:rPr>
        <w:t>re” and, together with the base indenture, the “indenture”). The indenture is publicly available at www.sec.gov.</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We issued €600 million aggregate principal amount of the 2029 Notes on April 1, 2019.</w:t>
      </w:r>
    </w:p>
    <w:p>
      <w:pPr>
        <w:spacing w:after="0" w:line="274" w:lineRule="exact"/>
        <w:rPr>
          <w:sz w:val="20"/>
          <w:szCs w:val="20"/>
          <w:color w:val="auto"/>
        </w:rPr>
      </w:pPr>
    </w:p>
    <w:p>
      <w:pPr>
        <w:jc w:val="both"/>
        <w:ind w:right="20" w:firstLine="396"/>
        <w:spacing w:after="0" w:line="325" w:lineRule="auto"/>
        <w:rPr>
          <w:sz w:val="20"/>
          <w:szCs w:val="20"/>
          <w:color w:val="auto"/>
        </w:rPr>
      </w:pPr>
      <w:r>
        <w:rPr>
          <w:rFonts w:ascii="Times New Roman" w:cs="Times New Roman" w:eastAsia="Times New Roman" w:hAnsi="Times New Roman"/>
          <w:sz w:val="19"/>
          <w:szCs w:val="19"/>
          <w:color w:val="auto"/>
        </w:rPr>
        <w:t>This summary is subject to, and qualified in its entirety by reference to, all the provisions of the 2029 Notes and the indenture, including definitions of certain terms used therein.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2029 Notes:</w:t>
      </w:r>
    </w:p>
    <w:p>
      <w:pPr>
        <w:spacing w:after="0" w:line="274" w:lineRule="exact"/>
        <w:rPr>
          <w:sz w:val="20"/>
          <w:szCs w:val="20"/>
          <w:color w:val="auto"/>
        </w:rPr>
      </w:pPr>
    </w:p>
    <w:p>
      <w:pPr>
        <w:ind w:left="980" w:hanging="290"/>
        <w:spacing w:after="0"/>
        <w:tabs>
          <w:tab w:leader="none" w:pos="9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senior unsecured obligations;</w:t>
      </w:r>
    </w:p>
    <w:p>
      <w:pPr>
        <w:spacing w:after="0" w:line="273" w:lineRule="exact"/>
        <w:rPr>
          <w:rFonts w:ascii="Times New Roman" w:cs="Times New Roman" w:eastAsia="Times New Roman" w:hAnsi="Times New Roman"/>
          <w:sz w:val="19"/>
          <w:szCs w:val="19"/>
          <w:color w:val="auto"/>
        </w:rPr>
      </w:pPr>
    </w:p>
    <w:p>
      <w:pPr>
        <w:ind w:left="980" w:right="20" w:hanging="290"/>
        <w:spacing w:after="0" w:line="325" w:lineRule="auto"/>
        <w:tabs>
          <w:tab w:leader="none" w:pos="9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rank equally in right of payment with all of our other senior unsecured indebtedness from time to time outstanding, commercial paper issuances and indebtedness under our 2017 credit facility;</w:t>
      </w:r>
    </w:p>
    <w:p>
      <w:pPr>
        <w:spacing w:after="0" w:line="164" w:lineRule="exact"/>
        <w:rPr>
          <w:rFonts w:ascii="Times New Roman" w:cs="Times New Roman" w:eastAsia="Times New Roman" w:hAnsi="Times New Roman"/>
          <w:sz w:val="19"/>
          <w:szCs w:val="19"/>
          <w:color w:val="auto"/>
        </w:rPr>
      </w:pPr>
    </w:p>
    <w:p>
      <w:pPr>
        <w:ind w:left="980" w:right="20" w:hanging="290"/>
        <w:spacing w:after="0" w:line="325" w:lineRule="auto"/>
        <w:tabs>
          <w:tab w:leader="none" w:pos="9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structurally subordinated in right of payment to all existing and future obligations of our subsidiaries, including claims with respect to trade payables; and</w:t>
      </w:r>
    </w:p>
    <w:p>
      <w:pPr>
        <w:spacing w:after="0" w:line="164" w:lineRule="exact"/>
        <w:rPr>
          <w:rFonts w:ascii="Times New Roman" w:cs="Times New Roman" w:eastAsia="Times New Roman" w:hAnsi="Times New Roman"/>
          <w:sz w:val="19"/>
          <w:szCs w:val="19"/>
          <w:color w:val="auto"/>
        </w:rPr>
      </w:pPr>
    </w:p>
    <w:p>
      <w:pPr>
        <w:ind w:left="980" w:right="20" w:hanging="290"/>
        <w:spacing w:after="0" w:line="325" w:lineRule="auto"/>
        <w:tabs>
          <w:tab w:leader="none" w:pos="9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2029 Notes were issued in minimum denominations of €100,000 and integral multiples of €1,000 in excess thereof.</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Principal, Maturity and Interest</w:t>
      </w:r>
    </w:p>
    <w:p>
      <w:pPr>
        <w:spacing w:after="0" w:line="276" w:lineRule="exact"/>
        <w:rPr>
          <w:sz w:val="20"/>
          <w:szCs w:val="20"/>
          <w:color w:val="auto"/>
        </w:rPr>
      </w:pPr>
    </w:p>
    <w:p>
      <w:pPr>
        <w:jc w:val="both"/>
        <w:ind w:firstLine="396"/>
        <w:spacing w:after="0" w:line="302" w:lineRule="auto"/>
        <w:rPr>
          <w:sz w:val="20"/>
          <w:szCs w:val="20"/>
          <w:color w:val="auto"/>
        </w:rPr>
      </w:pPr>
      <w:r>
        <w:rPr>
          <w:rFonts w:ascii="Times New Roman" w:cs="Times New Roman" w:eastAsia="Times New Roman" w:hAnsi="Times New Roman"/>
          <w:sz w:val="19"/>
          <w:szCs w:val="19"/>
          <w:color w:val="auto"/>
        </w:rPr>
        <w:t>The 2029 Notes bear interest at a rate of 1.75% per year. Interest on the 2029 Notes is payable annually in arrears on of each year, beginning on March 28, 2020, and is computed on the basis of the actual number of days in the period for which interest is being calculated and the actual number of days from and including the last date on which interest was paid on the 2029 Notes (or the settlement date if no interest has been paid or duly provided for on the 2029 Notes),</w:t>
      </w:r>
    </w:p>
    <w:p>
      <w:pPr>
        <w:sectPr>
          <w:pgSz w:w="11900" w:h="16840" w:orient="portrait"/>
          <w:cols w:equalWidth="0" w:num="1">
            <w:col w:w="10580"/>
          </w:cols>
          <w:pgMar w:left="660" w:top="1440" w:right="660" w:bottom="1440" w:gutter="0" w:footer="0" w:header="0"/>
        </w:sectPr>
      </w:pPr>
    </w:p>
    <w:bookmarkStart w:id="125" w:name="page126"/>
    <w:bookmarkEnd w:id="125"/>
    <w:p>
      <w:pPr>
        <w:spacing w:after="0" w:line="281"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9"/>
          <w:szCs w:val="19"/>
          <w:color w:val="auto"/>
        </w:rPr>
        <w:t>to but excluding the next date on which interest is paid or duly provided for. This payment convention is referred to as ACTUAL/ACTUAL (ICMA) as defined in the rulebook of the International Capital Market Association. Interest on the 2029 Notes accrues from and including the settlement date and will be paid to holders of record on the day immediately prior to the applicable interest payment date.</w:t>
      </w:r>
    </w:p>
    <w:p>
      <w:pPr>
        <w:spacing w:after="0" w:line="185" w:lineRule="exact"/>
        <w:rPr>
          <w:sz w:val="20"/>
          <w:szCs w:val="20"/>
          <w:color w:val="auto"/>
        </w:rPr>
      </w:pPr>
    </w:p>
    <w:p>
      <w:pPr>
        <w:jc w:val="both"/>
        <w:ind w:firstLine="396"/>
        <w:spacing w:after="0" w:line="325" w:lineRule="auto"/>
        <w:rPr>
          <w:sz w:val="20"/>
          <w:szCs w:val="20"/>
          <w:color w:val="auto"/>
        </w:rPr>
      </w:pPr>
      <w:r>
        <w:rPr>
          <w:rFonts w:ascii="Times New Roman" w:cs="Times New Roman" w:eastAsia="Times New Roman" w:hAnsi="Times New Roman"/>
          <w:sz w:val="19"/>
          <w:szCs w:val="19"/>
          <w:color w:val="auto"/>
        </w:rPr>
        <w:t>The 2029 Notes will mature on March 28, 2029. On the maturity date of the 2029 Notes, the holders will be entitled to receive 100% of the principal amount of such 2029 Notes. The 2029 Notes will not have the benefit of any sinking fund.</w:t>
      </w:r>
    </w:p>
    <w:p>
      <w:pPr>
        <w:spacing w:after="0" w:line="165" w:lineRule="exact"/>
        <w:rPr>
          <w:sz w:val="20"/>
          <w:szCs w:val="20"/>
          <w:color w:val="auto"/>
        </w:rPr>
      </w:pPr>
    </w:p>
    <w:p>
      <w:pPr>
        <w:jc w:val="both"/>
        <w:ind w:right="20" w:firstLine="396"/>
        <w:spacing w:after="0" w:line="302" w:lineRule="auto"/>
        <w:rPr>
          <w:sz w:val="20"/>
          <w:szCs w:val="20"/>
          <w:color w:val="auto"/>
        </w:rPr>
      </w:pPr>
      <w:r>
        <w:rPr>
          <w:rFonts w:ascii="Times New Roman" w:cs="Times New Roman" w:eastAsia="Times New Roman" w:hAnsi="Times New Roman"/>
          <w:sz w:val="19"/>
          <w:szCs w:val="19"/>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2029 Notes, when we use the term “business day” we mean any day except a Saturday, a Sunday or a day on which banking institutions in the applicable place of payment are authorized or required by law, regulation or executive order to close.</w:t>
      </w:r>
    </w:p>
    <w:p>
      <w:pPr>
        <w:spacing w:after="0" w:line="185" w:lineRule="exact"/>
        <w:rPr>
          <w:sz w:val="20"/>
          <w:szCs w:val="20"/>
          <w:color w:val="auto"/>
        </w:rPr>
      </w:pPr>
    </w:p>
    <w:p>
      <w:pPr>
        <w:jc w:val="both"/>
        <w:ind w:firstLine="396"/>
        <w:spacing w:after="0" w:line="302" w:lineRule="auto"/>
        <w:rPr>
          <w:sz w:val="20"/>
          <w:szCs w:val="20"/>
          <w:color w:val="auto"/>
        </w:rPr>
      </w:pPr>
      <w:r>
        <w:rPr>
          <w:rFonts w:ascii="Times New Roman" w:cs="Times New Roman" w:eastAsia="Times New Roman" w:hAnsi="Times New Roman"/>
          <w:sz w:val="19"/>
          <w:szCs w:val="19"/>
          <w:color w:val="auto"/>
        </w:rPr>
        <w:t>Claims against the Company for payment of principal, interest and additional amounts, if any, on the 2029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Euro Notes—Issuance in Euros</w:t>
      </w:r>
    </w:p>
    <w:p>
      <w:pPr>
        <w:spacing w:after="0" w:line="276" w:lineRule="exact"/>
        <w:rPr>
          <w:sz w:val="20"/>
          <w:szCs w:val="20"/>
          <w:color w:val="auto"/>
        </w:rPr>
      </w:pPr>
    </w:p>
    <w:p>
      <w:pPr>
        <w:jc w:val="both"/>
        <w:ind w:right="20" w:firstLine="576"/>
        <w:spacing w:after="0" w:line="297" w:lineRule="auto"/>
        <w:rPr>
          <w:sz w:val="20"/>
          <w:szCs w:val="20"/>
          <w:color w:val="auto"/>
        </w:rPr>
      </w:pPr>
      <w:r>
        <w:rPr>
          <w:rFonts w:ascii="Times New Roman" w:cs="Times New Roman" w:eastAsia="Times New Roman" w:hAnsi="Times New Roman"/>
          <w:sz w:val="19"/>
          <w:szCs w:val="19"/>
          <w:color w:val="auto"/>
        </w:rPr>
        <w:t>Initial holders of the 2029 Notes paid for the 2029 Notes in euros, and principal, premium, if any, and interest payments and additional amounts, if any, in respect of the Notes will be payable in euros. If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2029 Notes will be made in U.S. dollars until the euro is again available to us or so used.</w:t>
      </w:r>
    </w:p>
    <w:p>
      <w:pPr>
        <w:spacing w:after="0" w:line="190"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9"/>
          <w:szCs w:val="19"/>
          <w:color w:val="auto"/>
        </w:rPr>
        <w:t>The amount payable on any date in euros will be converted to U.S. dollars on the basis of the most recently available market exchange rate for euros as determined by us in our sole discretion. Any payment in respect of the 2029 Notes so made in U.S. dollars will not constitute an event of default under the indenture or the 2029 Notes. Neither the trustee nor the paying agent will be responsible for obtaining exchange rates, effecting conversions or otherwise handling redenominations.</w:t>
      </w:r>
    </w:p>
    <w:p>
      <w:pPr>
        <w:sectPr>
          <w:pgSz w:w="11900" w:h="16840" w:orient="portrait"/>
          <w:cols w:equalWidth="0" w:num="1">
            <w:col w:w="10580"/>
          </w:cols>
          <w:pgMar w:left="660" w:top="1440" w:right="660" w:bottom="1440" w:gutter="0" w:footer="0" w:header="0"/>
        </w:sectPr>
      </w:pPr>
    </w:p>
    <w:bookmarkStart w:id="126" w:name="page127"/>
    <w:bookmarkEnd w:id="126"/>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Rate Adjustment</w:t>
      </w:r>
    </w:p>
    <w:p>
      <w:pPr>
        <w:spacing w:after="0" w:line="276" w:lineRule="exact"/>
        <w:rPr>
          <w:sz w:val="20"/>
          <w:szCs w:val="20"/>
          <w:color w:val="auto"/>
        </w:rPr>
      </w:pPr>
    </w:p>
    <w:p>
      <w:pPr>
        <w:ind w:right="60" w:firstLine="396"/>
        <w:spacing w:after="0" w:line="325" w:lineRule="auto"/>
        <w:rPr>
          <w:sz w:val="20"/>
          <w:szCs w:val="20"/>
          <w:color w:val="auto"/>
        </w:rPr>
      </w:pPr>
      <w:r>
        <w:rPr>
          <w:rFonts w:ascii="Times New Roman" w:cs="Times New Roman" w:eastAsia="Times New Roman" w:hAnsi="Times New Roman"/>
          <w:sz w:val="19"/>
          <w:szCs w:val="19"/>
          <w:color w:val="auto"/>
        </w:rPr>
        <w:t>The interest rate payable on the 2029 Notes will be subject to adjustment from time to time if either Moody’s or S&amp;P, or, in either case, any substitute rating agency downgrades (or subsequently upgrades) the credit rating assigned to the 2029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Ranking</w:t>
      </w:r>
    </w:p>
    <w:p>
      <w:pPr>
        <w:spacing w:after="0" w:line="276" w:lineRule="exact"/>
        <w:rPr>
          <w:sz w:val="20"/>
          <w:szCs w:val="20"/>
          <w:color w:val="auto"/>
        </w:rPr>
      </w:pPr>
    </w:p>
    <w:p>
      <w:pPr>
        <w:jc w:val="both"/>
        <w:ind w:right="20" w:firstLine="396"/>
        <w:spacing w:after="0" w:line="325" w:lineRule="auto"/>
        <w:rPr>
          <w:sz w:val="20"/>
          <w:szCs w:val="20"/>
          <w:color w:val="auto"/>
        </w:rPr>
      </w:pPr>
      <w:r>
        <w:rPr>
          <w:rFonts w:ascii="Times New Roman" w:cs="Times New Roman" w:eastAsia="Times New Roman" w:hAnsi="Times New Roman"/>
          <w:sz w:val="19"/>
          <w:szCs w:val="19"/>
          <w:color w:val="auto"/>
        </w:rPr>
        <w:t>The 2029 Notes are general unsecured obligations of ours and rank equally with all of our existing and future unsubordinated obligations.</w:t>
      </w:r>
    </w:p>
    <w:p>
      <w:pPr>
        <w:spacing w:after="0" w:line="165" w:lineRule="exact"/>
        <w:rPr>
          <w:sz w:val="20"/>
          <w:szCs w:val="20"/>
          <w:color w:val="auto"/>
        </w:rPr>
      </w:pPr>
    </w:p>
    <w:p>
      <w:pPr>
        <w:jc w:val="both"/>
        <w:ind w:firstLine="396"/>
        <w:spacing w:after="0" w:line="308" w:lineRule="auto"/>
        <w:rPr>
          <w:sz w:val="20"/>
          <w:szCs w:val="20"/>
          <w:color w:val="auto"/>
        </w:rPr>
      </w:pPr>
      <w:r>
        <w:rPr>
          <w:rFonts w:ascii="Times New Roman" w:cs="Times New Roman" w:eastAsia="Times New Roman" w:hAnsi="Times New Roman"/>
          <w:sz w:val="19"/>
          <w:szCs w:val="19"/>
          <w:color w:val="auto"/>
        </w:rPr>
        <w:t>Holders of any secured indebtedness and other secured obligations of the Company will have claims that are prior to claims as holders of the 2029 Notes, to the extent of the value of the assets securing such indebtedness and other obligations, in the event of any bankruptcy, liquidation or similar proceeding.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Further Issues</w:t>
      </w:r>
    </w:p>
    <w:p>
      <w:pPr>
        <w:spacing w:after="0" w:line="276" w:lineRule="exact"/>
        <w:rPr>
          <w:sz w:val="20"/>
          <w:szCs w:val="20"/>
          <w:color w:val="auto"/>
        </w:rPr>
      </w:pPr>
    </w:p>
    <w:p>
      <w:pPr>
        <w:jc w:val="both"/>
        <w:ind w:firstLine="396"/>
        <w:spacing w:after="0" w:line="294" w:lineRule="auto"/>
        <w:rPr>
          <w:sz w:val="20"/>
          <w:szCs w:val="20"/>
          <w:color w:val="auto"/>
        </w:rPr>
      </w:pPr>
      <w:r>
        <w:rPr>
          <w:rFonts w:ascii="Times New Roman" w:cs="Times New Roman" w:eastAsia="Times New Roman" w:hAnsi="Times New Roman"/>
          <w:sz w:val="19"/>
          <w:szCs w:val="19"/>
          <w:color w:val="auto"/>
        </w:rPr>
        <w:t>The 2029 Notes constituted a separate series of debt securities under the indenture, limited to €600 million. Under the indenture, we may, without the consent of the holders of the 2029 Notes, issue additional 2029 Notes of the same or a different series from time to time in the future in an unlimited aggregate principal amount; provided, that, if any such additional 2029 Notes are not fungible with the 2029 Notes (or any other tranche of additional 2029 Notes) for U.S. federal income tax purposes, then such additional 2029 Notes will have different ISIN and/or Common Code numbers than the 2029 Notes (and any such other tranche of additional 2029 Notes). The 2029 Notes and any additional 2029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2029 Notes, as well as any additional 2029 Notes that we may issue by reopening such series, will vote or take action as a single class.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Redemption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Optional Redemption</w:t>
      </w:r>
    </w:p>
    <w:p>
      <w:pPr>
        <w:spacing w:after="0" w:line="278" w:lineRule="exact"/>
        <w:rPr>
          <w:sz w:val="20"/>
          <w:szCs w:val="20"/>
          <w:color w:val="auto"/>
        </w:rPr>
      </w:pPr>
    </w:p>
    <w:p>
      <w:pPr>
        <w:jc w:val="both"/>
        <w:ind w:firstLine="396"/>
        <w:spacing w:after="0" w:line="308" w:lineRule="auto"/>
        <w:rPr>
          <w:sz w:val="20"/>
          <w:szCs w:val="20"/>
          <w:color w:val="auto"/>
        </w:rPr>
      </w:pPr>
      <w:r>
        <w:rPr>
          <w:rFonts w:ascii="Times New Roman" w:cs="Times New Roman" w:eastAsia="Times New Roman" w:hAnsi="Times New Roman"/>
          <w:sz w:val="19"/>
          <w:szCs w:val="19"/>
          <w:color w:val="auto"/>
        </w:rPr>
        <w:t>The 2029 Notes will be redeemable, in whole at any time or in part from time to time, at our option, at a redemption price (the “make-whole redemption price”) equal to the greater of (i) 100% of the principal amount of the 2029 Notes, and (ii) as determined by the Quotation Agent (as defined below), the sum of the present values of the remaining scheduled payments of</w:t>
      </w:r>
    </w:p>
    <w:p>
      <w:pPr>
        <w:sectPr>
          <w:pgSz w:w="11900" w:h="16840" w:orient="portrait"/>
          <w:cols w:equalWidth="0" w:num="1">
            <w:col w:w="10580"/>
          </w:cols>
          <w:pgMar w:left="660" w:top="1440" w:right="660" w:bottom="1440" w:gutter="0" w:footer="0" w:header="0"/>
        </w:sectPr>
      </w:pPr>
    </w:p>
    <w:bookmarkStart w:id="127" w:name="page128"/>
    <w:bookmarkEnd w:id="127"/>
    <w:p>
      <w:pPr>
        <w:spacing w:after="0" w:line="281"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9"/>
          <w:szCs w:val="19"/>
          <w:color w:val="auto"/>
        </w:rPr>
        <w:t>principal and interest on the 2029 Notes (exclusive of interest accrued and unpaid as of the date of redemption), discounted to the date of redemption on an annual basis (ACTUAL/ACTUAL (ICMA)) at the Bund Rate (as defined below), plus 30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85" w:lineRule="exact"/>
        <w:rPr>
          <w:sz w:val="20"/>
          <w:szCs w:val="20"/>
          <w:color w:val="auto"/>
        </w:rPr>
      </w:pPr>
    </w:p>
    <w:p>
      <w:pPr>
        <w:jc w:val="both"/>
        <w:ind w:right="20" w:firstLine="396"/>
        <w:spacing w:after="0" w:line="308" w:lineRule="auto"/>
        <w:rPr>
          <w:sz w:val="20"/>
          <w:szCs w:val="20"/>
          <w:color w:val="auto"/>
        </w:rPr>
      </w:pPr>
      <w:r>
        <w:rPr>
          <w:rFonts w:ascii="Times New Roman" w:cs="Times New Roman" w:eastAsia="Times New Roman" w:hAnsi="Times New Roman"/>
          <w:sz w:val="19"/>
          <w:szCs w:val="19"/>
          <w:color w:val="auto"/>
        </w:rPr>
        <w:t>Notwithstanding the foregoing, at any time on or after December 28, 2028 (three months before their maturity date), the 2029 Notes will be redeemable, in whole or in part, at our option and at any time or from time to time, at a redemption price equal to 100% of the principal amount of the 2029 Notes to be redeemed plus accrued and unpaid interest thereon to, but excluding, the date of redemption.</w:t>
      </w:r>
    </w:p>
    <w:p>
      <w:pPr>
        <w:spacing w:after="0" w:line="179" w:lineRule="exact"/>
        <w:rPr>
          <w:sz w:val="20"/>
          <w:szCs w:val="20"/>
          <w:color w:val="auto"/>
        </w:rPr>
      </w:pPr>
    </w:p>
    <w:p>
      <w:pPr>
        <w:jc w:val="both"/>
        <w:ind w:right="20" w:firstLine="396"/>
        <w:spacing w:after="0" w:line="299" w:lineRule="auto"/>
        <w:rPr>
          <w:sz w:val="20"/>
          <w:szCs w:val="20"/>
          <w:color w:val="auto"/>
        </w:rPr>
      </w:pPr>
      <w:r>
        <w:rPr>
          <w:rFonts w:ascii="Times New Roman" w:cs="Times New Roman" w:eastAsia="Times New Roman" w:hAnsi="Times New Roman"/>
          <w:sz w:val="19"/>
          <w:szCs w:val="19"/>
          <w:color w:val="auto"/>
        </w:rPr>
        <w:t>Notice of any redemption will be mailed at least 30 days, but not more than 60 days, before the redemption date to each registered holder of 2029 Notes to be redeemed. Once notice of redemption is mailed, the 2029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2029 Notes (or portion thereof) to be redeemed on such redemption date.</w:t>
      </w:r>
    </w:p>
    <w:p>
      <w:pPr>
        <w:spacing w:after="0" w:line="188" w:lineRule="exact"/>
        <w:rPr>
          <w:sz w:val="20"/>
          <w:szCs w:val="20"/>
          <w:color w:val="auto"/>
        </w:rPr>
      </w:pPr>
    </w:p>
    <w:p>
      <w:pPr>
        <w:jc w:val="both"/>
        <w:ind w:firstLine="39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Bund Rate</w:t>
      </w:r>
      <w:r>
        <w:rPr>
          <w:rFonts w:ascii="Times New Roman" w:cs="Times New Roman" w:eastAsia="Times New Roman" w:hAnsi="Times New Roman"/>
          <w:sz w:val="19"/>
          <w:szCs w:val="19"/>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79" w:lineRule="exact"/>
        <w:rPr>
          <w:sz w:val="20"/>
          <w:szCs w:val="20"/>
          <w:color w:val="auto"/>
        </w:rPr>
      </w:pPr>
    </w:p>
    <w:p>
      <w:pPr>
        <w:jc w:val="both"/>
        <w:ind w:right="20" w:firstLine="39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Comparable German Bund Issue</w:t>
      </w:r>
      <w:r>
        <w:rPr>
          <w:rFonts w:ascii="Times New Roman" w:cs="Times New Roman" w:eastAsia="Times New Roman" w:hAnsi="Times New Roman"/>
          <w:sz w:val="19"/>
          <w:szCs w:val="19"/>
          <w:color w:val="auto"/>
        </w:rPr>
        <w:t>” means that German Bundesanleihe security selected by the Quotation Agent as having a maturity comparable to the remaining term of the Notes to be redeemed that would be utilized, at the time of selection and in accordance with customary financial practice, in pricing new issues of corporate notes of comparable maturity to the remaining term of the Notes.</w:t>
      </w:r>
    </w:p>
    <w:p>
      <w:pPr>
        <w:spacing w:after="0" w:line="179" w:lineRule="exact"/>
        <w:rPr>
          <w:sz w:val="20"/>
          <w:szCs w:val="20"/>
          <w:color w:val="auto"/>
        </w:rPr>
      </w:pPr>
    </w:p>
    <w:p>
      <w:pPr>
        <w:jc w:val="both"/>
        <w:ind w:firstLine="396"/>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Comparable German Bund Price</w:t>
      </w:r>
      <w:r>
        <w:rPr>
          <w:rFonts w:ascii="Times New Roman" w:cs="Times New Roman" w:eastAsia="Times New Roman" w:hAnsi="Times New Roman"/>
          <w:sz w:val="19"/>
          <w:szCs w:val="19"/>
          <w:color w:val="auto"/>
        </w:rPr>
        <w:t>” means, with respect to any redemption date, (i) the average of four Reference German Bund Dealer Quotations for such redemption date, after excluding the highest and lowest such Reference German Bund Dealer Quotations, or</w:t>
      </w:r>
    </w:p>
    <w:p>
      <w:pPr>
        <w:ind w:left="400" w:right="200" w:hanging="394"/>
        <w:spacing w:after="0" w:line="576" w:lineRule="auto"/>
        <w:tabs>
          <w:tab w:leader="none" w:pos="286"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Quotation Agent obtains fewer than four such Reference German Bund Dealer Quotations, the average of all such quotations. “</w:t>
      </w:r>
      <w:r>
        <w:rPr>
          <w:rFonts w:ascii="Times New Roman" w:cs="Times New Roman" w:eastAsia="Times New Roman" w:hAnsi="Times New Roman"/>
          <w:sz w:val="19"/>
          <w:szCs w:val="19"/>
          <w:u w:val="single" w:color="auto"/>
          <w:color w:val="auto"/>
        </w:rPr>
        <w:t>Quotation Agent</w:t>
      </w:r>
      <w:r>
        <w:rPr>
          <w:rFonts w:ascii="Times New Roman" w:cs="Times New Roman" w:eastAsia="Times New Roman" w:hAnsi="Times New Roman"/>
          <w:sz w:val="19"/>
          <w:szCs w:val="19"/>
          <w:color w:val="auto"/>
        </w:rPr>
        <w:t>” means a Reference German Bund Dealer appointed by us.</w:t>
      </w:r>
    </w:p>
    <w:p>
      <w:pPr>
        <w:sectPr>
          <w:pgSz w:w="11900" w:h="16840" w:orient="portrait"/>
          <w:cols w:equalWidth="0" w:num="1">
            <w:col w:w="10580"/>
          </w:cols>
          <w:pgMar w:left="660" w:top="1440" w:right="660" w:bottom="1440" w:gutter="0" w:footer="0" w:header="0"/>
        </w:sectPr>
      </w:pPr>
    </w:p>
    <w:bookmarkStart w:id="128" w:name="page129"/>
    <w:bookmarkEnd w:id="128"/>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German Bund Dealer</w:t>
      </w:r>
      <w:r>
        <w:rPr>
          <w:rFonts w:ascii="Times New Roman" w:cs="Times New Roman" w:eastAsia="Times New Roman" w:hAnsi="Times New Roman"/>
          <w:sz w:val="19"/>
          <w:szCs w:val="19"/>
          <w:color w:val="auto"/>
        </w:rPr>
        <w:t>” means any dealer of German Bundesanleihe securities selected by us in good faith.</w:t>
      </w:r>
    </w:p>
    <w:p>
      <w:pPr>
        <w:spacing w:after="0" w:line="274" w:lineRule="exact"/>
        <w:rPr>
          <w:sz w:val="20"/>
          <w:szCs w:val="20"/>
          <w:color w:val="auto"/>
        </w:rPr>
      </w:pPr>
    </w:p>
    <w:p>
      <w:pPr>
        <w:jc w:val="both"/>
        <w:ind w:right="20" w:firstLine="396"/>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German Bund Dealer Quotations</w:t>
      </w:r>
      <w:r>
        <w:rPr>
          <w:rFonts w:ascii="Times New Roman" w:cs="Times New Roman" w:eastAsia="Times New Roman" w:hAnsi="Times New Roman"/>
          <w:sz w:val="19"/>
          <w:szCs w:val="19"/>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185" w:lineRule="exact"/>
        <w:rPr>
          <w:sz w:val="20"/>
          <w:szCs w:val="20"/>
          <w:color w:val="auto"/>
        </w:rPr>
      </w:pPr>
    </w:p>
    <w:p>
      <w:pPr>
        <w:jc w:val="both"/>
        <w:ind w:right="20" w:firstLine="396"/>
        <w:spacing w:after="0" w:line="302" w:lineRule="auto"/>
        <w:rPr>
          <w:sz w:val="20"/>
          <w:szCs w:val="20"/>
          <w:color w:val="auto"/>
        </w:rPr>
      </w:pPr>
      <w:r>
        <w:rPr>
          <w:rFonts w:ascii="Times New Roman" w:cs="Times New Roman" w:eastAsia="Times New Roman" w:hAnsi="Times New Roman"/>
          <w:sz w:val="19"/>
          <w:szCs w:val="19"/>
          <w:color w:val="auto"/>
        </w:rPr>
        <w:t>If we elect to redeem less than all of the 2029 Notes, and such 2029 Notes are at the time represented by a global note, then the depositary will select by lot the particular interests to be redeemed. If we elect to redeem less than all of the 2029 Notes, and any of such 2029 Notes are not represented by a global note, then the trustee will select the particular 2029 Notes to be redeemed in a manner it deems appropriate and fair (and the depositary will select by lot the particular interests in any global note to be redeemed).</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We may at any time, and from time to time, purchase the 2029 Notes at any price or prices in the open market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Repurchase upon Change of Control Triggering Event</w:t>
      </w:r>
    </w:p>
    <w:p>
      <w:pPr>
        <w:spacing w:after="0" w:line="276" w:lineRule="exact"/>
        <w:rPr>
          <w:sz w:val="20"/>
          <w:szCs w:val="20"/>
          <w:color w:val="auto"/>
        </w:rPr>
      </w:pPr>
    </w:p>
    <w:p>
      <w:pPr>
        <w:jc w:val="both"/>
        <w:ind w:right="20" w:firstLine="396"/>
        <w:spacing w:after="0" w:line="302" w:lineRule="auto"/>
        <w:rPr>
          <w:sz w:val="20"/>
          <w:szCs w:val="20"/>
          <w:color w:val="auto"/>
        </w:rPr>
      </w:pPr>
      <w:r>
        <w:rPr>
          <w:rFonts w:ascii="Times New Roman" w:cs="Times New Roman" w:eastAsia="Times New Roman" w:hAnsi="Times New Roman"/>
          <w:sz w:val="19"/>
          <w:szCs w:val="19"/>
          <w:color w:val="auto"/>
        </w:rPr>
        <w:t>If a Change of Control Triggering Event (as defined below) occurs with respect to the 2029 Notes, unless we have exercised our right to redeem the 2029 Notes, we are required to make an offer to repurchase all or, at the holder’s option, any part (equal to €100,000 or any integral multiple of €1,000 in excess thereof) of each holder’s 2029 Notes pursuant to the offer described below (the “Change of Control Offer”).</w:t>
      </w:r>
    </w:p>
    <w:p>
      <w:pPr>
        <w:spacing w:after="0" w:line="197" w:lineRule="exact"/>
        <w:rPr>
          <w:sz w:val="20"/>
          <w:szCs w:val="20"/>
          <w:color w:val="auto"/>
        </w:rPr>
      </w:pPr>
    </w:p>
    <w:p>
      <w:pPr>
        <w:jc w:val="both"/>
        <w:ind w:right="20" w:firstLine="396"/>
        <w:spacing w:after="0" w:line="334" w:lineRule="auto"/>
        <w:rPr>
          <w:sz w:val="20"/>
          <w:szCs w:val="20"/>
          <w:color w:val="auto"/>
        </w:rPr>
      </w:pPr>
      <w:r>
        <w:rPr>
          <w:rFonts w:ascii="Times New Roman" w:cs="Times New Roman" w:eastAsia="Times New Roman" w:hAnsi="Times New Roman"/>
          <w:sz w:val="19"/>
          <w:szCs w:val="19"/>
          <w:color w:val="auto"/>
        </w:rPr>
        <w:t>In the Change of Control Offer, we will be required to offer payment in cash equal to 101% of the aggregate principal amount of 2029 Notes repurchased plus accrued and unpaid interest, if any, on the Notes repurchased to, but not including, the date of purchase (the “Change of Control Payment”).</w:t>
      </w:r>
    </w:p>
    <w:p>
      <w:pPr>
        <w:spacing w:after="0" w:line="168" w:lineRule="exact"/>
        <w:rPr>
          <w:sz w:val="20"/>
          <w:szCs w:val="20"/>
          <w:color w:val="auto"/>
        </w:rPr>
      </w:pPr>
    </w:p>
    <w:p>
      <w:pPr>
        <w:jc w:val="both"/>
        <w:ind w:firstLine="396"/>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w:t>
      </w:r>
      <w:r>
        <w:rPr>
          <w:rFonts w:ascii="Times New Roman" w:cs="Times New Roman" w:eastAsia="Times New Roman" w:hAnsi="Times New Roman"/>
          <w:sz w:val="19"/>
          <w:szCs w:val="19"/>
          <w:u w:val="single" w:color="auto"/>
          <w:color w:val="auto"/>
        </w:rPr>
        <w:t>Group</w:t>
      </w:r>
      <w:r>
        <w:rPr>
          <w:rFonts w:ascii="Times New Roman" w:cs="Times New Roman" w:eastAsia="Times New Roman" w:hAnsi="Times New Roman"/>
          <w:sz w:val="19"/>
          <w:szCs w:val="19"/>
          <w:color w:val="auto"/>
        </w:rPr>
        <w:t>”) other than us or one of our subsidiaries; (2) the approval by the holders of our common stock of any plan or proposal for our liquidation or</w:t>
      </w:r>
    </w:p>
    <w:p>
      <w:pPr>
        <w:sectPr>
          <w:pgSz w:w="11900" w:h="16840" w:orient="portrait"/>
          <w:cols w:equalWidth="0" w:num="1">
            <w:col w:w="10580"/>
          </w:cols>
          <w:pgMar w:left="660" w:top="1440" w:right="660" w:bottom="1440" w:gutter="0" w:footer="0" w:header="0"/>
        </w:sectPr>
      </w:pPr>
    </w:p>
    <w:bookmarkStart w:id="129" w:name="page130"/>
    <w:bookmarkEnd w:id="129"/>
    <w:p>
      <w:pPr>
        <w:spacing w:after="0" w:line="28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200" w:lineRule="exact"/>
        <w:rPr>
          <w:sz w:val="20"/>
          <w:szCs w:val="20"/>
          <w:color w:val="auto"/>
        </w:rPr>
      </w:pPr>
    </w:p>
    <w:p>
      <w:pPr>
        <w:spacing w:after="0" w:line="240" w:lineRule="exact"/>
        <w:rPr>
          <w:sz w:val="20"/>
          <w:szCs w:val="20"/>
          <w:color w:val="auto"/>
        </w:rPr>
      </w:pPr>
    </w:p>
    <w:p>
      <w:pPr>
        <w:jc w:val="both"/>
        <w:ind w:firstLine="396"/>
        <w:spacing w:after="0" w:line="299"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88" w:lineRule="exact"/>
        <w:rPr>
          <w:sz w:val="20"/>
          <w:szCs w:val="20"/>
          <w:color w:val="auto"/>
        </w:rPr>
      </w:pPr>
    </w:p>
    <w:p>
      <w:pPr>
        <w:jc w:val="both"/>
        <w:ind w:firstLine="396"/>
        <w:spacing w:after="0" w:line="3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 Triggering Event</w:t>
      </w:r>
      <w:r>
        <w:rPr>
          <w:rFonts w:ascii="Times New Roman" w:cs="Times New Roman" w:eastAsia="Times New Roman" w:hAnsi="Times New Roman"/>
          <w:sz w:val="19"/>
          <w:szCs w:val="19"/>
          <w:color w:val="auto"/>
        </w:rPr>
        <w:t>” means the occurrence of both a Change of Control and a Below Investment Grade Rating Event (as such term is defined in the indenture) occurring in respect of that Change of Control.</w:t>
      </w:r>
    </w:p>
    <w:p>
      <w:pPr>
        <w:spacing w:after="0" w:line="165" w:lineRule="exact"/>
        <w:rPr>
          <w:sz w:val="20"/>
          <w:szCs w:val="20"/>
          <w:color w:val="auto"/>
        </w:rPr>
      </w:pPr>
    </w:p>
    <w:p>
      <w:pPr>
        <w:jc w:val="both"/>
        <w:ind w:firstLine="396"/>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Continuing Directors</w:t>
      </w:r>
      <w:r>
        <w:rPr>
          <w:rFonts w:ascii="Times New Roman" w:cs="Times New Roman" w:eastAsia="Times New Roman" w:hAnsi="Times New Roman"/>
          <w:sz w:val="19"/>
          <w:szCs w:val="19"/>
          <w:color w:val="auto"/>
        </w:rPr>
        <w:t>” means, as of any date of determination, any member of our board of directors who (1) was a member of our board of directors on the date of the issuance of the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188" w:lineRule="exact"/>
        <w:rPr>
          <w:sz w:val="20"/>
          <w:szCs w:val="20"/>
          <w:color w:val="auto"/>
        </w:rPr>
      </w:pPr>
    </w:p>
    <w:p>
      <w:pPr>
        <w:jc w:val="both"/>
        <w:ind w:firstLine="396"/>
        <w:spacing w:after="0" w:line="3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79" w:lineRule="exact"/>
        <w:rPr>
          <w:sz w:val="20"/>
          <w:szCs w:val="20"/>
          <w:color w:val="auto"/>
        </w:rPr>
      </w:pPr>
    </w:p>
    <w:p>
      <w:pPr>
        <w:jc w:val="both"/>
        <w:ind w:right="20" w:firstLine="396"/>
        <w:spacing w:after="0" w:line="3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Stock</w:t>
      </w:r>
      <w:r>
        <w:rPr>
          <w:rFonts w:ascii="Times New Roman" w:cs="Times New Roman" w:eastAsia="Times New Roman" w:hAnsi="Times New Roman"/>
          <w:sz w:val="19"/>
          <w:szCs w:val="19"/>
          <w:color w:val="auto"/>
        </w:rPr>
        <w:t>” of any specified Person as of any date means the capital stock of such Person that is at the time entitled to vote generally in the election of the board of directors of such Person.</w:t>
      </w:r>
    </w:p>
    <w:p>
      <w:pPr>
        <w:spacing w:after="0" w:line="165" w:lineRule="exact"/>
        <w:rPr>
          <w:sz w:val="20"/>
          <w:szCs w:val="20"/>
          <w:color w:val="auto"/>
        </w:rPr>
      </w:pPr>
    </w:p>
    <w:p>
      <w:pPr>
        <w:jc w:val="both"/>
        <w:ind w:right="20" w:firstLine="396"/>
        <w:spacing w:after="0" w:line="308" w:lineRule="auto"/>
        <w:rPr>
          <w:sz w:val="20"/>
          <w:szCs w:val="20"/>
          <w:color w:val="auto"/>
        </w:rPr>
      </w:pPr>
      <w:r>
        <w:rPr>
          <w:rFonts w:ascii="Times New Roman" w:cs="Times New Roman" w:eastAsia="Times New Roman" w:hAnsi="Times New Roman"/>
          <w:sz w:val="19"/>
          <w:szCs w:val="19"/>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w:t>
      </w:r>
    </w:p>
    <w:p>
      <w:pPr>
        <w:sectPr>
          <w:pgSz w:w="11900" w:h="16840" w:orient="portrait"/>
          <w:cols w:equalWidth="0" w:num="1">
            <w:col w:w="10580"/>
          </w:cols>
          <w:pgMar w:left="660" w:top="1440" w:right="660" w:bottom="1440" w:gutter="0" w:footer="0" w:header="0"/>
        </w:sectPr>
      </w:pPr>
    </w:p>
    <w:bookmarkStart w:id="130" w:name="page131"/>
    <w:bookmarkEnd w:id="130"/>
    <w:p>
      <w:pPr>
        <w:spacing w:after="0" w:line="281" w:lineRule="exact"/>
        <w:rPr>
          <w:sz w:val="20"/>
          <w:szCs w:val="20"/>
          <w:color w:val="auto"/>
        </w:rPr>
      </w:pPr>
    </w:p>
    <w:p>
      <w:pPr>
        <w:ind w:right="60"/>
        <w:spacing w:after="0" w:line="325" w:lineRule="auto"/>
        <w:rPr>
          <w:sz w:val="20"/>
          <w:szCs w:val="20"/>
          <w:color w:val="auto"/>
        </w:rPr>
      </w:pPr>
      <w:r>
        <w:rPr>
          <w:rFonts w:ascii="Times New Roman" w:cs="Times New Roman" w:eastAsia="Times New Roman" w:hAnsi="Times New Roman"/>
          <w:sz w:val="19"/>
          <w:szCs w:val="19"/>
          <w:color w:val="auto"/>
        </w:rPr>
        <w:t>Accordingly, the ability to require us to purchase 2029 Notes as a result of the sale, transfer, conveyance or other disposition of less than all of our assets may be uncertain.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Certain Covenants</w:t>
      </w:r>
    </w:p>
    <w:p>
      <w:pPr>
        <w:spacing w:after="0" w:line="276" w:lineRule="exact"/>
        <w:rPr>
          <w:sz w:val="20"/>
          <w:szCs w:val="20"/>
          <w:color w:val="auto"/>
        </w:rPr>
      </w:pPr>
    </w:p>
    <w:p>
      <w:pPr>
        <w:jc w:val="both"/>
        <w:ind w:right="20" w:firstLine="396"/>
        <w:spacing w:after="0" w:line="308" w:lineRule="auto"/>
        <w:rPr>
          <w:sz w:val="20"/>
          <w:szCs w:val="20"/>
          <w:color w:val="auto"/>
        </w:rPr>
      </w:pPr>
      <w:r>
        <w:rPr>
          <w:rFonts w:ascii="Times New Roman" w:cs="Times New Roman" w:eastAsia="Times New Roman" w:hAnsi="Times New Roman"/>
          <w:sz w:val="19"/>
          <w:szCs w:val="19"/>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76" w:lineRule="exact"/>
        <w:rPr>
          <w:sz w:val="20"/>
          <w:szCs w:val="20"/>
          <w:color w:val="auto"/>
        </w:rPr>
      </w:pPr>
    </w:p>
    <w:p>
      <w:pPr>
        <w:jc w:val="both"/>
        <w:ind w:right="40" w:firstLine="396"/>
        <w:spacing w:after="0" w:line="325" w:lineRule="auto"/>
        <w:rPr>
          <w:sz w:val="20"/>
          <w:szCs w:val="20"/>
          <w:color w:val="auto"/>
        </w:rPr>
      </w:pPr>
      <w:r>
        <w:rPr>
          <w:rFonts w:ascii="Times New Roman" w:cs="Times New Roman" w:eastAsia="Times New Roman" w:hAnsi="Times New Roman"/>
          <w:sz w:val="19"/>
          <w:szCs w:val="19"/>
          <w:color w:val="auto"/>
        </w:rPr>
        <w:t>Holders of the 2029 Notes will have specified rights if an Event of Default (as defined below) occurs. The term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in respect of the Notes means any of the following:</w:t>
      </w:r>
    </w:p>
    <w:p>
      <w:pPr>
        <w:spacing w:after="0" w:line="165" w:lineRule="exact"/>
        <w:rPr>
          <w:sz w:val="20"/>
          <w:szCs w:val="20"/>
          <w:color w:val="auto"/>
        </w:rPr>
      </w:pPr>
    </w:p>
    <w:p>
      <w:pPr>
        <w:ind w:left="1160" w:hanging="866"/>
        <w:spacing w:after="0"/>
        <w:tabs>
          <w:tab w:leader="none" w:pos="11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do not pay interest on any of the Notes within 30 days of its due date;</w:t>
      </w:r>
    </w:p>
    <w:p>
      <w:pPr>
        <w:spacing w:after="0" w:line="273" w:lineRule="exact"/>
        <w:rPr>
          <w:rFonts w:ascii="Times New Roman" w:cs="Times New Roman" w:eastAsia="Times New Roman" w:hAnsi="Times New Roman"/>
          <w:sz w:val="19"/>
          <w:szCs w:val="19"/>
          <w:color w:val="auto"/>
        </w:rPr>
      </w:pPr>
    </w:p>
    <w:p>
      <w:pPr>
        <w:ind w:left="1160" w:right="40" w:hanging="866"/>
        <w:spacing w:after="0" w:line="325" w:lineRule="auto"/>
        <w:tabs>
          <w:tab w:leader="none" w:pos="11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fail to pay the principal (or premium, if any) of any Note, when such principal becomes due and payable, at maturity, upon acceleration, upon redemption or otherwise;</w:t>
      </w:r>
    </w:p>
    <w:p>
      <w:pPr>
        <w:spacing w:after="0" w:line="152" w:lineRule="exact"/>
        <w:rPr>
          <w:rFonts w:ascii="Times New Roman" w:cs="Times New Roman" w:eastAsia="Times New Roman" w:hAnsi="Times New Roman"/>
          <w:sz w:val="19"/>
          <w:szCs w:val="19"/>
          <w:color w:val="auto"/>
        </w:rPr>
      </w:pPr>
    </w:p>
    <w:p>
      <w:pPr>
        <w:ind w:left="1160" w:hanging="866"/>
        <w:spacing w:after="0"/>
        <w:tabs>
          <w:tab w:leader="none" w:pos="11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us to comply with the covenants under the indenture;</w:t>
      </w:r>
    </w:p>
    <w:p>
      <w:pPr>
        <w:spacing w:after="0" w:line="249" w:lineRule="exact"/>
        <w:rPr>
          <w:rFonts w:ascii="Times New Roman" w:cs="Times New Roman" w:eastAsia="Times New Roman" w:hAnsi="Times New Roman"/>
          <w:sz w:val="19"/>
          <w:szCs w:val="19"/>
          <w:color w:val="auto"/>
        </w:rPr>
      </w:pPr>
    </w:p>
    <w:p>
      <w:pPr>
        <w:jc w:val="both"/>
        <w:ind w:left="1160" w:hanging="866"/>
        <w:spacing w:after="0" w:line="302" w:lineRule="auto"/>
        <w:tabs>
          <w:tab w:leader="none" w:pos="11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remain in breach of a covenant or warranty in respect of the indenture or 2029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2029 Notes;</w:t>
      </w:r>
    </w:p>
    <w:p>
      <w:pPr>
        <w:spacing w:after="0" w:line="184" w:lineRule="exact"/>
        <w:rPr>
          <w:rFonts w:ascii="Times New Roman" w:cs="Times New Roman" w:eastAsia="Times New Roman" w:hAnsi="Times New Roman"/>
          <w:sz w:val="19"/>
          <w:szCs w:val="19"/>
          <w:color w:val="auto"/>
        </w:rPr>
      </w:pPr>
    </w:p>
    <w:p>
      <w:pPr>
        <w:ind w:left="1160" w:hanging="866"/>
        <w:spacing w:after="0"/>
        <w:tabs>
          <w:tab w:leader="none" w:pos="11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file for bankruptcy, or other events of bankruptcy, insolvency or reorganization specified in the indenture;</w:t>
      </w:r>
    </w:p>
    <w:p>
      <w:pPr>
        <w:spacing w:after="0" w:line="273" w:lineRule="exact"/>
        <w:rPr>
          <w:rFonts w:ascii="Times New Roman" w:cs="Times New Roman" w:eastAsia="Times New Roman" w:hAnsi="Times New Roman"/>
          <w:sz w:val="19"/>
          <w:szCs w:val="19"/>
          <w:color w:val="auto"/>
        </w:rPr>
      </w:pPr>
    </w:p>
    <w:p>
      <w:pPr>
        <w:jc w:val="both"/>
        <w:ind w:left="1160" w:right="20" w:hanging="866"/>
        <w:spacing w:after="0" w:line="302" w:lineRule="auto"/>
        <w:tabs>
          <w:tab w:leader="none" w:pos="11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2029 Notes; or</w:t>
      </w:r>
    </w:p>
    <w:p>
      <w:pPr>
        <w:sectPr>
          <w:pgSz w:w="11900" w:h="16840" w:orient="portrait"/>
          <w:cols w:equalWidth="0" w:num="1">
            <w:col w:w="10600"/>
          </w:cols>
          <w:pgMar w:left="660" w:top="1440" w:right="640" w:bottom="1440" w:gutter="0" w:footer="0" w:header="0"/>
        </w:sectPr>
      </w:pPr>
    </w:p>
    <w:bookmarkStart w:id="131" w:name="page132"/>
    <w:bookmarkEnd w:id="131"/>
    <w:p>
      <w:pPr>
        <w:spacing w:after="0" w:line="281" w:lineRule="exact"/>
        <w:rPr>
          <w:sz w:val="20"/>
          <w:szCs w:val="20"/>
          <w:color w:val="auto"/>
        </w:rPr>
      </w:pPr>
    </w:p>
    <w:p>
      <w:pPr>
        <w:jc w:val="both"/>
        <w:ind w:left="1160" w:hanging="866"/>
        <w:spacing w:after="0" w:line="308" w:lineRule="auto"/>
        <w:tabs>
          <w:tab w:leader="none" w:pos="116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29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9"/>
          <w:szCs w:val="19"/>
          <w:color w:val="auto"/>
        </w:rPr>
        <w:t>If an Event of Default (other than an Event of Default specified in clause (5) above) with respect to the 2029 Notes has occurred, the Trustee or the holders of at least 25% in principal amount of</w:t>
      </w:r>
    </w:p>
    <w:p>
      <w:pPr>
        <w:jc w:val="both"/>
        <w:ind w:right="20"/>
        <w:spacing w:after="0" w:line="297" w:lineRule="auto"/>
        <w:rPr>
          <w:sz w:val="20"/>
          <w:szCs w:val="20"/>
          <w:color w:val="auto"/>
        </w:rPr>
      </w:pPr>
      <w:r>
        <w:rPr>
          <w:rFonts w:ascii="Times New Roman" w:cs="Times New Roman" w:eastAsia="Times New Roman" w:hAnsi="Times New Roman"/>
          <w:sz w:val="19"/>
          <w:szCs w:val="19"/>
          <w:color w:val="auto"/>
        </w:rPr>
        <w:t>the 2029 Notes may declare the entire unpaid principal amount of (and premium, if any), and all the accrued interest on, the Notes to be due and immediately payable. This is called a declaration of acceleration of maturity. There is no action on the part of the trustee or any holder of the 2029 Notes required for such declaration if the Event of Default is the Company’s bankruptcy, insolvency or reorganization. Holders of a majority in principal amount of the Notes may also waive certain past defaults under the indenture with respect to the 2029 Notes on behalf of all of the holders of the 2029 Notes. A declaration of acceleration of maturity may be canceled, under specified circumstances, by the holders of at least a majority in principal amount of the 2029 Notes and the trustee.</w:t>
      </w:r>
    </w:p>
    <w:p>
      <w:pPr>
        <w:spacing w:after="0" w:line="190" w:lineRule="exact"/>
        <w:rPr>
          <w:sz w:val="20"/>
          <w:szCs w:val="20"/>
          <w:color w:val="auto"/>
        </w:rPr>
      </w:pPr>
    </w:p>
    <w:p>
      <w:pPr>
        <w:jc w:val="both"/>
        <w:ind w:firstLine="396"/>
        <w:spacing w:after="0" w:line="297" w:lineRule="auto"/>
        <w:rPr>
          <w:sz w:val="20"/>
          <w:szCs w:val="20"/>
          <w:color w:val="auto"/>
        </w:rPr>
      </w:pPr>
      <w:r>
        <w:rPr>
          <w:rFonts w:ascii="Times New Roman" w:cs="Times New Roman" w:eastAsia="Times New Roman" w:hAnsi="Times New Roman"/>
          <w:sz w:val="19"/>
          <w:szCs w:val="19"/>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2029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90" w:lineRule="exact"/>
        <w:rPr>
          <w:sz w:val="20"/>
          <w:szCs w:val="20"/>
          <w:color w:val="auto"/>
        </w:rPr>
      </w:pPr>
    </w:p>
    <w:p>
      <w:pPr>
        <w:jc w:val="both"/>
        <w:ind w:right="20" w:firstLine="396"/>
        <w:spacing w:after="0" w:line="325" w:lineRule="auto"/>
        <w:rPr>
          <w:sz w:val="20"/>
          <w:szCs w:val="20"/>
          <w:color w:val="auto"/>
        </w:rPr>
      </w:pPr>
      <w:r>
        <w:rPr>
          <w:rFonts w:ascii="Times New Roman" w:cs="Times New Roman" w:eastAsia="Times New Roman" w:hAnsi="Times New Roman"/>
          <w:sz w:val="19"/>
          <w:szCs w:val="19"/>
          <w:color w:val="auto"/>
        </w:rPr>
        <w:t>Before holders of the 2029 Notes are allowed to bypass the trustee and bring a lawsuit or other formal legal action or take other steps to enforce their rights or protect their interests relating to the 2029 Notes, the following must occur:</w:t>
      </w:r>
    </w:p>
    <w:p>
      <w:pPr>
        <w:spacing w:after="0" w:line="165" w:lineRule="exact"/>
        <w:rPr>
          <w:sz w:val="20"/>
          <w:szCs w:val="20"/>
          <w:color w:val="auto"/>
        </w:rPr>
      </w:pPr>
    </w:p>
    <w:p>
      <w:pPr>
        <w:ind w:left="980" w:hanging="290"/>
        <w:spacing w:after="0"/>
        <w:tabs>
          <w:tab w:leader="none" w:pos="98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holders must give the trustee written notice that an Event of Default has occurred and remains uncured;</w:t>
      </w:r>
    </w:p>
    <w:p>
      <w:pPr>
        <w:spacing w:after="0" w:line="273" w:lineRule="exact"/>
        <w:rPr>
          <w:rFonts w:ascii="Times New Roman" w:cs="Times New Roman" w:eastAsia="Times New Roman" w:hAnsi="Times New Roman"/>
          <w:sz w:val="19"/>
          <w:szCs w:val="19"/>
          <w:color w:val="auto"/>
        </w:rPr>
      </w:pPr>
    </w:p>
    <w:p>
      <w:pPr>
        <w:jc w:val="both"/>
        <w:ind w:left="980" w:right="20" w:hanging="290"/>
        <w:spacing w:after="0" w:line="308" w:lineRule="auto"/>
        <w:tabs>
          <w:tab w:leader="none" w:pos="98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holders of at least 25% in principal amount of the 2029 Notes must make a written request that the trustee take action because of the default and must offer the Trustee indemnity satisfactory to the trustee against the cost and other liabilities of taking that action; and</w:t>
      </w:r>
    </w:p>
    <w:p>
      <w:pPr>
        <w:sectPr>
          <w:pgSz w:w="11900" w:h="16840" w:orient="portrait"/>
          <w:cols w:equalWidth="0" w:num="1">
            <w:col w:w="10580"/>
          </w:cols>
          <w:pgMar w:left="660" w:top="1440" w:right="660" w:bottom="1440" w:gutter="0" w:footer="0" w:header="0"/>
        </w:sectPr>
      </w:pPr>
    </w:p>
    <w:bookmarkStart w:id="132" w:name="page133"/>
    <w:bookmarkEnd w:id="132"/>
    <w:p>
      <w:pPr>
        <w:spacing w:after="0" w:line="281" w:lineRule="exact"/>
        <w:rPr>
          <w:sz w:val="20"/>
          <w:szCs w:val="20"/>
          <w:color w:val="auto"/>
        </w:rPr>
      </w:pPr>
    </w:p>
    <w:p>
      <w:pPr>
        <w:ind w:left="980" w:hanging="290"/>
        <w:spacing w:after="0"/>
        <w:tabs>
          <w:tab w:leader="none" w:pos="9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must have failed to take action for 60 days after receipt of the notice and offer of indemnity.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Holders are, however, entitled at any time to bring a lawsuit for the payment of money due on the 2029 Notes on or after the due date.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Modification of the Indenture and Waiver of Rights of Holders</w:t>
      </w:r>
    </w:p>
    <w:p>
      <w:pPr>
        <w:spacing w:after="0" w:line="276" w:lineRule="exact"/>
        <w:rPr>
          <w:sz w:val="20"/>
          <w:szCs w:val="20"/>
          <w:color w:val="auto"/>
        </w:rPr>
      </w:pPr>
    </w:p>
    <w:p>
      <w:pPr>
        <w:jc w:val="both"/>
        <w:ind w:firstLine="396"/>
        <w:spacing w:after="0" w:line="308" w:lineRule="auto"/>
        <w:rPr>
          <w:sz w:val="20"/>
          <w:szCs w:val="20"/>
          <w:color w:val="auto"/>
        </w:rPr>
      </w:pPr>
      <w:r>
        <w:rPr>
          <w:rFonts w:ascii="Times New Roman" w:cs="Times New Roman" w:eastAsia="Times New Roman" w:hAnsi="Times New Roman"/>
          <w:sz w:val="19"/>
          <w:szCs w:val="19"/>
          <w:color w:val="auto"/>
        </w:rPr>
        <w:t>Under certain circumstances, we can make changes to the indenture and the 2029 Notes. Some types of changes require the approval of each holder of 2029 Notes, some require approval by a vote of a majority of the holders of the 2029 Notes, and some changes do not require any approval at all.</w:t>
      </w:r>
    </w:p>
    <w:p>
      <w:pPr>
        <w:sectPr>
          <w:pgSz w:w="11900" w:h="16840" w:orient="portrait"/>
          <w:cols w:equalWidth="0" w:num="1">
            <w:col w:w="10580"/>
          </w:cols>
          <w:pgMar w:left="660" w:top="1440" w:right="66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2E74B5"/>
        </w:rPr>
        <w:t>Insider Trading Policy</w:t>
      </w:r>
    </w:p>
    <w:p>
      <w:pPr>
        <w:spacing w:after="0" w:line="13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This Insider Trading Policy (“Policy”) is adopted to protect the regulatory integrity and reputation of Nasdaq, Inc., and its global subsidiaries and affiliates (“Nasdaq”), the financial markets which Nasdaq operates, and our shareholders, customers, employees and other stakeholders.</w:t>
      </w:r>
    </w:p>
    <w:p>
      <w:pPr>
        <w:spacing w:after="0" w:line="5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This Policy applies to all directors, officers, and employees of Nasdaq and its subsidiaries, as well as all consultants and contractors and others who work on behalf of Nasdaq (“Associates”). In addition, as further set forth in this Policy, this Policy applies to “Associated Persons,” defined as:</w:t>
      </w:r>
    </w:p>
    <w:p>
      <w:pPr>
        <w:spacing w:after="0" w:line="53" w:lineRule="exact"/>
        <w:rPr>
          <w:sz w:val="20"/>
          <w:szCs w:val="20"/>
          <w:color w:val="auto"/>
        </w:rPr>
      </w:pPr>
    </w:p>
    <w:p>
      <w:pPr>
        <w:ind w:left="580" w:right="120" w:hanging="286"/>
        <w:spacing w:after="0" w:line="258" w:lineRule="auto"/>
        <w:tabs>
          <w:tab w:leader="none" w:pos="5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Associate’s family members who reside with them, such as spouse, cohabitee or domestic partner, minor or dependent children, and any person whose transactions in securities are directed by them or are subject to their control or influence;</w:t>
      </w:r>
    </w:p>
    <w:p>
      <w:pPr>
        <w:spacing w:after="0" w:line="1" w:lineRule="exact"/>
        <w:rPr>
          <w:rFonts w:ascii="Times New Roman" w:cs="Times New Roman" w:eastAsia="Times New Roman" w:hAnsi="Times New Roman"/>
          <w:sz w:val="17"/>
          <w:szCs w:val="17"/>
          <w:color w:val="auto"/>
        </w:rPr>
      </w:pPr>
    </w:p>
    <w:p>
      <w:pPr>
        <w:ind w:left="580" w:right="20" w:hanging="286"/>
        <w:spacing w:after="0" w:line="250" w:lineRule="auto"/>
        <w:tabs>
          <w:tab w:leader="none" w:pos="5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legal entity (including but not limited to any LLC, partnership, corporation, trust, or other organization) where the Associate owns a controlling interest, exercises operational control and/or has responsibility or influence on investment decisions</w:t>
      </w:r>
      <w:r>
        <w:rPr>
          <w:rFonts w:ascii="Times New Roman" w:cs="Times New Roman" w:eastAsia="Times New Roman" w:hAnsi="Times New Roman"/>
          <w:sz w:val="10"/>
          <w:szCs w:val="10"/>
          <w:color w:val="auto"/>
        </w:rPr>
        <w:t>1</w:t>
      </w:r>
      <w:r>
        <w:rPr>
          <w:rFonts w:ascii="Times New Roman" w:cs="Times New Roman" w:eastAsia="Times New Roman" w:hAnsi="Times New Roman"/>
          <w:sz w:val="17"/>
          <w:szCs w:val="17"/>
          <w:color w:val="auto"/>
        </w:rPr>
        <w:t>; and</w:t>
      </w:r>
    </w:p>
    <w:p>
      <w:pPr>
        <w:ind w:left="580" w:hanging="286"/>
        <w:spacing w:after="0"/>
        <w:tabs>
          <w:tab w:leader="none" w:pos="5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“closely affiliated persons” and “controlled organizations” as defined in applicable Supplemental Policies.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Associates must use their reasonable best efforts to ensure Associated Persons abide by the applicable rules outlined in this policy</w:t>
      </w:r>
    </w:p>
    <w:p>
      <w:pPr>
        <w:spacing w:after="0" w:line="10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7"/>
          <w:szCs w:val="17"/>
          <w:color w:val="auto"/>
        </w:rPr>
        <w:t>This Policy is not intended to supersede any applicable law, professional duties applicable to employees (e.g., broker-dealer employees), or, where applicable, the Rules of the Swedish Securities Markets Association (SSMA Rules). Rather, the Policy should be applied in conjunction with local law/professional standards and in a manner consistent with the Nasdaq Code of Ethics. Where other Nasdaq policies, applicable law, or the SSMA Rules impose trading rules that differ from this Policy, the stricter and broader of the rules shall apply.</w:t>
      </w:r>
    </w:p>
    <w:p>
      <w:pPr>
        <w:spacing w:after="0" w:line="158" w:lineRule="exact"/>
        <w:rPr>
          <w:sz w:val="20"/>
          <w:szCs w:val="20"/>
          <w:color w:val="auto"/>
        </w:rPr>
      </w:pPr>
    </w:p>
    <w:p>
      <w:pPr>
        <w:ind w:left="860" w:hanging="566"/>
        <w:spacing w:after="0"/>
        <w:tabs>
          <w:tab w:leader="none" w:pos="860" w:val="left"/>
        </w:tabs>
        <w:numPr>
          <w:ilvl w:val="0"/>
          <w:numId w:val="50"/>
        </w:numPr>
        <w:rPr>
          <w:rFonts w:ascii="Times New Roman" w:cs="Times New Roman" w:eastAsia="Times New Roman" w:hAnsi="Times New Roman"/>
          <w:sz w:val="25"/>
          <w:szCs w:val="25"/>
          <w:b w:val="1"/>
          <w:bCs w:val="1"/>
          <w:color w:val="2E74B5"/>
        </w:rPr>
      </w:pPr>
      <w:r>
        <w:rPr>
          <w:rFonts w:ascii="Times New Roman" w:cs="Times New Roman" w:eastAsia="Times New Roman" w:hAnsi="Times New Roman"/>
          <w:sz w:val="25"/>
          <w:szCs w:val="25"/>
          <w:b w:val="1"/>
          <w:bCs w:val="1"/>
          <w:color w:val="2E74B5"/>
        </w:rPr>
        <w:t>Policy Compliance and Enforcement</w:t>
      </w:r>
    </w:p>
    <w:p>
      <w:pPr>
        <w:spacing w:after="0" w:line="22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Each Associate is accountable for compliance with this Policy and any other applicable policies, laws and regulations and must have and exercise sufficient control over all trading activity to ensure compliance (except as permitted under the Policy).</w:t>
      </w:r>
    </w:p>
    <w:p>
      <w:pPr>
        <w:spacing w:after="0" w:line="14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Associates may not circumvent the provisions of this Policy by using third party accounts, including those of Associated Persons or other family members or legal entities.</w:t>
      </w:r>
    </w:p>
    <w:p>
      <w:pPr>
        <w:spacing w:after="0" w:line="149"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7"/>
          <w:szCs w:val="17"/>
          <w:color w:val="auto"/>
        </w:rPr>
        <w:t>Associates may be asked for information regarding their trading activity including but not limited to sources of funds, volume of trading, trading size and patterns, and source of information by the Global Ethics and Compliance Team, their Compliance Officer, the Office of General Counsel and/or Internal Audit. In addition, Associates may be required to provide information to Nasdaq’s regulators in connection with their regulation and oversight of Nasdaq. Subject to applicable law, Associates must cooperate in any such review and provide full and accurate information to address an inquiry.</w:t>
      </w:r>
    </w:p>
    <w:p>
      <w:pPr>
        <w:spacing w:after="0" w:line="6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Any breach of this Policy or other policies or violations of laws and regulations related to trading activity or non-public data handling may lead to disciplinary action as set forth in the Code of Ethics, up to and including termination of employment. Violations and/or suspicious trading activity may also be subject to regulatory referral or reporting which could lead to civil or criminal prosecution.</w:t>
      </w:r>
    </w:p>
    <w:p>
      <w:pPr>
        <w:spacing w:after="0" w:line="123" w:lineRule="exact"/>
        <w:rPr>
          <w:sz w:val="20"/>
          <w:szCs w:val="20"/>
          <w:color w:val="auto"/>
        </w:rPr>
      </w:pPr>
    </w:p>
    <w:p>
      <w:pPr>
        <w:ind w:right="100" w:firstLine="6"/>
        <w:spacing w:after="0" w:line="289" w:lineRule="auto"/>
        <w:tabs>
          <w:tab w:leader="none" w:pos="85" w:val="left"/>
        </w:tabs>
        <w:numPr>
          <w:ilvl w:val="0"/>
          <w:numId w:val="51"/>
        </w:numPr>
        <w:rPr>
          <w:rFonts w:ascii="Arial" w:cs="Arial" w:eastAsia="Arial" w:hAnsi="Arial"/>
          <w:sz w:val="8"/>
          <w:szCs w:val="8"/>
          <w:color w:val="auto"/>
        </w:rPr>
      </w:pPr>
      <w:r>
        <w:rPr>
          <w:rFonts w:ascii="Arial" w:cs="Arial" w:eastAsia="Arial" w:hAnsi="Arial"/>
          <w:sz w:val="13"/>
          <w:szCs w:val="13"/>
          <w:color w:val="auto"/>
        </w:rPr>
        <w:t>Associates are responsible for obtaining approval prior to establishing such a legal entity or taking such a role regarding a legal entity as required by the “outside business activity” and conflict of interest provisions in the Code of Ethics. Legal entities where an Associate serves as a director or other role on behalf of Nasdaq are not Associated Persons.</w:t>
      </w:r>
    </w:p>
    <w:p>
      <w:pPr>
        <w:sectPr>
          <w:pgSz w:w="11900" w:h="16840" w:orient="portrait"/>
          <w:cols w:equalWidth="0" w:num="1">
            <w:col w:w="10580"/>
          </w:cols>
          <w:pgMar w:left="660" w:top="555" w:right="66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17"/>
          <w:szCs w:val="17"/>
          <w:color w:val="auto"/>
        </w:rPr>
        <w:t>Insider trading, market abuse, misappropriation of non-public information and “tipping” are serious criminal offenses and may be punishable by imprisonment and substantial fines.</w:t>
      </w:r>
    </w:p>
    <w:p>
      <w:pPr>
        <w:spacing w:after="0" w:line="70" w:lineRule="exact"/>
        <w:rPr>
          <w:sz w:val="20"/>
          <w:szCs w:val="20"/>
          <w:color w:val="auto"/>
        </w:rPr>
      </w:pPr>
    </w:p>
    <w:p>
      <w:pPr>
        <w:ind w:left="880" w:hanging="586"/>
        <w:spacing w:after="0"/>
        <w:tabs>
          <w:tab w:leader="none" w:pos="880" w:val="left"/>
        </w:tabs>
        <w:numPr>
          <w:ilvl w:val="0"/>
          <w:numId w:val="52"/>
        </w:numPr>
        <w:rPr>
          <w:rFonts w:ascii="Times New Roman" w:cs="Times New Roman" w:eastAsia="Times New Roman" w:hAnsi="Times New Roman"/>
          <w:sz w:val="25"/>
          <w:szCs w:val="25"/>
          <w:b w:val="1"/>
          <w:bCs w:val="1"/>
          <w:color w:val="2E74B5"/>
        </w:rPr>
      </w:pPr>
      <w:r>
        <w:rPr>
          <w:rFonts w:ascii="Times New Roman" w:cs="Times New Roman" w:eastAsia="Times New Roman" w:hAnsi="Times New Roman"/>
          <w:sz w:val="25"/>
          <w:szCs w:val="25"/>
          <w:b w:val="1"/>
          <w:bCs w:val="1"/>
          <w:color w:val="2E74B5"/>
        </w:rPr>
        <w:t>Prohibition on Insider Trading and Market Abuse</w:t>
      </w:r>
    </w:p>
    <w:p>
      <w:pPr>
        <w:spacing w:after="0" w:line="22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Insider Trading is buying or selling publicly traded securities when an individual has important information about a company that members of the public do not have. It is illegal in nearly all jurisdictions and can result in a fine and/or imprisonment.</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A. Prohibition on Insider Trading</w:t>
      </w:r>
    </w:p>
    <w:p>
      <w:pPr>
        <w:spacing w:after="0" w:line="2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 xml:space="preserve">The United States, European Economic Area countries, the United Kingdom and other jurisdictions where Nasdaq conducts business prohibit, by law, insider trading and other forms of market abuse. Associates who are aware of material non-public information (“MNPI”) (or information qualifying under similar terms – e.g., “insider information” – used to describe similar non-public information under applicable insider trading and market abuse laws) relating to Nasdaq or to any other company may not buy or sell Nasdaq or such other company’s securities while in possession of such information. In addition, Associates may not trade in </w:t>
      </w:r>
      <w:r>
        <w:rPr>
          <w:rFonts w:ascii="Times New Roman" w:cs="Times New Roman" w:eastAsia="Times New Roman" w:hAnsi="Times New Roman"/>
          <w:sz w:val="17"/>
          <w:szCs w:val="17"/>
          <w:u w:val="single" w:color="auto"/>
          <w:color w:val="auto"/>
        </w:rPr>
        <w:t>securities in one company using MNPI about an</w:t>
      </w:r>
      <w:r>
        <w:rPr>
          <w:rFonts w:ascii="Arial" w:cs="Arial" w:eastAsia="Arial" w:hAnsi="Arial"/>
          <w:sz w:val="17"/>
          <w:szCs w:val="17"/>
          <w:u w:val="single" w:color="auto"/>
          <w:color w:val="auto"/>
        </w:rPr>
        <w:t> </w:t>
      </w:r>
      <w:r>
        <w:rPr>
          <w:rFonts w:ascii="Times New Roman" w:cs="Times New Roman" w:eastAsia="Times New Roman" w:hAnsi="Times New Roman"/>
          <w:sz w:val="17"/>
          <w:szCs w:val="17"/>
          <w:u w:val="single" w:color="auto"/>
          <w:color w:val="auto"/>
        </w:rPr>
        <w:t>economically linked</w:t>
      </w:r>
      <w:r>
        <w:rPr>
          <w:rFonts w:ascii="Arial" w:cs="Arial" w:eastAsia="Arial" w:hAnsi="Arial"/>
          <w:sz w:val="17"/>
          <w:szCs w:val="17"/>
          <w:u w:val="single" w:color="auto"/>
          <w:color w:val="auto"/>
        </w:rPr>
        <w:t> </w:t>
      </w:r>
      <w:r>
        <w:rPr>
          <w:rFonts w:ascii="Times New Roman" w:cs="Times New Roman" w:eastAsia="Times New Roman" w:hAnsi="Times New Roman"/>
          <w:sz w:val="17"/>
          <w:szCs w:val="17"/>
          <w:u w:val="single" w:color="auto"/>
          <w:color w:val="auto"/>
        </w:rPr>
        <w:t>company, such as a competitor or business partner.</w:t>
      </w:r>
      <w:r>
        <w:rPr>
          <w:rFonts w:ascii="Times New Roman" w:cs="Times New Roman" w:eastAsia="Times New Roman" w:hAnsi="Times New Roman"/>
          <w:sz w:val="17"/>
          <w:szCs w:val="17"/>
          <w:color w:val="auto"/>
        </w:rPr>
        <w:t xml:space="preserve"> Further, they may not give, communicate, or in any other way “tip” or convey such information to another person. These restrictions apply regardless of whether they received information as an intended recipient or received it incidental to their work at Nasdaq (e.g., received it as part of a group email or accidentally overheard a conversation).</w:t>
      </w:r>
    </w:p>
    <w:p>
      <w:pPr>
        <w:spacing w:after="0" w:line="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5"/>
          <w:szCs w:val="25"/>
          <w:i w:val="1"/>
          <w:iCs w:val="1"/>
          <w:color w:val="2E74B5"/>
        </w:rPr>
        <w:t>1. What is MNPI?</w:t>
      </w:r>
    </w:p>
    <w:p>
      <w:pPr>
        <w:spacing w:after="0" w:line="2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The term MNPI is broadly construed. It includes any non-public information that, if publicly disclosed, (a) might have an effect on the market for the securities of the issuer generally, (b) might affect an individual investment decision of a reasonable investor, or (c) might cause an insider to change his/her trading patterns.</w:t>
      </w:r>
      <w:r>
        <w:rPr>
          <w:rFonts w:ascii="Times New Roman" w:cs="Times New Roman" w:eastAsia="Times New Roman" w:hAnsi="Times New Roman"/>
          <w:sz w:val="10"/>
          <w:szCs w:val="10"/>
          <w:color w:val="auto"/>
        </w:rPr>
        <w:t>2</w:t>
      </w:r>
      <w:r>
        <w:rPr>
          <w:rFonts w:ascii="Times New Roman" w:cs="Times New Roman" w:eastAsia="Times New Roman" w:hAnsi="Times New Roman"/>
          <w:sz w:val="17"/>
          <w:szCs w:val="17"/>
          <w:color w:val="auto"/>
        </w:rPr>
        <w:t xml:space="preserve"> For information to be considered public, it must have been disclosed in public filings or widely disseminated through press releases and widely available in news media, websites, or webcasts.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MNPI includes, but is not limited to, non-public information relating to:</w:t>
      </w:r>
    </w:p>
    <w:p>
      <w:pPr>
        <w:spacing w:after="0" w:line="105" w:lineRule="exact"/>
        <w:rPr>
          <w:sz w:val="20"/>
          <w:szCs w:val="20"/>
          <w:color w:val="auto"/>
        </w:rPr>
      </w:pPr>
    </w:p>
    <w:p>
      <w:pPr>
        <w:ind w:left="580" w:hanging="286"/>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results and projections of future earnings or losses;</w:t>
      </w:r>
    </w:p>
    <w:p>
      <w:pPr>
        <w:spacing w:after="0" w:line="22" w:lineRule="exact"/>
        <w:rPr>
          <w:rFonts w:ascii="Times New Roman" w:cs="Times New Roman" w:eastAsia="Times New Roman" w:hAnsi="Times New Roman"/>
          <w:sz w:val="17"/>
          <w:szCs w:val="17"/>
          <w:color w:val="auto"/>
        </w:rPr>
      </w:pPr>
    </w:p>
    <w:p>
      <w:pPr>
        <w:ind w:left="580" w:right="480" w:hanging="286"/>
        <w:spacing w:after="0" w:line="250" w:lineRule="auto"/>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News of a pending or proposed merger, acquisition, tender offer or other corporate development or news that discussions or negotiations with respect thereto are in progress;</w:t>
      </w:r>
    </w:p>
    <w:p>
      <w:pPr>
        <w:ind w:left="580" w:hanging="286"/>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related to the potential de-listing of a company or the non-payment by a listed company of its listing fees;</w:t>
      </w:r>
    </w:p>
    <w:p>
      <w:pPr>
        <w:spacing w:after="0" w:line="8"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News of a significant new business transaction;</w:t>
      </w:r>
    </w:p>
    <w:p>
      <w:pPr>
        <w:spacing w:after="0" w:line="8"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dividend increases or decreases, a declaration of a stock split or the offering of additional securities;</w:t>
      </w:r>
    </w:p>
    <w:p>
      <w:pPr>
        <w:spacing w:after="0" w:line="8"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new products or services;</w:t>
      </w:r>
    </w:p>
    <w:p>
      <w:pPr>
        <w:spacing w:after="0" w:line="8"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litigation or litigation developments, actual or threatened disputes or governmental investigations;</w:t>
      </w:r>
    </w:p>
    <w:p>
      <w:pPr>
        <w:spacing w:after="0" w:line="8"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data breaches or cybersecurity risks or incidents;</w:t>
      </w:r>
    </w:p>
    <w:p>
      <w:pPr>
        <w:spacing w:after="0" w:line="151" w:lineRule="exact"/>
        <w:rPr>
          <w:sz w:val="20"/>
          <w:szCs w:val="20"/>
          <w:color w:val="auto"/>
        </w:rPr>
      </w:pPr>
    </w:p>
    <w:p>
      <w:pPr>
        <w:ind w:right="60" w:firstLine="6"/>
        <w:spacing w:after="0" w:line="289" w:lineRule="auto"/>
        <w:tabs>
          <w:tab w:leader="none" w:pos="85" w:val="left"/>
        </w:tabs>
        <w:numPr>
          <w:ilvl w:val="0"/>
          <w:numId w:val="54"/>
        </w:numPr>
        <w:rPr>
          <w:rFonts w:ascii="Arial" w:cs="Arial" w:eastAsia="Arial" w:hAnsi="Arial"/>
          <w:sz w:val="8"/>
          <w:szCs w:val="8"/>
          <w:color w:val="auto"/>
        </w:rPr>
      </w:pPr>
      <w:r>
        <w:rPr>
          <w:rFonts w:ascii="Arial" w:cs="Arial" w:eastAsia="Arial" w:hAnsi="Arial"/>
          <w:sz w:val="13"/>
          <w:szCs w:val="13"/>
          <w:color w:val="auto"/>
        </w:rPr>
        <w:t>Even if non-public information is not “material,” under Nasdaq’s Code of Ethics, Associates are prohibited from using any non-public information learned during their employment at Nasdaq except to perform their work for Nasdaq; Associates are also prohibited from disclosing this information except as explicitly authorized. Violations of these requirements can result in disciplinary action, up to and including termination.</w:t>
      </w:r>
    </w:p>
    <w:p>
      <w:pPr>
        <w:sectPr>
          <w:pgSz w:w="11900" w:h="16840" w:orient="portrait"/>
          <w:cols w:equalWidth="0" w:num="1">
            <w:col w:w="10580"/>
          </w:cols>
          <w:pgMar w:left="660" w:top="555" w:right="660" w:bottom="1440" w:gutter="0" w:footer="0" w:header="0"/>
        </w:sectPr>
      </w:pPr>
    </w:p>
    <w:bookmarkStart w:id="135" w:name="page136"/>
    <w:bookmarkEnd w:id="135"/>
    <w:p>
      <w:pPr>
        <w:ind w:left="9760"/>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80" w:hanging="286"/>
        <w:spacing w:after="0"/>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changes in management or control of the issuer of the securities; and</w:t>
      </w:r>
    </w:p>
    <w:p>
      <w:pPr>
        <w:spacing w:after="0" w:line="22"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new contracts or loss of business.</w:t>
      </w:r>
    </w:p>
    <w:p>
      <w:pPr>
        <w:spacing w:after="0" w:line="110" w:lineRule="exact"/>
        <w:rPr>
          <w:rFonts w:ascii="Times New Roman" w:cs="Times New Roman" w:eastAsia="Times New Roman" w:hAnsi="Times New Roman"/>
          <w:sz w:val="17"/>
          <w:szCs w:val="17"/>
          <w:color w:val="auto"/>
        </w:rPr>
      </w:pPr>
    </w:p>
    <w:p>
      <w:pPr>
        <w:ind w:left="1440" w:hanging="282"/>
        <w:spacing w:after="0"/>
        <w:tabs>
          <w:tab w:leader="none" w:pos="1440" w:val="left"/>
        </w:tabs>
        <w:numPr>
          <w:ilvl w:val="1"/>
          <w:numId w:val="55"/>
        </w:numPr>
        <w:rPr>
          <w:rFonts w:ascii="Times New Roman" w:cs="Times New Roman" w:eastAsia="Times New Roman" w:hAnsi="Times New Roman"/>
          <w:sz w:val="25"/>
          <w:szCs w:val="25"/>
          <w:i w:val="1"/>
          <w:iCs w:val="1"/>
          <w:color w:val="2E74B5"/>
        </w:rPr>
      </w:pPr>
      <w:r>
        <w:rPr>
          <w:rFonts w:ascii="Times New Roman" w:cs="Times New Roman" w:eastAsia="Times New Roman" w:hAnsi="Times New Roman"/>
          <w:sz w:val="25"/>
          <w:szCs w:val="25"/>
          <w:i w:val="1"/>
          <w:iCs w:val="1"/>
          <w:color w:val="2E74B5"/>
        </w:rPr>
        <w:t>Protecting MNPI</w:t>
      </w:r>
    </w:p>
    <w:p>
      <w:pPr>
        <w:spacing w:after="0" w:line="221"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7"/>
          <w:szCs w:val="17"/>
          <w:color w:val="auto"/>
        </w:rPr>
        <w:t>Just like other forms of confidential information that an Associate may learn during their employment at Nasdaq, MNPI cannot be communicated to other persons in any manner, except those within Nasdaq with a legitimate “need to know.” Even inadvertent communications must be avoided. Any improper disclosure of MNPI must be immediately reported to the Information Security Team and the Office of General Counsel.</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B. Prohibition on Market Abuse</w:t>
      </w:r>
    </w:p>
    <w:p>
      <w:pPr>
        <w:spacing w:after="0" w:line="217"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7"/>
          <w:szCs w:val="17"/>
          <w:color w:val="auto"/>
        </w:rPr>
        <w:t>Associates are prohibited from engaging in or supporting activities that may constitute market abuse. Market abuse offenses typically cover the insider trading situations mentioned above but may also include far broader scenarios and involve a wider variety of securities. These broader scenarios may include:</w:t>
      </w:r>
    </w:p>
    <w:p>
      <w:pPr>
        <w:spacing w:after="0" w:line="159" w:lineRule="exact"/>
        <w:rPr>
          <w:sz w:val="20"/>
          <w:szCs w:val="20"/>
          <w:color w:val="auto"/>
        </w:rPr>
      </w:pPr>
    </w:p>
    <w:p>
      <w:pPr>
        <w:ind w:left="580" w:hanging="286"/>
        <w:spacing w:after="0"/>
        <w:tabs>
          <w:tab w:leader="none" w:pos="5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misuse of information;</w:t>
      </w:r>
    </w:p>
    <w:p>
      <w:pPr>
        <w:spacing w:after="0" w:line="22"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manipulating transactions which give a false or misleading impression as to the supply, demand, or price of a security;</w:t>
      </w:r>
    </w:p>
    <w:p>
      <w:pPr>
        <w:spacing w:after="0" w:line="8"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dissemination of information likely to give a false or misleading impression; and</w:t>
      </w:r>
    </w:p>
    <w:p>
      <w:pPr>
        <w:spacing w:after="0" w:line="8"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which might distort the market.</w:t>
      </w:r>
    </w:p>
    <w:p>
      <w:pPr>
        <w:spacing w:after="0" w:line="9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Insider trading and market abuse are extremely serious offenses that undermine public confidence and can have a detrimental effect on Nasdaq’s credibility and business. Both Nasdaq and individual Associates may be subject to criminal and civil liability for any such violations.</w:t>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2E74B5"/>
        </w:rPr>
        <w:t>III.  Trading in Nasdaq-Issued Securities</w:t>
      </w:r>
    </w:p>
    <w:p>
      <w:pPr>
        <w:spacing w:after="0" w:line="223"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17"/>
          <w:szCs w:val="17"/>
          <w:color w:val="auto"/>
        </w:rPr>
        <w:t>Trading in stocks, bonds and other securities issued by Nasdaq (or, if available, tokenized versions or representations of such securities) (“NDAQ Securities”) are subject to special restrictions and requirements.</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A. Short Selling, Hedging &amp; Options Involving NDAQ Securities</w:t>
      </w:r>
    </w:p>
    <w:p>
      <w:pPr>
        <w:spacing w:after="0" w:line="2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Short selling is the sale of securities an individual does not own at the time of sale, but that they promise to deliver in the future, and is an attempt to profit from an anticipated drop in market prices. Ownership in NDAQ Securities provides an opportunity to share in the long-term growth of the company. Short-term investments based on market fluctuations are incompatible with this objective and may put the Associate’s personal gain in conflict with the best interests of Nasdaq and its shareholders.</w:t>
      </w:r>
    </w:p>
    <w:p>
      <w:pPr>
        <w:spacing w:after="0" w:line="1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7"/>
          <w:szCs w:val="17"/>
          <w:color w:val="auto"/>
        </w:rPr>
        <w:t>Associates and Associated Persons are prohibited from engaging in transactions that would allow them either to insulate themselves from, or profit from, a decline in the Nasdaq stock price (with the exception of selling shares outright). Accordingly, Associates are prohibited from selling NDAQ Securities “short,” or from creating any similar short position in Nasdaq or NDAQ Securities through the use of derivatives.</w:t>
      </w:r>
    </w:p>
    <w:p>
      <w:pPr>
        <w:spacing w:after="0" w:line="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This prohibition extends to any type of hedging transactions related to NDAQ Securities. In addition to short sales, such hedging transactions include (without limitation) hedging transactions or creation of short positions in NDAQ Securities through the use of derivative securities (e.g., puts, calls, swaps, or collars).</w:t>
      </w:r>
    </w:p>
    <w:p>
      <w:pPr>
        <w:sectPr>
          <w:pgSz w:w="11900" w:h="16840" w:orient="portrait"/>
          <w:cols w:equalWidth="0" w:num="1">
            <w:col w:w="10580"/>
          </w:cols>
          <w:pgMar w:left="660" w:top="555" w:right="66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In addition, Associates are prohibited from selling option contracts against any NDAQ Securities that they own or otherwise trading in options on NDAQ Securities.</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B. Watch List Associates</w:t>
      </w:r>
    </w:p>
    <w:p>
      <w:pPr>
        <w:spacing w:after="0" w:line="217"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Watch List Associates are individuals identified as having access to Nasdaq internal financial statements or other material non-public information (MNPI) about Nasdaq related to the development of its quarterly and annual financial reporting. Associates identified as Watch List Associates will be notified that they are on the Watch List.</w:t>
      </w:r>
    </w:p>
    <w:p>
      <w:pPr>
        <w:spacing w:after="0" w:line="159"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7"/>
          <w:szCs w:val="17"/>
          <w:color w:val="auto"/>
        </w:rPr>
        <w:t>To avoid any improper transaction in NDAQ Securities or the appearance of impropriety, Watch List Associates are precluded from trading NDAQ Securities during a closed trading window.</w:t>
      </w: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3"/>
          <w:szCs w:val="23"/>
          <w:i w:val="1"/>
          <w:iCs w:val="1"/>
          <w:color w:val="2E74B5"/>
        </w:rPr>
        <w:t>1. Trading Windows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 window status is posted to Nasdaq’s intranet.</w:t>
      </w:r>
    </w:p>
    <w:p>
      <w:pPr>
        <w:spacing w:after="0" w:line="1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2E74B5"/>
        </w:rPr>
        <w:t>Window Open</w:t>
      </w:r>
    </w:p>
    <w:p>
      <w:pPr>
        <w:spacing w:after="0" w:line="37" w:lineRule="exact"/>
        <w:rPr>
          <w:sz w:val="20"/>
          <w:szCs w:val="20"/>
          <w:color w:val="auto"/>
        </w:rPr>
      </w:pPr>
    </w:p>
    <w:p>
      <w:pPr>
        <w:jc w:val="both"/>
        <w:ind w:left="580" w:right="120"/>
        <w:spacing w:after="0" w:line="264" w:lineRule="auto"/>
        <w:rPr>
          <w:sz w:val="20"/>
          <w:szCs w:val="20"/>
          <w:color w:val="auto"/>
        </w:rPr>
      </w:pPr>
      <w:r>
        <w:rPr>
          <w:rFonts w:ascii="Times New Roman" w:cs="Times New Roman" w:eastAsia="Times New Roman" w:hAnsi="Times New Roman"/>
          <w:sz w:val="17"/>
          <w:szCs w:val="17"/>
          <w:color w:val="auto"/>
        </w:rPr>
        <w:t>Trading windows typically open one full trading day after financial results for the fiscal quarter have been publicly disclosed. Nasdaq may close or delay the opening of a trading window for Watch List Associates, or any smaller subset of Associates, at any time it deems necessary or advisable. Watch List Associates will be notified at the opening of a trading window.</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2E74B5"/>
        </w:rPr>
        <w:t>Window Close</w:t>
      </w:r>
    </w:p>
    <w:p>
      <w:pPr>
        <w:spacing w:after="0" w:line="37" w:lineRule="exact"/>
        <w:rPr>
          <w:sz w:val="20"/>
          <w:szCs w:val="20"/>
          <w:color w:val="auto"/>
        </w:rPr>
      </w:pPr>
    </w:p>
    <w:p>
      <w:pPr>
        <w:ind w:left="580" w:right="220"/>
        <w:spacing w:after="0" w:line="264" w:lineRule="auto"/>
        <w:rPr>
          <w:sz w:val="20"/>
          <w:szCs w:val="20"/>
          <w:color w:val="auto"/>
        </w:rPr>
      </w:pPr>
      <w:r>
        <w:rPr>
          <w:rFonts w:ascii="Times New Roman" w:cs="Times New Roman" w:eastAsia="Times New Roman" w:hAnsi="Times New Roman"/>
          <w:sz w:val="17"/>
          <w:szCs w:val="17"/>
          <w:color w:val="auto"/>
        </w:rPr>
        <w:t>Trading windows typically close at the end of the trading day on the fourteenth (14th) day of the last month of each quarter: March 14, June 14, September 14, and December 14. Nasdaq may close the trading window outside of the listed dates if it deems necessary or advisable. In the event the trading window is closed outside of the listed dates, Watch List Associates will be notified.</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3"/>
          <w:szCs w:val="23"/>
          <w:i w:val="1"/>
          <w:iCs w:val="1"/>
          <w:color w:val="2E74B5"/>
        </w:rPr>
        <w:t>2. Incentive Plan and ESPP Shares</w:t>
      </w:r>
    </w:p>
    <w:p>
      <w:pPr>
        <w:spacing w:after="0" w:line="8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Share withholding to satisfy tax obligations related to the vesting of an award made under Nasdaq’s Equity Incentive Plan or the vesting or settlement of such awards are not subject to trading restrictions under the Policy. However, the sale of any shares acquired under the Equity Incentive Plan or Employee Stock Purchase Plan (ESPP) is subject to trading restrictions for Watch List Associates.</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C. No Safe Harbor – Possession of Material Non-Public Information</w:t>
      </w:r>
    </w:p>
    <w:p>
      <w:pPr>
        <w:spacing w:after="0" w:line="2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Trading in NDAQ Securities during the open trading window should not be considered a “safe harbor.” Even during an open trading window, any person possessing MNPI concerning Nasdaq must not engage in any transactions in NDAQ Securities until such information has been sufficiently publicized so that the public has had the opportunity to evaluate the information. Associates should refrain from any transactions in NDAQ Securities until at least one full trading day has passed after the public announcement of such information, whether or not the Associate is on the Watchlist.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D. Rule 10b5-1 Plans</w:t>
      </w:r>
    </w:p>
    <w:p>
      <w:pPr>
        <w:spacing w:after="0" w:line="21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Rule 10b5-1 of the U.S. Exchange Act provides an affirmative defense under the U.S. Federal Securities laws from certain insider trading violations. A Rule 10b5-1 Plan specifies (including by formula) the amount,</w:t>
      </w:r>
    </w:p>
    <w:p>
      <w:pPr>
        <w:sectPr>
          <w:pgSz w:w="11900" w:h="16840" w:orient="portrait"/>
          <w:cols w:equalWidth="0" w:num="1">
            <w:col w:w="10580"/>
          </w:cols>
          <w:pgMar w:left="660" w:top="555" w:right="66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60"/>
        <w:spacing w:after="0" w:line="310" w:lineRule="auto"/>
        <w:rPr>
          <w:sz w:val="20"/>
          <w:szCs w:val="20"/>
          <w:color w:val="auto"/>
        </w:rPr>
      </w:pPr>
      <w:r>
        <w:rPr>
          <w:rFonts w:ascii="Times New Roman" w:cs="Times New Roman" w:eastAsia="Times New Roman" w:hAnsi="Times New Roman"/>
          <w:sz w:val="16"/>
          <w:szCs w:val="16"/>
          <w:color w:val="auto"/>
        </w:rPr>
        <w:t>pricing, and timing of transactions in advance, or delegates discretion on those matters to an independent third party. Once the Plan is adopted, the person adopting the Plan may not exercise any influence over the amount of Securities to be traded, the price at which they are traded or the date of trade.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requirements apply to any Associate who wants to enter into a Rule 10b5-1 Plan for NDAQ Securities:</w:t>
      </w:r>
    </w:p>
    <w:p>
      <w:pPr>
        <w:spacing w:after="0" w:line="201" w:lineRule="exact"/>
        <w:rPr>
          <w:sz w:val="20"/>
          <w:szCs w:val="20"/>
          <w:color w:val="auto"/>
        </w:rPr>
      </w:pPr>
    </w:p>
    <w:p>
      <w:pPr>
        <w:ind w:left="580" w:hanging="286"/>
        <w:spacing w:after="0"/>
        <w:tabs>
          <w:tab w:leader="none" w:pos="5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Associates who are employees can only enter into a Rule 10b5-1 Plans at the broker utilized by Nasdaq for its equity incentive plans and ESPP,</w:t>
      </w:r>
    </w:p>
    <w:p>
      <w:pPr>
        <w:spacing w:after="0" w:line="22"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 10b5-1 Plan must be done using an agreement form approved by Nasdaq’s Office of General Counsel in its sole discretion,</w:t>
      </w:r>
    </w:p>
    <w:p>
      <w:pPr>
        <w:spacing w:after="0" w:line="8" w:lineRule="exact"/>
        <w:rPr>
          <w:rFonts w:ascii="Times New Roman" w:cs="Times New Roman" w:eastAsia="Times New Roman" w:hAnsi="Times New Roman"/>
          <w:sz w:val="17"/>
          <w:szCs w:val="17"/>
          <w:color w:val="auto"/>
        </w:rPr>
      </w:pPr>
    </w:p>
    <w:p>
      <w:pPr>
        <w:ind w:left="580" w:hanging="286"/>
        <w:spacing w:after="0"/>
        <w:tabs>
          <w:tab w:leader="none" w:pos="5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 10b5-1 Plan must be approved by Nasdaq’s Stock Plan Administrator (in the People@Nasdaq team), and</w:t>
      </w:r>
    </w:p>
    <w:p>
      <w:pPr>
        <w:spacing w:after="0" w:line="8" w:lineRule="exact"/>
        <w:rPr>
          <w:rFonts w:ascii="Times New Roman" w:cs="Times New Roman" w:eastAsia="Times New Roman" w:hAnsi="Times New Roman"/>
          <w:sz w:val="17"/>
          <w:szCs w:val="17"/>
          <w:color w:val="auto"/>
        </w:rPr>
      </w:pPr>
    </w:p>
    <w:p>
      <w:pPr>
        <w:ind w:left="580" w:right="480" w:hanging="286"/>
        <w:spacing w:after="0" w:line="261" w:lineRule="auto"/>
        <w:tabs>
          <w:tab w:leader="none" w:pos="5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 10b5-1 Plan must comply with the specified conditions and requirements under the Exchange Act Rule 10b5-1(c), including but not limited to, applicable cooling-off periods and restrictions on overlapping and single trade plans.</w:t>
      </w:r>
    </w:p>
    <w:p>
      <w:pPr>
        <w:spacing w:after="0" w:line="6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Once effective following any cooling-off period, trades by Associates in NDAQ Securities that are executed pursuant to an approved Rule 10b5-1 Plan are not subject to the restrictions on trading while aware of MNPI regarding Nasdaq, restrictions set forth above relating to the trading window, and are not subject to pre-clearance procedures, where applicable.</w:t>
      </w:r>
    </w:p>
    <w:p>
      <w:pPr>
        <w:spacing w:after="0" w:line="63"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Rule 10b5-1 Plans may only be adopted, amended, or modified during an open trading window period and by a person who is not aware of any MNPI. Associates may not enter into a “non-Rule 10b5-1 trading arrangement” (as defined under applicable regulations) without prior written approval from the Office of General Counsel.</w:t>
      </w:r>
    </w:p>
    <w:p>
      <w:pPr>
        <w:spacing w:after="0" w:line="200" w:lineRule="exact"/>
        <w:rPr>
          <w:sz w:val="20"/>
          <w:szCs w:val="20"/>
          <w:color w:val="auto"/>
        </w:rPr>
      </w:pP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E. Other Restrictions on NDAQ Securities</w:t>
      </w:r>
    </w:p>
    <w:p>
      <w:pPr>
        <w:spacing w:after="0" w:line="21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When deemed necessary, Nasdaq may preclude the trading of NDAQ Securities by all or some Associates or Associated Persons due to developments known within the company but not disclosed. Consistent with US Securities and Exchange Commission guidance, this may include events that constitute significant data breaches or cybersecurity events.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F. Gifting NDAQ Securities</w:t>
      </w:r>
    </w:p>
    <w:p>
      <w:pPr>
        <w:spacing w:after="0" w:line="85"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7"/>
          <w:szCs w:val="17"/>
          <w:color w:val="auto"/>
        </w:rPr>
        <w:t>Associates may not make a gift of NDAQ Securities while aware of material nonpublic information. In addition, Watch List Associates may not gift NDAQ Securities during a closed window. Directors and Section 16 officers also must obtain pre-clearance from the Office of General Counsel before making any gift of NDAQ Securities.</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H. Trading by Nasdaq in NDAQ Securities</w:t>
      </w:r>
    </w:p>
    <w:p>
      <w:pPr>
        <w:spacing w:after="0" w:line="217"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7"/>
          <w:szCs w:val="17"/>
          <w:color w:val="auto"/>
        </w:rPr>
        <w:t>It is Nasdaq’s policy to comply with all applicable securities and state laws (including appropriate approvals by the Board of Directors or appropriate committee, if required) when engaging in transactions involving any securities issued by Nasdaq or by any subsidiary of Nasdaq.</w:t>
      </w:r>
    </w:p>
    <w:p>
      <w:pPr>
        <w:sectPr>
          <w:pgSz w:w="11900" w:h="16840" w:orient="portrait"/>
          <w:cols w:equalWidth="0" w:num="1">
            <w:col w:w="10580"/>
          </w:cols>
          <w:pgMar w:left="660" w:top="555" w:right="66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spacing w:after="0"/>
        <w:tabs>
          <w:tab w:leader="none" w:pos="840" w:val="left"/>
        </w:tabs>
        <w:rPr>
          <w:sz w:val="20"/>
          <w:szCs w:val="20"/>
          <w:color w:val="auto"/>
        </w:rPr>
      </w:pPr>
      <w:r>
        <w:rPr>
          <w:rFonts w:ascii="Times New Roman" w:cs="Times New Roman" w:eastAsia="Times New Roman" w:hAnsi="Times New Roman"/>
          <w:sz w:val="25"/>
          <w:szCs w:val="25"/>
          <w:b w:val="1"/>
          <w:bCs w:val="1"/>
          <w:color w:val="2E74B5"/>
        </w:rPr>
        <w:t>IV.</w:t>
        <w:tab/>
        <w:t>Additional Requirements for Directors and Executive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Section IV applies to:</w:t>
      </w:r>
    </w:p>
    <w:p>
      <w:pPr>
        <w:spacing w:after="0" w:line="105" w:lineRule="exact"/>
        <w:rPr>
          <w:sz w:val="20"/>
          <w:szCs w:val="20"/>
          <w:color w:val="auto"/>
        </w:rPr>
      </w:pPr>
    </w:p>
    <w:p>
      <w:pPr>
        <w:ind w:left="580" w:hanging="286"/>
        <w:spacing w:after="0"/>
        <w:tabs>
          <w:tab w:leader="none" w:pos="5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serving on the Board of Directors of Nasdaq, Inc. (“Directors”)</w:t>
      </w:r>
    </w:p>
    <w:p>
      <w:pPr>
        <w:spacing w:after="0" w:line="188" w:lineRule="exact"/>
        <w:rPr>
          <w:rFonts w:ascii="Times New Roman" w:cs="Times New Roman" w:eastAsia="Times New Roman" w:hAnsi="Times New Roman"/>
          <w:sz w:val="17"/>
          <w:szCs w:val="17"/>
          <w:color w:val="auto"/>
        </w:rPr>
      </w:pPr>
    </w:p>
    <w:p>
      <w:pPr>
        <w:ind w:left="580" w:right="300" w:hanging="286"/>
        <w:spacing w:after="0" w:line="263" w:lineRule="auto"/>
        <w:tabs>
          <w:tab w:leader="none" w:pos="5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Nasdaq’s Controller/ Principal Accounting Officer, and any other officers designated by the Nasdaq Board of Directors as “Section 16 Officers” (“Executive Officers”)</w:t>
      </w:r>
    </w:p>
    <w:p>
      <w:pPr>
        <w:spacing w:after="0" w:line="147" w:lineRule="exact"/>
        <w:rPr>
          <w:rFonts w:ascii="Times New Roman" w:cs="Times New Roman" w:eastAsia="Times New Roman" w:hAnsi="Times New Roman"/>
          <w:sz w:val="17"/>
          <w:szCs w:val="17"/>
          <w:color w:val="auto"/>
        </w:rPr>
      </w:pPr>
    </w:p>
    <w:p>
      <w:pPr>
        <w:ind w:left="580" w:right="620" w:hanging="286"/>
        <w:spacing w:after="0" w:line="263" w:lineRule="auto"/>
        <w:tabs>
          <w:tab w:leader="none" w:pos="5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Nasdaq Director’s and Executive Officer’s spouse or domestic partner, minor children, and any person whose interests the Director or Executive Officer has the legal right to represent.</w:t>
      </w:r>
    </w:p>
    <w:p>
      <w:pPr>
        <w:spacing w:after="0" w:line="200" w:lineRule="exact"/>
        <w:rPr>
          <w:sz w:val="20"/>
          <w:szCs w:val="20"/>
          <w:color w:val="auto"/>
        </w:rPr>
      </w:pPr>
    </w:p>
    <w:p>
      <w:pPr>
        <w:spacing w:after="0" w:line="2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A. Pre-Clearance of Trades and Gifts</w:t>
      </w:r>
    </w:p>
    <w:p>
      <w:pPr>
        <w:spacing w:after="0" w:line="21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7"/>
          <w:szCs w:val="17"/>
          <w:color w:val="auto"/>
        </w:rPr>
        <w:t>Nasdaq has determined that all Directors and Executive Officers must receive pre - clearance before trading in NDAQ Securities, even during trading windows. Each Director and Executive Officer should email or contact the Stock Plan Administrator at least one business day prior to commencing any trade in NDAQ Securities. Nasdaq may find it necessary, from time to time, to require compliance with the pre- clearance process from certain employees, consultants, and contractors in addition to Directors and Executive Officers.</w:t>
      </w:r>
    </w:p>
    <w:p>
      <w:pPr>
        <w:spacing w:after="0" w:line="16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Directors and Section 16 officers also must obtain pre -clearance from the Office of General Counsel before making any gift of NDAQ securities. Once a gift is made, it must be immediately reported to Nasdaq’s OGC team to enable timely reporting to the SEC on Form 4. All gifts must be reported on Form 4 within two (2) business days.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Officers and Directors may not make a gift of NDAQ Securities while aware of material nonpublic information or during a closed window.</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B. Rule 10b5-1 Plans</w:t>
      </w:r>
    </w:p>
    <w:p>
      <w:pPr>
        <w:spacing w:after="0" w:line="21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Material terms of Rule 10b5-1 Plans entered into, amended or terminated by Directors and Section 16 Officers are subject to disclosure in accordance with applicable regulations.</w:t>
      </w:r>
    </w:p>
    <w:p>
      <w:pPr>
        <w:spacing w:after="0" w:line="148"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7"/>
          <w:szCs w:val="17"/>
          <w:color w:val="auto"/>
        </w:rPr>
        <w:t>In addition to the other provisions of this Policy related to Rule 10b5-1 plans, each Director or Executive Officer entering into a Rule 10b5- 1 plan must ensure that the plan meets the requirements of Rule 10b5-1 and obtain written pre-approval from Nasdaq’s Stock Plan Administrator of the intended plan terms and conditions. A final copy of the plan and any amendments must be immediately provided to the Stock Plan Administrator to enable Nasdaq to comply with its disclosure obligations.</w:t>
      </w:r>
    </w:p>
    <w:p>
      <w:pPr>
        <w:spacing w:after="0" w:line="200" w:lineRule="exact"/>
        <w:rPr>
          <w:sz w:val="20"/>
          <w:szCs w:val="20"/>
          <w:color w:val="auto"/>
        </w:rPr>
      </w:pPr>
    </w:p>
    <w:p>
      <w:pPr>
        <w:spacing w:after="0" w:line="3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C. Pledging NDAQ Securities</w:t>
      </w:r>
    </w:p>
    <w:p>
      <w:pPr>
        <w:spacing w:after="0" w:line="217"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7"/>
          <w:szCs w:val="17"/>
          <w:color w:val="auto"/>
        </w:rPr>
        <w:t>Shares held by a Director, or Executive Officer may not be pledged, hypothecated, or otherwise encumbered (including via the holding of such shares in a margin account) . The Management Compensation Committee of the Nasdaq Board retains discretion to propose a remedy to cure any existing pledged position held by a Director or Executive Officer that is in breach of this Policy.</w:t>
      </w:r>
    </w:p>
    <w:p>
      <w:pPr>
        <w:sectPr>
          <w:pgSz w:w="11900" w:h="16840" w:orient="portrait"/>
          <w:cols w:equalWidth="0" w:num="1">
            <w:col w:w="10580"/>
          </w:cols>
          <w:pgMar w:left="660" w:top="555" w:right="66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color w:val="2E74B5"/>
        </w:rPr>
        <w:t>D. Other Restrictions</w:t>
      </w:r>
    </w:p>
    <w:p>
      <w:pPr>
        <w:spacing w:after="0" w:line="217"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7"/>
          <w:szCs w:val="17"/>
          <w:color w:val="auto"/>
        </w:rPr>
        <w:t>From time to time, Nasdaq may preclude the trading of Nasdaq stock by all or some Directors or Executive Officers due to developments known within Nasdaq but not generally disclosed.</w:t>
      </w:r>
    </w:p>
    <w:p>
      <w:pPr>
        <w:spacing w:after="0" w:line="141" w:lineRule="exact"/>
        <w:rPr>
          <w:sz w:val="20"/>
          <w:szCs w:val="20"/>
          <w:color w:val="auto"/>
        </w:rPr>
      </w:pPr>
    </w:p>
    <w:p>
      <w:pPr>
        <w:ind w:left="860" w:hanging="566"/>
        <w:spacing w:after="0"/>
        <w:tabs>
          <w:tab w:leader="none" w:pos="860" w:val="left"/>
        </w:tabs>
        <w:numPr>
          <w:ilvl w:val="0"/>
          <w:numId w:val="59"/>
        </w:numPr>
        <w:rPr>
          <w:rFonts w:ascii="Times New Roman" w:cs="Times New Roman" w:eastAsia="Times New Roman" w:hAnsi="Times New Roman"/>
          <w:sz w:val="25"/>
          <w:szCs w:val="25"/>
          <w:b w:val="1"/>
          <w:bCs w:val="1"/>
          <w:color w:val="2E74B5"/>
        </w:rPr>
      </w:pPr>
      <w:r>
        <w:rPr>
          <w:rFonts w:ascii="Times New Roman" w:cs="Times New Roman" w:eastAsia="Times New Roman" w:hAnsi="Times New Roman"/>
          <w:sz w:val="25"/>
          <w:szCs w:val="25"/>
          <w:b w:val="1"/>
          <w:bCs w:val="1"/>
          <w:color w:val="2E74B5"/>
        </w:rPr>
        <w:t>Compliance Certification</w:t>
      </w:r>
    </w:p>
    <w:p>
      <w:pPr>
        <w:spacing w:after="0" w:line="22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All Associates must confirm within thirty days of hiring and annually that they (1) are in compliance and will comply with all applicable trading policies and (2) have completely and properly disclosed, to the extent required by applicable policies, all brokerage/trading accounts and relevant trading activity.</w:t>
      </w:r>
    </w:p>
    <w:p>
      <w:pPr>
        <w:spacing w:after="0" w:line="14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Nasdaq may, also from time to time, require any Associate to confirm that they are in compliance with this Policy and/or other applicable policies. Nasdaq may also require documentation supporting such compliance.</w:t>
      </w:r>
    </w:p>
    <w:p>
      <w:pPr>
        <w:spacing w:after="0" w:line="142" w:lineRule="exact"/>
        <w:rPr>
          <w:sz w:val="20"/>
          <w:szCs w:val="20"/>
          <w:color w:val="auto"/>
        </w:rPr>
      </w:pPr>
    </w:p>
    <w:p>
      <w:pPr>
        <w:ind w:left="300"/>
        <w:spacing w:after="0"/>
        <w:tabs>
          <w:tab w:leader="none" w:pos="840" w:val="left"/>
        </w:tabs>
        <w:rPr>
          <w:sz w:val="20"/>
          <w:szCs w:val="20"/>
          <w:color w:val="auto"/>
        </w:rPr>
      </w:pPr>
      <w:r>
        <w:rPr>
          <w:rFonts w:ascii="Times New Roman" w:cs="Times New Roman" w:eastAsia="Times New Roman" w:hAnsi="Times New Roman"/>
          <w:sz w:val="25"/>
          <w:szCs w:val="25"/>
          <w:b w:val="1"/>
          <w:bCs w:val="1"/>
          <w:color w:val="2E74B5"/>
        </w:rPr>
        <w:t>VI.</w:t>
        <w:tab/>
        <w:t>Seeking Guidance and Reporting Concerns</w:t>
      </w:r>
    </w:p>
    <w:p>
      <w:pPr>
        <w:spacing w:after="0" w:line="223"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7"/>
          <w:szCs w:val="17"/>
          <w:color w:val="auto"/>
        </w:rPr>
        <w:t xml:space="preserve">Associates are expected seek guidance in advance of taking action whenever application of this Policy is unclear. Associates are expected to fully cooperate with any internal, law enforcement, or regulatory investigation as appropriate and in accordance with all applicable laws. Questions or requests for guidance should be directed to the relevant </w:t>
      </w:r>
      <w:r>
        <w:rPr>
          <w:rFonts w:ascii="Times New Roman" w:cs="Times New Roman" w:eastAsia="Times New Roman" w:hAnsi="Times New Roman"/>
          <w:sz w:val="17"/>
          <w:szCs w:val="17"/>
          <w:u w:val="single" w:color="auto"/>
          <w:color w:val="0563C1"/>
        </w:rPr>
        <w:t>Guidance and Reporting Channels</w:t>
      </w:r>
      <w:r>
        <w:rPr>
          <w:rFonts w:ascii="Times New Roman" w:cs="Times New Roman" w:eastAsia="Times New Roman" w:hAnsi="Times New Roman"/>
          <w:sz w:val="17"/>
          <w:szCs w:val="17"/>
          <w:color w:val="auto"/>
        </w:rPr>
        <w:t xml:space="preserve"> set forth in the Nasdaq Code of Ethics.</w:t>
      </w:r>
    </w:p>
    <w:p>
      <w:pPr>
        <w:spacing w:after="0" w:line="63"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7"/>
          <w:szCs w:val="17"/>
          <w:color w:val="auto"/>
        </w:rPr>
        <w:t xml:space="preserve">As detailed in the Code of Ethics, Associates are required to report any suspicious activities and violations of Nasdaq policies or the law related to Nasdaq’s business that they observe or reasonably suspect or that are reported to the Associate by a colleague, customer, supplier, or third party. Reports can be made through the </w:t>
      </w:r>
      <w:r>
        <w:rPr>
          <w:rFonts w:ascii="Times New Roman" w:cs="Times New Roman" w:eastAsia="Times New Roman" w:hAnsi="Times New Roman"/>
          <w:sz w:val="17"/>
          <w:szCs w:val="17"/>
          <w:u w:val="single" w:color="auto"/>
          <w:color w:val="0563C1"/>
        </w:rPr>
        <w:t>Guidance and Reporting Channels</w:t>
      </w:r>
      <w:r>
        <w:rPr>
          <w:rFonts w:ascii="Times New Roman" w:cs="Times New Roman" w:eastAsia="Times New Roman" w:hAnsi="Times New Roman"/>
          <w:sz w:val="17"/>
          <w:szCs w:val="17"/>
          <w:color w:val="auto"/>
        </w:rPr>
        <w:t xml:space="preserve"> set forth in the Code of Ethics.</w:t>
      </w:r>
    </w:p>
    <w:p>
      <w:pPr>
        <w:sectPr>
          <w:pgSz w:w="11900" w:h="16840" w:orient="portrait"/>
          <w:cols w:equalWidth="0" w:num="1">
            <w:col w:w="10580"/>
          </w:cols>
          <w:pgMar w:left="660" w:top="555" w:right="66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u w:val="single" w:color="auto"/>
          <w:color w:val="auto"/>
        </w:rPr>
        <w:t>Subsidiaries of Nasdaq, Inc.*</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u w:val="single" w:color="auto"/>
          <w:color w:val="auto"/>
        </w:rPr>
        <w:t>As of February 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U.S. Entities</w:t>
      </w:r>
    </w:p>
    <w:p>
      <w:pPr>
        <w:spacing w:after="0" w:line="224" w:lineRule="exact"/>
        <w:rPr>
          <w:sz w:val="20"/>
          <w:szCs w:val="20"/>
          <w:color w:val="auto"/>
        </w:rPr>
      </w:pPr>
    </w:p>
    <w:p>
      <w:pPr>
        <w:ind w:left="580" w:hanging="574"/>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Inc. (organized in Delaware)</w:t>
      </w:r>
    </w:p>
    <w:p>
      <w:pPr>
        <w:spacing w:after="0" w:line="14" w:lineRule="exact"/>
        <w:rPr>
          <w:rFonts w:ascii="Times New Roman" w:cs="Times New Roman" w:eastAsia="Times New Roman" w:hAnsi="Times New Roman"/>
          <w:sz w:val="16"/>
          <w:szCs w:val="16"/>
          <w:color w:val="auto"/>
        </w:rPr>
      </w:pP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BoardVantage,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Boston Stock Exchange Clearing Corporation (organized in Massachusetts)</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Content Services,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Desk,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Dorsey, Wright &amp; Associates, LLC (organized in Virginia)</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eVestment Alliance,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eVestment,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FINRA/Nasdaq Trade Reporting Facility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FRAMLxchange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FTEN,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Securities Exchange Holdings,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Longitude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BX,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Capital Markets Advisory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Corporate Services,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Corporate Solutions,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Data Acquisition,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Digital Asset Holdings,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Energy Futures,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Execution Services,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Fund Secondaries,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Futures,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GEMX,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Global,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Information,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ISE,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MRX,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PHLX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Private Market,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SB Holdings,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Technology Services,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Verafin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NFSTX,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OneReport,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Operations &amp; Compliance Network,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QDiligence LLC (organized in Illinois)</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Clearing Corporation of Philadelphia (organized in Pennsylvania)</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Sybenetix Inc.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Nasdaq Options Market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Nasdaq Stock Market LLC (organized in Delaware)</w:t>
      </w:r>
    </w:p>
    <w:p>
      <w:pPr>
        <w:ind w:left="580" w:hanging="574"/>
        <w:spacing w:after="0" w:line="234" w:lineRule="auto"/>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Exchange Holdings, Inc. (organized in Delaware)</w:t>
      </w:r>
    </w:p>
    <w:p>
      <w:pPr>
        <w:ind w:left="580" w:hanging="574"/>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Volos Portfolio Solutions, Inc. (organized in Delaware)</w:t>
      </w:r>
    </w:p>
    <w:p>
      <w:pPr>
        <w:sectPr>
          <w:pgSz w:w="11900" w:h="16840" w:orient="portrait"/>
          <w:cols w:equalWidth="0" w:num="1">
            <w:col w:w="10580"/>
          </w:cols>
          <w:pgMar w:left="660" w:top="555" w:right="66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Non-U.S. Subsidiaries</w:t>
      </w:r>
    </w:p>
    <w:p>
      <w:pPr>
        <w:spacing w:after="0" w:line="224" w:lineRule="exact"/>
        <w:rPr>
          <w:sz w:val="20"/>
          <w:szCs w:val="20"/>
          <w:color w:val="auto"/>
        </w:rPr>
      </w:pPr>
    </w:p>
    <w:p>
      <w:pPr>
        <w:ind w:left="580" w:hanging="574"/>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 Nasdaq Vilnius (organized in Lithuania)</w:t>
      </w:r>
    </w:p>
    <w:p>
      <w:pPr>
        <w:spacing w:after="0" w:line="14" w:lineRule="exact"/>
        <w:rPr>
          <w:rFonts w:ascii="Times New Roman" w:cs="Times New Roman" w:eastAsia="Times New Roman" w:hAnsi="Times New Roman"/>
          <w:sz w:val="16"/>
          <w:szCs w:val="16"/>
          <w:color w:val="auto"/>
        </w:rPr>
      </w:pP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Australia Pty Ltd. (organized in Australia)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Brasil Ltda (organized in Brazil)</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Chile SpA (organized in Chile)</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Colombia S.A.S. (organized in Colombia)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Georgia LLC (organized in Georgia)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India Private Ltd. (organized in India)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Ireland Ltd. (organized in Ireland)</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Israel Ltd. (organized in Israel)</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Korea LLC (organized in South Korea)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Netherlands B.V. (organized in the Netherlands)</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POLAND SOO SPOLKA Z OGRANICZONA ODPOWIEDZIALNOSCIA (organized in Poland)</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Portugal S.A. (organized in Portugal)</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Spain S.L. (organized in Spain)</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Technology (DIFC) Ltd. (organized in Dubai)</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Adenza Technology de Mexico, S. de R.L. de C.V. (organized in Mexico)</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Pensionikeskus AS (organized in Estonia)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Axioma SD, Ltd. (organized in Russia)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AxiomSL Holdings B.V. (organized in the Netherlands)</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Calypso Software (Beijing) Co Ltd. (organized in China)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Calypso Technology Pte. Ltd. (organized in Singapore)</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Cinnober Financial Technology AB (organized in Sweden)</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Ensoleillement Inc. (organized in Canada)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eVestment Alliance (UK) Limited (organized in the United Kingdom)</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eVestment Alliance Australia Pty Ltd (organized in Australia)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Indxis Ltd (organized in the United Kingdom)</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Metrio Software Inc. (organized in Quebec)</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(Asia Pacific) Pte. Ltd. (organized in Singapore)</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AB (organized in Sweden)</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Arabia Limited (organized in Saudi Arabia)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Australia Holding Pty Ltd (organized in Australia)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Canada Inc. (organized in Canada)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Clearing AB (organized in Sweden)</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Copenhagen A/S (organized in Denmark)</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Corporate Solutions (India) Private Limited (organized in India)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Corporate Solutions International Limited (organized in the United Kingdom)</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CSD SE (organized in Latvia)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CXC Limited (organized in Canada)</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Exchange and Clearing Services AB (organized in Sweden)</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France SARL (organized in France)</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Germany GmbH (organized in Germany)</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Helsinki Ltd (organized in Finland)</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Holding AB (organized in Sweden)</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Holding Denmark A/S (organized in Denmark)</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Iceland hf. (organized in Iceland)</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International Ltd (organized in the United Kingdom)</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Limited (organized in the United Kingdom)</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Ltd. (organized in Hong Kong)</w:t>
      </w:r>
    </w:p>
    <w:p>
      <w:pPr>
        <w:ind w:left="580" w:hanging="574"/>
        <w:spacing w:after="0" w:line="234"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Korea Ltd (organized in South Korea)</w:t>
      </w:r>
    </w:p>
    <w:p>
      <w:pPr>
        <w:ind w:left="580" w:hanging="574"/>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Nordic Ltd (organized in Finland)</w:t>
      </w:r>
    </w:p>
    <w:p>
      <w:pPr>
        <w:sectPr>
          <w:pgSz w:w="11900" w:h="16840" w:orient="portrait"/>
          <w:cols w:equalWidth="0" w:num="1">
            <w:col w:w="10580"/>
          </w:cols>
          <w:pgMar w:left="660" w:top="555" w:right="66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0" w:hanging="574"/>
        <w:spacing w:after="0"/>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Oslo ASA (organized in Norway)</w:t>
      </w:r>
    </w:p>
    <w:p>
      <w:pPr>
        <w:spacing w:after="0" w:line="14" w:lineRule="exact"/>
        <w:rPr>
          <w:rFonts w:ascii="Times New Roman" w:cs="Times New Roman" w:eastAsia="Times New Roman" w:hAnsi="Times New Roman"/>
          <w:sz w:val="16"/>
          <w:szCs w:val="16"/>
          <w:color w:val="auto"/>
        </w:rPr>
      </w:pP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Pty Ltd (organized in Australia)</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Riga, AS (organized in Latvia) (92.98% owned, directly or indirectly, by Nasdaq, Inc.)</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Singapore Pte. Ltd. (organized in Singapore)</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Spot AB (organized in Sweden)</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Stockholm AB (organized in Sweden)</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Tallinn AS (organized in Estonia)</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Technology (Japan) Ltd (organized in Japan)</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Technology AB (organized in Sweden)</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Technology Energy Systems AS (organized in Norway)</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Technology Italy Srl (organized in Italy)</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Teknoloji Servisi Limited Sirketi (organized in Turkey)</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Treasury AB (organized in Sweden)</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Vilnius Services UAB (organized in Lithuania)</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OMX Treasury Euro AB (organized in Sweden) (99.9% owned, directly or indirectly, by Nasdaq, Inc.)</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OMX Treasury Euro Holding AB (organized in Sweden)</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Puro.earth (organized in Finland) (70% owned, directly or indirectly, by Nasdaq, Inc.)</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Quandl, Inc. (organized in Canada, Federal)</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SMARTS Broker Compliance Pty Ltd (organized in Australia)</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SMARTS Market Surveillance Pty Ltd (organized in Australia)</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Sybenetix Limited (organized in the United Kingdom)</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Sybenetix Ukraine (organized in the Ukraine)</w:t>
      </w:r>
    </w:p>
    <w:p>
      <w:pPr>
        <w:ind w:left="580" w:hanging="574"/>
        <w:spacing w:after="0" w:line="234"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TOV AxiomSL (organized in the Ukraine)</w:t>
      </w:r>
    </w:p>
    <w:p>
      <w:pPr>
        <w:ind w:left="580" w:hanging="574"/>
        <w:spacing w:after="0"/>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Verafin Solutions ULC (organized in Canada)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list of subsidiaries does not include not-for-profit entities or foreign branches of subsidiaries, or entities in which Nasdaq owns less than 50% of the entity.</w:t>
      </w:r>
    </w:p>
    <w:p>
      <w:pPr>
        <w:sectPr>
          <w:pgSz w:w="11900" w:h="16840" w:orient="portrait"/>
          <w:cols w:equalWidth="0" w:num="1">
            <w:col w:w="10580"/>
          </w:cols>
          <w:pgMar w:left="660" w:top="555" w:right="660" w:bottom="1440" w:gutter="0" w:footer="0" w:header="0"/>
        </w:sectPr>
      </w:pPr>
    </w:p>
    <w:bookmarkStart w:id="143" w:name="page144"/>
    <w:bookmarkEnd w:id="143"/>
    <w:p>
      <w:pPr>
        <w:ind w:left="9580"/>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840" w:firstLine="2827"/>
        <w:spacing w:after="0" w:line="396" w:lineRule="auto"/>
        <w:rPr>
          <w:sz w:val="20"/>
          <w:szCs w:val="20"/>
          <w:color w:val="auto"/>
        </w:rPr>
      </w:pPr>
      <w:r>
        <w:rPr>
          <w:rFonts w:ascii="Times New Roman" w:cs="Times New Roman" w:eastAsia="Times New Roman" w:hAnsi="Times New Roman"/>
          <w:sz w:val="19"/>
          <w:szCs w:val="19"/>
          <w:b w:val="1"/>
          <w:bCs w:val="1"/>
          <w:color w:val="auto"/>
        </w:rPr>
        <w:t xml:space="preserve">Consent of Independent Registered Public Accounting Firm </w:t>
      </w:r>
      <w:r>
        <w:rPr>
          <w:rFonts w:ascii="Times New Roman" w:cs="Times New Roman" w:eastAsia="Times New Roman" w:hAnsi="Times New Roman"/>
          <w:sz w:val="19"/>
          <w:szCs w:val="19"/>
          <w:color w:val="auto"/>
        </w:rPr>
        <w:t>We consent to the incorporation by reference in the following Registration Statements:</w:t>
      </w:r>
    </w:p>
    <w:p>
      <w:pPr>
        <w:spacing w:after="0" w:line="1" w:lineRule="exact"/>
        <w:rPr>
          <w:sz w:val="20"/>
          <w:szCs w:val="20"/>
          <w:color w:val="auto"/>
        </w:rPr>
      </w:pPr>
    </w:p>
    <w:p>
      <w:pPr>
        <w:ind w:left="580" w:hanging="574"/>
        <w:spacing w:after="0"/>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333-291192) of Nasdaq, Inc. Equity Incentive Plan,</w:t>
      </w:r>
    </w:p>
    <w:p>
      <w:pPr>
        <w:spacing w:after="0" w:line="105" w:lineRule="exact"/>
        <w:rPr>
          <w:rFonts w:ascii="Times New Roman" w:cs="Times New Roman" w:eastAsia="Times New Roman" w:hAnsi="Times New Roman"/>
          <w:sz w:val="19"/>
          <w:szCs w:val="19"/>
          <w:color w:val="auto"/>
        </w:rPr>
      </w:pPr>
    </w:p>
    <w:p>
      <w:pPr>
        <w:ind w:left="580" w:hanging="574"/>
        <w:spacing w:after="0"/>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333-279011) of Nasdaq, Inc.,</w:t>
      </w:r>
    </w:p>
    <w:p>
      <w:pPr>
        <w:spacing w:after="0" w:line="105" w:lineRule="exact"/>
        <w:rPr>
          <w:rFonts w:ascii="Times New Roman" w:cs="Times New Roman" w:eastAsia="Times New Roman" w:hAnsi="Times New Roman"/>
          <w:sz w:val="19"/>
          <w:szCs w:val="19"/>
          <w:color w:val="auto"/>
        </w:rPr>
      </w:pPr>
    </w:p>
    <w:p>
      <w:pPr>
        <w:ind w:left="580" w:hanging="574"/>
        <w:spacing w:after="0"/>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333-265824) pertaining to The Nasdaq, Inc. Deferred Compensation Plan,</w:t>
      </w:r>
    </w:p>
    <w:p>
      <w:pPr>
        <w:spacing w:after="0" w:line="105" w:lineRule="exact"/>
        <w:rPr>
          <w:rFonts w:ascii="Times New Roman" w:cs="Times New Roman" w:eastAsia="Times New Roman" w:hAnsi="Times New Roman"/>
          <w:sz w:val="19"/>
          <w:szCs w:val="19"/>
          <w:color w:val="auto"/>
        </w:rPr>
      </w:pPr>
    </w:p>
    <w:p>
      <w:pPr>
        <w:ind w:left="580" w:hanging="574"/>
        <w:spacing w:after="0"/>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333-239891) pertaining to Nasdaq, Inc. Employee Stock Purchase Plan,</w:t>
      </w:r>
    </w:p>
    <w:p>
      <w:pPr>
        <w:spacing w:after="0" w:line="105" w:lineRule="exact"/>
        <w:rPr>
          <w:rFonts w:ascii="Times New Roman" w:cs="Times New Roman" w:eastAsia="Times New Roman" w:hAnsi="Times New Roman"/>
          <w:sz w:val="19"/>
          <w:szCs w:val="19"/>
          <w:color w:val="auto"/>
        </w:rPr>
      </w:pPr>
    </w:p>
    <w:p>
      <w:pPr>
        <w:ind w:left="580" w:hanging="574"/>
        <w:spacing w:after="0"/>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333-225218) pertaining to Nasdaq, Inc. Equity Incentive Plan,</w:t>
      </w:r>
    </w:p>
    <w:p>
      <w:pPr>
        <w:spacing w:after="0" w:line="105" w:lineRule="exact"/>
        <w:rPr>
          <w:rFonts w:ascii="Times New Roman" w:cs="Times New Roman" w:eastAsia="Times New Roman" w:hAnsi="Times New Roman"/>
          <w:sz w:val="19"/>
          <w:szCs w:val="19"/>
          <w:color w:val="auto"/>
        </w:rPr>
      </w:pPr>
    </w:p>
    <w:p>
      <w:pPr>
        <w:ind w:left="580" w:right="20" w:hanging="574"/>
        <w:spacing w:after="0" w:line="286" w:lineRule="auto"/>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333-196838) pertaining to Nasdaq, Inc. (f/k/a The NASDAQ OMX Group, Inc.) Equity Incentive Plan,</w:t>
      </w:r>
    </w:p>
    <w:p>
      <w:pPr>
        <w:spacing w:after="0" w:line="31" w:lineRule="exact"/>
        <w:rPr>
          <w:rFonts w:ascii="Times New Roman" w:cs="Times New Roman" w:eastAsia="Times New Roman" w:hAnsi="Times New Roman"/>
          <w:sz w:val="19"/>
          <w:szCs w:val="19"/>
          <w:color w:val="auto"/>
        </w:rPr>
      </w:pPr>
    </w:p>
    <w:p>
      <w:pPr>
        <w:ind w:left="580" w:right="20" w:hanging="574"/>
        <w:spacing w:after="0" w:line="286" w:lineRule="auto"/>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333-167724) pertaining to Nasdaq, Inc. (f/k/a The NASDAQ OMX Group, Inc.) Employee Stock Purchase Plan,</w:t>
      </w:r>
    </w:p>
    <w:p>
      <w:pPr>
        <w:spacing w:after="0" w:line="31" w:lineRule="exact"/>
        <w:rPr>
          <w:rFonts w:ascii="Times New Roman" w:cs="Times New Roman" w:eastAsia="Times New Roman" w:hAnsi="Times New Roman"/>
          <w:sz w:val="19"/>
          <w:szCs w:val="19"/>
          <w:color w:val="auto"/>
        </w:rPr>
      </w:pPr>
    </w:p>
    <w:p>
      <w:pPr>
        <w:ind w:left="580" w:right="20" w:hanging="574"/>
        <w:spacing w:after="0" w:line="286" w:lineRule="auto"/>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333-167723) pertaining to Nasdaq, Inc. (f/k/a The NASDAQ OMX Group, Inc.) Equity Incentive Plan,</w:t>
      </w:r>
    </w:p>
    <w:p>
      <w:pPr>
        <w:spacing w:after="0" w:line="31" w:lineRule="exact"/>
        <w:rPr>
          <w:rFonts w:ascii="Times New Roman" w:cs="Times New Roman" w:eastAsia="Times New Roman" w:hAnsi="Times New Roman"/>
          <w:sz w:val="19"/>
          <w:szCs w:val="19"/>
          <w:color w:val="auto"/>
        </w:rPr>
      </w:pPr>
    </w:p>
    <w:p>
      <w:pPr>
        <w:ind w:left="580" w:hanging="574"/>
        <w:spacing w:after="0"/>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333-110602) pertaining to The Nasdaq Stock Market, Inc. Equity Incentive Plan,</w:t>
      </w:r>
    </w:p>
    <w:p>
      <w:pPr>
        <w:spacing w:after="0" w:line="105" w:lineRule="exact"/>
        <w:rPr>
          <w:rFonts w:ascii="Times New Roman" w:cs="Times New Roman" w:eastAsia="Times New Roman" w:hAnsi="Times New Roman"/>
          <w:sz w:val="19"/>
          <w:szCs w:val="19"/>
          <w:color w:val="auto"/>
        </w:rPr>
      </w:pPr>
    </w:p>
    <w:p>
      <w:pPr>
        <w:ind w:left="580" w:right="20" w:hanging="574"/>
        <w:spacing w:after="0" w:line="286" w:lineRule="auto"/>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333-106945) pertaining to the Employment Agreement with Robert Greifeld of The Nasdaq Stock Market, Inc.,</w:t>
      </w:r>
    </w:p>
    <w:p>
      <w:pPr>
        <w:spacing w:after="0" w:line="31" w:lineRule="exact"/>
        <w:rPr>
          <w:rFonts w:ascii="Times New Roman" w:cs="Times New Roman" w:eastAsia="Times New Roman" w:hAnsi="Times New Roman"/>
          <w:sz w:val="19"/>
          <w:szCs w:val="19"/>
          <w:color w:val="auto"/>
        </w:rPr>
      </w:pPr>
    </w:p>
    <w:p>
      <w:pPr>
        <w:ind w:left="580" w:right="20" w:hanging="574"/>
        <w:spacing w:after="0" w:line="286" w:lineRule="auto"/>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333-76064) pertaining to The Nasdaq Stock Market, Inc. 2000 Employee Stock Purchase Plan,</w:t>
      </w:r>
    </w:p>
    <w:p>
      <w:pPr>
        <w:spacing w:after="0" w:line="31" w:lineRule="exact"/>
        <w:rPr>
          <w:rFonts w:ascii="Times New Roman" w:cs="Times New Roman" w:eastAsia="Times New Roman" w:hAnsi="Times New Roman"/>
          <w:sz w:val="19"/>
          <w:szCs w:val="19"/>
          <w:color w:val="auto"/>
        </w:rPr>
      </w:pPr>
    </w:p>
    <w:p>
      <w:pPr>
        <w:ind w:left="580" w:right="20" w:hanging="574"/>
        <w:spacing w:after="0" w:line="286" w:lineRule="auto"/>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333-72852) pertaining to The Nasdaq Stock Market, Inc. 2000 Employee Stock Purchase Plan,</w:t>
      </w:r>
    </w:p>
    <w:p>
      <w:pPr>
        <w:spacing w:after="0" w:line="31" w:lineRule="exact"/>
        <w:rPr>
          <w:rFonts w:ascii="Times New Roman" w:cs="Times New Roman" w:eastAsia="Times New Roman" w:hAnsi="Times New Roman"/>
          <w:sz w:val="19"/>
          <w:szCs w:val="19"/>
          <w:color w:val="auto"/>
        </w:rPr>
      </w:pPr>
    </w:p>
    <w:p>
      <w:pPr>
        <w:ind w:left="580" w:hanging="574"/>
        <w:spacing w:after="0"/>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333-70992) pertaining to The Nasdaq Stock Market, Inc. Equity Incentive Plan, and</w:t>
      </w:r>
    </w:p>
    <w:p>
      <w:pPr>
        <w:spacing w:after="0" w:line="3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of our reports dated February 12, 2026 with respect to the consolidated financial statements of Nasdaq, Inc. and the effectiveness of internal control over financial reporting of Nasdaq, Inc. included in this Annual Report (Form 10-K) of Nasdaq, Inc. for the year ended December 31, 2025.</w:t>
      </w:r>
    </w:p>
    <w:p>
      <w:pPr>
        <w:spacing w:after="0" w:line="200" w:lineRule="exact"/>
        <w:rPr>
          <w:sz w:val="20"/>
          <w:szCs w:val="20"/>
          <w:color w:val="auto"/>
        </w:rPr>
      </w:pPr>
    </w:p>
    <w:p>
      <w:pPr>
        <w:spacing w:after="0" w:line="21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9"/>
          <w:szCs w:val="19"/>
          <w:i w:val="1"/>
          <w:iCs w:val="1"/>
          <w:color w:val="auto"/>
        </w:rPr>
        <w:t>/s/ Ernst &amp; Young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12, 2026</w:t>
      </w:r>
    </w:p>
    <w:p>
      <w:pPr>
        <w:sectPr>
          <w:pgSz w:w="11900" w:h="16840" w:orient="portrait"/>
          <w:cols w:equalWidth="0" w:num="1">
            <w:col w:w="10580"/>
          </w:cols>
          <w:pgMar w:left="660" w:top="554" w:right="660" w:bottom="1440" w:gutter="0" w:footer="0" w:header="0"/>
        </w:sectPr>
      </w:pPr>
    </w:p>
    <w:bookmarkStart w:id="144" w:name="page145"/>
    <w:bookmarkEnd w:id="144"/>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Melissa M. Arnoldi</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45" w:name="page146"/>
    <w:bookmarkEnd w:id="145"/>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Charlene T. Begley</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46" w:name="page147"/>
    <w:bookmarkEnd w:id="146"/>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Essa Kazim</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47" w:name="page148"/>
    <w:bookmarkEnd w:id="147"/>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Thomas A. Kloet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48" w:name="page149"/>
    <w:bookmarkEnd w:id="148"/>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Kathryn A. Koch</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49" w:name="page150"/>
    <w:bookmarkEnd w:id="149"/>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Holden Spaht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50" w:name="page151"/>
    <w:bookmarkEnd w:id="150"/>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Michael R. Splinter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51" w:name="page152"/>
    <w:bookmarkEnd w:id="151"/>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Johan Torgeby</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52" w:name="page153"/>
    <w:bookmarkEnd w:id="152"/>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Toni Townes-Whitley</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53" w:name="page154"/>
    <w:bookmarkEnd w:id="153"/>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Jeffery W. Yabuki</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54" w:name="page155"/>
    <w:bookmarkEnd w:id="154"/>
    <w:p>
      <w:pPr>
        <w:ind w:left="9760"/>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NASDAQ, INC.</w:t>
      </w:r>
    </w:p>
    <w:p>
      <w:pPr>
        <w:spacing w:after="0" w:line="216" w:lineRule="exact"/>
        <w:rPr>
          <w:sz w:val="20"/>
          <w:szCs w:val="20"/>
          <w:color w:val="auto"/>
        </w:rPr>
      </w:pPr>
    </w:p>
    <w:p>
      <w:pPr>
        <w:jc w:val="both"/>
        <w:ind w:firstLine="238"/>
        <w:spacing w:after="0" w:line="265" w:lineRule="auto"/>
        <w:rPr>
          <w:sz w:val="20"/>
          <w:szCs w:val="20"/>
          <w:color w:val="auto"/>
        </w:rPr>
      </w:pPr>
      <w:r>
        <w:rPr>
          <w:rFonts w:ascii="Times New Roman" w:cs="Times New Roman" w:eastAsia="Times New Roman" w:hAnsi="Times New Roman"/>
          <w:sz w:val="19"/>
          <w:szCs w:val="19"/>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0" w:lineRule="exact"/>
        <w:rPr>
          <w:sz w:val="20"/>
          <w:szCs w:val="20"/>
          <w:color w:val="auto"/>
        </w:rPr>
      </w:pPr>
    </w:p>
    <w:p>
      <w:pPr>
        <w:spacing w:after="0" w:line="217" w:lineRule="exact"/>
        <w:rPr>
          <w:sz w:val="20"/>
          <w:szCs w:val="20"/>
          <w:color w:val="auto"/>
        </w:rPr>
      </w:pPr>
    </w:p>
    <w:p>
      <w:pPr>
        <w:jc w:val="both"/>
        <w:ind w:right="20" w:firstLine="214"/>
        <w:spacing w:after="0" w:line="268" w:lineRule="auto"/>
        <w:tabs>
          <w:tab w:leader="none" w:pos="48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an Annual Report on Form 10-K of Nasdaq, Inc. for the fiscal year ended December 31, 2025, including any and all amendments and additions thereto (collectively, the “Annual Report”) in accordance with the Securities Exchange Act of 1934, as amended, and the rules thereunder;</w:t>
      </w:r>
    </w:p>
    <w:p>
      <w:pPr>
        <w:spacing w:after="0" w:line="180" w:lineRule="exact"/>
        <w:rPr>
          <w:rFonts w:ascii="Times New Roman" w:cs="Times New Roman" w:eastAsia="Times New Roman" w:hAnsi="Times New Roman"/>
          <w:sz w:val="19"/>
          <w:szCs w:val="19"/>
          <w:color w:val="auto"/>
        </w:rPr>
      </w:pPr>
    </w:p>
    <w:p>
      <w:pPr>
        <w:jc w:val="both"/>
        <w:ind w:right="20" w:firstLine="239"/>
        <w:spacing w:after="0" w:line="268" w:lineRule="auto"/>
        <w:tabs>
          <w:tab w:leader="none" w:pos="516" w:val="left"/>
        </w:tabs>
        <w:numPr>
          <w:ilvl w:val="2"/>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0" w:lineRule="exact"/>
        <w:rPr>
          <w:rFonts w:ascii="Times New Roman" w:cs="Times New Roman" w:eastAsia="Times New Roman" w:hAnsi="Times New Roman"/>
          <w:sz w:val="19"/>
          <w:szCs w:val="19"/>
          <w:color w:val="auto"/>
        </w:rPr>
      </w:pPr>
    </w:p>
    <w:p>
      <w:pPr>
        <w:jc w:val="both"/>
        <w:ind w:right="20" w:firstLine="209"/>
        <w:spacing w:after="0" w:line="262" w:lineRule="auto"/>
        <w:tabs>
          <w:tab w:leader="none" w:pos="47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6" w:lineRule="exact"/>
        <w:rPr>
          <w:sz w:val="20"/>
          <w:szCs w:val="20"/>
          <w:color w:val="auto"/>
        </w:rPr>
      </w:pPr>
    </w:p>
    <w:p>
      <w:pPr>
        <w:jc w:val="both"/>
        <w:ind w:firstLine="302"/>
        <w:spacing w:after="0" w:line="260" w:lineRule="auto"/>
        <w:rPr>
          <w:sz w:val="20"/>
          <w:szCs w:val="20"/>
          <w:color w:val="auto"/>
        </w:rPr>
      </w:pPr>
      <w:r>
        <w:rPr>
          <w:rFonts w:ascii="Times New Roman" w:cs="Times New Roman" w:eastAsia="Times New Roman" w:hAnsi="Times New Roman"/>
          <w:sz w:val="19"/>
          <w:szCs w:val="19"/>
          <w:color w:val="auto"/>
        </w:rPr>
        <w:t>The undersigned hereby grants to each attorney -in-fact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February 12,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/s/ Alfred W. Zollar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80"/>
          </w:cols>
          <w:pgMar w:left="660" w:top="555" w:right="66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Adena T. Friedman, certify that:</w:t>
      </w:r>
    </w:p>
    <w:p>
      <w:pPr>
        <w:spacing w:after="0" w:line="68" w:lineRule="exact"/>
        <w:rPr>
          <w:sz w:val="20"/>
          <w:szCs w:val="20"/>
          <w:color w:val="auto"/>
        </w:rPr>
      </w:pPr>
    </w:p>
    <w:p>
      <w:pPr>
        <w:ind w:left="560" w:hanging="158"/>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Nasdaq, Inc.;</w:t>
      </w:r>
    </w:p>
    <w:p>
      <w:pPr>
        <w:spacing w:after="0" w:line="140" w:lineRule="exact"/>
        <w:rPr>
          <w:rFonts w:ascii="Times New Roman" w:cs="Times New Roman" w:eastAsia="Times New Roman" w:hAnsi="Times New Roman"/>
          <w:sz w:val="16"/>
          <w:szCs w:val="16"/>
          <w:color w:val="auto"/>
        </w:rPr>
      </w:pPr>
    </w:p>
    <w:p>
      <w:pPr>
        <w:ind w:right="260" w:firstLine="402"/>
        <w:spacing w:after="0" w:line="259" w:lineRule="auto"/>
        <w:tabs>
          <w:tab w:leader="none" w:pos="55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6"/>
          <w:szCs w:val="16"/>
          <w:color w:val="auto"/>
        </w:rPr>
      </w:pPr>
    </w:p>
    <w:p>
      <w:pPr>
        <w:ind w:right="340" w:firstLine="402"/>
        <w:spacing w:after="0" w:line="259" w:lineRule="auto"/>
        <w:tabs>
          <w:tab w:leader="none" w:pos="55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6"/>
          <w:szCs w:val="16"/>
          <w:color w:val="auto"/>
        </w:rPr>
      </w:pPr>
    </w:p>
    <w:p>
      <w:pPr>
        <w:ind w:right="180" w:firstLine="402"/>
        <w:spacing w:after="0" w:line="322" w:lineRule="auto"/>
        <w:tabs>
          <w:tab w:leader="none" w:pos="55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00" w:right="120" w:firstLine="398"/>
        <w:spacing w:after="0" w:line="247" w:lineRule="auto"/>
        <w:tabs>
          <w:tab w:leader="none" w:pos="100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6"/>
          <w:szCs w:val="16"/>
          <w:color w:val="auto"/>
        </w:rPr>
      </w:pPr>
    </w:p>
    <w:p>
      <w:pPr>
        <w:ind w:left="400" w:right="100" w:firstLine="398"/>
        <w:spacing w:after="0" w:line="247" w:lineRule="auto"/>
        <w:tabs>
          <w:tab w:leader="none" w:pos="1017"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Times New Roman" w:cs="Times New Roman" w:eastAsia="Times New Roman" w:hAnsi="Times New Roman"/>
          <w:sz w:val="16"/>
          <w:szCs w:val="16"/>
          <w:color w:val="auto"/>
        </w:rPr>
      </w:pPr>
    </w:p>
    <w:p>
      <w:pPr>
        <w:ind w:left="400" w:right="120" w:firstLine="398"/>
        <w:spacing w:after="0" w:line="259" w:lineRule="auto"/>
        <w:tabs>
          <w:tab w:leader="none" w:pos="100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Times New Roman" w:cs="Times New Roman" w:eastAsia="Times New Roman" w:hAnsi="Times New Roman"/>
          <w:sz w:val="16"/>
          <w:szCs w:val="16"/>
          <w:color w:val="auto"/>
        </w:rPr>
      </w:pPr>
    </w:p>
    <w:p>
      <w:pPr>
        <w:ind w:left="400" w:right="40" w:firstLine="398"/>
        <w:spacing w:after="0" w:line="247" w:lineRule="auto"/>
        <w:tabs>
          <w:tab w:leader="none" w:pos="1017"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6"/>
          <w:szCs w:val="16"/>
          <w:color w:val="auto"/>
        </w:rPr>
      </w:pPr>
    </w:p>
    <w:p>
      <w:pPr>
        <w:ind w:right="100" w:firstLine="402"/>
        <w:spacing w:after="0" w:line="259" w:lineRule="auto"/>
        <w:tabs>
          <w:tab w:leader="none" w:pos="55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Times New Roman" w:cs="Times New Roman" w:eastAsia="Times New Roman" w:hAnsi="Times New Roman"/>
          <w:sz w:val="16"/>
          <w:szCs w:val="16"/>
          <w:color w:val="auto"/>
        </w:rPr>
      </w:pPr>
    </w:p>
    <w:p>
      <w:pPr>
        <w:ind w:left="400" w:right="80" w:firstLine="398"/>
        <w:spacing w:after="0" w:line="259" w:lineRule="auto"/>
        <w:tabs>
          <w:tab w:leader="none" w:pos="100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Times New Roman" w:cs="Times New Roman" w:eastAsia="Times New Roman" w:hAnsi="Times New Roman"/>
          <w:sz w:val="16"/>
          <w:szCs w:val="16"/>
          <w:color w:val="auto"/>
        </w:rPr>
      </w:pPr>
    </w:p>
    <w:p>
      <w:pPr>
        <w:ind w:left="400" w:right="260" w:firstLine="398"/>
        <w:spacing w:after="0" w:line="259" w:lineRule="auto"/>
        <w:tabs>
          <w:tab w:leader="none" w:pos="1017"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500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4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Adena T. Friedman</w:t>
            </w:r>
          </w:p>
        </w:tc>
      </w:tr>
      <w:tr>
        <w:trPr>
          <w:trHeight w:val="197"/>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Adena T. Friedman</w:t>
            </w:r>
          </w:p>
        </w:tc>
      </w:tr>
      <w:tr>
        <w:trPr>
          <w:trHeight w:val="203"/>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12, 2026</w:t>
      </w:r>
    </w:p>
    <w:p>
      <w:pPr>
        <w:sectPr>
          <w:pgSz w:w="11900" w:h="16840" w:orient="portrait"/>
          <w:cols w:equalWidth="0" w:num="1">
            <w:col w:w="10580"/>
          </w:cols>
          <w:pgMar w:left="660" w:top="1383" w:right="660"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Sarah Youngwood, certify that:</w:t>
      </w:r>
    </w:p>
    <w:p>
      <w:pPr>
        <w:spacing w:after="0" w:line="104" w:lineRule="exact"/>
        <w:rPr>
          <w:sz w:val="20"/>
          <w:szCs w:val="20"/>
          <w:color w:val="auto"/>
        </w:rPr>
      </w:pPr>
    </w:p>
    <w:p>
      <w:pPr>
        <w:ind w:left="560" w:hanging="158"/>
        <w:spacing w:after="0"/>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Nasdaq, Inc.;</w:t>
      </w:r>
    </w:p>
    <w:p>
      <w:pPr>
        <w:spacing w:after="0" w:line="176" w:lineRule="exact"/>
        <w:rPr>
          <w:rFonts w:ascii="Times New Roman" w:cs="Times New Roman" w:eastAsia="Times New Roman" w:hAnsi="Times New Roman"/>
          <w:sz w:val="16"/>
          <w:szCs w:val="16"/>
          <w:color w:val="auto"/>
        </w:rPr>
      </w:pPr>
    </w:p>
    <w:p>
      <w:pPr>
        <w:ind w:right="260" w:firstLine="402"/>
        <w:spacing w:after="0" w:line="306" w:lineRule="auto"/>
        <w:tabs>
          <w:tab w:leader="none" w:pos="55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Times New Roman" w:cs="Times New Roman" w:eastAsia="Times New Roman" w:hAnsi="Times New Roman"/>
          <w:sz w:val="16"/>
          <w:szCs w:val="16"/>
          <w:color w:val="auto"/>
        </w:rPr>
      </w:pPr>
    </w:p>
    <w:p>
      <w:pPr>
        <w:ind w:right="340" w:firstLine="402"/>
        <w:spacing w:after="0" w:line="306" w:lineRule="auto"/>
        <w:tabs>
          <w:tab w:leader="none" w:pos="55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6"/>
          <w:szCs w:val="16"/>
          <w:color w:val="auto"/>
        </w:rPr>
      </w:pPr>
    </w:p>
    <w:p>
      <w:pPr>
        <w:ind w:right="180" w:firstLine="402"/>
        <w:spacing w:after="0" w:line="375" w:lineRule="auto"/>
        <w:tabs>
          <w:tab w:leader="none" w:pos="55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4"/>
          <w:szCs w:val="14"/>
          <w:color w:val="auto"/>
        </w:rPr>
      </w:pPr>
    </w:p>
    <w:p>
      <w:pPr>
        <w:ind w:left="400" w:right="120" w:firstLine="398"/>
        <w:spacing w:after="0" w:line="294" w:lineRule="auto"/>
        <w:tabs>
          <w:tab w:leader="none" w:pos="1008"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6"/>
          <w:szCs w:val="16"/>
          <w:color w:val="auto"/>
        </w:rPr>
      </w:pPr>
    </w:p>
    <w:p>
      <w:pPr>
        <w:ind w:left="400" w:right="100" w:firstLine="398"/>
        <w:spacing w:after="0" w:line="294" w:lineRule="auto"/>
        <w:tabs>
          <w:tab w:leader="none" w:pos="1017"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Times New Roman" w:cs="Times New Roman" w:eastAsia="Times New Roman" w:hAnsi="Times New Roman"/>
          <w:sz w:val="16"/>
          <w:szCs w:val="16"/>
          <w:color w:val="auto"/>
        </w:rPr>
      </w:pPr>
    </w:p>
    <w:p>
      <w:pPr>
        <w:ind w:left="400" w:right="120" w:firstLine="398"/>
        <w:spacing w:after="0" w:line="306" w:lineRule="auto"/>
        <w:tabs>
          <w:tab w:leader="none" w:pos="1008"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6"/>
          <w:szCs w:val="16"/>
          <w:color w:val="auto"/>
        </w:rPr>
      </w:pPr>
    </w:p>
    <w:p>
      <w:pPr>
        <w:ind w:left="400" w:right="40" w:firstLine="398"/>
        <w:spacing w:after="0" w:line="294" w:lineRule="auto"/>
        <w:tabs>
          <w:tab w:leader="none" w:pos="1017"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6"/>
          <w:szCs w:val="16"/>
          <w:color w:val="auto"/>
        </w:rPr>
      </w:pPr>
    </w:p>
    <w:p>
      <w:pPr>
        <w:ind w:right="100" w:firstLine="402"/>
        <w:spacing w:after="0" w:line="306" w:lineRule="auto"/>
        <w:tabs>
          <w:tab w:leader="none" w:pos="55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Times New Roman" w:cs="Times New Roman" w:eastAsia="Times New Roman" w:hAnsi="Times New Roman"/>
          <w:sz w:val="16"/>
          <w:szCs w:val="16"/>
          <w:color w:val="auto"/>
        </w:rPr>
      </w:pPr>
    </w:p>
    <w:p>
      <w:pPr>
        <w:ind w:left="400" w:right="80" w:firstLine="398"/>
        <w:spacing w:after="0" w:line="306" w:lineRule="auto"/>
        <w:tabs>
          <w:tab w:leader="none" w:pos="1008"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6"/>
          <w:szCs w:val="16"/>
          <w:color w:val="auto"/>
        </w:rPr>
      </w:pPr>
    </w:p>
    <w:p>
      <w:pPr>
        <w:ind w:left="400" w:right="260" w:firstLine="398"/>
        <w:spacing w:after="0" w:line="306" w:lineRule="auto"/>
        <w:tabs>
          <w:tab w:leader="none" w:pos="1017"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472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4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Sarah Youngwood</w:t>
            </w:r>
          </w:p>
        </w:tc>
      </w:tr>
      <w:tr>
        <w:trPr>
          <w:trHeight w:val="197"/>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Sarah Youngwood</w:t>
            </w:r>
          </w:p>
        </w:tc>
      </w:tr>
      <w:tr>
        <w:trPr>
          <w:trHeight w:val="203"/>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12, 2026</w:t>
      </w:r>
    </w:p>
    <w:p>
      <w:pPr>
        <w:sectPr>
          <w:pgSz w:w="11900" w:h="16840" w:orient="portrait"/>
          <w:cols w:equalWidth="0" w:num="1">
            <w:col w:w="10580"/>
          </w:cols>
          <w:pgMar w:left="660" w:top="1239" w:right="66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CEO and CFO Pursuant to</w:t>
      </w:r>
    </w:p>
    <w:p>
      <w:pPr>
        <w:spacing w:after="0" w:line="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ind w:left="4500"/>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22" w:lineRule="exact"/>
        <w:rPr>
          <w:sz w:val="20"/>
          <w:szCs w:val="20"/>
          <w:color w:val="auto"/>
        </w:rPr>
      </w:pPr>
    </w:p>
    <w:p>
      <w:pPr>
        <w:jc w:val="both"/>
        <w:ind w:right="200" w:firstLine="396"/>
        <w:spacing w:after="0" w:line="243" w:lineRule="auto"/>
        <w:rPr>
          <w:sz w:val="20"/>
          <w:szCs w:val="20"/>
          <w:color w:val="auto"/>
        </w:rPr>
      </w:pPr>
      <w:r>
        <w:rPr>
          <w:rFonts w:ascii="Times New Roman" w:cs="Times New Roman" w:eastAsia="Times New Roman" w:hAnsi="Times New Roman"/>
          <w:sz w:val="16"/>
          <w:szCs w:val="16"/>
          <w:color w:val="auto"/>
        </w:rPr>
        <w:t>In connection with the Annual Report on Form 10-K of Nasdaq, Inc. (the “Company”) for the period ended December 31, 2025 as filed with the Securities and Exchange Commission on the date hereof (the “Report”), Adena T. Friedman, as Chief Executive Officer of the Company, and Sarah Youngwood, as Executive Vice President and Chief Financial Officer of the Company, each hereby certifies, pursuant to 18 U.S.C. § 1350, as adopted pursuant to § 906 of the Sarbanes-Oxley Act of 2002, that, to the best of her knowledge:</w:t>
      </w:r>
    </w:p>
    <w:p>
      <w:pPr>
        <w:spacing w:after="0" w:line="47" w:lineRule="exact"/>
        <w:rPr>
          <w:sz w:val="20"/>
          <w:szCs w:val="20"/>
          <w:color w:val="auto"/>
        </w:rPr>
      </w:pPr>
    </w:p>
    <w:p>
      <w:pPr>
        <w:ind w:left="1020" w:hanging="222"/>
        <w:spacing w:after="0"/>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68" w:lineRule="exact"/>
        <w:rPr>
          <w:rFonts w:ascii="Times New Roman" w:cs="Times New Roman" w:eastAsia="Times New Roman" w:hAnsi="Times New Roman"/>
          <w:sz w:val="16"/>
          <w:szCs w:val="16"/>
          <w:color w:val="auto"/>
        </w:rPr>
      </w:pPr>
    </w:p>
    <w:p>
      <w:pPr>
        <w:ind w:left="1020" w:hanging="222"/>
        <w:spacing w:after="0"/>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the operations of the Company.</w:t>
      </w:r>
    </w:p>
    <w:p>
      <w:pPr>
        <w:spacing w:after="0" w:line="32" w:lineRule="exact"/>
        <w:rPr>
          <w:sz w:val="20"/>
          <w:szCs w:val="20"/>
          <w:color w:val="auto"/>
        </w:rPr>
      </w:pPr>
    </w:p>
    <w:tbl>
      <w:tblPr>
        <w:tblLayout w:type="fixed"/>
        <w:tblInd w:w="480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Adena T. Friedman</w:t>
            </w:r>
          </w:p>
        </w:tc>
      </w:tr>
      <w:tr>
        <w:trPr>
          <w:trHeight w:val="197"/>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Adena T. Friedman</w:t>
            </w:r>
          </w:p>
        </w:tc>
      </w:tr>
      <w:tr>
        <w:trPr>
          <w:trHeight w:val="203"/>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12, 2026</w:t>
            </w:r>
          </w:p>
        </w:tc>
      </w:tr>
      <w:tr>
        <w:trPr>
          <w:trHeight w:val="396"/>
        </w:trPr>
        <w:tc>
          <w:tcPr>
            <w:tcW w:w="880" w:type="dxa"/>
            <w:vAlign w:val="bottom"/>
          </w:tcPr>
          <w:p>
            <w:pPr>
              <w:spacing w:after="0"/>
              <w:rPr>
                <w:sz w:val="24"/>
                <w:szCs w:val="24"/>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Sarah Youngwood</w:t>
            </w:r>
          </w:p>
        </w:tc>
      </w:tr>
      <w:tr>
        <w:trPr>
          <w:trHeight w:val="197"/>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Sarah Youngwood</w:t>
            </w:r>
          </w:p>
        </w:tc>
      </w:tr>
      <w:tr>
        <w:trPr>
          <w:trHeight w:val="203"/>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0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12, 2026</w:t>
            </w:r>
          </w:p>
        </w:tc>
      </w:tr>
    </w:tbl>
    <w:p>
      <w:pPr>
        <w:sectPr>
          <w:pgSz w:w="11900" w:h="16840" w:orient="portrait"/>
          <w:cols w:equalWidth="0" w:num="1">
            <w:col w:w="10580"/>
          </w:cols>
          <w:pgMar w:left="660" w:top="1383" w:right="660" w:bottom="1440" w:gutter="0" w:footer="0" w:header="0"/>
        </w:sectPr>
      </w:pPr>
    </w:p>
    <w:bookmarkStart w:id="158" w:name="page159"/>
    <w:bookmarkEnd w:id="158"/>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lvl w:ilvl="1">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101"/>
    </w:lvl>
  </w:abstractNum>
  <w:abstractNum w:abstractNumId="11">
    <w:nsid w:val="2CD89A32"/>
    <w:multiLevelType w:val="hybridMultilevel"/>
    <w:lvl w:ilvl="0">
      <w:lvlJc w:val="left"/>
      <w:lvlText w:val="%1"/>
      <w:numFmt w:val="decimal"/>
      <w:start w:val="104"/>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2"/>
    </w:lvl>
  </w:abstractNum>
  <w:abstractNum w:abstractNumId="17">
    <w:nsid w:val="38437FDB"/>
    <w:multiLevelType w:val="hybridMultilevel"/>
    <w:lvl w:ilvl="0">
      <w:lvlJc w:val="left"/>
      <w:lvlText w:val="%1."/>
      <w:numFmt w:val="decimal"/>
      <w:start w:val="3"/>
    </w:lvl>
  </w:abstractNum>
  <w:abstractNum w:abstractNumId="18">
    <w:nsid w:val="7644A45C"/>
    <w:multiLevelType w:val="hybridMultilevel"/>
    <w:lvl w:ilvl="0">
      <w:lvlJc w:val="left"/>
      <w:lvlText w:val="%1."/>
      <w:numFmt w:val="decimal"/>
      <w:start w:val="4"/>
    </w:lvl>
  </w:abstractNum>
  <w:abstractNum w:abstractNumId="19">
    <w:nsid w:val="32FFF902"/>
    <w:multiLevelType w:val="hybridMultilevel"/>
    <w:lvl w:ilvl="0">
      <w:lvlJc w:val="left"/>
      <w:lvlText w:val="%1."/>
      <w:numFmt w:val="decimal"/>
      <w:start w:val="5"/>
    </w:lvl>
  </w:abstractNum>
  <w:abstractNum w:abstractNumId="20">
    <w:nsid w:val="684A481A"/>
    <w:multiLevelType w:val="hybridMultilevel"/>
    <w:lvl w:ilvl="0">
      <w:lvlJc w:val="left"/>
      <w:lvlText w:val="%1."/>
      <w:numFmt w:val="decimal"/>
      <w:start w:val="10"/>
    </w:lvl>
  </w:abstractNum>
  <w:abstractNum w:abstractNumId="21">
    <w:nsid w:val="579478FE"/>
    <w:multiLevelType w:val="hybridMultilevel"/>
    <w:lvl w:ilvl="0">
      <w:lvlJc w:val="left"/>
      <w:lvlText w:val="%1."/>
      <w:numFmt w:val="decimal"/>
      <w:start w:val="12"/>
    </w:lvl>
  </w:abstractNum>
  <w:abstractNum w:abstractNumId="22">
    <w:nsid w:val="749ABB43"/>
    <w:multiLevelType w:val="hybridMultilevel"/>
    <w:lvl w:ilvl="0">
      <w:lvlJc w:val="left"/>
      <w:lvlText w:val="%1."/>
      <w:numFmt w:val="decimal"/>
      <w:start w:val="14"/>
    </w:lvl>
  </w:abstractNum>
  <w:abstractNum w:abstractNumId="23">
    <w:nsid w:val="3DC240FB"/>
    <w:multiLevelType w:val="hybridMultilevel"/>
    <w:lvl w:ilvl="0">
      <w:lvlJc w:val="left"/>
      <w:lvlText w:val="%1."/>
      <w:numFmt w:val="decimal"/>
      <w:start w:val="15"/>
    </w:lvl>
  </w:abstractNum>
  <w:abstractNum w:abstractNumId="24">
    <w:nsid w:val="1BA026FA"/>
    <w:multiLevelType w:val="hybridMultilevel"/>
    <w:lvl w:ilvl="0">
      <w:lvlJc w:val="left"/>
      <w:lvlText w:val="%1."/>
      <w:numFmt w:val="decimal"/>
      <w:start w:val="18"/>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lowerRoman"/>
      <w:start w:val="3"/>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lowerRoman"/>
      <w:start w:val="2"/>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7"/>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lowerRoman"/>
      <w:start w:val="2"/>
    </w:lvl>
  </w:abstractNum>
  <w:abstractNum w:abstractNumId="35">
    <w:nsid w:val="39386575"/>
    <w:multiLevelType w:val="hybridMultilevel"/>
    <w:lvl w:ilvl="0">
      <w:lvlJc w:val="left"/>
      <w:lvlText w:val="(%1)"/>
      <w:numFmt w:val="lowerRoman"/>
      <w:start w:val="2"/>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6"/>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1)"/>
      <w:numFmt w:val="lowerRoman"/>
      <w:start w:val="2"/>
    </w:lvl>
  </w:abstractNum>
  <w:abstractNum w:abstractNumId="40">
    <w:nsid w:val="354FE9F9"/>
    <w:multiLevelType w:val="hybridMultilevel"/>
    <w:lvl w:ilvl="0">
      <w:lvlJc w:val="left"/>
      <w:lvlText w:val="(%1)"/>
      <w:numFmt w:val="decimal"/>
      <w:start w:val="2"/>
    </w:lvl>
  </w:abstractNum>
  <w:abstractNum w:abstractNumId="41">
    <w:nsid w:val="15B5AF5C"/>
    <w:multiLevelType w:val="hybridMultilevel"/>
    <w:lvl w:ilvl="0">
      <w:lvlJc w:val="left"/>
      <w:lvlText w:val="(%1)"/>
      <w:numFmt w:val="decimal"/>
      <w:start w:val="7"/>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lowerRoman"/>
      <w:start w:val="2"/>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7"/>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1."/>
      <w:numFmt w:val="upperLetter"/>
      <w:start w:val="9"/>
    </w:lvl>
  </w:abstractNum>
  <w:abstractNum w:abstractNumId="50">
    <w:nsid w:val="310C50B3"/>
    <w:multiLevelType w:val="hybridMultilevel"/>
    <w:lvl w:ilvl="0">
      <w:lvlJc w:val="left"/>
      <w:lvlText w:val="1"/>
      <w:numFmt w:val="bullet"/>
      <w:start w:val="1"/>
    </w:lvl>
  </w:abstractNum>
  <w:abstractNum w:abstractNumId="51">
    <w:nsid w:val="5FF87E05"/>
    <w:multiLevelType w:val="hybridMultilevel"/>
    <w:lvl w:ilvl="0">
      <w:lvlJc w:val="left"/>
      <w:lvlText w:val="%1."/>
      <w:numFmt w:val="upperLetter"/>
      <w:start w:val="35"/>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2"/>
      <w:numFmt w:val="bullet"/>
      <w:start w:val="1"/>
    </w:lvl>
  </w:abstractNum>
  <w:abstractNum w:abstractNumId="54">
    <w:nsid w:val="1DBABF00"/>
    <w:multiLevelType w:val="hybridMultilevel"/>
    <w:lvl w:ilvl="0">
      <w:lvlJc w:val="left"/>
      <w:lvlText w:val="•"/>
      <w:numFmt w:val="bullet"/>
      <w:start w:val="1"/>
    </w:lvl>
    <w:lvl w:ilvl="1">
      <w:lvlJc w:val="left"/>
      <w:lvlText w:val="%2."/>
      <w:numFmt w:val="decimal"/>
      <w:start w:val="2"/>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upperLetter"/>
      <w:start w:val="22"/>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5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64">
    <w:nsid w:val="799D0247"/>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65">
    <w:nsid w:val="6B94764"/>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66">
    <w:nsid w:val="42C296BD"/>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67">
    <w:nsid w:val="168E121F"/>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68">
    <w:nsid w:val="1EBA5D23"/>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69">
    <w:nsid w:val="661E3F1E"/>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70">
    <w:nsid w:val="5DC79EA8"/>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71">
    <w:nsid w:val="540A471C"/>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72">
    <w:nsid w:val="7BD3EE7B"/>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73">
    <w:nsid w:val="51D9C564"/>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5" Type="http://schemas.openxmlformats.org/officeDocument/2006/relationships/image" Target="media/image36.png"/><Relationship Id="rId47" Type="http://schemas.openxmlformats.org/officeDocument/2006/relationships/image" Target="media/image37.png"/><Relationship Id="rId49"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5" Type="http://schemas.openxmlformats.org/officeDocument/2006/relationships/image" Target="media/image41.png"/><Relationship Id="rId57" Type="http://schemas.openxmlformats.org/officeDocument/2006/relationships/image" Target="media/image42.png"/><Relationship Id="rId59" Type="http://schemas.openxmlformats.org/officeDocument/2006/relationships/image" Target="media/image43.png"/><Relationship Id="rId61" Type="http://schemas.openxmlformats.org/officeDocument/2006/relationships/image" Target="media/image44.png"/><Relationship Id="rId63" Type="http://schemas.openxmlformats.org/officeDocument/2006/relationships/image" Target="media/image45.png"/><Relationship Id="rId65" Type="http://schemas.openxmlformats.org/officeDocument/2006/relationships/image" Target="media/image46.png"/><Relationship Id="rId67" Type="http://schemas.openxmlformats.org/officeDocument/2006/relationships/image" Target="media/image47.png"/><Relationship Id="rId69" Type="http://schemas.openxmlformats.org/officeDocument/2006/relationships/image" Target="media/image48.png"/><Relationship Id="rId71" Type="http://schemas.openxmlformats.org/officeDocument/2006/relationships/image" Target="media/image49.png"/><Relationship Id="rId73" Type="http://schemas.openxmlformats.org/officeDocument/2006/relationships/image" Target="media/image50.png"/><Relationship Id="rId75"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80" Type="http://schemas.openxmlformats.org/officeDocument/2006/relationships/image" Target="media/image54.png"/><Relationship Id="rId82" Type="http://schemas.openxmlformats.org/officeDocument/2006/relationships/image" Target="media/image55.png"/><Relationship Id="rId84" Type="http://schemas.openxmlformats.org/officeDocument/2006/relationships/image" Target="media/image56.png"/><Relationship Id="rId86" Type="http://schemas.openxmlformats.org/officeDocument/2006/relationships/image" Target="media/image57.png"/><Relationship Id="rId88" Type="http://schemas.openxmlformats.org/officeDocument/2006/relationships/image" Target="media/image58.png"/><Relationship Id="rId90" Type="http://schemas.openxmlformats.org/officeDocument/2006/relationships/image" Target="media/image59.png"/><Relationship Id="rId92" Type="http://schemas.openxmlformats.org/officeDocument/2006/relationships/image" Target="media/image60.png"/><Relationship Id="rId94" Type="http://schemas.openxmlformats.org/officeDocument/2006/relationships/image" Target="media/image61.png"/><Relationship Id="rId96" Type="http://schemas.openxmlformats.org/officeDocument/2006/relationships/image" Target="media/image62.png"/><Relationship Id="rId98" Type="http://schemas.openxmlformats.org/officeDocument/2006/relationships/image" Target="media/image63.png"/><Relationship Id="rId100" Type="http://schemas.openxmlformats.org/officeDocument/2006/relationships/image" Target="media/image64.png"/><Relationship Id="rId102" Type="http://schemas.openxmlformats.org/officeDocument/2006/relationships/image" Target="media/image65.png"/><Relationship Id="rId104" Type="http://schemas.openxmlformats.org/officeDocument/2006/relationships/image" Target="media/image66.png"/><Relationship Id="rId106"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42" Type="http://schemas.openxmlformats.org/officeDocument/2006/relationships/hyperlink" Target="https://www.sec.gov/Archives/edgar/data/1120193/000112019321000011/ndaq12312020ex-22.htm" TargetMode="External"/><Relationship Id="rId44" Type="http://schemas.openxmlformats.org/officeDocument/2006/relationships/hyperlink" Target="https://www.sec.gov/Archives/edgar/data/1120193/000112019321000011/ndaq12312020ex-23.htm" TargetMode="External"/><Relationship Id="rId46" Type="http://schemas.openxmlformats.org/officeDocument/2006/relationships/hyperlink" Target="https://www.sec.gov/Archives/edgar/data/1120193/000119312523164839/d476077dex21.htm" TargetMode="External"/><Relationship Id="rId48" Type="http://schemas.openxmlformats.org/officeDocument/2006/relationships/hyperlink" Target="https://www.sec.gov/Archives/edgar/data/1120193/000119312514024495/d665170dex31.htm" TargetMode="External"/><Relationship Id="rId50" Type="http://schemas.openxmlformats.org/officeDocument/2006/relationships/hyperlink" Target="https://www.sec.gov/Archives/edgar/data/1120193/000119312514024495/d665170dex311.htm" TargetMode="External"/><Relationship Id="rId53" Type="http://schemas.openxmlformats.org/officeDocument/2006/relationships/hyperlink" Target="https://www.sec.gov/Archives/edgar/data/1120193/000119312524072138/d812900dex41.htm" TargetMode="External"/><Relationship Id="rId54" Type="http://schemas.openxmlformats.org/officeDocument/2006/relationships/hyperlink" Target="https://www.sec.gov/Archives/edgar/data/1120193/000119312508045251/dex103.htm" TargetMode="External"/><Relationship Id="rId56" Type="http://schemas.openxmlformats.org/officeDocument/2006/relationships/hyperlink" Target="https://www.sec.gov/Archives/edgar/data/1120193/000119312509039333/dex4111.htm" TargetMode="External"/><Relationship Id="rId58" Type="http://schemas.openxmlformats.org/officeDocument/2006/relationships/hyperlink" Target="https://www.sec.gov/Archives/edgar/data/1120193/000119312511045348/dex412.htm" TargetMode="External"/><Relationship Id="rId60" Type="http://schemas.openxmlformats.org/officeDocument/2006/relationships/hyperlink" Target="https://www.sec.gov/Archives/edgar/data/1120193/000119312522307314/d423787dex41.htm" TargetMode="External"/><Relationship Id="rId62" Type="http://schemas.openxmlformats.org/officeDocument/2006/relationships/hyperlink" Target="https://www.sec.gov/Archives/edgar/data/1120193/000119312523270374/d655352dex41.htm" TargetMode="External"/><Relationship Id="rId64" Type="http://schemas.openxmlformats.org/officeDocument/2006/relationships/hyperlink" Target="https://www.sec.gov/Archives/edgar/data/1120193/000119312523270374/d655352dex42.htm" TargetMode="External"/><Relationship Id="rId66" Type="http://schemas.openxmlformats.org/officeDocument/2006/relationships/hyperlink" Target="https://www.sec.gov/Archives/edgar/data/1120193/000119312513253519/d551100dex41.htm" TargetMode="External"/><Relationship Id="rId68" Type="http://schemas.openxmlformats.org/officeDocument/2006/relationships/hyperlink" Target="https://www.sec.gov/Archives/edgar/data/1120193/000119312516615297/d167131dex41.htm" TargetMode="External"/><Relationship Id="rId70" Type="http://schemas.openxmlformats.org/officeDocument/2006/relationships/hyperlink" Target="https://www.sec.gov/Archives/edgar/data/1120193/000119312523177619/d494014dex44.htm" TargetMode="External"/><Relationship Id="rId72" Type="http://schemas.openxmlformats.org/officeDocument/2006/relationships/hyperlink" Target="https://www.sec.gov/Archives/edgar/data/1120193/000119312523177619/d494014dex45.htm" TargetMode="External"/><Relationship Id="rId74" Type="http://schemas.openxmlformats.org/officeDocument/2006/relationships/hyperlink" Target="https://www.sec.gov/Archives/edgar/data/1120193/000119312523177619/d494014dex46.htm" TargetMode="External"/><Relationship Id="rId76" Type="http://schemas.openxmlformats.org/officeDocument/2006/relationships/hyperlink" Target="https://www.sec.gov/Archives/edgar/data/1120193/000119312523177619/d494014dex47.htm" TargetMode="External"/><Relationship Id="rId79" Type="http://schemas.openxmlformats.org/officeDocument/2006/relationships/hyperlink" Target="https://www.sec.gov/Archives/edgar/data/1120193/000112019325000018/ndaq6302025ex-101xdirector.htm" TargetMode="External"/><Relationship Id="rId81" Type="http://schemas.openxmlformats.org/officeDocument/2006/relationships/hyperlink" Target="https://www.sec.gov/Archives/edgar/data/1120193/000119312515181962/d922883dex101.htm" TargetMode="External"/><Relationship Id="rId83" Type="http://schemas.openxmlformats.org/officeDocument/2006/relationships/hyperlink" Target="https://www.sec.gov/Archives/edgar/data/1120193/000119312518175257/d583425dex101.htm" TargetMode="External"/><Relationship Id="rId85" Type="http://schemas.openxmlformats.org/officeDocument/2006/relationships/hyperlink" Target="https://www.sec.gov/Archives/edgar/data/1120193/000119312511045348/dex103.htm" TargetMode="External"/><Relationship Id="rId87" Type="http://schemas.openxmlformats.org/officeDocument/2006/relationships/hyperlink" Target="https://www.sec.gov/Archives/edgar/data/1120193/000112019325000018/ndaq6302025ex-102xformofrs.htm" TargetMode="External"/><Relationship Id="rId89" Type="http://schemas.openxmlformats.org/officeDocument/2006/relationships/hyperlink" Target="https://www.sec.gov/Archives/edgar/data/1120193/000112019325000018/ndaq6302025ex-103xformofrs.htm" TargetMode="External"/><Relationship Id="rId91" Type="http://schemas.openxmlformats.org/officeDocument/2006/relationships/hyperlink" Target="https://www.sec.gov/Archives/edgar/data/1120193/000112019325000012/ndaq3312025ex-101.htm" TargetMode="External"/><Relationship Id="rId93" Type="http://schemas.openxmlformats.org/officeDocument/2006/relationships/hyperlink" Target="https://www.sec.gov/Archives/edgar/data/1120193/000112019322000017/ndaq6302022ex-105.htm" TargetMode="External"/><Relationship Id="rId95" Type="http://schemas.openxmlformats.org/officeDocument/2006/relationships/hyperlink" Target="https://www.sec.gov/Archives/edgar/data/1120193/000112019325000012/ndaq3312025ex-103.htm" TargetMode="External"/><Relationship Id="rId97" Type="http://schemas.openxmlformats.org/officeDocument/2006/relationships/hyperlink" Target="https://www.sec.gov/Archives/edgar/data/1120193/000119312521148175/d125560dex101.htm" TargetMode="External"/><Relationship Id="rId99" Type="http://schemas.openxmlformats.org/officeDocument/2006/relationships/hyperlink" Target="https://www.sec.gov/Archives/edgar/data/1120193/000112019325000012/ndaq3312025ex-102.htm" TargetMode="External"/><Relationship Id="rId101" Type="http://schemas.openxmlformats.org/officeDocument/2006/relationships/hyperlink" Target="https://www.sec.gov/Archives/edgar/data/1120193/000112019323000031/ndaq9302023ex-102.htm" TargetMode="External"/><Relationship Id="rId103" Type="http://schemas.openxmlformats.org/officeDocument/2006/relationships/hyperlink" Target="https://www.sec.gov/Archives/edgar/data/1120193/000112019323000014/ndaq12312022ex-1019.htm" TargetMode="External"/><Relationship Id="rId105" Type="http://schemas.openxmlformats.org/officeDocument/2006/relationships/hyperlink" Target="https://www.sec.gov/Archives/edgar/data/1120193/000119312522307319/d428469dex101.htm" TargetMode="External"/><Relationship Id="rId107" Type="http://schemas.openxmlformats.org/officeDocument/2006/relationships/hyperlink" Target="https://www.sec.gov/Archives/edgar/data/1120193/000112019323000017/ndaq33120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2026-02-12T15:40:48Z</dcterms:created>
  <dcterms:modified xsi:type="dcterms:W3CDTF">2026-02-12T15:40:48Z</dcterms:modified>
</cp:coreProperties>
</file>