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SKULE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CSO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94.22</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101,198</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was effected pursuant to a Rule 10b5-1(c) trading plan adopted on May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35,511 shares or units of restricted stock, of which 9,551 are vested, (ii) 61,968 shares of Common Stock underlying PSUs, 53,942 of which are vested, and (iii) 3,719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6565"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3375</Characters>
  <CharactersWithSpaces>3937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