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148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148320"/>
                    </a:xfrm>
                    <a:prstGeom prst="rect">
                      <a:avLst/>
                    </a:prstGeom>
                    <a:noFill/>
                  </pic:spPr>
                </pic:pic>
              </a:graphicData>
            </a:graphic>
          </wp:anchor>
        </w:drawing>
      </w:r>
    </w:p>
    <w:p>
      <w:pPr>
        <w:spacing w:after="0" w:line="1285" w:lineRule="exact"/>
        <w:rPr>
          <w:sz w:val="24"/>
          <w:szCs w:val="24"/>
          <w:color w:val="auto"/>
        </w:rPr>
      </w:pPr>
    </w:p>
    <w:p>
      <w:pPr>
        <w:sectPr>
          <w:pgSz w:w="11900" w:h="1685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INVESTOR AB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ARSENALSGATAN 8C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57"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STOCKHOLM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V7</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SE-103 32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5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2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60" w:type="dxa"/>
            <w:vAlign w:val="bottom"/>
          </w:tcPr>
          <w:p>
            <w:pPr>
              <w:spacing w:after="0"/>
              <w:rPr>
                <w:sz w:val="21"/>
                <w:szCs w:val="21"/>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56,782</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85.98</w:t>
            </w:r>
            <w:r>
              <w:rPr>
                <w:rFonts w:ascii="Times New Roman" w:cs="Times New Roman" w:eastAsia="Times New Roman" w:hAnsi="Times New Roman"/>
                <w:sz w:val="22"/>
                <w:szCs w:val="22"/>
                <w:color w:val="008000"/>
                <w:vertAlign w:val="superscript"/>
              </w:rPr>
              <w:t>(1)</w:t>
            </w:r>
          </w:p>
        </w:tc>
        <w:tc>
          <w:tcPr>
            <w:tcW w:w="15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7"/>
                <w:szCs w:val="17"/>
                <w:color w:val="0000FF"/>
              </w:rPr>
              <w:t>58,439,208</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80" w:type="dxa"/>
            <w:vAlign w:val="bottom"/>
            <w:gridSpan w:val="15"/>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98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INVESTOR AB</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ARSENALSGATAN 8C</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STOCKHOLM</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V7</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SE-103 32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Innax AB</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ARSENALSGATAN 8C</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STOCKHOLM</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V7</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SE-103 32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par value $0.01 per share (the "Shares") were purchased in multiple transactions at prices ranging from $85.81 to $86.00 per Share, inclusive. The Reporting Persons undertake to provide to the Issuer, any security holder of the Issuer, or the staff of the SEC, upon request, full information regarding the number of Shares purchased at each separate price within the range set forth in this footnote.</w:t>
      </w:r>
    </w:p>
    <w:p>
      <w:pPr>
        <w:sectPr>
          <w:pgSz w:w="11900" w:h="16857"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the Issuer held directly by Innax AB (formerly known as Patricia Holding AB). Investor AB is the sole shareholder of Innax AB.</w:t>
      </w:r>
    </w:p>
    <w:p>
      <w:pPr>
        <w:spacing w:after="0" w:line="50"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Information with respect to each of the Reporting Persons is given solely by such Reporting Person, and no Reporting Person has responsibility for the accuracy or completeness of information supplied by another Reporting Person.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4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7" w:right="5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AB</w:t>
      </w:r>
    </w:p>
    <w:p>
      <w:pPr>
        <w:spacing w:after="0" w:line="2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/s/ Ulrika Elfving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16510</wp:posOffset>
            </wp:positionV>
            <wp:extent cx="2360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Ulrika Elfving</w:t>
      </w:r>
    </w:p>
    <w:p>
      <w:pPr>
        <w:spacing w:after="0" w:line="238" w:lineRule="auto"/>
        <w:rPr>
          <w:sz w:val="20"/>
          <w:szCs w:val="20"/>
          <w:color w:val="auto"/>
        </w:rPr>
      </w:pPr>
      <w:r>
        <w:rPr>
          <w:rFonts w:ascii="Times New Roman" w:cs="Times New Roman" w:eastAsia="Times New Roman" w:hAnsi="Times New Roman"/>
          <w:sz w:val="21"/>
          <w:szCs w:val="21"/>
          <w:color w:val="auto"/>
        </w:rPr>
        <w:t>Title: General Counsel</w:t>
      </w:r>
    </w:p>
    <w:p>
      <w:pPr>
        <w:spacing w:after="0"/>
        <w:rPr>
          <w:sz w:val="20"/>
          <w:szCs w:val="20"/>
          <w:color w:val="auto"/>
        </w:rPr>
      </w:pPr>
      <w:r>
        <w:rPr>
          <w:rFonts w:ascii="Times New Roman" w:cs="Times New Roman" w:eastAsia="Times New Roman" w:hAnsi="Times New Roman"/>
          <w:sz w:val="21"/>
          <w:szCs w:val="21"/>
          <w:color w:val="auto"/>
        </w:rPr>
        <w:t>Date: 06/15/2026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AB</w:t>
      </w:r>
    </w:p>
    <w:p>
      <w:pPr>
        <w:spacing w:after="0" w:line="2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/s/ Petra Hedengran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16510</wp:posOffset>
            </wp:positionV>
            <wp:extent cx="2360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Petra Hedengran</w:t>
      </w:r>
    </w:p>
    <w:p>
      <w:pPr>
        <w:spacing w:after="0" w:line="238" w:lineRule="auto"/>
        <w:rPr>
          <w:sz w:val="20"/>
          <w:szCs w:val="20"/>
          <w:color w:val="auto"/>
        </w:rPr>
      </w:pPr>
      <w:r>
        <w:rPr>
          <w:rFonts w:ascii="Times New Roman" w:cs="Times New Roman" w:eastAsia="Times New Roman" w:hAnsi="Times New Roman"/>
          <w:sz w:val="21"/>
          <w:szCs w:val="21"/>
          <w:color w:val="auto"/>
        </w:rPr>
        <w:t>Title: Senior Advisor</w:t>
      </w:r>
    </w:p>
    <w:p>
      <w:pPr>
        <w:spacing w:after="0"/>
        <w:rPr>
          <w:sz w:val="20"/>
          <w:szCs w:val="20"/>
          <w:color w:val="auto"/>
        </w:rPr>
      </w:pPr>
      <w:r>
        <w:rPr>
          <w:rFonts w:ascii="Times New Roman" w:cs="Times New Roman" w:eastAsia="Times New Roman" w:hAnsi="Times New Roman"/>
          <w:sz w:val="21"/>
          <w:szCs w:val="21"/>
          <w:color w:val="auto"/>
        </w:rPr>
        <w:t>Date: 06/15/2026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AB</w:t>
      </w:r>
    </w:p>
    <w:p>
      <w:pPr>
        <w:spacing w:after="0" w:line="2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/s/ Jenny Ashman Haquinius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16510</wp:posOffset>
            </wp:positionV>
            <wp:extent cx="2995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Jenny Ashman Haquinius</w:t>
      </w:r>
    </w:p>
    <w:p>
      <w:pPr>
        <w:spacing w:after="0" w:line="238" w:lineRule="auto"/>
        <w:rPr>
          <w:sz w:val="20"/>
          <w:szCs w:val="20"/>
          <w:color w:val="auto"/>
        </w:rPr>
      </w:pPr>
      <w:r>
        <w:rPr>
          <w:rFonts w:ascii="Times New Roman" w:cs="Times New Roman" w:eastAsia="Times New Roman" w:hAnsi="Times New Roman"/>
          <w:sz w:val="21"/>
          <w:szCs w:val="21"/>
          <w:color w:val="auto"/>
        </w:rPr>
        <w:t>Title: Chief Financial Officer</w:t>
      </w:r>
    </w:p>
    <w:p>
      <w:pPr>
        <w:spacing w:after="0"/>
        <w:rPr>
          <w:sz w:val="20"/>
          <w:szCs w:val="20"/>
          <w:color w:val="auto"/>
        </w:rPr>
      </w:pPr>
      <w:r>
        <w:rPr>
          <w:rFonts w:ascii="Times New Roman" w:cs="Times New Roman" w:eastAsia="Times New Roman" w:hAnsi="Times New Roman"/>
          <w:sz w:val="21"/>
          <w:szCs w:val="21"/>
          <w:color w:val="auto"/>
        </w:rPr>
        <w:t>Date: 06/15/2026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INNAX AB</w:t>
      </w:r>
    </w:p>
    <w:p>
      <w:pPr>
        <w:spacing w:after="0" w:line="2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/s/Anders Eckerwall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16510</wp:posOffset>
            </wp:positionV>
            <wp:extent cx="2572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Anders Eckerwall</w:t>
      </w:r>
    </w:p>
    <w:p>
      <w:pPr>
        <w:spacing w:after="0" w:line="238" w:lineRule="auto"/>
        <w:rPr>
          <w:sz w:val="20"/>
          <w:szCs w:val="20"/>
          <w:color w:val="auto"/>
        </w:rPr>
      </w:pPr>
      <w:r>
        <w:rPr>
          <w:rFonts w:ascii="Times New Roman" w:cs="Times New Roman" w:eastAsia="Times New Roman" w:hAnsi="Times New Roman"/>
          <w:sz w:val="21"/>
          <w:szCs w:val="21"/>
          <w:color w:val="auto"/>
        </w:rPr>
        <w:t>Title: Managing Director</w:t>
      </w:r>
    </w:p>
    <w:p>
      <w:pPr>
        <w:spacing w:after="0"/>
        <w:rPr>
          <w:sz w:val="20"/>
          <w:szCs w:val="20"/>
          <w:color w:val="auto"/>
        </w:rPr>
      </w:pPr>
      <w:r>
        <w:rPr>
          <w:rFonts w:ascii="Times New Roman" w:cs="Times New Roman" w:eastAsia="Times New Roman" w:hAnsi="Times New Roman"/>
          <w:sz w:val="21"/>
          <w:szCs w:val="21"/>
          <w:color w:val="auto"/>
        </w:rPr>
        <w:t>Date: 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1283335</wp:posOffset>
            </wp:positionV>
            <wp:extent cx="698944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0889232" TargetMode="External"/><Relationship Id="rId14" Type="http://schemas.openxmlformats.org/officeDocument/2006/relationships/hyperlink" Target="http://www.sec.gov/cgi-bin/browse-edgar?action=getcompany&amp;CIK=0001120193" TargetMode="External"/><Relationship Id="rId16" Type="http://schemas.openxmlformats.org/officeDocument/2006/relationships/hyperlink" Target="http://www.sec.gov/cgi-bin/browse-edgar?action=getcompany&amp;CIK=00015134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2026-06-15T15:36:14Z</dcterms:created>
  <dcterms:modified xsi:type="dcterms:W3CDTF">2026-06-15T15:36:14Z</dcterms:modified>
</cp:coreProperties>
</file>