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Bradley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92.61</w:t>
            </w:r>
            <w:r>
              <w:rPr>
                <w:rFonts w:ascii="Times;serif" w:hAnsi="Times;serif"/>
                <w:color w:val="008000"/>
                <w:position w:val="7"/>
                <w:sz w:val="16"/>
                <w:sz w:val="20"/>
                <w:shd w:fill="FFFFFF" w:val="clear"/>
              </w:rPr>
              <w:t>(1)</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128,293</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this box is a weighted average price. These shares were sold in multiple transactions at prices ranging from $92.58 to $92.66, inclusive. The reporting person undertakes to provide to the Issuer, any of its security holders,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64,377 shares or units of restricted stock, 38,372 of which are vested, (ii) 58,618 shares of Common Stock underlying PSUs, 48,986 of which are vested, and (iii) 5,298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592"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3669</Characters>
  <CharactersWithSpaces>4285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