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Bradley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W. 42ND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7"/>
          <w:szCs w:val="17"/>
          <w:color w:val="0000FF"/>
        </w:rPr>
        <w:t>EVP, CIO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3,987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104.75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114,306</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57,390 shares or units of restricted stock, 31,385 of which are vested, (ii) 51,618 shares of Common Stock underlying PSUs, 41,986 of which are vested, and (iii) 5,298 shares of Common Stock purchased under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 Kogan,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8592" TargetMode="External"/><Relationship Id="rId14"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2026-10-29T15:31:33Z</dcterms:created>
  <dcterms:modified xsi:type="dcterms:W3CDTF">2026-10-29T15:31:33Z</dcterms:modified>
</cp:coreProperties>
</file>