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6" w:lineRule="exact"/>
        <w:rPr>
          <w:sz w:val="24"/>
          <w:szCs w:val="24"/>
          <w:color w:val="auto"/>
        </w:rPr>
      </w:pPr>
    </w:p>
    <w:p>
      <w:pPr>
        <w:jc w:val="center"/>
        <w:ind w:right="-59"/>
        <w:spacing w:after="0"/>
        <w:tabs>
          <w:tab w:leader="none" w:pos="220" w:val="left"/>
        </w:tabs>
        <w:rPr>
          <w:sz w:val="20"/>
          <w:szCs w:val="20"/>
          <w:color w:val="auto"/>
        </w:rPr>
      </w:pPr>
      <w:r>
        <w:rPr>
          <w:rFonts w:ascii="Arial" w:cs="Arial" w:eastAsia="Arial" w:hAnsi="Arial"/>
          <w:sz w:val="22"/>
          <w:szCs w:val="22"/>
          <w:b w:val="1"/>
          <w:bCs w:val="1"/>
          <w:color w:val="auto"/>
        </w:rPr>
        <w:t>Exchange Act of 1934 (Amendment No.</w:t>
        <w:tab/>
        <w:t>)</w:t>
      </w:r>
    </w:p>
    <w:p>
      <w:pPr>
        <w:spacing w:after="0" w:line="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The NASDAQ OMX Group, Inc.</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14" w:lineRule="exact"/>
        <w:rPr>
          <w:sz w:val="24"/>
          <w:szCs w:val="24"/>
          <w:color w:val="auto"/>
        </w:rPr>
      </w:pPr>
    </w:p>
    <w:p>
      <w:pPr>
        <w:ind w:left="34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71"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1140" w:hanging="565"/>
        <w:spacing w:after="0" w:line="239" w:lineRule="auto"/>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68"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71"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80" w:right="40" w:hanging="572"/>
        <w:spacing w:after="0" w:line="239" w:lineRule="auto"/>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0" w:lineRule="exact"/>
        <w:rPr>
          <w:rFonts w:ascii="MS PGothic" w:cs="MS PGothic" w:eastAsia="MS PGothic" w:hAnsi="MS PGothic"/>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71"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71"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-2465705</wp:posOffset>
            </wp:positionV>
            <wp:extent cx="6886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-1864995</wp:posOffset>
            </wp:positionV>
            <wp:extent cx="6886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-1624965</wp:posOffset>
            </wp:positionV>
            <wp:extent cx="6886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-629920</wp:posOffset>
            </wp:positionV>
            <wp:extent cx="6886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-389890</wp:posOffset>
            </wp:positionV>
            <wp:extent cx="6886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80645</wp:posOffset>
            </wp:positionV>
            <wp:extent cx="6886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205740</wp:posOffset>
            </wp:positionV>
            <wp:extent cx="1920875" cy="231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8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April •, 2013</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0088A6"/>
        </w:rPr>
        <w:t>Dear Fellow NASDAQ OMX Stockholder:</w:t>
      </w:r>
    </w:p>
    <w:p>
      <w:pPr>
        <w:spacing w:after="0" w:line="13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We are pleased to enclose this year’s proxy statement and to invite you to attend our 2013 annual meeting of stockholders. For your convenience, we will offer a live webcast of the annual meeting on our website at </w:t>
      </w:r>
      <w:r>
        <w:rPr>
          <w:rFonts w:ascii="Arial" w:cs="Arial" w:eastAsia="Arial" w:hAnsi="Arial"/>
          <w:sz w:val="18"/>
          <w:szCs w:val="18"/>
          <w:i w:val="1"/>
          <w:iCs w:val="1"/>
          <w:color w:val="auto"/>
        </w:rPr>
        <w:t>http://ir.nasdaqomx.com/events.cfm</w:t>
      </w:r>
      <w:r>
        <w:rPr>
          <w:rFonts w:ascii="Arial" w:cs="Arial" w:eastAsia="Arial" w:hAnsi="Arial"/>
          <w:sz w:val="18"/>
          <w:szCs w:val="18"/>
          <w:color w:val="auto"/>
        </w:rPr>
        <w:t>.</w:t>
      </w:r>
    </w:p>
    <w:p>
      <w:pPr>
        <w:spacing w:after="0" w:line="114"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2013 is an important year for NASDAQ OMX, and we remain focused on our goal to be strategically positioned for strong long-term performance. The following highlights elements of our corporate governance, stockholder engagement and executive compensation that are described in more detail in this proxy statement.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0088A6"/>
        </w:rPr>
        <w:t>Corporate Governance</w:t>
      </w:r>
    </w:p>
    <w:p>
      <w:pPr>
        <w:spacing w:after="0" w:line="139"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NASDAQ OMX’s board of directors and nominating &amp; governance committee continue to evaluate NASDAQ OMX’s corporate governance practices. As discussed in Proposal IV, we are seeking stockholder approval to amend NASDAQ OMX’s restated certificate of incorporation to remove and replace each supermajority voting requirement with a “majority of outstanding shares” voting requirement. We weighed the pros and cons of the supermajority voting requirements and ultimately decided that it is in the best interests of NASDAQ OMX and its stockholders to eliminate these requirements.</w:t>
      </w:r>
    </w:p>
    <w:p>
      <w:pPr>
        <w:spacing w:after="0" w:line="11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addition, the board of directors, upon the recommendation of the nominating and governance committee, has approved amendments to our by-laws to allow stockholders holding 15% or more of our voting power to call a special meeting under certain circumstances. As described under “NASDAQ OMX’s Corporate Governance,” these amendments, as well the proposed charter amendments discussed above, are subject to filing and effectiveness with the U.S. Securities and Exchange Commission. We believe both sets of amendments serve to enhance further NASDAQ OMX’s corporate governance practices and demonstrate our responsiveness to stockholder concerns.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0088A6"/>
        </w:rPr>
        <w:t>Stockholder Engagement</w:t>
      </w:r>
    </w:p>
    <w:p>
      <w:pPr>
        <w:spacing w:after="0" w:line="13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Stockholders are key participants in the governance of NASDAQ OMX, and investor feedback is extremely helpful in enabling us to achieve our mission. In 2012, management met with investors representing a substantial portion of our investor base to understand their perspectives. In addition, we invite stockholders to communicate directly with the board through the procedures outlined below in “Stockholder Communication with Directors.”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0088A6"/>
        </w:rPr>
        <w:t>Executive Compensation</w:t>
      </w:r>
    </w:p>
    <w:p>
      <w:pPr>
        <w:spacing w:after="0" w:line="13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the executive compensation front, our program and policies are designed to emphasize pay for performance. NASDAQ OMX’s performance was strong in 2012 against difficult market conditions. Several of our key financial results decreased as compared to 2011, largely due to lower industry trading volumes in the cash equity and derivative trading markets. As a result, none of the named executive officers received an increase in base salary, and on average, the annual performance-based cash incentive awards paid to our named executive officers decreased significantly from 2011.</w:t>
      </w:r>
    </w:p>
    <w:p>
      <w:pPr>
        <w:spacing w:after="0" w:line="117"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At the same time, we are looking to the future, and we have implemented a new performance-based long-term incentive program for our CEO, executive vice presidents and senior vice presidents that focuses on total shareholder return over a three-year period. In 2012, equity awards to the named executive officers were granted under this program, and therefore, equity awards to our named executive officers are totally performance-based. As this demonstrates, we continue to look for ways to improve NASDAQ OMX’s executive compensation program.</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optimistic about NASDAQ OMX’s strategy and long-term success. We look forward to sharing information with you about NASDAQ OMX at the annual meeting. Whether or not you plan to attend, we encourage you to vote your proxy as soon as possible so that your shares will be represented at the meeting.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0088A6"/>
        </w:rPr>
        <w:t>The Board of Directors of The NASDAQ OMX Group, Inc.</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205740</wp:posOffset>
            </wp:positionV>
            <wp:extent cx="1920875" cy="23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8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7C7C7C"/>
        </w:rPr>
        <w:t>THE NASDAQ OMX GROUP, INC.</w:t>
      </w:r>
    </w:p>
    <w:p>
      <w:pPr>
        <w:spacing w:after="0" w:line="5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7C7C7C"/>
        </w:rPr>
        <w:t>NOTICE OF ANNUAL MEETING OF STOCKHOLDERS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7C7C7C"/>
        </w:rPr>
        <w:t>TO BE HELD ON MAY 22,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The NASDAQ OMX Group, Inc.:</w:t>
      </w:r>
    </w:p>
    <w:p>
      <w:pPr>
        <w:spacing w:after="0" w:line="5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Please take notice that the annual meeting of stockholders of The NASDAQ OMX Group, Inc., a Delaware corporation, will be held at NASDAQ OMX’s principal executive offices located at One Liberty Plaza, 50</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10006, on May 22, 2013, at 9:00 a.m. (E.D.T.), for the following purposes, all as described in the attached proxy statement:</w:t>
      </w:r>
    </w:p>
    <w:p>
      <w:pPr>
        <w:spacing w:after="0" w:line="59" w:lineRule="exact"/>
        <w:rPr>
          <w:sz w:val="20"/>
          <w:szCs w:val="20"/>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11 directors for a one-year term;</w:t>
      </w:r>
    </w:p>
    <w:p>
      <w:pPr>
        <w:spacing w:after="0" w:line="63" w:lineRule="exact"/>
        <w:rPr>
          <w:rFonts w:ascii="Arial" w:cs="Arial" w:eastAsia="Arial" w:hAnsi="Arial"/>
          <w:sz w:val="18"/>
          <w:szCs w:val="18"/>
          <w:color w:val="auto"/>
        </w:rPr>
      </w:pPr>
    </w:p>
    <w:p>
      <w:pPr>
        <w:ind w:left="1140" w:right="60" w:hanging="565"/>
        <w:spacing w:after="0" w:line="23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 OMX’s independent registered public accounting firm for the fiscal year ending December 31, 2013;</w:t>
      </w:r>
    </w:p>
    <w:p>
      <w:pPr>
        <w:spacing w:after="0" w:line="60" w:lineRule="exact"/>
        <w:rPr>
          <w:rFonts w:ascii="Arial" w:cs="Arial" w:eastAsia="Arial" w:hAnsi="Arial"/>
          <w:sz w:val="18"/>
          <w:szCs w:val="18"/>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company’s executive compensation on an advisory basis;</w:t>
      </w:r>
    </w:p>
    <w:p>
      <w:pPr>
        <w:spacing w:after="0" w:line="63" w:lineRule="exact"/>
        <w:rPr>
          <w:rFonts w:ascii="Arial" w:cs="Arial" w:eastAsia="Arial" w:hAnsi="Arial"/>
          <w:sz w:val="18"/>
          <w:szCs w:val="18"/>
          <w:color w:val="auto"/>
        </w:rPr>
      </w:pPr>
    </w:p>
    <w:p>
      <w:pPr>
        <w:ind w:left="1140" w:right="180" w:hanging="565"/>
        <w:spacing w:after="0" w:line="23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of NASDAQ OMX’s restated certificate of incorporation to remove and replace the supermajority voting requirements;</w:t>
      </w:r>
    </w:p>
    <w:p>
      <w:pPr>
        <w:spacing w:after="0" w:line="60" w:lineRule="exact"/>
        <w:rPr>
          <w:rFonts w:ascii="Arial" w:cs="Arial" w:eastAsia="Arial" w:hAnsi="Arial"/>
          <w:sz w:val="18"/>
          <w:szCs w:val="18"/>
          <w:color w:val="auto"/>
        </w:rPr>
      </w:pPr>
    </w:p>
    <w:p>
      <w:pPr>
        <w:ind w:left="1140" w:right="160" w:hanging="565"/>
        <w:spacing w:after="0" w:line="23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and restatement of NASDAQ OMX’s restated certificate of incorporation to make other non-substantive changes; and</w:t>
      </w:r>
    </w:p>
    <w:p>
      <w:pPr>
        <w:spacing w:after="0" w:line="60" w:lineRule="exact"/>
        <w:rPr>
          <w:rFonts w:ascii="Arial" w:cs="Arial" w:eastAsia="Arial" w:hAnsi="Arial"/>
          <w:sz w:val="18"/>
          <w:szCs w:val="18"/>
          <w:color w:val="auto"/>
        </w:rPr>
      </w:pPr>
    </w:p>
    <w:p>
      <w:pPr>
        <w:ind w:left="1140" w:right="520" w:hanging="565"/>
        <w:spacing w:after="0" w:line="23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of the meeting.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urge you to read carefully the attached proxy statement for additional information concerning the matters to be considered at this meeting.</w:t>
      </w:r>
    </w:p>
    <w:p>
      <w:pPr>
        <w:spacing w:after="0" w:line="11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Our board of directors has fixed the close of business on April 2, 2013 as the record date for the determination of stockholders entitled to vote at the annual meeting. Only holders of record at the close of business on the record date will be entitled to notice of, and to vote at, the annual meeting or any postponement or adjournment of the meeting. A list of these holders will be available at the annual meeting, and for at least 10 days prior to the annual meeting, at our principal executive offices at One Liberty Plaza, 50</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10006.</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To ensure your representation at the 2013 annual meeting of stockholders, you are urged to vote, whether or not you plan to attend the meeting, by proxy by one of the following methods as promptly as possible:</w:t>
      </w:r>
    </w:p>
    <w:p>
      <w:pPr>
        <w:spacing w:after="0" w:line="60" w:lineRule="exact"/>
        <w:rPr>
          <w:sz w:val="20"/>
          <w:szCs w:val="20"/>
          <w:color w:val="auto"/>
        </w:rPr>
      </w:pPr>
    </w:p>
    <w:p>
      <w:pPr>
        <w:ind w:left="1140" w:right="620" w:hanging="565"/>
        <w:spacing w:after="0" w:line="23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 a proxy via the Internet or telephone pursuant to the instructions provided in the notice of Internet availability of proxy materials that we will mail no later than April •, 2013 to stockholders as of the record date; or</w:t>
      </w:r>
    </w:p>
    <w:p>
      <w:pPr>
        <w:spacing w:after="0" w:line="60" w:lineRule="exact"/>
        <w:rPr>
          <w:rFonts w:ascii="Arial" w:cs="Arial" w:eastAsia="Arial" w:hAnsi="Arial"/>
          <w:sz w:val="18"/>
          <w:szCs w:val="18"/>
          <w:color w:val="auto"/>
        </w:rPr>
      </w:pPr>
    </w:p>
    <w:p>
      <w:pPr>
        <w:ind w:left="1140" w:right="380" w:hanging="565"/>
        <w:spacing w:after="0" w:line="299"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Request printed copies of the proxy materials by mail pursuant to the instructions provided in the notice of Internet availability of proxy materials and complete, sign, date and return the proxy card that you will receive in response to your request.</w:t>
      </w:r>
    </w:p>
    <w:p>
      <w:pPr>
        <w:spacing w:after="0" w:line="6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If you attend the meeting, you may revoke your proxy and vote in person, even if you have previously submitted a proxy for your NASDAQ OMX shares.</w:t>
      </w:r>
    </w:p>
    <w:p>
      <w:pPr>
        <w:spacing w:after="0" w:line="1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1766570" cy="77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657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Greifeld</w:t>
      </w:r>
    </w:p>
    <w:p>
      <w:pPr>
        <w:ind w:left="6860"/>
        <w:spacing w:after="0"/>
        <w:rPr>
          <w:sz w:val="20"/>
          <w:szCs w:val="20"/>
          <w:color w:val="auto"/>
        </w:rPr>
      </w:pPr>
      <w:r>
        <w:rPr>
          <w:rFonts w:ascii="Arial" w:cs="Arial" w:eastAsia="Arial" w:hAnsi="Arial"/>
          <w:sz w:val="18"/>
          <w:szCs w:val="18"/>
          <w:color w:val="auto"/>
        </w:rPr>
        <w:t>Chief Executive Officer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7C7C7C"/>
        </w:rPr>
        <w:t>New York, New York</w:t>
      </w:r>
    </w:p>
    <w:p>
      <w:pPr>
        <w:spacing w:after="0"/>
        <w:rPr>
          <w:sz w:val="20"/>
          <w:szCs w:val="20"/>
          <w:color w:val="auto"/>
        </w:rPr>
      </w:pPr>
      <w:r>
        <w:rPr>
          <w:rFonts w:ascii="Arial" w:cs="Arial" w:eastAsia="Arial" w:hAnsi="Arial"/>
          <w:sz w:val="18"/>
          <w:szCs w:val="18"/>
          <w:color w:val="7C7C7C"/>
        </w:rPr>
        <w:t>April •, 2013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TABLE OF CONTENTS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20" w:type="dxa"/>
            <w:vAlign w:val="bottom"/>
            <w:gridSpan w:val="2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EXECUTIVE SUMMARY</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10520" w:type="dxa"/>
            <w:vAlign w:val="bottom"/>
            <w:gridSpan w:val="2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THE ANNUAL MEETING</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342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PROPOSAL I: ELECTION OF DIRECTORS</w:t>
              </w:r>
            </w:hyperlink>
          </w:p>
        </w:tc>
        <w:tc>
          <w:tcPr>
            <w:tcW w:w="7100" w:type="dxa"/>
            <w:vAlign w:val="bottom"/>
            <w:gridSpan w:val="1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99"/>
        </w:trPr>
        <w:tc>
          <w:tcPr>
            <w:tcW w:w="10520" w:type="dxa"/>
            <w:vAlign w:val="bottom"/>
            <w:gridSpan w:val="2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DIRECTOR COMPENSATION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380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NASDAQ OMX’S CORPORATE GOVERNANCE</w:t>
              </w:r>
            </w:hyperlink>
          </w:p>
        </w:tc>
        <w:tc>
          <w:tcPr>
            <w:tcW w:w="672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9"/>
        </w:trPr>
        <w:tc>
          <w:tcPr>
            <w:tcW w:w="10520" w:type="dxa"/>
            <w:vAlign w:val="bottom"/>
            <w:gridSpan w:val="2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PROPOSAL II: RATIFICATION OF THE APPOINTMENT OF INDEPENDENT REGISTERED PUBLIC ACCOUNTING FIRM</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99"/>
        </w:trPr>
        <w:tc>
          <w:tcPr>
            <w:tcW w:w="24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AUDIT COMMITTEE REPORT</w:t>
              </w:r>
            </w:hyperlink>
          </w:p>
        </w:tc>
        <w:tc>
          <w:tcPr>
            <w:tcW w:w="7180" w:type="dxa"/>
            <w:vAlign w:val="bottom"/>
            <w:tcBorders>
              <w:top w:val="single" w:sz="8" w:color="0000EE"/>
            </w:tcBorders>
            <w:gridSpan w:val="19"/>
          </w:tcPr>
          <w:p>
            <w:pPr>
              <w:spacing w:after="0"/>
              <w:rPr>
                <w:sz w:val="24"/>
                <w:szCs w:val="24"/>
                <w:color w:val="auto"/>
              </w:rPr>
            </w:pPr>
          </w:p>
        </w:tc>
        <w:tc>
          <w:tcPr>
            <w:tcW w:w="92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99"/>
        </w:trPr>
        <w:tc>
          <w:tcPr>
            <w:tcW w:w="8600" w:type="dxa"/>
            <w:vAlign w:val="bottom"/>
            <w:tcBorders>
              <w:bottom w:val="single" w:sz="8" w:color="0000EE"/>
            </w:tcBorders>
            <w:gridSpan w:val="23"/>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PROPOSAL III: APPROVAL OF THE COMPANY’S EXECUTIVE COMPENSATION ON AN ADVISORY BASIS</w:t>
              </w:r>
            </w:hyperlink>
          </w:p>
        </w:tc>
        <w:tc>
          <w:tcPr>
            <w:tcW w:w="192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99"/>
        </w:trPr>
        <w:tc>
          <w:tcPr>
            <w:tcW w:w="388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38">
              <w:r>
                <w:rPr>
                  <w:rFonts w:ascii="Arial" w:cs="Arial" w:eastAsia="Arial" w:hAnsi="Arial"/>
                  <w:sz w:val="18"/>
                  <w:szCs w:val="18"/>
                  <w:color w:val="0000EE"/>
                  <w:w w:val="96"/>
                </w:rPr>
                <w:t>COMPENSATION DISCUSSION AND ANALYSIS</w:t>
              </w:r>
            </w:hyperlink>
          </w:p>
        </w:tc>
        <w:tc>
          <w:tcPr>
            <w:tcW w:w="664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99"/>
        </w:trPr>
        <w:tc>
          <w:tcPr>
            <w:tcW w:w="10520" w:type="dxa"/>
            <w:vAlign w:val="bottom"/>
            <w:gridSpan w:val="2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MANAGEMENT COMPENSATION COMMITTEE REPORT</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754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MANAGEMENT COMPENSATION COMMITTEE INTERLOCKS AND INSIDER PARTICIPATION</w:t>
              </w:r>
            </w:hyperlink>
          </w:p>
        </w:tc>
        <w:tc>
          <w:tcPr>
            <w:tcW w:w="298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99"/>
        </w:trPr>
        <w:tc>
          <w:tcPr>
            <w:tcW w:w="10520" w:type="dxa"/>
            <w:vAlign w:val="bottom"/>
            <w:gridSpan w:val="2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EXECUTIVE COMPENSATION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10520" w:type="dxa"/>
            <w:vAlign w:val="bottom"/>
            <w:gridSpan w:val="2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PROPOSAL IV: APPROVAL OF AN AMENDMENT OF NASDAQ OMX’S RESTATED CERTIFICATE OF INCORPORATION TO</w:t>
              </w:r>
            </w:hyperlink>
          </w:p>
        </w:tc>
        <w:tc>
          <w:tcPr>
            <w:tcW w:w="800" w:type="dxa"/>
            <w:vAlign w:val="bottom"/>
          </w:tcPr>
          <w:p>
            <w:pPr>
              <w:spacing w:after="0"/>
              <w:rPr>
                <w:sz w:val="24"/>
                <w:szCs w:val="24"/>
                <w:color w:val="auto"/>
              </w:rPr>
            </w:pPr>
          </w:p>
        </w:tc>
      </w:tr>
      <w:tr>
        <w:trPr>
          <w:trHeight w:val="183"/>
        </w:trPr>
        <w:tc>
          <w:tcPr>
            <w:tcW w:w="618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REMOVE AND REPLACE THE SUPERMAJORITY VOTING REQUIREMENTS</w:t>
              </w:r>
            </w:hyperlink>
          </w:p>
        </w:tc>
        <w:tc>
          <w:tcPr>
            <w:tcW w:w="3720" w:type="dxa"/>
            <w:vAlign w:val="bottom"/>
            <w:tcBorders>
              <w:top w:val="single" w:sz="8" w:color="0000EE"/>
            </w:tcBorders>
            <w:gridSpan w:val="7"/>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399"/>
        </w:trPr>
        <w:tc>
          <w:tcPr>
            <w:tcW w:w="10520" w:type="dxa"/>
            <w:vAlign w:val="bottom"/>
            <w:gridSpan w:val="2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PROPOSAL V: APPROVAL OF AN AMENDMENT AND RESTATEMENT OF NASDAQ OMX’S RESTATED CERTIFICATE OF</w:t>
              </w:r>
            </w:hyperlink>
          </w:p>
        </w:tc>
        <w:tc>
          <w:tcPr>
            <w:tcW w:w="800" w:type="dxa"/>
            <w:vAlign w:val="bottom"/>
          </w:tcPr>
          <w:p>
            <w:pPr>
              <w:spacing w:after="0"/>
              <w:rPr>
                <w:sz w:val="24"/>
                <w:szCs w:val="24"/>
                <w:color w:val="auto"/>
              </w:rPr>
            </w:pPr>
          </w:p>
        </w:tc>
      </w:tr>
      <w:tr>
        <w:trPr>
          <w:trHeight w:val="183"/>
        </w:trPr>
        <w:tc>
          <w:tcPr>
            <w:tcW w:w="560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INCORPORATION TO MAKE OTHER NON-SUBSTANTIVE CHANGES</w:t>
              </w:r>
            </w:hyperlink>
          </w:p>
        </w:tc>
        <w:tc>
          <w:tcPr>
            <w:tcW w:w="4200" w:type="dxa"/>
            <w:vAlign w:val="bottom"/>
            <w:tcBorders>
              <w:top w:val="single" w:sz="8" w:color="0000EE"/>
            </w:tcBorders>
            <w:gridSpan w:val="8"/>
          </w:tcPr>
          <w:p>
            <w:pPr>
              <w:spacing w:after="0"/>
              <w:rPr>
                <w:sz w:val="15"/>
                <w:szCs w:val="15"/>
                <w:color w:val="auto"/>
              </w:rPr>
            </w:pPr>
          </w:p>
        </w:tc>
        <w:tc>
          <w:tcPr>
            <w:tcW w:w="72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r>
      <w:tr>
        <w:trPr>
          <w:trHeight w:val="399"/>
        </w:trPr>
        <w:tc>
          <w:tcPr>
            <w:tcW w:w="15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86">
              <w:r>
                <w:rPr>
                  <w:rFonts w:ascii="Arial" w:cs="Arial" w:eastAsia="Arial" w:hAnsi="Arial"/>
                  <w:sz w:val="18"/>
                  <w:szCs w:val="18"/>
                  <w:color w:val="0000EE"/>
                  <w:w w:val="96"/>
                </w:rPr>
                <w:t>OTHER BUSINESS</w:t>
              </w:r>
            </w:hyperlink>
          </w:p>
        </w:tc>
        <w:tc>
          <w:tcPr>
            <w:tcW w:w="8960" w:type="dxa"/>
            <w:vAlign w:val="bottom"/>
            <w:gridSpan w:val="2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99"/>
        </w:trPr>
        <w:tc>
          <w:tcPr>
            <w:tcW w:w="348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87">
              <w:r>
                <w:rPr>
                  <w:rFonts w:ascii="Arial" w:cs="Arial" w:eastAsia="Arial" w:hAnsi="Arial"/>
                  <w:sz w:val="18"/>
                  <w:szCs w:val="18"/>
                  <w:color w:val="0000EE"/>
                  <w:w w:val="97"/>
                </w:rPr>
                <w:t>EXECUTIVE OFFICERS OF NASDAQ OMX</w:t>
              </w:r>
            </w:hyperlink>
          </w:p>
        </w:tc>
        <w:tc>
          <w:tcPr>
            <w:tcW w:w="7040" w:type="dxa"/>
            <w:vAlign w:val="bottom"/>
            <w:gridSpan w:val="1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99"/>
        </w:trPr>
        <w:tc>
          <w:tcPr>
            <w:tcW w:w="10520" w:type="dxa"/>
            <w:vAlign w:val="bottom"/>
            <w:gridSpan w:val="2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SECURITY OWNERSHIP OF CERTAIN BENEFICIAL OWNERS AND MANAGEMENT</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99"/>
        </w:trPr>
        <w:tc>
          <w:tcPr>
            <w:tcW w:w="576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7"/>
              </w:rPr>
            </w:pPr>
            <w:hyperlink w:anchor="page93">
              <w:r>
                <w:rPr>
                  <w:rFonts w:ascii="Arial" w:cs="Arial" w:eastAsia="Arial" w:hAnsi="Arial"/>
                  <w:sz w:val="18"/>
                  <w:szCs w:val="18"/>
                  <w:color w:val="0000EE"/>
                  <w:w w:val="97"/>
                </w:rPr>
                <w:t>SECTION 16(a) BENEFICIAL OWNERSHIP REPORTING COMPLIANCE</w:t>
              </w:r>
            </w:hyperlink>
          </w:p>
        </w:tc>
        <w:tc>
          <w:tcPr>
            <w:tcW w:w="1000" w:type="dxa"/>
            <w:vAlign w:val="bottom"/>
            <w:tcBorders>
              <w:top w:val="single" w:sz="8" w:color="0000EE"/>
            </w:tcBorders>
            <w:gridSpan w:val="2"/>
          </w:tcPr>
          <w:p>
            <w:pPr>
              <w:spacing w:after="0"/>
              <w:rPr>
                <w:sz w:val="24"/>
                <w:szCs w:val="24"/>
                <w:color w:val="auto"/>
              </w:rPr>
            </w:pPr>
          </w:p>
        </w:tc>
        <w:tc>
          <w:tcPr>
            <w:tcW w:w="376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99"/>
        </w:trPr>
        <w:tc>
          <w:tcPr>
            <w:tcW w:w="490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CERTAIN RELATIONSHIPS AND RELATED TRANSACTIONS</w:t>
              </w:r>
            </w:hyperlink>
          </w:p>
        </w:tc>
        <w:tc>
          <w:tcPr>
            <w:tcW w:w="562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99"/>
        </w:trPr>
        <w:tc>
          <w:tcPr>
            <w:tcW w:w="448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97">
              <w:r>
                <w:rPr>
                  <w:rFonts w:ascii="Arial" w:cs="Arial" w:eastAsia="Arial" w:hAnsi="Arial"/>
                  <w:sz w:val="18"/>
                  <w:szCs w:val="18"/>
                  <w:color w:val="0000EE"/>
                  <w:w w:val="96"/>
                </w:rPr>
                <w:t>STOCKHOLDER COMMUNICATION WITH DIRECTORS</w:t>
              </w:r>
            </w:hyperlink>
          </w:p>
        </w:tc>
        <w:tc>
          <w:tcPr>
            <w:tcW w:w="604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99"/>
        </w:trPr>
        <w:tc>
          <w:tcPr>
            <w:tcW w:w="540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ONLINE ANNUAL REPORT TO STOCKHOLDERS AND FORM 10-K</w:t>
              </w:r>
            </w:hyperlink>
          </w:p>
        </w:tc>
        <w:tc>
          <w:tcPr>
            <w:tcW w:w="512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99"/>
        </w:trPr>
        <w:tc>
          <w:tcPr>
            <w:tcW w:w="554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98">
              <w:r>
                <w:rPr>
                  <w:rFonts w:ascii="Arial" w:cs="Arial" w:eastAsia="Arial" w:hAnsi="Arial"/>
                  <w:sz w:val="18"/>
                  <w:szCs w:val="18"/>
                  <w:color w:val="0000EE"/>
                  <w:w w:val="96"/>
                </w:rPr>
                <w:t>STOCKHOLDER PROPOSALS AND NOMINATIONS OF DIRECTORS</w:t>
              </w:r>
            </w:hyperlink>
          </w:p>
        </w:tc>
        <w:tc>
          <w:tcPr>
            <w:tcW w:w="498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99"/>
        </w:trPr>
        <w:tc>
          <w:tcPr>
            <w:tcW w:w="256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CORPORATE SUSTAINABILITY</w:t>
              </w:r>
            </w:hyperlink>
          </w:p>
        </w:tc>
        <w:tc>
          <w:tcPr>
            <w:tcW w:w="7960" w:type="dxa"/>
            <w:vAlign w:val="bottom"/>
            <w:gridSpan w:val="2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99"/>
        </w:trPr>
        <w:tc>
          <w:tcPr>
            <w:tcW w:w="10520" w:type="dxa"/>
            <w:vAlign w:val="bottom"/>
            <w:gridSpan w:val="2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ANNEX A: PROPOSED AMENDMENT AND RESTATEMENT OF NASDAQ OMX’S RESTATED CERTIFICATE OF</w:t>
              </w:r>
            </w:hyperlink>
          </w:p>
        </w:tc>
        <w:tc>
          <w:tcPr>
            <w:tcW w:w="800" w:type="dxa"/>
            <w:vAlign w:val="bottom"/>
          </w:tcPr>
          <w:p>
            <w:pPr>
              <w:spacing w:after="0"/>
              <w:rPr>
                <w:sz w:val="24"/>
                <w:szCs w:val="24"/>
                <w:color w:val="auto"/>
              </w:rPr>
            </w:pPr>
          </w:p>
        </w:tc>
      </w:tr>
      <w:tr>
        <w:trPr>
          <w:trHeight w:val="183"/>
        </w:trPr>
        <w:tc>
          <w:tcPr>
            <w:tcW w:w="14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101">
              <w:r>
                <w:rPr>
                  <w:rFonts w:ascii="Arial" w:cs="Arial" w:eastAsia="Arial" w:hAnsi="Arial"/>
                  <w:sz w:val="18"/>
                  <w:szCs w:val="18"/>
                  <w:color w:val="0000EE"/>
                  <w:w w:val="96"/>
                </w:rPr>
                <w:t>INCORPORATION</w:t>
              </w:r>
            </w:hyperlink>
          </w:p>
        </w:tc>
        <w:tc>
          <w:tcPr>
            <w:tcW w:w="7440" w:type="dxa"/>
            <w:vAlign w:val="bottom"/>
            <w:tcBorders>
              <w:top w:val="single" w:sz="8" w:color="0000EE"/>
            </w:tcBorders>
            <w:gridSpan w:val="23"/>
          </w:tcPr>
          <w:p>
            <w:pPr>
              <w:spacing w:after="0"/>
              <w:rPr>
                <w:sz w:val="15"/>
                <w:szCs w:val="15"/>
                <w:color w:val="auto"/>
              </w:rPr>
            </w:pPr>
          </w:p>
        </w:tc>
        <w:tc>
          <w:tcPr>
            <w:tcW w:w="1600" w:type="dxa"/>
            <w:vAlign w:val="bottom"/>
            <w:gridSpan w:val="4"/>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EXECUTIVE SUMMARY</w:t>
      </w:r>
    </w:p>
    <w:p>
      <w:pPr>
        <w:spacing w:after="0" w:line="166"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This summary highlights information contained elsewhere in this proxy statement. It does not contain all of the information that you should consider, and we invite you to read the entire proxy statement, as well as our annual report on Form 10-K, as filed with the SEC on February 21, 2013 (Form 10-K), carefully before voting.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INFORMATION</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840" w:type="dxa"/>
            <w:vAlign w:val="bottom"/>
            <w:tcBorders>
              <w:top w:val="single" w:sz="8" w:color="BFBFBF"/>
              <w:left w:val="single" w:sz="8" w:color="BFBFBF"/>
              <w:bottom w:val="single" w:sz="8" w:color="BFBFBF"/>
            </w:tcBorders>
            <w:shd w:val="clear" w:color="auto" w:fill="0088A6"/>
          </w:tcPr>
          <w:p>
            <w:pPr>
              <w:ind w:left="120"/>
              <w:spacing w:after="0"/>
              <w:rPr>
                <w:sz w:val="20"/>
                <w:szCs w:val="20"/>
                <w:color w:val="auto"/>
              </w:rPr>
            </w:pPr>
            <w:r>
              <w:rPr>
                <w:rFonts w:ascii="Arial" w:cs="Arial" w:eastAsia="Arial" w:hAnsi="Arial"/>
                <w:sz w:val="18"/>
                <w:szCs w:val="18"/>
                <w:b w:val="1"/>
                <w:bCs w:val="1"/>
                <w:color w:val="FFFFFF"/>
              </w:rPr>
              <w:t>Time and Date:</w:t>
            </w:r>
          </w:p>
        </w:tc>
        <w:tc>
          <w:tcPr>
            <w:tcW w:w="100" w:type="dxa"/>
            <w:vAlign w:val="bottom"/>
            <w:tcBorders>
              <w:top w:val="single" w:sz="8" w:color="BFBFBF"/>
              <w:bottom w:val="single" w:sz="8" w:color="BFBFBF"/>
            </w:tcBorders>
            <w:shd w:val="clear" w:color="auto" w:fill="DDEFF3"/>
          </w:tcPr>
          <w:p>
            <w:pPr>
              <w:spacing w:after="0"/>
              <w:rPr>
                <w:sz w:val="18"/>
                <w:szCs w:val="18"/>
                <w:color w:val="auto"/>
              </w:rPr>
            </w:pPr>
          </w:p>
        </w:tc>
        <w:tc>
          <w:tcPr>
            <w:tcW w:w="3780" w:type="dxa"/>
            <w:vAlign w:val="bottom"/>
            <w:tcBorders>
              <w:top w:val="single" w:sz="8" w:color="BFBFBF"/>
              <w:bottom w:val="single" w:sz="8" w:color="BFBFBF"/>
              <w:right w:val="single" w:sz="8" w:color="DDEFF3"/>
            </w:tcBorders>
            <w:gridSpan w:val="5"/>
            <w:shd w:val="clear" w:color="auto" w:fill="DDEFF3"/>
          </w:tcPr>
          <w:p>
            <w:pPr>
              <w:ind w:left="20"/>
              <w:spacing w:after="0"/>
              <w:rPr>
                <w:sz w:val="20"/>
                <w:szCs w:val="20"/>
                <w:color w:val="auto"/>
              </w:rPr>
            </w:pPr>
            <w:r>
              <w:rPr>
                <w:rFonts w:ascii="Arial" w:cs="Arial" w:eastAsia="Arial" w:hAnsi="Arial"/>
                <w:sz w:val="18"/>
                <w:szCs w:val="18"/>
                <w:color w:val="auto"/>
                <w:w w:val="96"/>
              </w:rPr>
              <w:t>9:00 a.m. (E.D.T.) on Wednesday, May 22, 2013</w:t>
            </w:r>
          </w:p>
        </w:tc>
        <w:tc>
          <w:tcPr>
            <w:tcW w:w="80" w:type="dxa"/>
            <w:vAlign w:val="bottom"/>
            <w:tcBorders>
              <w:top w:val="single" w:sz="8" w:color="BFBFBF"/>
              <w:bottom w:val="single" w:sz="8" w:color="BFBFBF"/>
            </w:tcBorders>
            <w:shd w:val="clear" w:color="auto" w:fill="DDEFF3"/>
          </w:tcPr>
          <w:p>
            <w:pPr>
              <w:spacing w:after="0"/>
              <w:rPr>
                <w:sz w:val="18"/>
                <w:szCs w:val="18"/>
                <w:color w:val="auto"/>
              </w:rPr>
            </w:pPr>
          </w:p>
        </w:tc>
        <w:tc>
          <w:tcPr>
            <w:tcW w:w="1080" w:type="dxa"/>
            <w:vAlign w:val="bottom"/>
            <w:tcBorders>
              <w:top w:val="single" w:sz="8" w:color="BFBFBF"/>
              <w:bottom w:val="single" w:sz="8" w:color="BFBFBF"/>
              <w:right w:val="single" w:sz="8" w:color="DDEFF3"/>
            </w:tcBorders>
            <w:shd w:val="clear" w:color="auto" w:fill="DDEFF3"/>
          </w:tcPr>
          <w:p>
            <w:pPr>
              <w:spacing w:after="0"/>
              <w:rPr>
                <w:sz w:val="18"/>
                <w:szCs w:val="18"/>
                <w:color w:val="auto"/>
              </w:rPr>
            </w:pPr>
          </w:p>
        </w:tc>
        <w:tc>
          <w:tcPr>
            <w:tcW w:w="80" w:type="dxa"/>
            <w:vAlign w:val="bottom"/>
            <w:tcBorders>
              <w:top w:val="single" w:sz="8" w:color="BFBFBF"/>
              <w:bottom w:val="single" w:sz="8" w:color="BFBFBF"/>
            </w:tcBorders>
            <w:shd w:val="clear" w:color="auto" w:fill="DDEFF3"/>
          </w:tcPr>
          <w:p>
            <w:pPr>
              <w:spacing w:after="0"/>
              <w:rPr>
                <w:sz w:val="18"/>
                <w:szCs w:val="18"/>
                <w:color w:val="auto"/>
              </w:rPr>
            </w:pPr>
          </w:p>
        </w:tc>
        <w:tc>
          <w:tcPr>
            <w:tcW w:w="460" w:type="dxa"/>
            <w:vAlign w:val="bottom"/>
            <w:tcBorders>
              <w:top w:val="single" w:sz="8" w:color="BFBFBF"/>
              <w:bottom w:val="single" w:sz="8" w:color="BFBFBF"/>
            </w:tcBorders>
            <w:shd w:val="clear" w:color="auto" w:fill="DDEFF3"/>
          </w:tcPr>
          <w:p>
            <w:pPr>
              <w:spacing w:after="0"/>
              <w:rPr>
                <w:sz w:val="18"/>
                <w:szCs w:val="18"/>
                <w:color w:val="auto"/>
              </w:rPr>
            </w:pPr>
          </w:p>
        </w:tc>
        <w:tc>
          <w:tcPr>
            <w:tcW w:w="560" w:type="dxa"/>
            <w:vAlign w:val="bottom"/>
            <w:tcBorders>
              <w:top w:val="single" w:sz="8" w:color="BFBFBF"/>
              <w:bottom w:val="single" w:sz="8" w:color="BFBFBF"/>
              <w:right w:val="single" w:sz="8" w:color="DDEFF3"/>
            </w:tcBorders>
            <w:shd w:val="clear" w:color="auto" w:fill="DDEFF3"/>
          </w:tcPr>
          <w:p>
            <w:pPr>
              <w:spacing w:after="0"/>
              <w:rPr>
                <w:sz w:val="18"/>
                <w:szCs w:val="18"/>
                <w:color w:val="auto"/>
              </w:rPr>
            </w:pPr>
          </w:p>
        </w:tc>
        <w:tc>
          <w:tcPr>
            <w:tcW w:w="120" w:type="dxa"/>
            <w:vAlign w:val="bottom"/>
            <w:tcBorders>
              <w:top w:val="single" w:sz="8" w:color="BFBFBF"/>
              <w:bottom w:val="single" w:sz="8" w:color="BFBFBF"/>
            </w:tcBorders>
            <w:shd w:val="clear" w:color="auto" w:fill="DDEFF3"/>
          </w:tcPr>
          <w:p>
            <w:pPr>
              <w:spacing w:after="0"/>
              <w:rPr>
                <w:sz w:val="18"/>
                <w:szCs w:val="18"/>
                <w:color w:val="auto"/>
              </w:rPr>
            </w:pPr>
          </w:p>
        </w:tc>
        <w:tc>
          <w:tcPr>
            <w:tcW w:w="1060" w:type="dxa"/>
            <w:vAlign w:val="bottom"/>
            <w:tcBorders>
              <w:top w:val="single" w:sz="8" w:color="BFBFBF"/>
              <w:bottom w:val="single" w:sz="8" w:color="BFBFBF"/>
              <w:right w:val="single" w:sz="8" w:color="DDEFF3"/>
            </w:tcBorders>
            <w:shd w:val="clear" w:color="auto" w:fill="DDEFF3"/>
          </w:tcPr>
          <w:p>
            <w:pPr>
              <w:spacing w:after="0"/>
              <w:rPr>
                <w:sz w:val="18"/>
                <w:szCs w:val="18"/>
                <w:color w:val="auto"/>
              </w:rPr>
            </w:pPr>
          </w:p>
        </w:tc>
        <w:tc>
          <w:tcPr>
            <w:tcW w:w="120" w:type="dxa"/>
            <w:vAlign w:val="bottom"/>
            <w:tcBorders>
              <w:top w:val="single" w:sz="8" w:color="BFBFBF"/>
              <w:bottom w:val="single" w:sz="8" w:color="BFBFBF"/>
            </w:tcBorders>
            <w:shd w:val="clear" w:color="auto" w:fill="DDEFF3"/>
          </w:tcPr>
          <w:p>
            <w:pPr>
              <w:spacing w:after="0"/>
              <w:rPr>
                <w:sz w:val="18"/>
                <w:szCs w:val="18"/>
                <w:color w:val="auto"/>
              </w:rPr>
            </w:pPr>
          </w:p>
        </w:tc>
        <w:tc>
          <w:tcPr>
            <w:tcW w:w="1000" w:type="dxa"/>
            <w:vAlign w:val="bottom"/>
            <w:tcBorders>
              <w:top w:val="single" w:sz="8" w:color="BFBFBF"/>
              <w:bottom w:val="single" w:sz="8" w:color="BFBFBF"/>
              <w:right w:val="single" w:sz="8" w:color="DDEFF3"/>
            </w:tcBorders>
            <w:shd w:val="clear" w:color="auto" w:fill="DDEFF3"/>
          </w:tcPr>
          <w:p>
            <w:pPr>
              <w:spacing w:after="0"/>
              <w:rPr>
                <w:sz w:val="18"/>
                <w:szCs w:val="18"/>
                <w:color w:val="auto"/>
              </w:rPr>
            </w:pPr>
          </w:p>
        </w:tc>
        <w:tc>
          <w:tcPr>
            <w:tcW w:w="120" w:type="dxa"/>
            <w:vAlign w:val="bottom"/>
            <w:tcBorders>
              <w:top w:val="single" w:sz="8" w:color="BFBFBF"/>
              <w:bottom w:val="single" w:sz="8" w:color="BFBFBF"/>
            </w:tcBorders>
            <w:shd w:val="clear" w:color="auto" w:fill="DDEFF3"/>
          </w:tcPr>
          <w:p>
            <w:pPr>
              <w:spacing w:after="0"/>
              <w:rPr>
                <w:sz w:val="18"/>
                <w:szCs w:val="18"/>
                <w:color w:val="auto"/>
              </w:rPr>
            </w:pPr>
          </w:p>
        </w:tc>
        <w:tc>
          <w:tcPr>
            <w:tcW w:w="1040" w:type="dxa"/>
            <w:vAlign w:val="bottom"/>
            <w:tcBorders>
              <w:top w:val="single" w:sz="8" w:color="BFBFBF"/>
              <w:bottom w:val="single" w:sz="8" w:color="BFBFBF"/>
              <w:right w:val="single" w:sz="8" w:color="BFBFBF"/>
            </w:tcBorders>
            <w:shd w:val="clear" w:color="auto" w:fill="DDEFF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840" w:type="dxa"/>
            <w:vAlign w:val="bottom"/>
            <w:tcBorders>
              <w:left w:val="single" w:sz="8" w:color="BFBFBF"/>
            </w:tcBorders>
            <w:shd w:val="clear" w:color="auto" w:fill="0088A6"/>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ind w:left="20"/>
              <w:spacing w:after="0" w:line="200" w:lineRule="exact"/>
              <w:rPr>
                <w:sz w:val="20"/>
                <w:szCs w:val="20"/>
                <w:color w:val="auto"/>
              </w:rPr>
            </w:pPr>
            <w:r>
              <w:rPr>
                <w:rFonts w:ascii="Arial" w:cs="Arial" w:eastAsia="Arial" w:hAnsi="Arial"/>
                <w:sz w:val="18"/>
                <w:szCs w:val="18"/>
                <w:color w:val="auto"/>
                <w:w w:val="99"/>
              </w:rPr>
              <w:t>NASDAQ OMX</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Borders>
              <w:left w:val="single" w:sz="8" w:color="BFBFBF"/>
            </w:tcBorders>
            <w:vMerge w:val="restart"/>
            <w:shd w:val="clear" w:color="auto" w:fill="0088A6"/>
          </w:tcPr>
          <w:p>
            <w:pPr>
              <w:ind w:left="120"/>
              <w:spacing w:after="0"/>
              <w:rPr>
                <w:sz w:val="20"/>
                <w:szCs w:val="20"/>
                <w:color w:val="auto"/>
              </w:rPr>
            </w:pPr>
            <w:r>
              <w:rPr>
                <w:rFonts w:ascii="Arial" w:cs="Arial" w:eastAsia="Arial" w:hAnsi="Arial"/>
                <w:sz w:val="18"/>
                <w:szCs w:val="18"/>
                <w:b w:val="1"/>
                <w:bCs w:val="1"/>
                <w:color w:val="FFFFFF"/>
              </w:rPr>
              <w:t>Place:</w:t>
            </w:r>
          </w:p>
        </w:tc>
        <w:tc>
          <w:tcPr>
            <w:tcW w:w="100" w:type="dxa"/>
            <w:vAlign w:val="bottom"/>
          </w:tcPr>
          <w:p>
            <w:pPr>
              <w:spacing w:after="0"/>
              <w:rPr>
                <w:sz w:val="17"/>
                <w:szCs w:val="17"/>
                <w:color w:val="auto"/>
              </w:rPr>
            </w:pPr>
          </w:p>
        </w:tc>
        <w:tc>
          <w:tcPr>
            <w:tcW w:w="306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One Liberty Plaza</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840" w:type="dxa"/>
            <w:vAlign w:val="bottom"/>
            <w:tcBorders>
              <w:left w:val="single" w:sz="8" w:color="BFBFBF"/>
            </w:tcBorders>
            <w:vMerge w:val="continue"/>
            <w:shd w:val="clear" w:color="auto" w:fill="0088A6"/>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50</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right w:val="single" w:sz="8" w:color="BFBFBF"/>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840" w:type="dxa"/>
            <w:vAlign w:val="bottom"/>
            <w:tcBorders>
              <w:left w:val="single" w:sz="8" w:color="BFBFBF"/>
            </w:tcBorders>
            <w:shd w:val="clear" w:color="auto" w:fill="0088A6"/>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right w:val="single" w:sz="8" w:color="BFBFBF"/>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840" w:type="dxa"/>
            <w:vAlign w:val="bottom"/>
            <w:tcBorders>
              <w:left w:val="single" w:sz="8" w:color="BFBFBF"/>
              <w:bottom w:val="single" w:sz="8" w:color="0088A6"/>
            </w:tcBorders>
            <w:shd w:val="clear" w:color="auto" w:fill="0088A6"/>
          </w:tcPr>
          <w:p>
            <w:pPr>
              <w:spacing w:after="0"/>
              <w:rPr>
                <w:sz w:val="18"/>
                <w:szCs w:val="18"/>
                <w:color w:val="auto"/>
              </w:rPr>
            </w:pPr>
          </w:p>
        </w:tc>
        <w:tc>
          <w:tcPr>
            <w:tcW w:w="100" w:type="dxa"/>
            <w:vAlign w:val="bottom"/>
            <w:tcBorders>
              <w:bottom w:val="single" w:sz="8" w:color="BFBFBF"/>
            </w:tcBorders>
          </w:tcPr>
          <w:p>
            <w:pPr>
              <w:spacing w:after="0"/>
              <w:rPr>
                <w:sz w:val="18"/>
                <w:szCs w:val="18"/>
                <w:color w:val="auto"/>
              </w:rPr>
            </w:pPr>
          </w:p>
        </w:tc>
        <w:tc>
          <w:tcPr>
            <w:tcW w:w="3060" w:type="dxa"/>
            <w:vAlign w:val="bottom"/>
            <w:tcBorders>
              <w:bottom w:val="single" w:sz="8" w:color="BFBFBF"/>
            </w:tcBorders>
            <w:gridSpan w:val="4"/>
          </w:tcPr>
          <w:p>
            <w:pPr>
              <w:ind w:left="20"/>
              <w:spacing w:after="0"/>
              <w:rPr>
                <w:sz w:val="20"/>
                <w:szCs w:val="20"/>
                <w:color w:val="auto"/>
              </w:rPr>
            </w:pPr>
            <w:r>
              <w:rPr>
                <w:rFonts w:ascii="Arial" w:cs="Arial" w:eastAsia="Arial" w:hAnsi="Arial"/>
                <w:sz w:val="18"/>
                <w:szCs w:val="18"/>
                <w:color w:val="auto"/>
              </w:rPr>
              <w:t>New York, New York 10006</w:t>
            </w:r>
          </w:p>
        </w:tc>
        <w:tc>
          <w:tcPr>
            <w:tcW w:w="720" w:type="dxa"/>
            <w:vAlign w:val="bottom"/>
            <w:tcBorders>
              <w:bottom w:val="single" w:sz="8" w:color="BFBFBF"/>
            </w:tcBorders>
          </w:tcPr>
          <w:p>
            <w:pPr>
              <w:spacing w:after="0"/>
              <w:rPr>
                <w:sz w:val="18"/>
                <w:szCs w:val="18"/>
                <w:color w:val="auto"/>
              </w:rPr>
            </w:pPr>
          </w:p>
        </w:tc>
        <w:tc>
          <w:tcPr>
            <w:tcW w:w="80" w:type="dxa"/>
            <w:vAlign w:val="bottom"/>
            <w:tcBorders>
              <w:bottom w:val="single" w:sz="8" w:color="BFBFBF"/>
            </w:tcBorders>
          </w:tcPr>
          <w:p>
            <w:pPr>
              <w:spacing w:after="0"/>
              <w:rPr>
                <w:sz w:val="18"/>
                <w:szCs w:val="18"/>
                <w:color w:val="auto"/>
              </w:rPr>
            </w:pPr>
          </w:p>
        </w:tc>
        <w:tc>
          <w:tcPr>
            <w:tcW w:w="1080" w:type="dxa"/>
            <w:vAlign w:val="bottom"/>
            <w:tcBorders>
              <w:bottom w:val="single" w:sz="8" w:color="BFBFBF"/>
            </w:tcBorders>
          </w:tcPr>
          <w:p>
            <w:pPr>
              <w:spacing w:after="0"/>
              <w:rPr>
                <w:sz w:val="18"/>
                <w:szCs w:val="18"/>
                <w:color w:val="auto"/>
              </w:rPr>
            </w:pPr>
          </w:p>
        </w:tc>
        <w:tc>
          <w:tcPr>
            <w:tcW w:w="80" w:type="dxa"/>
            <w:vAlign w:val="bottom"/>
            <w:tcBorders>
              <w:bottom w:val="single" w:sz="8" w:color="BFBFBF"/>
            </w:tcBorders>
          </w:tcPr>
          <w:p>
            <w:pPr>
              <w:spacing w:after="0"/>
              <w:rPr>
                <w:sz w:val="18"/>
                <w:szCs w:val="18"/>
                <w:color w:val="auto"/>
              </w:rPr>
            </w:pPr>
          </w:p>
        </w:tc>
        <w:tc>
          <w:tcPr>
            <w:tcW w:w="460" w:type="dxa"/>
            <w:vAlign w:val="bottom"/>
            <w:tcBorders>
              <w:bottom w:val="single" w:sz="8" w:color="BFBFBF"/>
            </w:tcBorders>
          </w:tcPr>
          <w:p>
            <w:pPr>
              <w:spacing w:after="0"/>
              <w:rPr>
                <w:sz w:val="18"/>
                <w:szCs w:val="18"/>
                <w:color w:val="auto"/>
              </w:rPr>
            </w:pPr>
          </w:p>
        </w:tc>
        <w:tc>
          <w:tcPr>
            <w:tcW w:w="560" w:type="dxa"/>
            <w:vAlign w:val="bottom"/>
            <w:tcBorders>
              <w:bottom w:val="single" w:sz="8" w:color="BFBFBF"/>
            </w:tcBorders>
          </w:tcPr>
          <w:p>
            <w:pPr>
              <w:spacing w:after="0"/>
              <w:rPr>
                <w:sz w:val="18"/>
                <w:szCs w:val="18"/>
                <w:color w:val="auto"/>
              </w:rPr>
            </w:pPr>
          </w:p>
        </w:tc>
        <w:tc>
          <w:tcPr>
            <w:tcW w:w="120" w:type="dxa"/>
            <w:vAlign w:val="bottom"/>
            <w:tcBorders>
              <w:bottom w:val="single" w:sz="8" w:color="BFBFBF"/>
            </w:tcBorders>
          </w:tcPr>
          <w:p>
            <w:pPr>
              <w:spacing w:after="0"/>
              <w:rPr>
                <w:sz w:val="18"/>
                <w:szCs w:val="18"/>
                <w:color w:val="auto"/>
              </w:rPr>
            </w:pPr>
          </w:p>
        </w:tc>
        <w:tc>
          <w:tcPr>
            <w:tcW w:w="1060" w:type="dxa"/>
            <w:vAlign w:val="bottom"/>
            <w:tcBorders>
              <w:bottom w:val="single" w:sz="8" w:color="BFBFBF"/>
            </w:tcBorders>
          </w:tcPr>
          <w:p>
            <w:pPr>
              <w:spacing w:after="0"/>
              <w:rPr>
                <w:sz w:val="18"/>
                <w:szCs w:val="18"/>
                <w:color w:val="auto"/>
              </w:rPr>
            </w:pPr>
          </w:p>
        </w:tc>
        <w:tc>
          <w:tcPr>
            <w:tcW w:w="120" w:type="dxa"/>
            <w:vAlign w:val="bottom"/>
            <w:tcBorders>
              <w:bottom w:val="single" w:sz="8" w:color="BFBFBF"/>
            </w:tcBorders>
          </w:tcPr>
          <w:p>
            <w:pPr>
              <w:spacing w:after="0"/>
              <w:rPr>
                <w:sz w:val="18"/>
                <w:szCs w:val="18"/>
                <w:color w:val="auto"/>
              </w:rPr>
            </w:pPr>
          </w:p>
        </w:tc>
        <w:tc>
          <w:tcPr>
            <w:tcW w:w="1000" w:type="dxa"/>
            <w:vAlign w:val="bottom"/>
            <w:tcBorders>
              <w:bottom w:val="single" w:sz="8" w:color="BFBFBF"/>
            </w:tcBorders>
          </w:tcPr>
          <w:p>
            <w:pPr>
              <w:spacing w:after="0"/>
              <w:rPr>
                <w:sz w:val="18"/>
                <w:szCs w:val="18"/>
                <w:color w:val="auto"/>
              </w:rPr>
            </w:pPr>
          </w:p>
        </w:tc>
        <w:tc>
          <w:tcPr>
            <w:tcW w:w="120" w:type="dxa"/>
            <w:vAlign w:val="bottom"/>
            <w:tcBorders>
              <w:bottom w:val="single" w:sz="8" w:color="BFBFBF"/>
            </w:tcBorders>
          </w:tcPr>
          <w:p>
            <w:pPr>
              <w:spacing w:after="0"/>
              <w:rPr>
                <w:sz w:val="18"/>
                <w:szCs w:val="18"/>
                <w:color w:val="auto"/>
              </w:rPr>
            </w:pPr>
          </w:p>
        </w:tc>
        <w:tc>
          <w:tcPr>
            <w:tcW w:w="1040" w:type="dxa"/>
            <w:vAlign w:val="bottom"/>
            <w:tcBorders>
              <w:bottom w:val="single" w:sz="8" w:color="BFBFBF"/>
              <w:right w:val="single" w:sz="8" w:color="BFBFB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40" w:type="dxa"/>
            <w:vAlign w:val="bottom"/>
            <w:tcBorders>
              <w:left w:val="single" w:sz="8" w:color="BFBFBF"/>
              <w:bottom w:val="single" w:sz="8" w:color="BFBFBF"/>
            </w:tcBorders>
            <w:shd w:val="clear" w:color="auto" w:fill="0088A6"/>
          </w:tcPr>
          <w:p>
            <w:pPr>
              <w:ind w:left="120"/>
              <w:spacing w:after="0" w:line="198" w:lineRule="exact"/>
              <w:rPr>
                <w:sz w:val="20"/>
                <w:szCs w:val="20"/>
                <w:color w:val="auto"/>
              </w:rPr>
            </w:pPr>
            <w:r>
              <w:rPr>
                <w:rFonts w:ascii="Arial" w:cs="Arial" w:eastAsia="Arial" w:hAnsi="Arial"/>
                <w:sz w:val="18"/>
                <w:szCs w:val="18"/>
                <w:b w:val="1"/>
                <w:bCs w:val="1"/>
                <w:color w:val="FFFFFF"/>
              </w:rPr>
              <w:t>Record Date:</w:t>
            </w:r>
          </w:p>
        </w:tc>
        <w:tc>
          <w:tcPr>
            <w:tcW w:w="100" w:type="dxa"/>
            <w:vAlign w:val="bottom"/>
            <w:tcBorders>
              <w:bottom w:val="single" w:sz="8" w:color="BFBFBF"/>
            </w:tcBorders>
            <w:shd w:val="clear" w:color="auto" w:fill="DDEFF3"/>
          </w:tcPr>
          <w:p>
            <w:pPr>
              <w:spacing w:after="0"/>
              <w:rPr>
                <w:sz w:val="17"/>
                <w:szCs w:val="17"/>
                <w:color w:val="auto"/>
              </w:rPr>
            </w:pPr>
          </w:p>
        </w:tc>
        <w:tc>
          <w:tcPr>
            <w:tcW w:w="1280" w:type="dxa"/>
            <w:vAlign w:val="bottom"/>
            <w:tcBorders>
              <w:bottom w:val="single" w:sz="8" w:color="BFBFBF"/>
              <w:right w:val="single" w:sz="8" w:color="DDEFF3"/>
            </w:tcBorders>
            <w:shd w:val="clear" w:color="auto" w:fill="DDEFF3"/>
          </w:tcPr>
          <w:p>
            <w:pPr>
              <w:ind w:left="20"/>
              <w:spacing w:after="0" w:line="198" w:lineRule="exact"/>
              <w:rPr>
                <w:sz w:val="20"/>
                <w:szCs w:val="20"/>
                <w:color w:val="auto"/>
              </w:rPr>
            </w:pPr>
            <w:r>
              <w:rPr>
                <w:rFonts w:ascii="Arial" w:cs="Arial" w:eastAsia="Arial" w:hAnsi="Arial"/>
                <w:sz w:val="18"/>
                <w:szCs w:val="18"/>
                <w:color w:val="auto"/>
              </w:rPr>
              <w:t>April 2, 2013</w:t>
            </w:r>
          </w:p>
        </w:tc>
        <w:tc>
          <w:tcPr>
            <w:tcW w:w="80" w:type="dxa"/>
            <w:vAlign w:val="bottom"/>
            <w:tcBorders>
              <w:bottom w:val="single" w:sz="8" w:color="BFBFBF"/>
            </w:tcBorders>
            <w:shd w:val="clear" w:color="auto" w:fill="DDEFF3"/>
          </w:tcPr>
          <w:p>
            <w:pPr>
              <w:spacing w:after="0"/>
              <w:rPr>
                <w:sz w:val="17"/>
                <w:szCs w:val="17"/>
                <w:color w:val="auto"/>
              </w:rPr>
            </w:pPr>
          </w:p>
        </w:tc>
        <w:tc>
          <w:tcPr>
            <w:tcW w:w="1060" w:type="dxa"/>
            <w:vAlign w:val="bottom"/>
            <w:tcBorders>
              <w:bottom w:val="single" w:sz="8" w:color="BFBFBF"/>
              <w:right w:val="single" w:sz="8" w:color="DDEFF3"/>
            </w:tcBorders>
            <w:shd w:val="clear" w:color="auto" w:fill="DDEFF3"/>
          </w:tcPr>
          <w:p>
            <w:pPr>
              <w:spacing w:after="0"/>
              <w:rPr>
                <w:sz w:val="17"/>
                <w:szCs w:val="17"/>
                <w:color w:val="auto"/>
              </w:rPr>
            </w:pPr>
          </w:p>
        </w:tc>
        <w:tc>
          <w:tcPr>
            <w:tcW w:w="640" w:type="dxa"/>
            <w:vAlign w:val="bottom"/>
            <w:tcBorders>
              <w:bottom w:val="single" w:sz="8" w:color="BFBFBF"/>
            </w:tcBorders>
            <w:shd w:val="clear" w:color="auto" w:fill="DDEFF3"/>
          </w:tcPr>
          <w:p>
            <w:pPr>
              <w:spacing w:after="0"/>
              <w:rPr>
                <w:sz w:val="17"/>
                <w:szCs w:val="17"/>
                <w:color w:val="auto"/>
              </w:rPr>
            </w:pPr>
          </w:p>
        </w:tc>
        <w:tc>
          <w:tcPr>
            <w:tcW w:w="720" w:type="dxa"/>
            <w:vAlign w:val="bottom"/>
            <w:tcBorders>
              <w:bottom w:val="single" w:sz="8" w:color="BFBFBF"/>
              <w:right w:val="single" w:sz="8" w:color="DDEFF3"/>
            </w:tcBorders>
            <w:shd w:val="clear" w:color="auto" w:fill="DDEFF3"/>
          </w:tcPr>
          <w:p>
            <w:pPr>
              <w:spacing w:after="0"/>
              <w:rPr>
                <w:sz w:val="17"/>
                <w:szCs w:val="17"/>
                <w:color w:val="auto"/>
              </w:rPr>
            </w:pPr>
          </w:p>
        </w:tc>
        <w:tc>
          <w:tcPr>
            <w:tcW w:w="80" w:type="dxa"/>
            <w:vAlign w:val="bottom"/>
            <w:tcBorders>
              <w:bottom w:val="single" w:sz="8" w:color="BFBFBF"/>
            </w:tcBorders>
            <w:shd w:val="clear" w:color="auto" w:fill="DDEFF3"/>
          </w:tcPr>
          <w:p>
            <w:pPr>
              <w:spacing w:after="0"/>
              <w:rPr>
                <w:sz w:val="17"/>
                <w:szCs w:val="17"/>
                <w:color w:val="auto"/>
              </w:rPr>
            </w:pPr>
          </w:p>
        </w:tc>
        <w:tc>
          <w:tcPr>
            <w:tcW w:w="1080" w:type="dxa"/>
            <w:vAlign w:val="bottom"/>
            <w:tcBorders>
              <w:bottom w:val="single" w:sz="8" w:color="BFBFBF"/>
              <w:right w:val="single" w:sz="8" w:color="DDEFF3"/>
            </w:tcBorders>
            <w:shd w:val="clear" w:color="auto" w:fill="DDEFF3"/>
          </w:tcPr>
          <w:p>
            <w:pPr>
              <w:spacing w:after="0"/>
              <w:rPr>
                <w:sz w:val="17"/>
                <w:szCs w:val="17"/>
                <w:color w:val="auto"/>
              </w:rPr>
            </w:pPr>
          </w:p>
        </w:tc>
        <w:tc>
          <w:tcPr>
            <w:tcW w:w="80" w:type="dxa"/>
            <w:vAlign w:val="bottom"/>
            <w:tcBorders>
              <w:bottom w:val="single" w:sz="8" w:color="BFBFBF"/>
            </w:tcBorders>
            <w:shd w:val="clear" w:color="auto" w:fill="DDEFF3"/>
          </w:tcPr>
          <w:p>
            <w:pPr>
              <w:spacing w:after="0"/>
              <w:rPr>
                <w:sz w:val="17"/>
                <w:szCs w:val="17"/>
                <w:color w:val="auto"/>
              </w:rPr>
            </w:pPr>
          </w:p>
        </w:tc>
        <w:tc>
          <w:tcPr>
            <w:tcW w:w="460" w:type="dxa"/>
            <w:vAlign w:val="bottom"/>
            <w:tcBorders>
              <w:bottom w:val="single" w:sz="8" w:color="BFBFBF"/>
            </w:tcBorders>
            <w:shd w:val="clear" w:color="auto" w:fill="DDEFF3"/>
          </w:tcPr>
          <w:p>
            <w:pPr>
              <w:spacing w:after="0"/>
              <w:rPr>
                <w:sz w:val="17"/>
                <w:szCs w:val="17"/>
                <w:color w:val="auto"/>
              </w:rPr>
            </w:pPr>
          </w:p>
        </w:tc>
        <w:tc>
          <w:tcPr>
            <w:tcW w:w="560" w:type="dxa"/>
            <w:vAlign w:val="bottom"/>
            <w:tcBorders>
              <w:bottom w:val="single" w:sz="8" w:color="BFBFBF"/>
              <w:right w:val="single" w:sz="8" w:color="DDEFF3"/>
            </w:tcBorders>
            <w:shd w:val="clear" w:color="auto" w:fill="DDEFF3"/>
          </w:tcPr>
          <w:p>
            <w:pPr>
              <w:spacing w:after="0"/>
              <w:rPr>
                <w:sz w:val="17"/>
                <w:szCs w:val="17"/>
                <w:color w:val="auto"/>
              </w:rPr>
            </w:pPr>
          </w:p>
        </w:tc>
        <w:tc>
          <w:tcPr>
            <w:tcW w:w="120" w:type="dxa"/>
            <w:vAlign w:val="bottom"/>
            <w:tcBorders>
              <w:bottom w:val="single" w:sz="8" w:color="BFBFBF"/>
            </w:tcBorders>
            <w:shd w:val="clear" w:color="auto" w:fill="DDEFF3"/>
          </w:tcPr>
          <w:p>
            <w:pPr>
              <w:spacing w:after="0"/>
              <w:rPr>
                <w:sz w:val="17"/>
                <w:szCs w:val="17"/>
                <w:color w:val="auto"/>
              </w:rPr>
            </w:pPr>
          </w:p>
        </w:tc>
        <w:tc>
          <w:tcPr>
            <w:tcW w:w="1060" w:type="dxa"/>
            <w:vAlign w:val="bottom"/>
            <w:tcBorders>
              <w:bottom w:val="single" w:sz="8" w:color="BFBFBF"/>
              <w:right w:val="single" w:sz="8" w:color="DDEFF3"/>
            </w:tcBorders>
            <w:shd w:val="clear" w:color="auto" w:fill="DDEFF3"/>
          </w:tcPr>
          <w:p>
            <w:pPr>
              <w:spacing w:after="0"/>
              <w:rPr>
                <w:sz w:val="17"/>
                <w:szCs w:val="17"/>
                <w:color w:val="auto"/>
              </w:rPr>
            </w:pPr>
          </w:p>
        </w:tc>
        <w:tc>
          <w:tcPr>
            <w:tcW w:w="120" w:type="dxa"/>
            <w:vAlign w:val="bottom"/>
            <w:tcBorders>
              <w:bottom w:val="single" w:sz="8" w:color="BFBFBF"/>
            </w:tcBorders>
            <w:shd w:val="clear" w:color="auto" w:fill="DDEFF3"/>
          </w:tcPr>
          <w:p>
            <w:pPr>
              <w:spacing w:after="0"/>
              <w:rPr>
                <w:sz w:val="17"/>
                <w:szCs w:val="17"/>
                <w:color w:val="auto"/>
              </w:rPr>
            </w:pPr>
          </w:p>
        </w:tc>
        <w:tc>
          <w:tcPr>
            <w:tcW w:w="1000" w:type="dxa"/>
            <w:vAlign w:val="bottom"/>
            <w:tcBorders>
              <w:bottom w:val="single" w:sz="8" w:color="BFBFBF"/>
              <w:right w:val="single" w:sz="8" w:color="DDEFF3"/>
            </w:tcBorders>
            <w:shd w:val="clear" w:color="auto" w:fill="DDEFF3"/>
          </w:tcPr>
          <w:p>
            <w:pPr>
              <w:spacing w:after="0"/>
              <w:rPr>
                <w:sz w:val="17"/>
                <w:szCs w:val="17"/>
                <w:color w:val="auto"/>
              </w:rPr>
            </w:pPr>
          </w:p>
        </w:tc>
        <w:tc>
          <w:tcPr>
            <w:tcW w:w="120" w:type="dxa"/>
            <w:vAlign w:val="bottom"/>
            <w:tcBorders>
              <w:bottom w:val="single" w:sz="8" w:color="BFBFBF"/>
            </w:tcBorders>
            <w:shd w:val="clear" w:color="auto" w:fill="DDEFF3"/>
          </w:tcPr>
          <w:p>
            <w:pPr>
              <w:spacing w:after="0"/>
              <w:rPr>
                <w:sz w:val="17"/>
                <w:szCs w:val="17"/>
                <w:color w:val="auto"/>
              </w:rPr>
            </w:pPr>
          </w:p>
        </w:tc>
        <w:tc>
          <w:tcPr>
            <w:tcW w:w="1040" w:type="dxa"/>
            <w:vAlign w:val="bottom"/>
            <w:tcBorders>
              <w:bottom w:val="single" w:sz="8" w:color="BFBFBF"/>
              <w:right w:val="single" w:sz="8" w:color="BFBFBF"/>
            </w:tcBorders>
            <w:shd w:val="clear" w:color="auto" w:fill="DDEFF3"/>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1840" w:type="dxa"/>
            <w:vAlign w:val="bottom"/>
            <w:tcBorders>
              <w:left w:val="single" w:sz="8" w:color="BFBFBF"/>
            </w:tcBorders>
            <w:shd w:val="clear" w:color="auto" w:fill="0088A6"/>
          </w:tcPr>
          <w:p>
            <w:pPr>
              <w:ind w:left="120"/>
              <w:spacing w:after="0"/>
              <w:rPr>
                <w:sz w:val="20"/>
                <w:szCs w:val="20"/>
                <w:color w:val="auto"/>
              </w:rPr>
            </w:pPr>
            <w:r>
              <w:rPr>
                <w:rFonts w:ascii="Arial" w:cs="Arial" w:eastAsia="Arial" w:hAnsi="Arial"/>
                <w:sz w:val="18"/>
                <w:szCs w:val="18"/>
                <w:b w:val="1"/>
                <w:bCs w:val="1"/>
                <w:color w:val="FFFFFF"/>
              </w:rPr>
              <w:t>You can</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right w:val="single" w:sz="8" w:color="BFBFBF"/>
            </w:tcBorders>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right w:val="single" w:sz="8" w:color="BFBFBF"/>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right w:val="single" w:sz="8" w:color="BFBFBF"/>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40" w:type="dxa"/>
            <w:vAlign w:val="bottom"/>
            <w:tcBorders>
              <w:left w:val="single" w:sz="8" w:color="BFBFBF"/>
            </w:tcBorders>
            <w:shd w:val="clear" w:color="auto" w:fill="0088A6"/>
          </w:tcPr>
          <w:p>
            <w:pPr>
              <w:ind w:left="120"/>
              <w:spacing w:after="0" w:line="202" w:lineRule="exact"/>
              <w:rPr>
                <w:sz w:val="20"/>
                <w:szCs w:val="20"/>
                <w:color w:val="auto"/>
              </w:rPr>
            </w:pPr>
            <w:r>
              <w:rPr>
                <w:rFonts w:ascii="Arial" w:cs="Arial" w:eastAsia="Arial" w:hAnsi="Arial"/>
                <w:sz w:val="18"/>
                <w:szCs w:val="18"/>
                <w:b w:val="1"/>
                <w:bCs w:val="1"/>
                <w:color w:val="FFFFFF"/>
              </w:rPr>
              <w:t>ensure that</w:t>
            </w:r>
          </w:p>
        </w:tc>
        <w:tc>
          <w:tcPr>
            <w:tcW w:w="100" w:type="dxa"/>
            <w:vAlign w:val="bottom"/>
          </w:tcPr>
          <w:p>
            <w:pPr>
              <w:spacing w:after="0"/>
              <w:rPr>
                <w:sz w:val="17"/>
                <w:szCs w:val="17"/>
                <w:color w:val="auto"/>
              </w:rPr>
            </w:pPr>
          </w:p>
        </w:tc>
        <w:tc>
          <w:tcPr>
            <w:tcW w:w="2420" w:type="dxa"/>
            <w:vAlign w:val="bottom"/>
            <w:tcBorders>
              <w:right w:val="single" w:sz="8" w:color="BFBFBF"/>
            </w:tcBorders>
            <w:gridSpan w:val="3"/>
            <w:vMerge w:val="restart"/>
          </w:tcPr>
          <w:p>
            <w:pPr>
              <w:ind w:left="180"/>
              <w:spacing w:after="0"/>
              <w:rPr>
                <w:sz w:val="20"/>
                <w:szCs w:val="20"/>
                <w:color w:val="auto"/>
              </w:rPr>
            </w:pPr>
            <w:r>
              <w:rPr>
                <w:rFonts w:ascii="Arial" w:cs="Arial" w:eastAsia="Arial" w:hAnsi="Arial"/>
                <w:sz w:val="18"/>
                <w:szCs w:val="18"/>
                <w:color w:val="auto"/>
              </w:rPr>
              <w:t>Attending the meeting and</w:t>
            </w:r>
          </w:p>
        </w:tc>
        <w:tc>
          <w:tcPr>
            <w:tcW w:w="640" w:type="dxa"/>
            <w:vAlign w:val="bottom"/>
          </w:tcPr>
          <w:p>
            <w:pPr>
              <w:spacing w:after="0"/>
              <w:rPr>
                <w:sz w:val="17"/>
                <w:szCs w:val="17"/>
                <w:color w:val="auto"/>
              </w:rPr>
            </w:pPr>
          </w:p>
        </w:tc>
        <w:tc>
          <w:tcPr>
            <w:tcW w:w="1880" w:type="dxa"/>
            <w:vAlign w:val="bottom"/>
            <w:tcBorders>
              <w:right w:val="single" w:sz="8" w:color="BFBFBF"/>
            </w:tcBorders>
            <w:gridSpan w:val="3"/>
            <w:vMerge w:val="restart"/>
          </w:tcPr>
          <w:p>
            <w:pPr>
              <w:jc w:val="center"/>
              <w:ind w:right="473"/>
              <w:spacing w:after="0"/>
              <w:rPr>
                <w:sz w:val="20"/>
                <w:szCs w:val="20"/>
                <w:color w:val="auto"/>
              </w:rPr>
            </w:pPr>
            <w:r>
              <w:rPr>
                <w:rFonts w:ascii="Arial" w:cs="Arial" w:eastAsia="Arial" w:hAnsi="Arial"/>
                <w:sz w:val="18"/>
                <w:szCs w:val="18"/>
                <w:color w:val="auto"/>
                <w:w w:val="95"/>
              </w:rPr>
              <w:t>Submitting your</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tcBorders>
              <w:right w:val="single" w:sz="8" w:color="BFBFBF"/>
            </w:tcBorders>
            <w:gridSpan w:val="3"/>
            <w:vMerge w:val="restart"/>
          </w:tcPr>
          <w:p>
            <w:pPr>
              <w:jc w:val="center"/>
              <w:ind w:right="372"/>
              <w:spacing w:after="0"/>
              <w:rPr>
                <w:sz w:val="20"/>
                <w:szCs w:val="20"/>
                <w:color w:val="auto"/>
              </w:rPr>
            </w:pPr>
            <w:r>
              <w:rPr>
                <w:rFonts w:ascii="Arial" w:cs="Arial" w:eastAsia="Arial" w:hAnsi="Arial"/>
                <w:sz w:val="18"/>
                <w:szCs w:val="18"/>
                <w:color w:val="auto"/>
                <w:w w:val="96"/>
              </w:rPr>
              <w:t>If you request a</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840" w:type="dxa"/>
            <w:vAlign w:val="bottom"/>
            <w:tcBorders>
              <w:left w:val="single" w:sz="8" w:color="BFBFBF"/>
            </w:tcBorders>
            <w:vMerge w:val="restart"/>
            <w:shd w:val="clear" w:color="auto" w:fill="0088A6"/>
          </w:tcPr>
          <w:p>
            <w:pPr>
              <w:ind w:left="120"/>
              <w:spacing w:after="0" w:line="202" w:lineRule="exact"/>
              <w:rPr>
                <w:sz w:val="20"/>
                <w:szCs w:val="20"/>
                <w:color w:val="auto"/>
              </w:rPr>
            </w:pPr>
            <w:r>
              <w:rPr>
                <w:rFonts w:ascii="Arial" w:cs="Arial" w:eastAsia="Arial" w:hAnsi="Arial"/>
                <w:sz w:val="18"/>
                <w:szCs w:val="18"/>
                <w:b w:val="1"/>
                <w:bCs w:val="1"/>
                <w:color w:val="FFFFFF"/>
              </w:rPr>
              <w:t>your NASDAQ OMX</w:t>
            </w:r>
          </w:p>
        </w:tc>
        <w:tc>
          <w:tcPr>
            <w:tcW w:w="100" w:type="dxa"/>
            <w:vAlign w:val="bottom"/>
          </w:tcPr>
          <w:p>
            <w:pPr>
              <w:spacing w:after="0"/>
              <w:rPr>
                <w:sz w:val="12"/>
                <w:szCs w:val="12"/>
                <w:color w:val="auto"/>
              </w:rPr>
            </w:pPr>
          </w:p>
        </w:tc>
        <w:tc>
          <w:tcPr>
            <w:tcW w:w="2420" w:type="dxa"/>
            <w:vAlign w:val="bottom"/>
            <w:tcBorders>
              <w:right w:val="single" w:sz="8" w:color="BFBFBF"/>
            </w:tcBorders>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880" w:type="dxa"/>
            <w:vAlign w:val="bottom"/>
            <w:tcBorders>
              <w:right w:val="single" w:sz="8" w:color="BFBFBF"/>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Borders>
              <w:right w:val="single" w:sz="8" w:color="BFBFBF"/>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840" w:type="dxa"/>
            <w:vAlign w:val="bottom"/>
            <w:tcBorders>
              <w:left w:val="single" w:sz="8" w:color="BFBFBF"/>
            </w:tcBorders>
            <w:vMerge w:val="continue"/>
            <w:shd w:val="clear" w:color="auto" w:fill="0088A6"/>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tcBorders>
              <w:right w:val="single" w:sz="8" w:color="BFBFBF"/>
            </w:tcBorders>
            <w:gridSpan w:val="3"/>
            <w:vMerge w:val="restart"/>
          </w:tcPr>
          <w:p>
            <w:pPr>
              <w:ind w:left="580"/>
              <w:spacing w:after="0" w:line="202" w:lineRule="exact"/>
              <w:rPr>
                <w:sz w:val="20"/>
                <w:szCs w:val="20"/>
                <w:color w:val="auto"/>
              </w:rPr>
            </w:pPr>
            <w:r>
              <w:rPr>
                <w:rFonts w:ascii="Arial" w:cs="Arial" w:eastAsia="Arial" w:hAnsi="Arial"/>
                <w:sz w:val="18"/>
                <w:szCs w:val="18"/>
                <w:color w:val="auto"/>
              </w:rPr>
              <w:t>voting in person</w:t>
            </w:r>
          </w:p>
        </w:tc>
        <w:tc>
          <w:tcPr>
            <w:tcW w:w="640" w:type="dxa"/>
            <w:vAlign w:val="bottom"/>
          </w:tcPr>
          <w:p>
            <w:pPr>
              <w:spacing w:after="0"/>
              <w:rPr>
                <w:sz w:val="5"/>
                <w:szCs w:val="5"/>
                <w:color w:val="auto"/>
              </w:rPr>
            </w:pPr>
          </w:p>
        </w:tc>
        <w:tc>
          <w:tcPr>
            <w:tcW w:w="1880" w:type="dxa"/>
            <w:vAlign w:val="bottom"/>
            <w:tcBorders>
              <w:right w:val="single" w:sz="8" w:color="BFBFBF"/>
            </w:tcBorders>
            <w:gridSpan w:val="3"/>
            <w:vMerge w:val="restart"/>
          </w:tcPr>
          <w:p>
            <w:pPr>
              <w:jc w:val="center"/>
              <w:ind w:right="473"/>
              <w:spacing w:after="0" w:line="202" w:lineRule="exact"/>
              <w:rPr>
                <w:sz w:val="20"/>
                <w:szCs w:val="20"/>
                <w:color w:val="auto"/>
              </w:rPr>
            </w:pPr>
            <w:r>
              <w:rPr>
                <w:rFonts w:ascii="Arial" w:cs="Arial" w:eastAsia="Arial" w:hAnsi="Arial"/>
                <w:sz w:val="18"/>
                <w:szCs w:val="18"/>
                <w:color w:val="auto"/>
                <w:w w:val="98"/>
              </w:rPr>
              <w:t>proxy by Internet</w:t>
            </w: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740" w:type="dxa"/>
            <w:vAlign w:val="bottom"/>
            <w:tcBorders>
              <w:right w:val="single" w:sz="8" w:color="BFBFBF"/>
            </w:tcBorders>
            <w:gridSpan w:val="3"/>
            <w:vMerge w:val="restart"/>
          </w:tcPr>
          <w:p>
            <w:pPr>
              <w:jc w:val="center"/>
              <w:ind w:right="372"/>
              <w:spacing w:after="0" w:line="202" w:lineRule="exact"/>
              <w:rPr>
                <w:sz w:val="20"/>
                <w:szCs w:val="20"/>
                <w:color w:val="auto"/>
              </w:rPr>
            </w:pPr>
            <w:r>
              <w:rPr>
                <w:rFonts w:ascii="Arial" w:cs="Arial" w:eastAsia="Arial" w:hAnsi="Arial"/>
                <w:sz w:val="18"/>
                <w:szCs w:val="18"/>
                <w:color w:val="auto"/>
                <w:w w:val="98"/>
              </w:rPr>
              <w:t>printed copy of</w:t>
            </w: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Borders>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840" w:type="dxa"/>
            <w:vAlign w:val="bottom"/>
            <w:tcBorders>
              <w:left w:val="single" w:sz="8" w:color="BFBFBF"/>
            </w:tcBorders>
            <w:vMerge w:val="restart"/>
            <w:shd w:val="clear" w:color="auto" w:fill="0088A6"/>
          </w:tcPr>
          <w:p>
            <w:pPr>
              <w:ind w:left="120"/>
              <w:spacing w:after="0" w:line="202" w:lineRule="exact"/>
              <w:rPr>
                <w:sz w:val="20"/>
                <w:szCs w:val="20"/>
                <w:color w:val="auto"/>
              </w:rPr>
            </w:pPr>
            <w:r>
              <w:rPr>
                <w:rFonts w:ascii="Arial" w:cs="Arial" w:eastAsia="Arial" w:hAnsi="Arial"/>
                <w:sz w:val="18"/>
                <w:szCs w:val="18"/>
                <w:b w:val="1"/>
                <w:bCs w:val="1"/>
                <w:color w:val="FFFFFF"/>
              </w:rPr>
              <w:t>shares</w:t>
            </w:r>
          </w:p>
        </w:tc>
        <w:tc>
          <w:tcPr>
            <w:tcW w:w="100" w:type="dxa"/>
            <w:vAlign w:val="bottom"/>
          </w:tcPr>
          <w:p>
            <w:pPr>
              <w:spacing w:after="0"/>
              <w:rPr>
                <w:sz w:val="12"/>
                <w:szCs w:val="12"/>
                <w:color w:val="auto"/>
              </w:rPr>
            </w:pPr>
          </w:p>
        </w:tc>
        <w:tc>
          <w:tcPr>
            <w:tcW w:w="2420" w:type="dxa"/>
            <w:vAlign w:val="bottom"/>
            <w:tcBorders>
              <w:right w:val="single" w:sz="8" w:color="BFBFBF"/>
            </w:tcBorders>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880" w:type="dxa"/>
            <w:vAlign w:val="bottom"/>
            <w:tcBorders>
              <w:right w:val="single" w:sz="8" w:color="BFBFBF"/>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Borders>
              <w:right w:val="single" w:sz="8" w:color="BFBFBF"/>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840" w:type="dxa"/>
            <w:vAlign w:val="bottom"/>
            <w:tcBorders>
              <w:left w:val="single" w:sz="8" w:color="BFBFBF"/>
            </w:tcBorders>
            <w:vMerge w:val="continue"/>
            <w:shd w:val="clear" w:color="auto" w:fill="0088A6"/>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Borders>
              <w:right w:val="single" w:sz="8" w:color="BFBFBF"/>
            </w:tcBorders>
          </w:tcPr>
          <w:p>
            <w:pPr>
              <w:spacing w:after="0"/>
              <w:rPr>
                <w:sz w:val="5"/>
                <w:szCs w:val="5"/>
                <w:color w:val="auto"/>
              </w:rPr>
            </w:pPr>
          </w:p>
        </w:tc>
        <w:tc>
          <w:tcPr>
            <w:tcW w:w="2520" w:type="dxa"/>
            <w:vAlign w:val="bottom"/>
            <w:tcBorders>
              <w:right w:val="single" w:sz="8" w:color="BFBFBF"/>
            </w:tcBorders>
            <w:gridSpan w:val="4"/>
            <w:vMerge w:val="restart"/>
          </w:tcPr>
          <w:p>
            <w:pPr>
              <w:jc w:val="center"/>
              <w:spacing w:after="0" w:line="202" w:lineRule="exact"/>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88A6"/>
                <w:w w:val="97"/>
              </w:rPr>
              <w:t>http://www.proxyvote.com</w:t>
            </w:r>
            <w:r>
              <w:rPr>
                <w:rFonts w:ascii="Arial" w:cs="Arial" w:eastAsia="Arial" w:hAnsi="Arial"/>
                <w:sz w:val="18"/>
                <w:szCs w:val="18"/>
                <w:color w:val="auto"/>
                <w:w w:val="97"/>
              </w:rPr>
              <w:t>) or</w:t>
            </w: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740" w:type="dxa"/>
            <w:vAlign w:val="bottom"/>
            <w:tcBorders>
              <w:right w:val="single" w:sz="8" w:color="BFBFBF"/>
            </w:tcBorders>
            <w:gridSpan w:val="3"/>
            <w:vMerge w:val="restart"/>
          </w:tcPr>
          <w:p>
            <w:pPr>
              <w:jc w:val="center"/>
              <w:ind w:right="372"/>
              <w:spacing w:after="0" w:line="202" w:lineRule="exact"/>
              <w:rPr>
                <w:sz w:val="20"/>
                <w:szCs w:val="20"/>
                <w:color w:val="auto"/>
              </w:rPr>
            </w:pPr>
            <w:r>
              <w:rPr>
                <w:rFonts w:ascii="Arial" w:cs="Arial" w:eastAsia="Arial" w:hAnsi="Arial"/>
                <w:sz w:val="18"/>
                <w:szCs w:val="18"/>
                <w:color w:val="auto"/>
                <w:w w:val="97"/>
              </w:rPr>
              <w:t>proxy materials,</w:t>
            </w: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Borders>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840" w:type="dxa"/>
            <w:vAlign w:val="bottom"/>
            <w:tcBorders>
              <w:left w:val="single" w:sz="8" w:color="BFBFBF"/>
            </w:tcBorders>
            <w:vMerge w:val="restart"/>
            <w:shd w:val="clear" w:color="auto" w:fill="0088A6"/>
          </w:tcPr>
          <w:p>
            <w:pPr>
              <w:ind w:left="120"/>
              <w:spacing w:after="0" w:line="202" w:lineRule="exact"/>
              <w:rPr>
                <w:sz w:val="20"/>
                <w:szCs w:val="20"/>
                <w:color w:val="auto"/>
              </w:rPr>
            </w:pPr>
            <w:r>
              <w:rPr>
                <w:rFonts w:ascii="Arial" w:cs="Arial" w:eastAsia="Arial" w:hAnsi="Arial"/>
                <w:sz w:val="18"/>
                <w:szCs w:val="18"/>
                <w:b w:val="1"/>
                <w:bCs w:val="1"/>
                <w:color w:val="FFFFFF"/>
              </w:rPr>
              <w:t>are</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BFBFBF"/>
            </w:tcBorders>
          </w:tcPr>
          <w:p>
            <w:pPr>
              <w:spacing w:after="0"/>
              <w:rPr>
                <w:sz w:val="12"/>
                <w:szCs w:val="12"/>
                <w:color w:val="auto"/>
              </w:rPr>
            </w:pPr>
          </w:p>
        </w:tc>
        <w:tc>
          <w:tcPr>
            <w:tcW w:w="2520" w:type="dxa"/>
            <w:vAlign w:val="bottom"/>
            <w:tcBorders>
              <w:right w:val="single" w:sz="8" w:color="BFBFBF"/>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Borders>
              <w:right w:val="single" w:sz="8" w:color="BFBFBF"/>
            </w:tcBorders>
            <w:gridSpan w:val="3"/>
            <w:vMerge w:val="continue"/>
          </w:tcPr>
          <w:p>
            <w:pPr>
              <w:spacing w:after="0"/>
              <w:rPr>
                <w:sz w:val="12"/>
                <w:szCs w:val="12"/>
                <w:color w:val="auto"/>
              </w:rPr>
            </w:pPr>
          </w:p>
        </w:tc>
        <w:tc>
          <w:tcPr>
            <w:tcW w:w="2280" w:type="dxa"/>
            <w:vAlign w:val="bottom"/>
            <w:tcBorders>
              <w:right w:val="single" w:sz="8" w:color="BFBFBF"/>
            </w:tcBorders>
            <w:gridSpan w:val="4"/>
            <w:vMerge w:val="restart"/>
          </w:tcPr>
          <w:p>
            <w:pPr>
              <w:jc w:val="center"/>
              <w:spacing w:after="0"/>
              <w:rPr>
                <w:sz w:val="20"/>
                <w:szCs w:val="20"/>
                <w:color w:val="auto"/>
              </w:rPr>
            </w:pPr>
            <w:r>
              <w:rPr>
                <w:rFonts w:ascii="Arial" w:cs="Arial" w:eastAsia="Arial" w:hAnsi="Arial"/>
                <w:sz w:val="18"/>
                <w:szCs w:val="18"/>
                <w:color w:val="auto"/>
                <w:w w:val="96"/>
              </w:rPr>
              <w:t>Scanning this QR code to</w:t>
            </w:r>
          </w:p>
        </w:tc>
        <w:tc>
          <w:tcPr>
            <w:tcW w:w="0" w:type="dxa"/>
            <w:vAlign w:val="bottom"/>
          </w:tcPr>
          <w:p>
            <w:pPr>
              <w:spacing w:after="0"/>
              <w:rPr>
                <w:sz w:val="1"/>
                <w:szCs w:val="1"/>
                <w:color w:val="auto"/>
              </w:rPr>
            </w:pPr>
          </w:p>
        </w:tc>
      </w:tr>
      <w:tr>
        <w:trPr>
          <w:trHeight w:val="59"/>
        </w:trPr>
        <w:tc>
          <w:tcPr>
            <w:tcW w:w="1840" w:type="dxa"/>
            <w:vAlign w:val="bottom"/>
            <w:tcBorders>
              <w:left w:val="single" w:sz="8" w:color="BFBFBF"/>
            </w:tcBorders>
            <w:vMerge w:val="continue"/>
            <w:shd w:val="clear" w:color="auto" w:fill="0088A6"/>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Borders>
              <w:right w:val="single" w:sz="8" w:color="BFBFBF"/>
            </w:tcBorders>
          </w:tcPr>
          <w:p>
            <w:pPr>
              <w:spacing w:after="0"/>
              <w:rPr>
                <w:sz w:val="5"/>
                <w:szCs w:val="5"/>
                <w:color w:val="auto"/>
              </w:rPr>
            </w:pPr>
          </w:p>
        </w:tc>
        <w:tc>
          <w:tcPr>
            <w:tcW w:w="640" w:type="dxa"/>
            <w:vAlign w:val="bottom"/>
          </w:tcPr>
          <w:p>
            <w:pPr>
              <w:spacing w:after="0"/>
              <w:rPr>
                <w:sz w:val="5"/>
                <w:szCs w:val="5"/>
                <w:color w:val="auto"/>
              </w:rPr>
            </w:pPr>
          </w:p>
        </w:tc>
        <w:tc>
          <w:tcPr>
            <w:tcW w:w="1880" w:type="dxa"/>
            <w:vAlign w:val="bottom"/>
            <w:tcBorders>
              <w:right w:val="single" w:sz="8" w:color="BFBFBF"/>
            </w:tcBorders>
            <w:gridSpan w:val="3"/>
            <w:vMerge w:val="restart"/>
          </w:tcPr>
          <w:p>
            <w:pPr>
              <w:jc w:val="center"/>
              <w:ind w:right="473"/>
              <w:spacing w:after="0" w:line="172" w:lineRule="exact"/>
              <w:rPr>
                <w:sz w:val="20"/>
                <w:szCs w:val="20"/>
                <w:color w:val="auto"/>
              </w:rPr>
            </w:pPr>
            <w:r>
              <w:rPr>
                <w:rFonts w:ascii="Arial" w:cs="Arial" w:eastAsia="Arial" w:hAnsi="Arial"/>
                <w:sz w:val="18"/>
                <w:szCs w:val="18"/>
                <w:color w:val="auto"/>
                <w:w w:val="96"/>
              </w:rPr>
              <w:t>telephone</w:t>
            </w:r>
          </w:p>
        </w:tc>
        <w:tc>
          <w:tcPr>
            <w:tcW w:w="80" w:type="dxa"/>
            <w:vAlign w:val="bottom"/>
          </w:tcPr>
          <w:p>
            <w:pPr>
              <w:spacing w:after="0"/>
              <w:rPr>
                <w:sz w:val="5"/>
                <w:szCs w:val="5"/>
                <w:color w:val="auto"/>
              </w:rPr>
            </w:pPr>
          </w:p>
        </w:tc>
        <w:tc>
          <w:tcPr>
            <w:tcW w:w="2200" w:type="dxa"/>
            <w:vAlign w:val="bottom"/>
            <w:tcBorders>
              <w:right w:val="single" w:sz="8" w:color="BFBFBF"/>
            </w:tcBorders>
            <w:gridSpan w:val="4"/>
            <w:vMerge w:val="restart"/>
          </w:tcPr>
          <w:p>
            <w:pPr>
              <w:jc w:val="center"/>
              <w:spacing w:after="0" w:line="172" w:lineRule="exact"/>
              <w:rPr>
                <w:sz w:val="20"/>
                <w:szCs w:val="20"/>
                <w:color w:val="auto"/>
              </w:rPr>
            </w:pPr>
            <w:r>
              <w:rPr>
                <w:rFonts w:ascii="Arial" w:cs="Arial" w:eastAsia="Arial" w:hAnsi="Arial"/>
                <w:sz w:val="18"/>
                <w:szCs w:val="18"/>
                <w:color w:val="auto"/>
                <w:w w:val="97"/>
              </w:rPr>
              <w:t>completing, signing, dating</w:t>
            </w:r>
          </w:p>
        </w:tc>
        <w:tc>
          <w:tcPr>
            <w:tcW w:w="2280" w:type="dxa"/>
            <w:vAlign w:val="bottom"/>
            <w:tcBorders>
              <w:right w:val="single" w:sz="8" w:color="BFBFBF"/>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40" w:type="dxa"/>
            <w:vAlign w:val="bottom"/>
            <w:tcBorders>
              <w:left w:val="single" w:sz="8" w:color="BFBFBF"/>
            </w:tcBorders>
            <w:vMerge w:val="restart"/>
            <w:shd w:val="clear" w:color="auto" w:fill="0088A6"/>
          </w:tcPr>
          <w:p>
            <w:pPr>
              <w:ind w:left="120"/>
              <w:spacing w:after="0" w:line="202" w:lineRule="exact"/>
              <w:rPr>
                <w:sz w:val="20"/>
                <w:szCs w:val="20"/>
                <w:color w:val="auto"/>
              </w:rPr>
            </w:pPr>
            <w:r>
              <w:rPr>
                <w:rFonts w:ascii="Arial" w:cs="Arial" w:eastAsia="Arial" w:hAnsi="Arial"/>
                <w:sz w:val="18"/>
                <w:szCs w:val="18"/>
                <w:b w:val="1"/>
                <w:bCs w:val="1"/>
                <w:color w:val="FFFFFF"/>
              </w:rPr>
              <w:t>voted at the</w:t>
            </w: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Borders>
              <w:right w:val="single" w:sz="8" w:color="BFBFBF"/>
            </w:tcBorders>
          </w:tcPr>
          <w:p>
            <w:pPr>
              <w:spacing w:after="0"/>
              <w:rPr>
                <w:sz w:val="9"/>
                <w:szCs w:val="9"/>
                <w:color w:val="auto"/>
              </w:rPr>
            </w:pPr>
          </w:p>
        </w:tc>
        <w:tc>
          <w:tcPr>
            <w:tcW w:w="640" w:type="dxa"/>
            <w:vAlign w:val="bottom"/>
          </w:tcPr>
          <w:p>
            <w:pPr>
              <w:spacing w:after="0"/>
              <w:rPr>
                <w:sz w:val="9"/>
                <w:szCs w:val="9"/>
                <w:color w:val="auto"/>
              </w:rPr>
            </w:pPr>
          </w:p>
        </w:tc>
        <w:tc>
          <w:tcPr>
            <w:tcW w:w="1880" w:type="dxa"/>
            <w:vAlign w:val="bottom"/>
            <w:tcBorders>
              <w:right w:val="single" w:sz="8" w:color="BFBFBF"/>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tcBorders>
              <w:right w:val="single" w:sz="8" w:color="BFBFBF"/>
            </w:tcBorders>
            <w:gridSpan w:val="4"/>
            <w:vMerge w:val="continue"/>
          </w:tcPr>
          <w:p>
            <w:pPr>
              <w:spacing w:after="0"/>
              <w:rPr>
                <w:sz w:val="9"/>
                <w:szCs w:val="9"/>
                <w:color w:val="auto"/>
              </w:rPr>
            </w:pPr>
          </w:p>
        </w:tc>
        <w:tc>
          <w:tcPr>
            <w:tcW w:w="2280" w:type="dxa"/>
            <w:vAlign w:val="bottom"/>
            <w:tcBorders>
              <w:right w:val="single" w:sz="8" w:color="BFBFBF"/>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840" w:type="dxa"/>
            <w:vAlign w:val="bottom"/>
            <w:tcBorders>
              <w:left w:val="single" w:sz="8" w:color="BFBFBF"/>
            </w:tcBorders>
            <w:vMerge w:val="continue"/>
            <w:shd w:val="clear" w:color="auto" w:fill="0088A6"/>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Borders>
              <w:right w:val="single" w:sz="8" w:color="BFBFBF"/>
            </w:tcBorders>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Borders>
              <w:right w:val="single" w:sz="8" w:color="BFBFBF"/>
            </w:tcBorders>
          </w:tcPr>
          <w:p>
            <w:pPr>
              <w:spacing w:after="0"/>
              <w:rPr>
                <w:sz w:val="7"/>
                <w:szCs w:val="7"/>
                <w:color w:val="auto"/>
              </w:rPr>
            </w:pPr>
          </w:p>
        </w:tc>
        <w:tc>
          <w:tcPr>
            <w:tcW w:w="80" w:type="dxa"/>
            <w:vAlign w:val="bottom"/>
          </w:tcPr>
          <w:p>
            <w:pPr>
              <w:spacing w:after="0"/>
              <w:rPr>
                <w:sz w:val="7"/>
                <w:szCs w:val="7"/>
                <w:color w:val="auto"/>
              </w:rPr>
            </w:pPr>
          </w:p>
        </w:tc>
        <w:tc>
          <w:tcPr>
            <w:tcW w:w="2200" w:type="dxa"/>
            <w:vAlign w:val="bottom"/>
            <w:tcBorders>
              <w:right w:val="single" w:sz="8" w:color="BFBFBF"/>
            </w:tcBorders>
            <w:gridSpan w:val="4"/>
            <w:vMerge w:val="restart"/>
          </w:tcPr>
          <w:p>
            <w:pPr>
              <w:jc w:val="center"/>
              <w:spacing w:after="0"/>
              <w:rPr>
                <w:sz w:val="20"/>
                <w:szCs w:val="20"/>
                <w:color w:val="auto"/>
              </w:rPr>
            </w:pPr>
            <w:r>
              <w:rPr>
                <w:rFonts w:ascii="Arial" w:cs="Arial" w:eastAsia="Arial" w:hAnsi="Arial"/>
                <w:sz w:val="18"/>
                <w:szCs w:val="18"/>
                <w:color w:val="auto"/>
                <w:w w:val="97"/>
              </w:rPr>
              <w:t>and returning the proxy</w:t>
            </w:r>
          </w:p>
        </w:tc>
        <w:tc>
          <w:tcPr>
            <w:tcW w:w="120" w:type="dxa"/>
            <w:vAlign w:val="bottom"/>
          </w:tcPr>
          <w:p>
            <w:pPr>
              <w:spacing w:after="0"/>
              <w:rPr>
                <w:sz w:val="7"/>
                <w:szCs w:val="7"/>
                <w:color w:val="auto"/>
              </w:rPr>
            </w:pPr>
          </w:p>
        </w:tc>
        <w:tc>
          <w:tcPr>
            <w:tcW w:w="2160" w:type="dxa"/>
            <w:vAlign w:val="bottom"/>
            <w:tcBorders>
              <w:right w:val="single" w:sz="8" w:color="BFBFBF"/>
            </w:tcBorders>
            <w:gridSpan w:val="3"/>
            <w:vMerge w:val="restart"/>
          </w:tcPr>
          <w:p>
            <w:pPr>
              <w:jc w:val="center"/>
              <w:ind w:right="72"/>
              <w:spacing w:after="0" w:line="165" w:lineRule="exact"/>
              <w:rPr>
                <w:sz w:val="20"/>
                <w:szCs w:val="20"/>
                <w:color w:val="auto"/>
              </w:rPr>
            </w:pPr>
            <w:r>
              <w:rPr>
                <w:rFonts w:ascii="Arial" w:cs="Arial" w:eastAsia="Arial" w:hAnsi="Arial"/>
                <w:sz w:val="18"/>
                <w:szCs w:val="18"/>
                <w:color w:val="auto"/>
                <w:w w:val="97"/>
              </w:rPr>
              <w:t>access the voting site</w:t>
            </w:r>
          </w:p>
        </w:tc>
        <w:tc>
          <w:tcPr>
            <w:tcW w:w="0" w:type="dxa"/>
            <w:vAlign w:val="bottom"/>
          </w:tcPr>
          <w:p>
            <w:pPr>
              <w:spacing w:after="0"/>
              <w:rPr>
                <w:sz w:val="1"/>
                <w:szCs w:val="1"/>
                <w:color w:val="auto"/>
              </w:rPr>
            </w:pPr>
          </w:p>
        </w:tc>
      </w:tr>
      <w:tr>
        <w:trPr>
          <w:trHeight w:val="76"/>
        </w:trPr>
        <w:tc>
          <w:tcPr>
            <w:tcW w:w="1840" w:type="dxa"/>
            <w:vAlign w:val="bottom"/>
            <w:tcBorders>
              <w:left w:val="single" w:sz="8" w:color="BFBFBF"/>
            </w:tcBorders>
            <w:vMerge w:val="restart"/>
            <w:shd w:val="clear" w:color="auto" w:fill="0088A6"/>
          </w:tcPr>
          <w:p>
            <w:pPr>
              <w:ind w:left="120"/>
              <w:spacing w:after="0" w:line="181" w:lineRule="exact"/>
              <w:rPr>
                <w:sz w:val="20"/>
                <w:szCs w:val="20"/>
                <w:color w:val="auto"/>
              </w:rPr>
            </w:pPr>
            <w:r>
              <w:rPr>
                <w:rFonts w:ascii="Arial" w:cs="Arial" w:eastAsia="Arial" w:hAnsi="Arial"/>
                <w:sz w:val="18"/>
                <w:szCs w:val="18"/>
                <w:b w:val="1"/>
                <w:bCs w:val="1"/>
                <w:color w:val="FFFFFF"/>
              </w:rPr>
              <w:t>meeting by:</w:t>
            </w: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right w:val="single" w:sz="8" w:color="BFBFBF"/>
            </w:tcBorders>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right w:val="single" w:sz="8" w:color="BFBFBF"/>
            </w:tcBorders>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right w:val="single" w:sz="8" w:color="BFBFBF"/>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2160" w:type="dxa"/>
            <w:vAlign w:val="bottom"/>
            <w:tcBorders>
              <w:right w:val="single" w:sz="8" w:color="BFBFBF"/>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tcBorders>
              <w:left w:val="single" w:sz="8" w:color="BFBFBF"/>
            </w:tcBorders>
            <w:vMerge w:val="continue"/>
            <w:shd w:val="clear" w:color="auto" w:fill="0088A6"/>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Borders>
              <w:right w:val="single" w:sz="8" w:color="BFBFBF"/>
            </w:tcBorders>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Borders>
              <w:right w:val="single" w:sz="8" w:color="BFBFBF"/>
            </w:tcBorders>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tcBorders>
              <w:right w:val="single" w:sz="8" w:color="BFBFBF"/>
            </w:tcBorders>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Borders>
              <w:right w:val="single" w:sz="8" w:color="BFBFBF"/>
            </w:tcBorders>
            <w:gridSpan w:val="3"/>
            <w:vMerge w:val="restart"/>
          </w:tcPr>
          <w:p>
            <w:pPr>
              <w:jc w:val="center"/>
              <w:ind w:right="52"/>
              <w:spacing w:after="0"/>
              <w:rPr>
                <w:sz w:val="20"/>
                <w:szCs w:val="20"/>
                <w:color w:val="auto"/>
              </w:rPr>
            </w:pPr>
            <w:r>
              <w:rPr>
                <w:rFonts w:ascii="Arial" w:cs="Arial" w:eastAsia="Arial" w:hAnsi="Arial"/>
                <w:sz w:val="18"/>
                <w:szCs w:val="18"/>
                <w:color w:val="auto"/>
                <w:w w:val="97"/>
              </w:rPr>
              <w:t>from your mobile device</w:t>
            </w:r>
          </w:p>
        </w:tc>
        <w:tc>
          <w:tcPr>
            <w:tcW w:w="0" w:type="dxa"/>
            <w:vAlign w:val="bottom"/>
          </w:tcPr>
          <w:p>
            <w:pPr>
              <w:spacing w:after="0"/>
              <w:rPr>
                <w:sz w:val="1"/>
                <w:szCs w:val="1"/>
                <w:color w:val="auto"/>
              </w:rPr>
            </w:pPr>
          </w:p>
        </w:tc>
      </w:tr>
      <w:tr>
        <w:trPr>
          <w:trHeight w:val="106"/>
        </w:trPr>
        <w:tc>
          <w:tcPr>
            <w:tcW w:w="1840" w:type="dxa"/>
            <w:vAlign w:val="bottom"/>
            <w:tcBorders>
              <w:left w:val="single" w:sz="8" w:color="BFBFBF"/>
            </w:tcBorders>
            <w:shd w:val="clear" w:color="auto" w:fill="0088A6"/>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Borders>
              <w:right w:val="single" w:sz="8" w:color="BFBFBF"/>
            </w:tcBorders>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Borders>
              <w:right w:val="single" w:sz="8" w:color="BFBFBF"/>
            </w:tcBorders>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tcBorders>
              <w:right w:val="single" w:sz="8" w:color="BFBFBF"/>
            </w:tcBorders>
            <w:gridSpan w:val="4"/>
            <w:vMerge w:val="restart"/>
          </w:tcPr>
          <w:p>
            <w:pPr>
              <w:jc w:val="center"/>
              <w:spacing w:after="0" w:line="179" w:lineRule="exact"/>
              <w:rPr>
                <w:sz w:val="20"/>
                <w:szCs w:val="20"/>
                <w:color w:val="auto"/>
              </w:rPr>
            </w:pPr>
            <w:r>
              <w:rPr>
                <w:rFonts w:ascii="Arial" w:cs="Arial" w:eastAsia="Arial" w:hAnsi="Arial"/>
                <w:sz w:val="18"/>
                <w:szCs w:val="18"/>
                <w:color w:val="auto"/>
                <w:w w:val="97"/>
              </w:rPr>
              <w:t>card in the envelope</w:t>
            </w:r>
          </w:p>
        </w:tc>
        <w:tc>
          <w:tcPr>
            <w:tcW w:w="120" w:type="dxa"/>
            <w:vAlign w:val="bottom"/>
          </w:tcPr>
          <w:p>
            <w:pPr>
              <w:spacing w:after="0"/>
              <w:rPr>
                <w:sz w:val="9"/>
                <w:szCs w:val="9"/>
                <w:color w:val="auto"/>
              </w:rPr>
            </w:pPr>
          </w:p>
        </w:tc>
        <w:tc>
          <w:tcPr>
            <w:tcW w:w="2160" w:type="dxa"/>
            <w:vAlign w:val="bottom"/>
            <w:tcBorders>
              <w:right w:val="single" w:sz="8" w:color="BFBFBF"/>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BFBFBF"/>
            </w:tcBorders>
            <w:shd w:val="clear" w:color="auto" w:fill="0088A6"/>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right w:val="single" w:sz="8" w:color="BFBFBF"/>
            </w:tcBorders>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right w:val="single" w:sz="8" w:color="BFBFBF"/>
            </w:tcBorders>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right w:val="single" w:sz="8" w:color="BFBFBF"/>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BFBFBF"/>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840" w:type="dxa"/>
            <w:vAlign w:val="bottom"/>
            <w:tcBorders>
              <w:left w:val="single" w:sz="8" w:color="BFBFBF"/>
              <w:bottom w:val="single" w:sz="8" w:color="BFBFBF"/>
            </w:tcBorders>
            <w:shd w:val="clear" w:color="auto" w:fill="0088A6"/>
          </w:tcPr>
          <w:p>
            <w:pPr>
              <w:spacing w:after="0"/>
              <w:rPr>
                <w:sz w:val="18"/>
                <w:szCs w:val="18"/>
                <w:color w:val="auto"/>
              </w:rPr>
            </w:pPr>
          </w:p>
        </w:tc>
        <w:tc>
          <w:tcPr>
            <w:tcW w:w="100" w:type="dxa"/>
            <w:vAlign w:val="bottom"/>
            <w:tcBorders>
              <w:bottom w:val="single" w:sz="8" w:color="BFBFBF"/>
            </w:tcBorders>
          </w:tcPr>
          <w:p>
            <w:pPr>
              <w:spacing w:after="0"/>
              <w:rPr>
                <w:sz w:val="18"/>
                <w:szCs w:val="18"/>
                <w:color w:val="auto"/>
              </w:rPr>
            </w:pPr>
          </w:p>
        </w:tc>
        <w:tc>
          <w:tcPr>
            <w:tcW w:w="1280" w:type="dxa"/>
            <w:vAlign w:val="bottom"/>
            <w:tcBorders>
              <w:bottom w:val="single" w:sz="8" w:color="BFBFBF"/>
            </w:tcBorders>
          </w:tcPr>
          <w:p>
            <w:pPr>
              <w:spacing w:after="0"/>
              <w:rPr>
                <w:sz w:val="18"/>
                <w:szCs w:val="18"/>
                <w:color w:val="auto"/>
              </w:rPr>
            </w:pPr>
          </w:p>
        </w:tc>
        <w:tc>
          <w:tcPr>
            <w:tcW w:w="80" w:type="dxa"/>
            <w:vAlign w:val="bottom"/>
            <w:tcBorders>
              <w:bottom w:val="single" w:sz="8" w:color="BFBFBF"/>
            </w:tcBorders>
          </w:tcPr>
          <w:p>
            <w:pPr>
              <w:spacing w:after="0"/>
              <w:rPr>
                <w:sz w:val="18"/>
                <w:szCs w:val="18"/>
                <w:color w:val="auto"/>
              </w:rPr>
            </w:pPr>
          </w:p>
        </w:tc>
        <w:tc>
          <w:tcPr>
            <w:tcW w:w="1060" w:type="dxa"/>
            <w:vAlign w:val="bottom"/>
            <w:tcBorders>
              <w:bottom w:val="single" w:sz="8" w:color="BFBFBF"/>
              <w:right w:val="single" w:sz="8" w:color="BFBFBF"/>
            </w:tcBorders>
          </w:tcPr>
          <w:p>
            <w:pPr>
              <w:spacing w:after="0"/>
              <w:rPr>
                <w:sz w:val="18"/>
                <w:szCs w:val="18"/>
                <w:color w:val="auto"/>
              </w:rPr>
            </w:pPr>
          </w:p>
        </w:tc>
        <w:tc>
          <w:tcPr>
            <w:tcW w:w="640" w:type="dxa"/>
            <w:vAlign w:val="bottom"/>
            <w:tcBorders>
              <w:bottom w:val="single" w:sz="8" w:color="BFBFBF"/>
            </w:tcBorders>
          </w:tcPr>
          <w:p>
            <w:pPr>
              <w:spacing w:after="0"/>
              <w:rPr>
                <w:sz w:val="18"/>
                <w:szCs w:val="18"/>
                <w:color w:val="auto"/>
              </w:rPr>
            </w:pPr>
          </w:p>
        </w:tc>
        <w:tc>
          <w:tcPr>
            <w:tcW w:w="720" w:type="dxa"/>
            <w:vAlign w:val="bottom"/>
            <w:tcBorders>
              <w:bottom w:val="single" w:sz="8" w:color="BFBFBF"/>
            </w:tcBorders>
          </w:tcPr>
          <w:p>
            <w:pPr>
              <w:spacing w:after="0"/>
              <w:rPr>
                <w:sz w:val="18"/>
                <w:szCs w:val="18"/>
                <w:color w:val="auto"/>
              </w:rPr>
            </w:pPr>
          </w:p>
        </w:tc>
        <w:tc>
          <w:tcPr>
            <w:tcW w:w="80" w:type="dxa"/>
            <w:vAlign w:val="bottom"/>
            <w:tcBorders>
              <w:bottom w:val="single" w:sz="8" w:color="BFBFBF"/>
            </w:tcBorders>
          </w:tcPr>
          <w:p>
            <w:pPr>
              <w:spacing w:after="0"/>
              <w:rPr>
                <w:sz w:val="18"/>
                <w:szCs w:val="18"/>
                <w:color w:val="auto"/>
              </w:rPr>
            </w:pPr>
          </w:p>
        </w:tc>
        <w:tc>
          <w:tcPr>
            <w:tcW w:w="1080" w:type="dxa"/>
            <w:vAlign w:val="bottom"/>
            <w:tcBorders>
              <w:bottom w:val="single" w:sz="8" w:color="BFBFBF"/>
              <w:right w:val="single" w:sz="8" w:color="BFBFBF"/>
            </w:tcBorders>
          </w:tcPr>
          <w:p>
            <w:pPr>
              <w:spacing w:after="0"/>
              <w:rPr>
                <w:sz w:val="18"/>
                <w:szCs w:val="18"/>
                <w:color w:val="auto"/>
              </w:rPr>
            </w:pPr>
          </w:p>
        </w:tc>
        <w:tc>
          <w:tcPr>
            <w:tcW w:w="80" w:type="dxa"/>
            <w:vAlign w:val="bottom"/>
            <w:tcBorders>
              <w:bottom w:val="single" w:sz="8" w:color="BFBFBF"/>
            </w:tcBorders>
          </w:tcPr>
          <w:p>
            <w:pPr>
              <w:spacing w:after="0"/>
              <w:rPr>
                <w:sz w:val="18"/>
                <w:szCs w:val="18"/>
                <w:color w:val="auto"/>
              </w:rPr>
            </w:pPr>
          </w:p>
        </w:tc>
        <w:tc>
          <w:tcPr>
            <w:tcW w:w="460" w:type="dxa"/>
            <w:vAlign w:val="bottom"/>
            <w:tcBorders>
              <w:bottom w:val="single" w:sz="8" w:color="BFBFBF"/>
            </w:tcBorders>
          </w:tcPr>
          <w:p>
            <w:pPr>
              <w:spacing w:after="0"/>
              <w:rPr>
                <w:sz w:val="18"/>
                <w:szCs w:val="18"/>
                <w:color w:val="auto"/>
              </w:rPr>
            </w:pPr>
          </w:p>
        </w:tc>
        <w:tc>
          <w:tcPr>
            <w:tcW w:w="1740" w:type="dxa"/>
            <w:vAlign w:val="bottom"/>
            <w:tcBorders>
              <w:bottom w:val="single" w:sz="8" w:color="BFBFBF"/>
              <w:right w:val="single" w:sz="8" w:color="BFBFBF"/>
            </w:tcBorders>
            <w:gridSpan w:val="3"/>
          </w:tcPr>
          <w:p>
            <w:pPr>
              <w:jc w:val="center"/>
              <w:ind w:right="372"/>
              <w:spacing w:after="0"/>
              <w:rPr>
                <w:sz w:val="20"/>
                <w:szCs w:val="20"/>
                <w:color w:val="auto"/>
              </w:rPr>
            </w:pPr>
            <w:r>
              <w:rPr>
                <w:rFonts w:ascii="Arial" w:cs="Arial" w:eastAsia="Arial" w:hAnsi="Arial"/>
                <w:sz w:val="18"/>
                <w:szCs w:val="18"/>
                <w:color w:val="auto"/>
                <w:w w:val="98"/>
              </w:rPr>
              <w:t>provided</w:t>
            </w:r>
          </w:p>
        </w:tc>
        <w:tc>
          <w:tcPr>
            <w:tcW w:w="120" w:type="dxa"/>
            <w:vAlign w:val="bottom"/>
            <w:tcBorders>
              <w:bottom w:val="single" w:sz="8" w:color="BFBFBF"/>
            </w:tcBorders>
          </w:tcPr>
          <w:p>
            <w:pPr>
              <w:spacing w:after="0"/>
              <w:rPr>
                <w:sz w:val="18"/>
                <w:szCs w:val="18"/>
                <w:color w:val="auto"/>
              </w:rPr>
            </w:pPr>
          </w:p>
        </w:tc>
        <w:tc>
          <w:tcPr>
            <w:tcW w:w="1000" w:type="dxa"/>
            <w:vAlign w:val="bottom"/>
            <w:tcBorders>
              <w:bottom w:val="single" w:sz="8" w:color="BFBFBF"/>
            </w:tcBorders>
          </w:tcPr>
          <w:p>
            <w:pPr>
              <w:spacing w:after="0"/>
              <w:rPr>
                <w:sz w:val="18"/>
                <w:szCs w:val="18"/>
                <w:color w:val="auto"/>
              </w:rPr>
            </w:pPr>
          </w:p>
        </w:tc>
        <w:tc>
          <w:tcPr>
            <w:tcW w:w="120" w:type="dxa"/>
            <w:vAlign w:val="bottom"/>
            <w:tcBorders>
              <w:bottom w:val="single" w:sz="8" w:color="BFBFBF"/>
            </w:tcBorders>
          </w:tcPr>
          <w:p>
            <w:pPr>
              <w:spacing w:after="0"/>
              <w:rPr>
                <w:sz w:val="18"/>
                <w:szCs w:val="18"/>
                <w:color w:val="auto"/>
              </w:rPr>
            </w:pPr>
          </w:p>
        </w:tc>
        <w:tc>
          <w:tcPr>
            <w:tcW w:w="1040" w:type="dxa"/>
            <w:vAlign w:val="bottom"/>
            <w:tcBorders>
              <w:bottom w:val="single" w:sz="8" w:color="BFBFBF"/>
              <w:right w:val="single" w:sz="8" w:color="BFBFBF"/>
            </w:tcBorders>
          </w:tcPr>
          <w:p>
            <w:pPr>
              <w:spacing w:after="0"/>
              <w:rPr>
                <w:sz w:val="18"/>
                <w:szCs w:val="18"/>
                <w:color w:val="auto"/>
              </w:rPr>
            </w:pPr>
          </w:p>
        </w:tc>
        <w:tc>
          <w:tcPr>
            <w:tcW w:w="0" w:type="dxa"/>
            <w:vAlign w:val="bottom"/>
          </w:tcPr>
          <w:p>
            <w:pPr>
              <w:spacing w:after="0"/>
              <w:rPr>
                <w:sz w:val="1"/>
                <w:szCs w:val="1"/>
                <w:color w:val="auto"/>
              </w:rPr>
            </w:pPr>
          </w:p>
        </w:tc>
      </w:tr>
      <w:tr>
        <w:trPr>
          <w:trHeight w:val="560"/>
        </w:trPr>
        <w:tc>
          <w:tcPr>
            <w:tcW w:w="5720" w:type="dxa"/>
            <w:vAlign w:val="bottom"/>
            <w:gridSpan w:val="7"/>
          </w:tcPr>
          <w:p>
            <w:pPr>
              <w:spacing w:after="0"/>
              <w:rPr>
                <w:sz w:val="20"/>
                <w:szCs w:val="20"/>
                <w:color w:val="auto"/>
              </w:rPr>
            </w:pPr>
            <w:r>
              <w:rPr>
                <w:rFonts w:ascii="Arial" w:cs="Arial" w:eastAsia="Arial" w:hAnsi="Arial"/>
                <w:sz w:val="18"/>
                <w:szCs w:val="18"/>
                <w:b w:val="1"/>
                <w:bCs w:val="1"/>
                <w:color w:val="auto"/>
              </w:rPr>
              <w:t>ANNUAL MEETING AGENDA AND VOTING RECOMMENDATIONS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40" w:type="dxa"/>
            <w:vAlign w:val="bottom"/>
            <w:tcBorders>
              <w:left w:val="single" w:sz="8" w:color="BFBFBF"/>
            </w:tcBorders>
            <w:shd w:val="clear" w:color="auto" w:fill="0088A6"/>
          </w:tcPr>
          <w:p>
            <w:pPr>
              <w:spacing w:after="0"/>
              <w:rPr>
                <w:sz w:val="17"/>
                <w:szCs w:val="17"/>
                <w:color w:val="auto"/>
              </w:rPr>
            </w:pPr>
          </w:p>
        </w:tc>
        <w:tc>
          <w:tcPr>
            <w:tcW w:w="100" w:type="dxa"/>
            <w:vAlign w:val="bottom"/>
            <w:shd w:val="clear" w:color="auto" w:fill="0088A6"/>
          </w:tcPr>
          <w:p>
            <w:pPr>
              <w:spacing w:after="0"/>
              <w:rPr>
                <w:sz w:val="17"/>
                <w:szCs w:val="17"/>
                <w:color w:val="auto"/>
              </w:rPr>
            </w:pPr>
          </w:p>
        </w:tc>
        <w:tc>
          <w:tcPr>
            <w:tcW w:w="1280" w:type="dxa"/>
            <w:vAlign w:val="bottom"/>
            <w:tcBorders>
              <w:right w:val="single" w:sz="8" w:color="0088A6"/>
            </w:tcBorders>
            <w:shd w:val="clear" w:color="auto" w:fill="0088A6"/>
          </w:tcPr>
          <w:p>
            <w:pPr>
              <w:spacing w:after="0"/>
              <w:rPr>
                <w:sz w:val="17"/>
                <w:szCs w:val="17"/>
                <w:color w:val="auto"/>
              </w:rPr>
            </w:pPr>
          </w:p>
        </w:tc>
        <w:tc>
          <w:tcPr>
            <w:tcW w:w="80" w:type="dxa"/>
            <w:vAlign w:val="bottom"/>
            <w:shd w:val="clear" w:color="auto" w:fill="0088A6"/>
          </w:tcPr>
          <w:p>
            <w:pPr>
              <w:spacing w:after="0"/>
              <w:rPr>
                <w:sz w:val="17"/>
                <w:szCs w:val="17"/>
                <w:color w:val="auto"/>
              </w:rPr>
            </w:pPr>
          </w:p>
        </w:tc>
        <w:tc>
          <w:tcPr>
            <w:tcW w:w="1060" w:type="dxa"/>
            <w:vAlign w:val="bottom"/>
            <w:tcBorders>
              <w:right w:val="single" w:sz="8" w:color="0088A6"/>
            </w:tcBorders>
            <w:shd w:val="clear" w:color="auto" w:fill="0088A6"/>
          </w:tcPr>
          <w:p>
            <w:pPr>
              <w:spacing w:after="0"/>
              <w:rPr>
                <w:sz w:val="17"/>
                <w:szCs w:val="17"/>
                <w:color w:val="auto"/>
              </w:rPr>
            </w:pPr>
          </w:p>
        </w:tc>
        <w:tc>
          <w:tcPr>
            <w:tcW w:w="640" w:type="dxa"/>
            <w:vAlign w:val="bottom"/>
            <w:shd w:val="clear" w:color="auto" w:fill="0088A6"/>
          </w:tcPr>
          <w:p>
            <w:pPr>
              <w:spacing w:after="0"/>
              <w:rPr>
                <w:sz w:val="17"/>
                <w:szCs w:val="17"/>
                <w:color w:val="auto"/>
              </w:rPr>
            </w:pPr>
          </w:p>
        </w:tc>
        <w:tc>
          <w:tcPr>
            <w:tcW w:w="720" w:type="dxa"/>
            <w:vAlign w:val="bottom"/>
            <w:tcBorders>
              <w:right w:val="single" w:sz="8" w:color="BFBFBF"/>
            </w:tcBorders>
            <w:shd w:val="clear" w:color="auto" w:fill="0088A6"/>
          </w:tcPr>
          <w:p>
            <w:pPr>
              <w:spacing w:after="0"/>
              <w:rPr>
                <w:sz w:val="17"/>
                <w:szCs w:val="17"/>
                <w:color w:val="auto"/>
              </w:rPr>
            </w:pPr>
          </w:p>
        </w:tc>
        <w:tc>
          <w:tcPr>
            <w:tcW w:w="80" w:type="dxa"/>
            <w:vAlign w:val="bottom"/>
            <w:shd w:val="clear" w:color="auto" w:fill="0088A6"/>
          </w:tcPr>
          <w:p>
            <w:pPr>
              <w:spacing w:after="0"/>
              <w:rPr>
                <w:sz w:val="17"/>
                <w:szCs w:val="17"/>
                <w:color w:val="auto"/>
              </w:rPr>
            </w:pPr>
          </w:p>
        </w:tc>
        <w:tc>
          <w:tcPr>
            <w:tcW w:w="1160" w:type="dxa"/>
            <w:vAlign w:val="bottom"/>
            <w:gridSpan w:val="2"/>
            <w:shd w:val="clear" w:color="auto" w:fill="0088A6"/>
          </w:tcPr>
          <w:p>
            <w:pPr>
              <w:spacing w:after="0" w:line="197" w:lineRule="exact"/>
              <w:rPr>
                <w:sz w:val="20"/>
                <w:szCs w:val="20"/>
                <w:color w:val="auto"/>
              </w:rPr>
            </w:pPr>
            <w:r>
              <w:rPr>
                <w:rFonts w:ascii="Arial" w:cs="Arial" w:eastAsia="Arial" w:hAnsi="Arial"/>
                <w:sz w:val="18"/>
                <w:szCs w:val="18"/>
                <w:b w:val="1"/>
                <w:bCs w:val="1"/>
                <w:color w:val="FFFFFF"/>
              </w:rPr>
              <w:t>Effect of</w:t>
            </w:r>
          </w:p>
        </w:tc>
        <w:tc>
          <w:tcPr>
            <w:tcW w:w="460" w:type="dxa"/>
            <w:vAlign w:val="bottom"/>
            <w:shd w:val="clear" w:color="auto" w:fill="0088A6"/>
          </w:tcPr>
          <w:p>
            <w:pPr>
              <w:spacing w:after="0"/>
              <w:rPr>
                <w:sz w:val="17"/>
                <w:szCs w:val="17"/>
                <w:color w:val="auto"/>
              </w:rPr>
            </w:pPr>
          </w:p>
        </w:tc>
        <w:tc>
          <w:tcPr>
            <w:tcW w:w="560" w:type="dxa"/>
            <w:vAlign w:val="bottom"/>
            <w:tcBorders>
              <w:right w:val="single" w:sz="8" w:color="BFBFBF"/>
            </w:tcBorders>
            <w:shd w:val="clear" w:color="auto" w:fill="0088A6"/>
          </w:tcPr>
          <w:p>
            <w:pPr>
              <w:spacing w:after="0"/>
              <w:rPr>
                <w:sz w:val="17"/>
                <w:szCs w:val="17"/>
                <w:color w:val="auto"/>
              </w:rPr>
            </w:pPr>
          </w:p>
        </w:tc>
        <w:tc>
          <w:tcPr>
            <w:tcW w:w="120" w:type="dxa"/>
            <w:vAlign w:val="bottom"/>
            <w:shd w:val="clear" w:color="auto" w:fill="0088A6"/>
          </w:tcPr>
          <w:p>
            <w:pPr>
              <w:spacing w:after="0"/>
              <w:rPr>
                <w:sz w:val="17"/>
                <w:szCs w:val="17"/>
                <w:color w:val="auto"/>
              </w:rPr>
            </w:pPr>
          </w:p>
        </w:tc>
        <w:tc>
          <w:tcPr>
            <w:tcW w:w="1060" w:type="dxa"/>
            <w:vAlign w:val="bottom"/>
            <w:tcBorders>
              <w:right w:val="single" w:sz="8" w:color="0088A6"/>
            </w:tcBorders>
            <w:shd w:val="clear" w:color="auto" w:fill="0088A6"/>
          </w:tcPr>
          <w:p>
            <w:pPr>
              <w:spacing w:after="0"/>
              <w:rPr>
                <w:sz w:val="17"/>
                <w:szCs w:val="17"/>
                <w:color w:val="auto"/>
              </w:rPr>
            </w:pPr>
          </w:p>
        </w:tc>
        <w:tc>
          <w:tcPr>
            <w:tcW w:w="120" w:type="dxa"/>
            <w:vAlign w:val="bottom"/>
            <w:shd w:val="clear" w:color="auto" w:fill="0088A6"/>
          </w:tcPr>
          <w:p>
            <w:pPr>
              <w:spacing w:after="0"/>
              <w:rPr>
                <w:sz w:val="17"/>
                <w:szCs w:val="17"/>
                <w:color w:val="auto"/>
              </w:rPr>
            </w:pPr>
          </w:p>
        </w:tc>
        <w:tc>
          <w:tcPr>
            <w:tcW w:w="1000" w:type="dxa"/>
            <w:vAlign w:val="bottom"/>
            <w:tcBorders>
              <w:right w:val="single" w:sz="8" w:color="BFBFBF"/>
            </w:tcBorders>
            <w:shd w:val="clear" w:color="auto" w:fill="0088A6"/>
          </w:tcPr>
          <w:p>
            <w:pPr>
              <w:spacing w:after="0"/>
              <w:rPr>
                <w:sz w:val="17"/>
                <w:szCs w:val="17"/>
                <w:color w:val="auto"/>
              </w:rPr>
            </w:pPr>
          </w:p>
        </w:tc>
        <w:tc>
          <w:tcPr>
            <w:tcW w:w="120" w:type="dxa"/>
            <w:vAlign w:val="bottom"/>
            <w:shd w:val="clear" w:color="auto" w:fill="0088A6"/>
          </w:tcPr>
          <w:p>
            <w:pPr>
              <w:spacing w:after="0"/>
              <w:rPr>
                <w:sz w:val="17"/>
                <w:szCs w:val="17"/>
                <w:color w:val="auto"/>
              </w:rPr>
            </w:pPr>
          </w:p>
        </w:tc>
        <w:tc>
          <w:tcPr>
            <w:tcW w:w="1040" w:type="dxa"/>
            <w:vAlign w:val="bottom"/>
            <w:tcBorders>
              <w:right w:val="single" w:sz="8" w:color="BFBFBF"/>
            </w:tcBorders>
            <w:shd w:val="clear" w:color="auto" w:fill="0088A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Borders>
              <w:left w:val="single" w:sz="8" w:color="BFBFBF"/>
            </w:tcBorders>
            <w:shd w:val="clear" w:color="auto" w:fill="0088A6"/>
          </w:tcPr>
          <w:p>
            <w:pPr>
              <w:spacing w:after="0"/>
              <w:rPr>
                <w:sz w:val="17"/>
                <w:szCs w:val="17"/>
                <w:color w:val="auto"/>
              </w:rPr>
            </w:pPr>
          </w:p>
        </w:tc>
        <w:tc>
          <w:tcPr>
            <w:tcW w:w="100" w:type="dxa"/>
            <w:vAlign w:val="bottom"/>
            <w:shd w:val="clear" w:color="auto" w:fill="0088A6"/>
          </w:tcPr>
          <w:p>
            <w:pPr>
              <w:spacing w:after="0"/>
              <w:rPr>
                <w:sz w:val="17"/>
                <w:szCs w:val="17"/>
                <w:color w:val="auto"/>
              </w:rPr>
            </w:pPr>
          </w:p>
        </w:tc>
        <w:tc>
          <w:tcPr>
            <w:tcW w:w="1280" w:type="dxa"/>
            <w:vAlign w:val="bottom"/>
            <w:tcBorders>
              <w:right w:val="single" w:sz="8" w:color="0088A6"/>
            </w:tcBorders>
            <w:shd w:val="clear" w:color="auto" w:fill="0088A6"/>
          </w:tcPr>
          <w:p>
            <w:pPr>
              <w:spacing w:after="0"/>
              <w:rPr>
                <w:sz w:val="17"/>
                <w:szCs w:val="17"/>
                <w:color w:val="auto"/>
              </w:rPr>
            </w:pPr>
          </w:p>
        </w:tc>
        <w:tc>
          <w:tcPr>
            <w:tcW w:w="80" w:type="dxa"/>
            <w:vAlign w:val="bottom"/>
            <w:shd w:val="clear" w:color="auto" w:fill="0088A6"/>
          </w:tcPr>
          <w:p>
            <w:pPr>
              <w:spacing w:after="0"/>
              <w:rPr>
                <w:sz w:val="17"/>
                <w:szCs w:val="17"/>
                <w:color w:val="auto"/>
              </w:rPr>
            </w:pPr>
          </w:p>
        </w:tc>
        <w:tc>
          <w:tcPr>
            <w:tcW w:w="1060" w:type="dxa"/>
            <w:vAlign w:val="bottom"/>
            <w:tcBorders>
              <w:right w:val="single" w:sz="8" w:color="0088A6"/>
            </w:tcBorders>
            <w:shd w:val="clear" w:color="auto" w:fill="0088A6"/>
          </w:tcPr>
          <w:p>
            <w:pPr>
              <w:spacing w:after="0"/>
              <w:rPr>
                <w:sz w:val="17"/>
                <w:szCs w:val="17"/>
                <w:color w:val="auto"/>
              </w:rPr>
            </w:pPr>
          </w:p>
        </w:tc>
        <w:tc>
          <w:tcPr>
            <w:tcW w:w="640" w:type="dxa"/>
            <w:vAlign w:val="bottom"/>
            <w:shd w:val="clear" w:color="auto" w:fill="0088A6"/>
          </w:tcPr>
          <w:p>
            <w:pPr>
              <w:spacing w:after="0"/>
              <w:rPr>
                <w:sz w:val="17"/>
                <w:szCs w:val="17"/>
                <w:color w:val="auto"/>
              </w:rPr>
            </w:pPr>
          </w:p>
        </w:tc>
        <w:tc>
          <w:tcPr>
            <w:tcW w:w="720" w:type="dxa"/>
            <w:vAlign w:val="bottom"/>
            <w:tcBorders>
              <w:right w:val="single" w:sz="8" w:color="BFBFBF"/>
            </w:tcBorders>
            <w:shd w:val="clear" w:color="auto" w:fill="0088A6"/>
          </w:tcPr>
          <w:p>
            <w:pPr>
              <w:spacing w:after="0"/>
              <w:rPr>
                <w:sz w:val="17"/>
                <w:szCs w:val="17"/>
                <w:color w:val="auto"/>
              </w:rPr>
            </w:pPr>
          </w:p>
        </w:tc>
        <w:tc>
          <w:tcPr>
            <w:tcW w:w="80" w:type="dxa"/>
            <w:vAlign w:val="bottom"/>
            <w:shd w:val="clear" w:color="auto" w:fill="0088A6"/>
          </w:tcPr>
          <w:p>
            <w:pPr>
              <w:spacing w:after="0"/>
              <w:rPr>
                <w:sz w:val="17"/>
                <w:szCs w:val="17"/>
                <w:color w:val="auto"/>
              </w:rPr>
            </w:pPr>
          </w:p>
        </w:tc>
        <w:tc>
          <w:tcPr>
            <w:tcW w:w="1620" w:type="dxa"/>
            <w:vAlign w:val="bottom"/>
            <w:gridSpan w:val="3"/>
            <w:shd w:val="clear" w:color="auto" w:fill="0088A6"/>
          </w:tcPr>
          <w:p>
            <w:pPr>
              <w:spacing w:after="0" w:line="202" w:lineRule="exact"/>
              <w:rPr>
                <w:sz w:val="20"/>
                <w:szCs w:val="20"/>
                <w:color w:val="auto"/>
              </w:rPr>
            </w:pPr>
            <w:r>
              <w:rPr>
                <w:rFonts w:ascii="Arial" w:cs="Arial" w:eastAsia="Arial" w:hAnsi="Arial"/>
                <w:sz w:val="18"/>
                <w:szCs w:val="18"/>
                <w:b w:val="1"/>
                <w:bCs w:val="1"/>
                <w:color w:val="FFFFFF"/>
              </w:rPr>
              <w:t>Abstentions and</w:t>
            </w:r>
          </w:p>
        </w:tc>
        <w:tc>
          <w:tcPr>
            <w:tcW w:w="560" w:type="dxa"/>
            <w:vAlign w:val="bottom"/>
            <w:tcBorders>
              <w:right w:val="single" w:sz="8" w:color="BFBFBF"/>
            </w:tcBorders>
            <w:shd w:val="clear" w:color="auto" w:fill="0088A6"/>
          </w:tcPr>
          <w:p>
            <w:pPr>
              <w:spacing w:after="0"/>
              <w:rPr>
                <w:sz w:val="17"/>
                <w:szCs w:val="17"/>
                <w:color w:val="auto"/>
              </w:rPr>
            </w:pPr>
          </w:p>
        </w:tc>
        <w:tc>
          <w:tcPr>
            <w:tcW w:w="1300" w:type="dxa"/>
            <w:vAlign w:val="bottom"/>
            <w:gridSpan w:val="3"/>
            <w:shd w:val="clear" w:color="auto" w:fill="0088A6"/>
          </w:tcPr>
          <w:p>
            <w:pPr>
              <w:ind w:left="120"/>
              <w:spacing w:after="0" w:line="202" w:lineRule="exact"/>
              <w:rPr>
                <w:sz w:val="20"/>
                <w:szCs w:val="20"/>
                <w:color w:val="auto"/>
              </w:rPr>
            </w:pPr>
            <w:r>
              <w:rPr>
                <w:rFonts w:ascii="Arial" w:cs="Arial" w:eastAsia="Arial" w:hAnsi="Arial"/>
                <w:sz w:val="18"/>
                <w:szCs w:val="18"/>
                <w:b w:val="1"/>
                <w:bCs w:val="1"/>
                <w:color w:val="FFFFFF"/>
              </w:rPr>
              <w:t>Board Voting</w:t>
            </w:r>
          </w:p>
        </w:tc>
        <w:tc>
          <w:tcPr>
            <w:tcW w:w="1000" w:type="dxa"/>
            <w:vAlign w:val="bottom"/>
            <w:tcBorders>
              <w:right w:val="single" w:sz="8" w:color="BFBFBF"/>
            </w:tcBorders>
            <w:shd w:val="clear" w:color="auto" w:fill="0088A6"/>
          </w:tcPr>
          <w:p>
            <w:pPr>
              <w:spacing w:after="0"/>
              <w:rPr>
                <w:sz w:val="17"/>
                <w:szCs w:val="17"/>
                <w:color w:val="auto"/>
              </w:rPr>
            </w:pPr>
          </w:p>
        </w:tc>
        <w:tc>
          <w:tcPr>
            <w:tcW w:w="120" w:type="dxa"/>
            <w:vAlign w:val="bottom"/>
            <w:shd w:val="clear" w:color="auto" w:fill="0088A6"/>
          </w:tcPr>
          <w:p>
            <w:pPr>
              <w:spacing w:after="0"/>
              <w:rPr>
                <w:sz w:val="17"/>
                <w:szCs w:val="17"/>
                <w:color w:val="auto"/>
              </w:rPr>
            </w:pPr>
          </w:p>
        </w:tc>
        <w:tc>
          <w:tcPr>
            <w:tcW w:w="1040" w:type="dxa"/>
            <w:vAlign w:val="bottom"/>
            <w:tcBorders>
              <w:right w:val="single" w:sz="8" w:color="BFBFBF"/>
            </w:tcBorders>
            <w:shd w:val="clear" w:color="auto" w:fill="0088A6"/>
          </w:tcPr>
          <w:p>
            <w:pPr>
              <w:spacing w:after="0" w:line="202" w:lineRule="exact"/>
              <w:rPr>
                <w:sz w:val="20"/>
                <w:szCs w:val="20"/>
                <w:color w:val="auto"/>
              </w:rPr>
            </w:pPr>
            <w:r>
              <w:rPr>
                <w:rFonts w:ascii="Arial" w:cs="Arial" w:eastAsia="Arial" w:hAnsi="Arial"/>
                <w:sz w:val="18"/>
                <w:szCs w:val="18"/>
                <w:b w:val="1"/>
                <w:bCs w:val="1"/>
                <w:color w:val="FFFFFF"/>
              </w:rPr>
              <w:t>Page</w:t>
            </w:r>
          </w:p>
        </w:tc>
        <w:tc>
          <w:tcPr>
            <w:tcW w:w="0" w:type="dxa"/>
            <w:vAlign w:val="bottom"/>
          </w:tcPr>
          <w:p>
            <w:pPr>
              <w:spacing w:after="0"/>
              <w:rPr>
                <w:sz w:val="1"/>
                <w:szCs w:val="1"/>
                <w:color w:val="auto"/>
              </w:rPr>
            </w:pPr>
          </w:p>
        </w:tc>
      </w:tr>
      <w:tr>
        <w:trPr>
          <w:trHeight w:val="274"/>
        </w:trPr>
        <w:tc>
          <w:tcPr>
            <w:tcW w:w="1940" w:type="dxa"/>
            <w:vAlign w:val="bottom"/>
            <w:tcBorders>
              <w:left w:val="single" w:sz="8" w:color="BFBFBF"/>
            </w:tcBorders>
            <w:gridSpan w:val="2"/>
            <w:shd w:val="clear" w:color="auto" w:fill="0088A6"/>
          </w:tcPr>
          <w:p>
            <w:pPr>
              <w:ind w:left="120"/>
              <w:spacing w:after="0"/>
              <w:rPr>
                <w:sz w:val="20"/>
                <w:szCs w:val="20"/>
                <w:color w:val="auto"/>
              </w:rPr>
            </w:pPr>
            <w:r>
              <w:rPr>
                <w:rFonts w:ascii="Arial" w:cs="Arial" w:eastAsia="Arial" w:hAnsi="Arial"/>
                <w:sz w:val="18"/>
                <w:szCs w:val="18"/>
                <w:b w:val="1"/>
                <w:bCs w:val="1"/>
                <w:color w:val="FFFFFF"/>
              </w:rPr>
              <w:t>Proposal</w:t>
            </w:r>
          </w:p>
        </w:tc>
        <w:tc>
          <w:tcPr>
            <w:tcW w:w="1280" w:type="dxa"/>
            <w:vAlign w:val="bottom"/>
            <w:tcBorders>
              <w:right w:val="single" w:sz="8" w:color="0088A6"/>
            </w:tcBorders>
            <w:shd w:val="clear" w:color="auto" w:fill="0088A6"/>
          </w:tcPr>
          <w:p>
            <w:pPr>
              <w:spacing w:after="0"/>
              <w:rPr>
                <w:sz w:val="23"/>
                <w:szCs w:val="23"/>
                <w:color w:val="auto"/>
              </w:rPr>
            </w:pPr>
          </w:p>
        </w:tc>
        <w:tc>
          <w:tcPr>
            <w:tcW w:w="80" w:type="dxa"/>
            <w:vAlign w:val="bottom"/>
            <w:shd w:val="clear" w:color="auto" w:fill="0088A6"/>
          </w:tcPr>
          <w:p>
            <w:pPr>
              <w:spacing w:after="0"/>
              <w:rPr>
                <w:sz w:val="23"/>
                <w:szCs w:val="23"/>
                <w:color w:val="auto"/>
              </w:rPr>
            </w:pPr>
          </w:p>
        </w:tc>
        <w:tc>
          <w:tcPr>
            <w:tcW w:w="1700" w:type="dxa"/>
            <w:vAlign w:val="bottom"/>
            <w:gridSpan w:val="2"/>
            <w:shd w:val="clear" w:color="auto" w:fill="0088A6"/>
          </w:tcPr>
          <w:p>
            <w:pPr>
              <w:spacing w:after="0"/>
              <w:rPr>
                <w:sz w:val="20"/>
                <w:szCs w:val="20"/>
                <w:color w:val="auto"/>
              </w:rPr>
            </w:pPr>
            <w:r>
              <w:rPr>
                <w:rFonts w:ascii="Arial" w:cs="Arial" w:eastAsia="Arial" w:hAnsi="Arial"/>
                <w:sz w:val="18"/>
                <w:szCs w:val="18"/>
                <w:b w:val="1"/>
                <w:bCs w:val="1"/>
                <w:color w:val="FFFFFF"/>
              </w:rPr>
              <w:t>Voting Standard</w:t>
            </w:r>
          </w:p>
        </w:tc>
        <w:tc>
          <w:tcPr>
            <w:tcW w:w="720" w:type="dxa"/>
            <w:vAlign w:val="bottom"/>
            <w:tcBorders>
              <w:right w:val="single" w:sz="8" w:color="BFBFBF"/>
            </w:tcBorders>
            <w:shd w:val="clear" w:color="auto" w:fill="0088A6"/>
          </w:tcPr>
          <w:p>
            <w:pPr>
              <w:spacing w:after="0"/>
              <w:rPr>
                <w:sz w:val="23"/>
                <w:szCs w:val="23"/>
                <w:color w:val="auto"/>
              </w:rPr>
            </w:pPr>
          </w:p>
        </w:tc>
        <w:tc>
          <w:tcPr>
            <w:tcW w:w="80" w:type="dxa"/>
            <w:vAlign w:val="bottom"/>
            <w:shd w:val="clear" w:color="auto" w:fill="0088A6"/>
          </w:tcPr>
          <w:p>
            <w:pPr>
              <w:spacing w:after="0"/>
              <w:rPr>
                <w:sz w:val="23"/>
                <w:szCs w:val="23"/>
                <w:color w:val="auto"/>
              </w:rPr>
            </w:pPr>
          </w:p>
        </w:tc>
        <w:tc>
          <w:tcPr>
            <w:tcW w:w="1620" w:type="dxa"/>
            <w:vAlign w:val="bottom"/>
            <w:gridSpan w:val="3"/>
            <w:shd w:val="clear" w:color="auto" w:fill="0088A6"/>
          </w:tcPr>
          <w:p>
            <w:pPr>
              <w:spacing w:after="0"/>
              <w:rPr>
                <w:sz w:val="20"/>
                <w:szCs w:val="20"/>
                <w:color w:val="auto"/>
              </w:rPr>
            </w:pPr>
            <w:r>
              <w:rPr>
                <w:rFonts w:ascii="Arial" w:cs="Arial" w:eastAsia="Arial" w:hAnsi="Arial"/>
                <w:sz w:val="18"/>
                <w:szCs w:val="18"/>
                <w:b w:val="1"/>
                <w:bCs w:val="1"/>
                <w:color w:val="FFFFFF"/>
              </w:rPr>
              <w:t>Broker Non-Votes</w:t>
            </w:r>
          </w:p>
        </w:tc>
        <w:tc>
          <w:tcPr>
            <w:tcW w:w="560" w:type="dxa"/>
            <w:vAlign w:val="bottom"/>
            <w:tcBorders>
              <w:right w:val="single" w:sz="8" w:color="BFBFBF"/>
            </w:tcBorders>
            <w:shd w:val="clear" w:color="auto" w:fill="0088A6"/>
          </w:tcPr>
          <w:p>
            <w:pPr>
              <w:spacing w:after="0"/>
              <w:rPr>
                <w:sz w:val="23"/>
                <w:szCs w:val="23"/>
                <w:color w:val="auto"/>
              </w:rPr>
            </w:pPr>
          </w:p>
        </w:tc>
        <w:tc>
          <w:tcPr>
            <w:tcW w:w="2300" w:type="dxa"/>
            <w:vAlign w:val="bottom"/>
            <w:tcBorders>
              <w:right w:val="single" w:sz="8" w:color="BFBFBF"/>
            </w:tcBorders>
            <w:gridSpan w:val="4"/>
            <w:shd w:val="clear" w:color="auto" w:fill="0088A6"/>
          </w:tcPr>
          <w:p>
            <w:pPr>
              <w:ind w:left="120"/>
              <w:spacing w:after="0"/>
              <w:rPr>
                <w:sz w:val="20"/>
                <w:szCs w:val="20"/>
                <w:color w:val="auto"/>
              </w:rPr>
            </w:pPr>
            <w:r>
              <w:rPr>
                <w:rFonts w:ascii="Arial" w:cs="Arial" w:eastAsia="Arial" w:hAnsi="Arial"/>
                <w:sz w:val="18"/>
                <w:szCs w:val="18"/>
                <w:b w:val="1"/>
                <w:bCs w:val="1"/>
                <w:color w:val="FFFFFF"/>
              </w:rPr>
              <w:t>Recommendation</w:t>
            </w:r>
          </w:p>
        </w:tc>
        <w:tc>
          <w:tcPr>
            <w:tcW w:w="120" w:type="dxa"/>
            <w:vAlign w:val="bottom"/>
            <w:shd w:val="clear" w:color="auto" w:fill="0088A6"/>
          </w:tcPr>
          <w:p>
            <w:pPr>
              <w:spacing w:after="0"/>
              <w:rPr>
                <w:sz w:val="23"/>
                <w:szCs w:val="23"/>
                <w:color w:val="auto"/>
              </w:rPr>
            </w:pPr>
          </w:p>
        </w:tc>
        <w:tc>
          <w:tcPr>
            <w:tcW w:w="1040" w:type="dxa"/>
            <w:vAlign w:val="bottom"/>
            <w:tcBorders>
              <w:right w:val="single" w:sz="8" w:color="BFBFBF"/>
            </w:tcBorders>
            <w:shd w:val="clear" w:color="auto" w:fill="0088A6"/>
          </w:tcPr>
          <w:p>
            <w:pPr>
              <w:spacing w:after="0"/>
              <w:rPr>
                <w:sz w:val="20"/>
                <w:szCs w:val="20"/>
                <w:color w:val="auto"/>
              </w:rPr>
            </w:pPr>
            <w:r>
              <w:rPr>
                <w:rFonts w:ascii="Arial" w:cs="Arial" w:eastAsia="Arial" w:hAnsi="Arial"/>
                <w:sz w:val="18"/>
                <w:szCs w:val="18"/>
                <w:b w:val="1"/>
                <w:bCs w:val="1"/>
                <w:color w:val="FFFFFF"/>
              </w:rPr>
              <w:t>Reference</w:t>
            </w:r>
          </w:p>
        </w:tc>
        <w:tc>
          <w:tcPr>
            <w:tcW w:w="0" w:type="dxa"/>
            <w:vAlign w:val="bottom"/>
          </w:tcPr>
          <w:p>
            <w:pPr>
              <w:spacing w:after="0"/>
              <w:rPr>
                <w:sz w:val="1"/>
                <w:szCs w:val="1"/>
                <w:color w:val="auto"/>
              </w:rPr>
            </w:pPr>
          </w:p>
        </w:tc>
      </w:tr>
      <w:tr>
        <w:trPr>
          <w:trHeight w:val="187"/>
        </w:trPr>
        <w:tc>
          <w:tcPr>
            <w:tcW w:w="1840" w:type="dxa"/>
            <w:vAlign w:val="bottom"/>
            <w:tcBorders>
              <w:top w:val="single" w:sz="8" w:color="auto"/>
              <w:left w:val="single" w:sz="8" w:color="BFBFB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right w:val="single" w:sz="8" w:color="BFBFBF"/>
            </w:tcBorders>
          </w:tcPr>
          <w:p>
            <w:pPr>
              <w:spacing w:after="0"/>
              <w:rPr>
                <w:sz w:val="16"/>
                <w:szCs w:val="16"/>
                <w:color w:val="auto"/>
              </w:rPr>
            </w:pPr>
          </w:p>
        </w:tc>
        <w:tc>
          <w:tcPr>
            <w:tcW w:w="80" w:type="dxa"/>
            <w:vAlign w:val="bottom"/>
            <w:tcBorders>
              <w:top w:val="single" w:sz="8" w:color="0088A6"/>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720" w:type="dxa"/>
            <w:vAlign w:val="bottom"/>
            <w:tcBorders>
              <w:top w:val="single" w:sz="8" w:color="auto"/>
              <w:right w:val="single" w:sz="8" w:color="BFBFBF"/>
            </w:tcBorders>
          </w:tcPr>
          <w:p>
            <w:pPr>
              <w:spacing w:after="0"/>
              <w:rPr>
                <w:sz w:val="16"/>
                <w:szCs w:val="16"/>
                <w:color w:val="auto"/>
              </w:rPr>
            </w:pPr>
          </w:p>
        </w:tc>
        <w:tc>
          <w:tcPr>
            <w:tcW w:w="80" w:type="dxa"/>
            <w:vAlign w:val="bottom"/>
            <w:tcBorders>
              <w:top w:val="single" w:sz="8" w:color="0088A6"/>
            </w:tcBorders>
          </w:tcPr>
          <w:p>
            <w:pPr>
              <w:spacing w:after="0"/>
              <w:rPr>
                <w:sz w:val="16"/>
                <w:szCs w:val="16"/>
                <w:color w:val="auto"/>
              </w:rPr>
            </w:pPr>
          </w:p>
        </w:tc>
        <w:tc>
          <w:tcPr>
            <w:tcW w:w="2180" w:type="dxa"/>
            <w:vAlign w:val="bottom"/>
            <w:tcBorders>
              <w:top w:val="single" w:sz="8" w:color="auto"/>
              <w:right w:val="single" w:sz="8" w:color="BFBFBF"/>
            </w:tcBorders>
            <w:gridSpan w:val="4"/>
          </w:tcPr>
          <w:p>
            <w:pPr>
              <w:spacing w:after="0" w:line="188" w:lineRule="exact"/>
              <w:rPr>
                <w:sz w:val="20"/>
                <w:szCs w:val="20"/>
                <w:color w:val="auto"/>
              </w:rPr>
            </w:pPr>
            <w:r>
              <w:rPr>
                <w:rFonts w:ascii="Arial" w:cs="Arial" w:eastAsia="Arial" w:hAnsi="Arial"/>
                <w:sz w:val="18"/>
                <w:szCs w:val="18"/>
                <w:color w:val="auto"/>
              </w:rPr>
              <w:t>Not counted as votes cast</w:t>
            </w:r>
          </w:p>
        </w:tc>
        <w:tc>
          <w:tcPr>
            <w:tcW w:w="120" w:type="dxa"/>
            <w:vAlign w:val="bottom"/>
            <w:tcBorders>
              <w:top w:val="single" w:sz="8" w:color="0088A6"/>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right w:val="single" w:sz="8" w:color="BFBFBF"/>
            </w:tcBorders>
          </w:tcPr>
          <w:p>
            <w:pPr>
              <w:spacing w:after="0"/>
              <w:rPr>
                <w:sz w:val="16"/>
                <w:szCs w:val="16"/>
                <w:color w:val="auto"/>
              </w:rPr>
            </w:pPr>
          </w:p>
        </w:tc>
        <w:tc>
          <w:tcPr>
            <w:tcW w:w="120" w:type="dxa"/>
            <w:vAlign w:val="bottom"/>
            <w:tcBorders>
              <w:top w:val="single" w:sz="8" w:color="0088A6"/>
            </w:tcBorders>
          </w:tcPr>
          <w:p>
            <w:pPr>
              <w:spacing w:after="0"/>
              <w:rPr>
                <w:sz w:val="16"/>
                <w:szCs w:val="16"/>
                <w:color w:val="auto"/>
              </w:rPr>
            </w:pPr>
          </w:p>
        </w:tc>
        <w:tc>
          <w:tcPr>
            <w:tcW w:w="1040" w:type="dxa"/>
            <w:vAlign w:val="bottom"/>
            <w:tcBorders>
              <w:top w:val="single" w:sz="8" w:color="auto"/>
              <w:right w:val="single" w:sz="8" w:color="BFBFB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BFBFBF"/>
            </w:tcBorders>
            <w:gridSpan w:val="2"/>
          </w:tcPr>
          <w:p>
            <w:pPr>
              <w:ind w:left="120"/>
              <w:spacing w:after="0" w:line="202" w:lineRule="exact"/>
              <w:rPr>
                <w:sz w:val="20"/>
                <w:szCs w:val="20"/>
                <w:color w:val="auto"/>
              </w:rPr>
            </w:pPr>
            <w:r>
              <w:rPr>
                <w:rFonts w:ascii="Arial" w:cs="Arial" w:eastAsia="Arial" w:hAnsi="Arial"/>
                <w:sz w:val="18"/>
                <w:szCs w:val="18"/>
                <w:color w:val="auto"/>
                <w:w w:val="98"/>
              </w:rPr>
              <w:t>Election of 11 directors</w:t>
            </w:r>
          </w:p>
        </w:tc>
        <w:tc>
          <w:tcPr>
            <w:tcW w:w="1280" w:type="dxa"/>
            <w:vAlign w:val="bottom"/>
            <w:tcBorders>
              <w:right w:val="single" w:sz="8" w:color="BFBFBF"/>
            </w:tcBorders>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spacing w:after="0" w:line="202" w:lineRule="exact"/>
              <w:rPr>
                <w:sz w:val="20"/>
                <w:szCs w:val="20"/>
                <w:color w:val="auto"/>
              </w:rPr>
            </w:pPr>
            <w:r>
              <w:rPr>
                <w:rFonts w:ascii="Arial" w:cs="Arial" w:eastAsia="Arial" w:hAnsi="Arial"/>
                <w:sz w:val="18"/>
                <w:szCs w:val="18"/>
                <w:color w:val="auto"/>
                <w:w w:val="99"/>
              </w:rPr>
              <w:t>Majority of votes cast</w:t>
            </w:r>
          </w:p>
        </w:tc>
        <w:tc>
          <w:tcPr>
            <w:tcW w:w="720" w:type="dxa"/>
            <w:vAlign w:val="bottom"/>
            <w:tcBorders>
              <w:right w:val="single" w:sz="8" w:color="BFBFBF"/>
            </w:tcBorders>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Borders>
              <w:right w:val="single" w:sz="8" w:color="BFBFBF"/>
            </w:tcBorders>
            <w:gridSpan w:val="4"/>
          </w:tcPr>
          <w:p>
            <w:pPr>
              <w:spacing w:after="0" w:line="202" w:lineRule="exact"/>
              <w:rPr>
                <w:sz w:val="20"/>
                <w:szCs w:val="20"/>
                <w:color w:val="auto"/>
              </w:rPr>
            </w:pPr>
            <w:r>
              <w:rPr>
                <w:rFonts w:ascii="Arial" w:cs="Arial" w:eastAsia="Arial" w:hAnsi="Arial"/>
                <w:sz w:val="18"/>
                <w:szCs w:val="18"/>
                <w:color w:val="auto"/>
              </w:rPr>
              <w:t>and therefore have no</w:t>
            </w:r>
          </w:p>
        </w:tc>
        <w:tc>
          <w:tcPr>
            <w:tcW w:w="2300" w:type="dxa"/>
            <w:vAlign w:val="bottom"/>
            <w:tcBorders>
              <w:right w:val="single" w:sz="8" w:color="BFBFBF"/>
            </w:tcBorders>
            <w:gridSpan w:val="4"/>
          </w:tcPr>
          <w:p>
            <w:pPr>
              <w:ind w:left="120"/>
              <w:spacing w:after="0" w:line="202" w:lineRule="exact"/>
              <w:rPr>
                <w:sz w:val="20"/>
                <w:szCs w:val="20"/>
                <w:color w:val="auto"/>
              </w:rPr>
            </w:pPr>
            <w:r>
              <w:rPr>
                <w:rFonts w:ascii="Arial" w:cs="Arial" w:eastAsia="Arial" w:hAnsi="Arial"/>
                <w:sz w:val="18"/>
                <w:szCs w:val="18"/>
                <w:color w:val="auto"/>
              </w:rPr>
              <w:t>FOR EACH NOMINEE</w:t>
            </w:r>
          </w:p>
        </w:tc>
        <w:tc>
          <w:tcPr>
            <w:tcW w:w="1160" w:type="dxa"/>
            <w:vAlign w:val="bottom"/>
            <w:tcBorders>
              <w:right w:val="single" w:sz="8" w:color="BFBFBF"/>
            </w:tcBorders>
            <w:gridSpan w:val="2"/>
          </w:tcPr>
          <w:p>
            <w:pPr>
              <w:jc w:val="right"/>
              <w:ind w:right="572"/>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9"/>
        </w:trPr>
        <w:tc>
          <w:tcPr>
            <w:tcW w:w="1840" w:type="dxa"/>
            <w:vAlign w:val="bottom"/>
            <w:tcBorders>
              <w:left w:val="single" w:sz="8" w:color="BFBFBF"/>
              <w:bottom w:val="single" w:sz="8" w:color="BFBFBF"/>
            </w:tcBorders>
          </w:tcPr>
          <w:p>
            <w:pPr>
              <w:spacing w:after="0"/>
              <w:rPr>
                <w:sz w:val="17"/>
                <w:szCs w:val="17"/>
                <w:color w:val="auto"/>
              </w:rPr>
            </w:pPr>
          </w:p>
        </w:tc>
        <w:tc>
          <w:tcPr>
            <w:tcW w:w="10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tcPr>
          <w:p>
            <w:pPr>
              <w:spacing w:after="0"/>
              <w:rPr>
                <w:sz w:val="17"/>
                <w:szCs w:val="17"/>
                <w:color w:val="auto"/>
              </w:rPr>
            </w:pPr>
          </w:p>
        </w:tc>
        <w:tc>
          <w:tcPr>
            <w:tcW w:w="80" w:type="dxa"/>
            <w:vAlign w:val="bottom"/>
            <w:tcBorders>
              <w:bottom w:val="single" w:sz="8" w:color="BFBFBF"/>
            </w:tcBorders>
          </w:tcPr>
          <w:p>
            <w:pPr>
              <w:spacing w:after="0"/>
              <w:rPr>
                <w:sz w:val="17"/>
                <w:szCs w:val="17"/>
                <w:color w:val="auto"/>
              </w:rPr>
            </w:pPr>
          </w:p>
        </w:tc>
        <w:tc>
          <w:tcPr>
            <w:tcW w:w="1060" w:type="dxa"/>
            <w:vAlign w:val="bottom"/>
            <w:tcBorders>
              <w:bottom w:val="single" w:sz="8" w:color="BFBFBF"/>
            </w:tcBorders>
          </w:tcPr>
          <w:p>
            <w:pPr>
              <w:spacing w:after="0"/>
              <w:rPr>
                <w:sz w:val="17"/>
                <w:szCs w:val="17"/>
                <w:color w:val="auto"/>
              </w:rPr>
            </w:pPr>
          </w:p>
        </w:tc>
        <w:tc>
          <w:tcPr>
            <w:tcW w:w="640" w:type="dxa"/>
            <w:vAlign w:val="bottom"/>
            <w:tcBorders>
              <w:bottom w:val="single" w:sz="8" w:color="BFBFBF"/>
            </w:tcBorders>
          </w:tcPr>
          <w:p>
            <w:pPr>
              <w:spacing w:after="0"/>
              <w:rPr>
                <w:sz w:val="17"/>
                <w:szCs w:val="17"/>
                <w:color w:val="auto"/>
              </w:rPr>
            </w:pPr>
          </w:p>
        </w:tc>
        <w:tc>
          <w:tcPr>
            <w:tcW w:w="720" w:type="dxa"/>
            <w:vAlign w:val="bottom"/>
            <w:tcBorders>
              <w:bottom w:val="single" w:sz="8" w:color="BFBFBF"/>
              <w:right w:val="single" w:sz="8" w:color="BFBFBF"/>
            </w:tcBorders>
          </w:tcPr>
          <w:p>
            <w:pPr>
              <w:spacing w:after="0"/>
              <w:rPr>
                <w:sz w:val="17"/>
                <w:szCs w:val="17"/>
                <w:color w:val="auto"/>
              </w:rPr>
            </w:pPr>
          </w:p>
        </w:tc>
        <w:tc>
          <w:tcPr>
            <w:tcW w:w="80" w:type="dxa"/>
            <w:vAlign w:val="bottom"/>
            <w:tcBorders>
              <w:bottom w:val="single" w:sz="8" w:color="BFBFBF"/>
            </w:tcBorders>
          </w:tcPr>
          <w:p>
            <w:pPr>
              <w:spacing w:after="0"/>
              <w:rPr>
                <w:sz w:val="17"/>
                <w:szCs w:val="17"/>
                <w:color w:val="auto"/>
              </w:rPr>
            </w:pPr>
          </w:p>
        </w:tc>
        <w:tc>
          <w:tcPr>
            <w:tcW w:w="1160" w:type="dxa"/>
            <w:vAlign w:val="bottom"/>
            <w:tcBorders>
              <w:bottom w:val="single" w:sz="8" w:color="BFBFBF"/>
            </w:tcBorders>
            <w:gridSpan w:val="2"/>
          </w:tcPr>
          <w:p>
            <w:pPr>
              <w:spacing w:after="0" w:line="200" w:lineRule="exact"/>
              <w:rPr>
                <w:sz w:val="20"/>
                <w:szCs w:val="20"/>
                <w:color w:val="auto"/>
              </w:rPr>
            </w:pPr>
            <w:r>
              <w:rPr>
                <w:rFonts w:ascii="Arial" w:cs="Arial" w:eastAsia="Arial" w:hAnsi="Arial"/>
                <w:sz w:val="18"/>
                <w:szCs w:val="18"/>
                <w:color w:val="auto"/>
              </w:rPr>
              <w:t>effect</w:t>
            </w:r>
          </w:p>
        </w:tc>
        <w:tc>
          <w:tcPr>
            <w:tcW w:w="460" w:type="dxa"/>
            <w:vAlign w:val="bottom"/>
            <w:tcBorders>
              <w:bottom w:val="single" w:sz="8" w:color="BFBFBF"/>
            </w:tcBorders>
          </w:tcPr>
          <w:p>
            <w:pPr>
              <w:spacing w:after="0"/>
              <w:rPr>
                <w:sz w:val="17"/>
                <w:szCs w:val="17"/>
                <w:color w:val="auto"/>
              </w:rPr>
            </w:pPr>
          </w:p>
        </w:tc>
        <w:tc>
          <w:tcPr>
            <w:tcW w:w="56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060" w:type="dxa"/>
            <w:vAlign w:val="bottom"/>
            <w:tcBorders>
              <w:bottom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00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0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20" w:type="dxa"/>
            <w:vAlign w:val="bottom"/>
            <w:tcBorders>
              <w:left w:val="single" w:sz="8" w:color="BFBFBF"/>
              <w:right w:val="single" w:sz="8" w:color="BFBFBF"/>
            </w:tcBorders>
            <w:gridSpan w:val="3"/>
            <w:shd w:val="clear" w:color="auto" w:fill="DDEFF3"/>
          </w:tcPr>
          <w:p>
            <w:pPr>
              <w:ind w:left="120"/>
              <w:spacing w:after="0" w:line="200" w:lineRule="exact"/>
              <w:rPr>
                <w:sz w:val="20"/>
                <w:szCs w:val="20"/>
                <w:color w:val="auto"/>
              </w:rPr>
            </w:pPr>
            <w:r>
              <w:rPr>
                <w:rFonts w:ascii="Arial" w:cs="Arial" w:eastAsia="Arial" w:hAnsi="Arial"/>
                <w:sz w:val="18"/>
                <w:szCs w:val="18"/>
                <w:color w:val="auto"/>
              </w:rPr>
              <w:t>Ratification of the appointment of</w:t>
            </w:r>
          </w:p>
        </w:tc>
        <w:tc>
          <w:tcPr>
            <w:tcW w:w="80" w:type="dxa"/>
            <w:vAlign w:val="bottom"/>
            <w:shd w:val="clear" w:color="auto" w:fill="DDEFF3"/>
          </w:tcPr>
          <w:p>
            <w:pPr>
              <w:spacing w:after="0"/>
              <w:rPr>
                <w:sz w:val="17"/>
                <w:szCs w:val="17"/>
                <w:color w:val="auto"/>
              </w:rPr>
            </w:pPr>
          </w:p>
        </w:tc>
        <w:tc>
          <w:tcPr>
            <w:tcW w:w="1060" w:type="dxa"/>
            <w:vAlign w:val="bottom"/>
            <w:tcBorders>
              <w:right w:val="single" w:sz="8" w:color="DDEFF3"/>
            </w:tcBorders>
            <w:shd w:val="clear" w:color="auto" w:fill="DDEFF3"/>
          </w:tcPr>
          <w:p>
            <w:pPr>
              <w:spacing w:after="0"/>
              <w:rPr>
                <w:sz w:val="17"/>
                <w:szCs w:val="17"/>
                <w:color w:val="auto"/>
              </w:rPr>
            </w:pPr>
          </w:p>
        </w:tc>
        <w:tc>
          <w:tcPr>
            <w:tcW w:w="640" w:type="dxa"/>
            <w:vAlign w:val="bottom"/>
            <w:shd w:val="clear" w:color="auto" w:fill="DDEFF3"/>
          </w:tcPr>
          <w:p>
            <w:pPr>
              <w:spacing w:after="0"/>
              <w:rPr>
                <w:sz w:val="17"/>
                <w:szCs w:val="17"/>
                <w:color w:val="auto"/>
              </w:rPr>
            </w:pPr>
          </w:p>
        </w:tc>
        <w:tc>
          <w:tcPr>
            <w:tcW w:w="720" w:type="dxa"/>
            <w:vAlign w:val="bottom"/>
            <w:tcBorders>
              <w:right w:val="single" w:sz="8" w:color="BFBFBF"/>
            </w:tcBorders>
            <w:shd w:val="clear" w:color="auto" w:fill="DDEFF3"/>
          </w:tcPr>
          <w:p>
            <w:pPr>
              <w:spacing w:after="0"/>
              <w:rPr>
                <w:sz w:val="17"/>
                <w:szCs w:val="17"/>
                <w:color w:val="auto"/>
              </w:rPr>
            </w:pPr>
          </w:p>
        </w:tc>
        <w:tc>
          <w:tcPr>
            <w:tcW w:w="80" w:type="dxa"/>
            <w:vAlign w:val="bottom"/>
            <w:shd w:val="clear" w:color="auto" w:fill="DDEFF3"/>
          </w:tcPr>
          <w:p>
            <w:pPr>
              <w:spacing w:after="0"/>
              <w:rPr>
                <w:sz w:val="17"/>
                <w:szCs w:val="17"/>
                <w:color w:val="auto"/>
              </w:rPr>
            </w:pPr>
          </w:p>
        </w:tc>
        <w:tc>
          <w:tcPr>
            <w:tcW w:w="2180" w:type="dxa"/>
            <w:vAlign w:val="bottom"/>
            <w:tcBorders>
              <w:right w:val="single" w:sz="8" w:color="BFBFBF"/>
            </w:tcBorders>
            <w:gridSpan w:val="4"/>
            <w:vMerge w:val="restart"/>
            <w:shd w:val="clear" w:color="auto" w:fill="DDEFF3"/>
          </w:tcPr>
          <w:p>
            <w:pPr>
              <w:spacing w:after="0"/>
              <w:rPr>
                <w:sz w:val="20"/>
                <w:szCs w:val="20"/>
                <w:color w:val="auto"/>
              </w:rPr>
            </w:pPr>
            <w:r>
              <w:rPr>
                <w:rFonts w:ascii="Arial" w:cs="Arial" w:eastAsia="Arial" w:hAnsi="Arial"/>
                <w:sz w:val="18"/>
                <w:szCs w:val="18"/>
                <w:color w:val="auto"/>
                <w:w w:val="98"/>
              </w:rPr>
              <w:t>Abstentions have the effect</w:t>
            </w:r>
          </w:p>
        </w:tc>
        <w:tc>
          <w:tcPr>
            <w:tcW w:w="120" w:type="dxa"/>
            <w:vAlign w:val="bottom"/>
            <w:shd w:val="clear" w:color="auto" w:fill="DDEFF3"/>
          </w:tcPr>
          <w:p>
            <w:pPr>
              <w:spacing w:after="0"/>
              <w:rPr>
                <w:sz w:val="17"/>
                <w:szCs w:val="17"/>
                <w:color w:val="auto"/>
              </w:rPr>
            </w:pPr>
          </w:p>
        </w:tc>
        <w:tc>
          <w:tcPr>
            <w:tcW w:w="1060" w:type="dxa"/>
            <w:vAlign w:val="bottom"/>
            <w:tcBorders>
              <w:right w:val="single" w:sz="8" w:color="DDEFF3"/>
            </w:tcBorders>
            <w:shd w:val="clear" w:color="auto" w:fill="DDEFF3"/>
          </w:tcPr>
          <w:p>
            <w:pPr>
              <w:spacing w:after="0"/>
              <w:rPr>
                <w:sz w:val="17"/>
                <w:szCs w:val="17"/>
                <w:color w:val="auto"/>
              </w:rPr>
            </w:pPr>
          </w:p>
        </w:tc>
        <w:tc>
          <w:tcPr>
            <w:tcW w:w="120" w:type="dxa"/>
            <w:vAlign w:val="bottom"/>
            <w:shd w:val="clear" w:color="auto" w:fill="DDEFF3"/>
          </w:tcPr>
          <w:p>
            <w:pPr>
              <w:spacing w:after="0"/>
              <w:rPr>
                <w:sz w:val="17"/>
                <w:szCs w:val="17"/>
                <w:color w:val="auto"/>
              </w:rPr>
            </w:pPr>
          </w:p>
        </w:tc>
        <w:tc>
          <w:tcPr>
            <w:tcW w:w="1000" w:type="dxa"/>
            <w:vAlign w:val="bottom"/>
            <w:tcBorders>
              <w:right w:val="single" w:sz="8" w:color="BFBFBF"/>
            </w:tcBorders>
            <w:shd w:val="clear" w:color="auto" w:fill="DDEFF3"/>
          </w:tcPr>
          <w:p>
            <w:pPr>
              <w:spacing w:after="0"/>
              <w:rPr>
                <w:sz w:val="17"/>
                <w:szCs w:val="17"/>
                <w:color w:val="auto"/>
              </w:rPr>
            </w:pPr>
          </w:p>
        </w:tc>
        <w:tc>
          <w:tcPr>
            <w:tcW w:w="120" w:type="dxa"/>
            <w:vAlign w:val="bottom"/>
            <w:shd w:val="clear" w:color="auto" w:fill="DDEFF3"/>
          </w:tcPr>
          <w:p>
            <w:pPr>
              <w:spacing w:after="0"/>
              <w:rPr>
                <w:sz w:val="17"/>
                <w:szCs w:val="17"/>
                <w:color w:val="auto"/>
              </w:rPr>
            </w:pPr>
          </w:p>
        </w:tc>
        <w:tc>
          <w:tcPr>
            <w:tcW w:w="1040" w:type="dxa"/>
            <w:vAlign w:val="bottom"/>
            <w:tcBorders>
              <w:right w:val="single" w:sz="8" w:color="BFBFBF"/>
            </w:tcBorders>
            <w:shd w:val="clear" w:color="auto" w:fill="DDEFF3"/>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220" w:type="dxa"/>
            <w:vAlign w:val="bottom"/>
            <w:tcBorders>
              <w:left w:val="single" w:sz="8" w:color="BFBFBF"/>
              <w:right w:val="single" w:sz="8" w:color="BFBFBF"/>
            </w:tcBorders>
            <w:gridSpan w:val="3"/>
            <w:vMerge w:val="restart"/>
            <w:shd w:val="clear" w:color="auto" w:fill="DDEFF3"/>
          </w:tcPr>
          <w:p>
            <w:pPr>
              <w:ind w:left="120"/>
              <w:spacing w:after="0" w:line="202" w:lineRule="exact"/>
              <w:rPr>
                <w:sz w:val="20"/>
                <w:szCs w:val="20"/>
                <w:color w:val="auto"/>
              </w:rPr>
            </w:pPr>
            <w:r>
              <w:rPr>
                <w:rFonts w:ascii="Arial" w:cs="Arial" w:eastAsia="Arial" w:hAnsi="Arial"/>
                <w:sz w:val="18"/>
                <w:szCs w:val="18"/>
                <w:color w:val="auto"/>
                <w:w w:val="98"/>
              </w:rPr>
              <w:t>Ernst &amp; Young LLP as our independent</w:t>
            </w:r>
          </w:p>
        </w:tc>
        <w:tc>
          <w:tcPr>
            <w:tcW w:w="80" w:type="dxa"/>
            <w:vAlign w:val="bottom"/>
            <w:shd w:val="clear" w:color="auto" w:fill="DDEFF3"/>
          </w:tcPr>
          <w:p>
            <w:pPr>
              <w:spacing w:after="0"/>
              <w:rPr>
                <w:sz w:val="8"/>
                <w:szCs w:val="8"/>
                <w:color w:val="auto"/>
              </w:rPr>
            </w:pPr>
          </w:p>
        </w:tc>
        <w:tc>
          <w:tcPr>
            <w:tcW w:w="2420" w:type="dxa"/>
            <w:vAlign w:val="bottom"/>
            <w:tcBorders>
              <w:right w:val="single" w:sz="8" w:color="BFBFBF"/>
            </w:tcBorders>
            <w:gridSpan w:val="3"/>
            <w:vMerge w:val="restart"/>
            <w:shd w:val="clear" w:color="auto" w:fill="DDEFF3"/>
          </w:tcPr>
          <w:p>
            <w:pPr>
              <w:spacing w:after="0" w:line="202" w:lineRule="exact"/>
              <w:rPr>
                <w:sz w:val="20"/>
                <w:szCs w:val="20"/>
                <w:color w:val="auto"/>
              </w:rPr>
            </w:pPr>
            <w:r>
              <w:rPr>
                <w:rFonts w:ascii="Arial" w:cs="Arial" w:eastAsia="Arial" w:hAnsi="Arial"/>
                <w:sz w:val="18"/>
                <w:szCs w:val="18"/>
                <w:color w:val="auto"/>
              </w:rPr>
              <w:t>Majority of votes present in</w:t>
            </w:r>
          </w:p>
        </w:tc>
        <w:tc>
          <w:tcPr>
            <w:tcW w:w="80" w:type="dxa"/>
            <w:vAlign w:val="bottom"/>
            <w:shd w:val="clear" w:color="auto" w:fill="DDEFF3"/>
          </w:tcPr>
          <w:p>
            <w:pPr>
              <w:spacing w:after="0"/>
              <w:rPr>
                <w:sz w:val="8"/>
                <w:szCs w:val="8"/>
                <w:color w:val="auto"/>
              </w:rPr>
            </w:pPr>
          </w:p>
        </w:tc>
        <w:tc>
          <w:tcPr>
            <w:tcW w:w="2180" w:type="dxa"/>
            <w:vAlign w:val="bottom"/>
            <w:tcBorders>
              <w:right w:val="single" w:sz="8" w:color="BFBFBF"/>
            </w:tcBorders>
            <w:gridSpan w:val="4"/>
            <w:vMerge w:val="continue"/>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60" w:type="dxa"/>
            <w:vAlign w:val="bottom"/>
            <w:tcBorders>
              <w:right w:val="single" w:sz="8" w:color="DDEFF3"/>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00" w:type="dxa"/>
            <w:vAlign w:val="bottom"/>
            <w:tcBorders>
              <w:right w:val="single" w:sz="8" w:color="BFBFBF"/>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40" w:type="dxa"/>
            <w:vAlign w:val="bottom"/>
            <w:tcBorders>
              <w:right w:val="single" w:sz="8" w:color="BFBFBF"/>
            </w:tcBorders>
            <w:shd w:val="clear" w:color="auto" w:fill="DDEFF3"/>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220" w:type="dxa"/>
            <w:vAlign w:val="bottom"/>
            <w:tcBorders>
              <w:left w:val="single" w:sz="8" w:color="BFBFBF"/>
              <w:right w:val="single" w:sz="8" w:color="BFBFBF"/>
            </w:tcBorders>
            <w:gridSpan w:val="3"/>
            <w:vMerge w:val="continue"/>
            <w:shd w:val="clear" w:color="auto" w:fill="DDEFF3"/>
          </w:tcPr>
          <w:p>
            <w:pPr>
              <w:spacing w:after="0"/>
              <w:rPr>
                <w:sz w:val="9"/>
                <w:szCs w:val="9"/>
                <w:color w:val="auto"/>
              </w:rPr>
            </w:pPr>
          </w:p>
        </w:tc>
        <w:tc>
          <w:tcPr>
            <w:tcW w:w="80" w:type="dxa"/>
            <w:vAlign w:val="bottom"/>
            <w:shd w:val="clear" w:color="auto" w:fill="DDEFF3"/>
          </w:tcPr>
          <w:p>
            <w:pPr>
              <w:spacing w:after="0"/>
              <w:rPr>
                <w:sz w:val="9"/>
                <w:szCs w:val="9"/>
                <w:color w:val="auto"/>
              </w:rPr>
            </w:pPr>
          </w:p>
        </w:tc>
        <w:tc>
          <w:tcPr>
            <w:tcW w:w="2420" w:type="dxa"/>
            <w:vAlign w:val="bottom"/>
            <w:tcBorders>
              <w:right w:val="single" w:sz="8" w:color="BFBFBF"/>
            </w:tcBorders>
            <w:gridSpan w:val="3"/>
            <w:vMerge w:val="continue"/>
            <w:shd w:val="clear" w:color="auto" w:fill="DDEFF3"/>
          </w:tcPr>
          <w:p>
            <w:pPr>
              <w:spacing w:after="0"/>
              <w:rPr>
                <w:sz w:val="9"/>
                <w:szCs w:val="9"/>
                <w:color w:val="auto"/>
              </w:rPr>
            </w:pPr>
          </w:p>
        </w:tc>
        <w:tc>
          <w:tcPr>
            <w:tcW w:w="80" w:type="dxa"/>
            <w:vAlign w:val="bottom"/>
            <w:shd w:val="clear" w:color="auto" w:fill="DDEFF3"/>
          </w:tcPr>
          <w:p>
            <w:pPr>
              <w:spacing w:after="0"/>
              <w:rPr>
                <w:sz w:val="9"/>
                <w:szCs w:val="9"/>
                <w:color w:val="auto"/>
              </w:rPr>
            </w:pPr>
          </w:p>
        </w:tc>
        <w:tc>
          <w:tcPr>
            <w:tcW w:w="1620" w:type="dxa"/>
            <w:vAlign w:val="bottom"/>
            <w:gridSpan w:val="3"/>
            <w:vMerge w:val="restart"/>
            <w:shd w:val="clear" w:color="auto" w:fill="DDEFF3"/>
          </w:tcPr>
          <w:p>
            <w:pPr>
              <w:spacing w:after="0" w:line="202" w:lineRule="exact"/>
              <w:rPr>
                <w:sz w:val="20"/>
                <w:szCs w:val="20"/>
                <w:color w:val="auto"/>
              </w:rPr>
            </w:pPr>
            <w:r>
              <w:rPr>
                <w:rFonts w:ascii="Arial" w:cs="Arial" w:eastAsia="Arial" w:hAnsi="Arial"/>
                <w:sz w:val="18"/>
                <w:szCs w:val="18"/>
                <w:color w:val="auto"/>
                <w:w w:val="98"/>
              </w:rPr>
              <w:t>of a vote against the</w:t>
            </w:r>
          </w:p>
        </w:tc>
        <w:tc>
          <w:tcPr>
            <w:tcW w:w="560" w:type="dxa"/>
            <w:vAlign w:val="bottom"/>
            <w:tcBorders>
              <w:right w:val="single" w:sz="8" w:color="BFBFBF"/>
            </w:tcBorders>
            <w:shd w:val="clear" w:color="auto" w:fill="DDEFF3"/>
          </w:tcPr>
          <w:p>
            <w:pPr>
              <w:spacing w:after="0"/>
              <w:rPr>
                <w:sz w:val="9"/>
                <w:szCs w:val="9"/>
                <w:color w:val="auto"/>
              </w:rPr>
            </w:pPr>
          </w:p>
        </w:tc>
        <w:tc>
          <w:tcPr>
            <w:tcW w:w="120" w:type="dxa"/>
            <w:vAlign w:val="bottom"/>
            <w:shd w:val="clear" w:color="auto" w:fill="DDEFF3"/>
          </w:tcPr>
          <w:p>
            <w:pPr>
              <w:spacing w:after="0"/>
              <w:rPr>
                <w:sz w:val="9"/>
                <w:szCs w:val="9"/>
                <w:color w:val="auto"/>
              </w:rPr>
            </w:pPr>
          </w:p>
        </w:tc>
        <w:tc>
          <w:tcPr>
            <w:tcW w:w="1060" w:type="dxa"/>
            <w:vAlign w:val="bottom"/>
            <w:tcBorders>
              <w:right w:val="single" w:sz="8" w:color="DDEFF3"/>
            </w:tcBorders>
            <w:shd w:val="clear" w:color="auto" w:fill="DDEFF3"/>
          </w:tcPr>
          <w:p>
            <w:pPr>
              <w:spacing w:after="0"/>
              <w:rPr>
                <w:sz w:val="9"/>
                <w:szCs w:val="9"/>
                <w:color w:val="auto"/>
              </w:rPr>
            </w:pPr>
          </w:p>
        </w:tc>
        <w:tc>
          <w:tcPr>
            <w:tcW w:w="120" w:type="dxa"/>
            <w:vAlign w:val="bottom"/>
            <w:shd w:val="clear" w:color="auto" w:fill="DDEFF3"/>
          </w:tcPr>
          <w:p>
            <w:pPr>
              <w:spacing w:after="0"/>
              <w:rPr>
                <w:sz w:val="9"/>
                <w:szCs w:val="9"/>
                <w:color w:val="auto"/>
              </w:rPr>
            </w:pPr>
          </w:p>
        </w:tc>
        <w:tc>
          <w:tcPr>
            <w:tcW w:w="1000" w:type="dxa"/>
            <w:vAlign w:val="bottom"/>
            <w:tcBorders>
              <w:right w:val="single" w:sz="8" w:color="BFBFBF"/>
            </w:tcBorders>
            <w:shd w:val="clear" w:color="auto" w:fill="DDEFF3"/>
          </w:tcPr>
          <w:p>
            <w:pPr>
              <w:spacing w:after="0"/>
              <w:rPr>
                <w:sz w:val="9"/>
                <w:szCs w:val="9"/>
                <w:color w:val="auto"/>
              </w:rPr>
            </w:pPr>
          </w:p>
        </w:tc>
        <w:tc>
          <w:tcPr>
            <w:tcW w:w="120" w:type="dxa"/>
            <w:vAlign w:val="bottom"/>
            <w:shd w:val="clear" w:color="auto" w:fill="DDEFF3"/>
          </w:tcPr>
          <w:p>
            <w:pPr>
              <w:spacing w:after="0"/>
              <w:rPr>
                <w:sz w:val="9"/>
                <w:szCs w:val="9"/>
                <w:color w:val="auto"/>
              </w:rPr>
            </w:pPr>
          </w:p>
        </w:tc>
        <w:tc>
          <w:tcPr>
            <w:tcW w:w="1040" w:type="dxa"/>
            <w:vAlign w:val="bottom"/>
            <w:tcBorders>
              <w:right w:val="single" w:sz="8" w:color="BFBFBF"/>
            </w:tcBorders>
            <w:shd w:val="clear" w:color="auto" w:fill="DDEFF3"/>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220" w:type="dxa"/>
            <w:vAlign w:val="bottom"/>
            <w:tcBorders>
              <w:left w:val="single" w:sz="8" w:color="BFBFBF"/>
              <w:right w:val="single" w:sz="8" w:color="BFBFBF"/>
            </w:tcBorders>
            <w:gridSpan w:val="3"/>
            <w:vMerge w:val="restart"/>
            <w:shd w:val="clear" w:color="auto" w:fill="DDEFF3"/>
          </w:tcPr>
          <w:p>
            <w:pPr>
              <w:ind w:left="120"/>
              <w:spacing w:after="0" w:line="202" w:lineRule="exact"/>
              <w:rPr>
                <w:sz w:val="20"/>
                <w:szCs w:val="20"/>
                <w:color w:val="auto"/>
              </w:rPr>
            </w:pPr>
            <w:r>
              <w:rPr>
                <w:rFonts w:ascii="Arial" w:cs="Arial" w:eastAsia="Arial" w:hAnsi="Arial"/>
                <w:sz w:val="18"/>
                <w:szCs w:val="18"/>
                <w:color w:val="auto"/>
              </w:rPr>
              <w:t>registered public accounting firm for</w:t>
            </w:r>
          </w:p>
        </w:tc>
        <w:tc>
          <w:tcPr>
            <w:tcW w:w="80" w:type="dxa"/>
            <w:vAlign w:val="bottom"/>
            <w:shd w:val="clear" w:color="auto" w:fill="DDEFF3"/>
          </w:tcPr>
          <w:p>
            <w:pPr>
              <w:spacing w:after="0"/>
              <w:rPr>
                <w:sz w:val="8"/>
                <w:szCs w:val="8"/>
                <w:color w:val="auto"/>
              </w:rPr>
            </w:pPr>
          </w:p>
        </w:tc>
        <w:tc>
          <w:tcPr>
            <w:tcW w:w="2420" w:type="dxa"/>
            <w:vAlign w:val="bottom"/>
            <w:tcBorders>
              <w:right w:val="single" w:sz="8" w:color="BFBFBF"/>
            </w:tcBorders>
            <w:gridSpan w:val="3"/>
            <w:vMerge w:val="restart"/>
            <w:shd w:val="clear" w:color="auto" w:fill="DDEFF3"/>
          </w:tcPr>
          <w:p>
            <w:pPr>
              <w:spacing w:after="0" w:line="202" w:lineRule="exact"/>
              <w:rPr>
                <w:sz w:val="20"/>
                <w:szCs w:val="20"/>
                <w:color w:val="auto"/>
              </w:rPr>
            </w:pPr>
            <w:r>
              <w:rPr>
                <w:rFonts w:ascii="Arial" w:cs="Arial" w:eastAsia="Arial" w:hAnsi="Arial"/>
                <w:sz w:val="18"/>
                <w:szCs w:val="18"/>
                <w:color w:val="auto"/>
              </w:rPr>
              <w:t>person or represented by</w:t>
            </w:r>
          </w:p>
        </w:tc>
        <w:tc>
          <w:tcPr>
            <w:tcW w:w="80" w:type="dxa"/>
            <w:vAlign w:val="bottom"/>
            <w:shd w:val="clear" w:color="auto" w:fill="DDEFF3"/>
          </w:tcPr>
          <w:p>
            <w:pPr>
              <w:spacing w:after="0"/>
              <w:rPr>
                <w:sz w:val="8"/>
                <w:szCs w:val="8"/>
                <w:color w:val="auto"/>
              </w:rPr>
            </w:pPr>
          </w:p>
        </w:tc>
        <w:tc>
          <w:tcPr>
            <w:tcW w:w="1620" w:type="dxa"/>
            <w:vAlign w:val="bottom"/>
            <w:gridSpan w:val="3"/>
            <w:vMerge w:val="continue"/>
            <w:shd w:val="clear" w:color="auto" w:fill="DDEFF3"/>
          </w:tcPr>
          <w:p>
            <w:pPr>
              <w:spacing w:after="0"/>
              <w:rPr>
                <w:sz w:val="8"/>
                <w:szCs w:val="8"/>
                <w:color w:val="auto"/>
              </w:rPr>
            </w:pPr>
          </w:p>
        </w:tc>
        <w:tc>
          <w:tcPr>
            <w:tcW w:w="560" w:type="dxa"/>
            <w:vAlign w:val="bottom"/>
            <w:tcBorders>
              <w:right w:val="single" w:sz="8" w:color="BFBFBF"/>
            </w:tcBorders>
            <w:shd w:val="clear" w:color="auto" w:fill="DDEFF3"/>
          </w:tcPr>
          <w:p>
            <w:pPr>
              <w:spacing w:after="0"/>
              <w:rPr>
                <w:sz w:val="8"/>
                <w:szCs w:val="8"/>
                <w:color w:val="auto"/>
              </w:rPr>
            </w:pPr>
          </w:p>
        </w:tc>
        <w:tc>
          <w:tcPr>
            <w:tcW w:w="1300" w:type="dxa"/>
            <w:vAlign w:val="bottom"/>
            <w:gridSpan w:val="3"/>
            <w:vMerge w:val="restart"/>
            <w:shd w:val="clear" w:color="auto" w:fill="DDEFF3"/>
          </w:tcPr>
          <w:p>
            <w:pPr>
              <w:ind w:left="120"/>
              <w:spacing w:after="0" w:line="202" w:lineRule="exact"/>
              <w:rPr>
                <w:sz w:val="20"/>
                <w:szCs w:val="20"/>
                <w:color w:val="auto"/>
              </w:rPr>
            </w:pPr>
            <w:r>
              <w:rPr>
                <w:rFonts w:ascii="Arial" w:cs="Arial" w:eastAsia="Arial" w:hAnsi="Arial"/>
                <w:sz w:val="18"/>
                <w:szCs w:val="18"/>
                <w:color w:val="auto"/>
              </w:rPr>
              <w:t>FOR</w:t>
            </w:r>
          </w:p>
        </w:tc>
        <w:tc>
          <w:tcPr>
            <w:tcW w:w="1000" w:type="dxa"/>
            <w:vAlign w:val="bottom"/>
            <w:tcBorders>
              <w:right w:val="single" w:sz="8" w:color="BFBFBF"/>
            </w:tcBorders>
            <w:shd w:val="clear" w:color="auto" w:fill="DDEFF3"/>
          </w:tcPr>
          <w:p>
            <w:pPr>
              <w:spacing w:after="0"/>
              <w:rPr>
                <w:sz w:val="8"/>
                <w:szCs w:val="8"/>
                <w:color w:val="auto"/>
              </w:rPr>
            </w:pPr>
          </w:p>
        </w:tc>
        <w:tc>
          <w:tcPr>
            <w:tcW w:w="1160" w:type="dxa"/>
            <w:vAlign w:val="bottom"/>
            <w:tcBorders>
              <w:right w:val="single" w:sz="8" w:color="BFBFBF"/>
            </w:tcBorders>
            <w:gridSpan w:val="2"/>
            <w:vMerge w:val="restart"/>
            <w:shd w:val="clear" w:color="auto" w:fill="DDEFF3"/>
          </w:tcPr>
          <w:p>
            <w:pPr>
              <w:jc w:val="right"/>
              <w:ind w:right="572"/>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8"/>
        </w:trPr>
        <w:tc>
          <w:tcPr>
            <w:tcW w:w="3220" w:type="dxa"/>
            <w:vAlign w:val="bottom"/>
            <w:tcBorders>
              <w:left w:val="single" w:sz="8" w:color="BFBFBF"/>
              <w:right w:val="single" w:sz="8" w:color="BFBFBF"/>
            </w:tcBorders>
            <w:gridSpan w:val="3"/>
            <w:vMerge w:val="continue"/>
            <w:shd w:val="clear" w:color="auto" w:fill="DDEFF3"/>
          </w:tcPr>
          <w:p>
            <w:pPr>
              <w:spacing w:after="0"/>
              <w:rPr>
                <w:sz w:val="9"/>
                <w:szCs w:val="9"/>
                <w:color w:val="auto"/>
              </w:rPr>
            </w:pPr>
          </w:p>
        </w:tc>
        <w:tc>
          <w:tcPr>
            <w:tcW w:w="80" w:type="dxa"/>
            <w:vAlign w:val="bottom"/>
            <w:shd w:val="clear" w:color="auto" w:fill="DDEFF3"/>
          </w:tcPr>
          <w:p>
            <w:pPr>
              <w:spacing w:after="0"/>
              <w:rPr>
                <w:sz w:val="9"/>
                <w:szCs w:val="9"/>
                <w:color w:val="auto"/>
              </w:rPr>
            </w:pPr>
          </w:p>
        </w:tc>
        <w:tc>
          <w:tcPr>
            <w:tcW w:w="2420" w:type="dxa"/>
            <w:vAlign w:val="bottom"/>
            <w:tcBorders>
              <w:right w:val="single" w:sz="8" w:color="BFBFBF"/>
            </w:tcBorders>
            <w:gridSpan w:val="3"/>
            <w:vMerge w:val="continue"/>
            <w:shd w:val="clear" w:color="auto" w:fill="DDEFF3"/>
          </w:tcPr>
          <w:p>
            <w:pPr>
              <w:spacing w:after="0"/>
              <w:rPr>
                <w:sz w:val="9"/>
                <w:szCs w:val="9"/>
                <w:color w:val="auto"/>
              </w:rPr>
            </w:pPr>
          </w:p>
        </w:tc>
        <w:tc>
          <w:tcPr>
            <w:tcW w:w="80" w:type="dxa"/>
            <w:vAlign w:val="bottom"/>
            <w:shd w:val="clear" w:color="auto" w:fill="DDEFF3"/>
          </w:tcPr>
          <w:p>
            <w:pPr>
              <w:spacing w:after="0"/>
              <w:rPr>
                <w:sz w:val="9"/>
                <w:szCs w:val="9"/>
                <w:color w:val="auto"/>
              </w:rPr>
            </w:pPr>
          </w:p>
        </w:tc>
        <w:tc>
          <w:tcPr>
            <w:tcW w:w="2180" w:type="dxa"/>
            <w:vAlign w:val="bottom"/>
            <w:tcBorders>
              <w:right w:val="single" w:sz="8" w:color="BFBFBF"/>
            </w:tcBorders>
            <w:gridSpan w:val="4"/>
            <w:vMerge w:val="restart"/>
            <w:shd w:val="clear" w:color="auto" w:fill="DDEFF3"/>
          </w:tcPr>
          <w:p>
            <w:pPr>
              <w:spacing w:after="0" w:line="202" w:lineRule="exact"/>
              <w:rPr>
                <w:sz w:val="20"/>
                <w:szCs w:val="20"/>
                <w:color w:val="auto"/>
              </w:rPr>
            </w:pPr>
            <w:r>
              <w:rPr>
                <w:rFonts w:ascii="Arial" w:cs="Arial" w:eastAsia="Arial" w:hAnsi="Arial"/>
                <w:sz w:val="18"/>
                <w:szCs w:val="18"/>
                <w:color w:val="auto"/>
              </w:rPr>
              <w:t>proposal; there will not be</w:t>
            </w:r>
          </w:p>
        </w:tc>
        <w:tc>
          <w:tcPr>
            <w:tcW w:w="1300" w:type="dxa"/>
            <w:vAlign w:val="bottom"/>
            <w:gridSpan w:val="3"/>
            <w:vMerge w:val="continue"/>
            <w:shd w:val="clear" w:color="auto" w:fill="DDEFF3"/>
          </w:tcPr>
          <w:p>
            <w:pPr>
              <w:spacing w:after="0"/>
              <w:rPr>
                <w:sz w:val="9"/>
                <w:szCs w:val="9"/>
                <w:color w:val="auto"/>
              </w:rPr>
            </w:pPr>
          </w:p>
        </w:tc>
        <w:tc>
          <w:tcPr>
            <w:tcW w:w="1000" w:type="dxa"/>
            <w:vAlign w:val="bottom"/>
            <w:tcBorders>
              <w:right w:val="single" w:sz="8" w:color="BFBFBF"/>
            </w:tcBorders>
            <w:shd w:val="clear" w:color="auto" w:fill="DDEFF3"/>
          </w:tcPr>
          <w:p>
            <w:pPr>
              <w:spacing w:after="0"/>
              <w:rPr>
                <w:sz w:val="9"/>
                <w:szCs w:val="9"/>
                <w:color w:val="auto"/>
              </w:rPr>
            </w:pPr>
          </w:p>
        </w:tc>
        <w:tc>
          <w:tcPr>
            <w:tcW w:w="1160" w:type="dxa"/>
            <w:vAlign w:val="bottom"/>
            <w:tcBorders>
              <w:right w:val="single" w:sz="8" w:color="BFBFBF"/>
            </w:tcBorders>
            <w:gridSpan w:val="2"/>
            <w:vMerge w:val="continue"/>
            <w:shd w:val="clear" w:color="auto" w:fill="DDEFF3"/>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220" w:type="dxa"/>
            <w:vAlign w:val="bottom"/>
            <w:tcBorders>
              <w:left w:val="single" w:sz="8" w:color="BFBFBF"/>
              <w:right w:val="single" w:sz="8" w:color="BFBFBF"/>
            </w:tcBorders>
            <w:gridSpan w:val="3"/>
            <w:vMerge w:val="restart"/>
            <w:shd w:val="clear" w:color="auto" w:fill="DDEFF3"/>
          </w:tcPr>
          <w:p>
            <w:pPr>
              <w:ind w:left="120"/>
              <w:spacing w:after="0" w:line="202" w:lineRule="exact"/>
              <w:rPr>
                <w:sz w:val="20"/>
                <w:szCs w:val="20"/>
                <w:color w:val="auto"/>
              </w:rPr>
            </w:pPr>
            <w:r>
              <w:rPr>
                <w:rFonts w:ascii="Arial" w:cs="Arial" w:eastAsia="Arial" w:hAnsi="Arial"/>
                <w:sz w:val="18"/>
                <w:szCs w:val="18"/>
                <w:color w:val="auto"/>
              </w:rPr>
              <w:t>the fiscal year ending December 31,</w:t>
            </w:r>
          </w:p>
        </w:tc>
        <w:tc>
          <w:tcPr>
            <w:tcW w:w="80" w:type="dxa"/>
            <w:vAlign w:val="bottom"/>
            <w:shd w:val="clear" w:color="auto" w:fill="DDEFF3"/>
          </w:tcPr>
          <w:p>
            <w:pPr>
              <w:spacing w:after="0"/>
              <w:rPr>
                <w:sz w:val="8"/>
                <w:szCs w:val="8"/>
                <w:color w:val="auto"/>
              </w:rPr>
            </w:pPr>
          </w:p>
        </w:tc>
        <w:tc>
          <w:tcPr>
            <w:tcW w:w="1700" w:type="dxa"/>
            <w:vAlign w:val="bottom"/>
            <w:gridSpan w:val="2"/>
            <w:vMerge w:val="restart"/>
            <w:shd w:val="clear" w:color="auto" w:fill="DDEFF3"/>
          </w:tcPr>
          <w:p>
            <w:pPr>
              <w:spacing w:after="0" w:line="202" w:lineRule="exact"/>
              <w:rPr>
                <w:sz w:val="20"/>
                <w:szCs w:val="20"/>
                <w:color w:val="auto"/>
              </w:rPr>
            </w:pPr>
            <w:r>
              <w:rPr>
                <w:rFonts w:ascii="Arial" w:cs="Arial" w:eastAsia="Arial" w:hAnsi="Arial"/>
                <w:sz w:val="18"/>
                <w:szCs w:val="18"/>
                <w:color w:val="auto"/>
              </w:rPr>
              <w:t>proxy</w:t>
            </w:r>
          </w:p>
        </w:tc>
        <w:tc>
          <w:tcPr>
            <w:tcW w:w="720" w:type="dxa"/>
            <w:vAlign w:val="bottom"/>
            <w:tcBorders>
              <w:right w:val="single" w:sz="8" w:color="BFBFBF"/>
            </w:tcBorders>
            <w:shd w:val="clear" w:color="auto" w:fill="DDEFF3"/>
          </w:tcPr>
          <w:p>
            <w:pPr>
              <w:spacing w:after="0"/>
              <w:rPr>
                <w:sz w:val="8"/>
                <w:szCs w:val="8"/>
                <w:color w:val="auto"/>
              </w:rPr>
            </w:pPr>
          </w:p>
        </w:tc>
        <w:tc>
          <w:tcPr>
            <w:tcW w:w="80" w:type="dxa"/>
            <w:vAlign w:val="bottom"/>
            <w:shd w:val="clear" w:color="auto" w:fill="DDEFF3"/>
          </w:tcPr>
          <w:p>
            <w:pPr>
              <w:spacing w:after="0"/>
              <w:rPr>
                <w:sz w:val="8"/>
                <w:szCs w:val="8"/>
                <w:color w:val="auto"/>
              </w:rPr>
            </w:pPr>
          </w:p>
        </w:tc>
        <w:tc>
          <w:tcPr>
            <w:tcW w:w="2180" w:type="dxa"/>
            <w:vAlign w:val="bottom"/>
            <w:tcBorders>
              <w:right w:val="single" w:sz="8" w:color="BFBFBF"/>
            </w:tcBorders>
            <w:gridSpan w:val="4"/>
            <w:vMerge w:val="continue"/>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60" w:type="dxa"/>
            <w:vAlign w:val="bottom"/>
            <w:tcBorders>
              <w:right w:val="single" w:sz="8" w:color="DDEFF3"/>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00" w:type="dxa"/>
            <w:vAlign w:val="bottom"/>
            <w:tcBorders>
              <w:right w:val="single" w:sz="8" w:color="BFBFBF"/>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40" w:type="dxa"/>
            <w:vAlign w:val="bottom"/>
            <w:tcBorders>
              <w:right w:val="single" w:sz="8" w:color="BFBFBF"/>
            </w:tcBorders>
            <w:shd w:val="clear" w:color="auto" w:fill="DDEFF3"/>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220" w:type="dxa"/>
            <w:vAlign w:val="bottom"/>
            <w:tcBorders>
              <w:left w:val="single" w:sz="8" w:color="BFBFBF"/>
              <w:right w:val="single" w:sz="8" w:color="BFBFBF"/>
            </w:tcBorders>
            <w:gridSpan w:val="3"/>
            <w:vMerge w:val="continue"/>
            <w:shd w:val="clear" w:color="auto" w:fill="DDEFF3"/>
          </w:tcPr>
          <w:p>
            <w:pPr>
              <w:spacing w:after="0"/>
              <w:rPr>
                <w:sz w:val="9"/>
                <w:szCs w:val="9"/>
                <w:color w:val="auto"/>
              </w:rPr>
            </w:pPr>
          </w:p>
        </w:tc>
        <w:tc>
          <w:tcPr>
            <w:tcW w:w="80" w:type="dxa"/>
            <w:vAlign w:val="bottom"/>
            <w:shd w:val="clear" w:color="auto" w:fill="DDEFF3"/>
          </w:tcPr>
          <w:p>
            <w:pPr>
              <w:spacing w:after="0"/>
              <w:rPr>
                <w:sz w:val="9"/>
                <w:szCs w:val="9"/>
                <w:color w:val="auto"/>
              </w:rPr>
            </w:pPr>
          </w:p>
        </w:tc>
        <w:tc>
          <w:tcPr>
            <w:tcW w:w="1700" w:type="dxa"/>
            <w:vAlign w:val="bottom"/>
            <w:gridSpan w:val="2"/>
            <w:vMerge w:val="continue"/>
            <w:shd w:val="clear" w:color="auto" w:fill="DDEFF3"/>
          </w:tcPr>
          <w:p>
            <w:pPr>
              <w:spacing w:after="0"/>
              <w:rPr>
                <w:sz w:val="9"/>
                <w:szCs w:val="9"/>
                <w:color w:val="auto"/>
              </w:rPr>
            </w:pPr>
          </w:p>
        </w:tc>
        <w:tc>
          <w:tcPr>
            <w:tcW w:w="720" w:type="dxa"/>
            <w:vAlign w:val="bottom"/>
            <w:tcBorders>
              <w:right w:val="single" w:sz="8" w:color="BFBFBF"/>
            </w:tcBorders>
            <w:shd w:val="clear" w:color="auto" w:fill="DDEFF3"/>
          </w:tcPr>
          <w:p>
            <w:pPr>
              <w:spacing w:after="0"/>
              <w:rPr>
                <w:sz w:val="9"/>
                <w:szCs w:val="9"/>
                <w:color w:val="auto"/>
              </w:rPr>
            </w:pPr>
          </w:p>
        </w:tc>
        <w:tc>
          <w:tcPr>
            <w:tcW w:w="80" w:type="dxa"/>
            <w:vAlign w:val="bottom"/>
            <w:shd w:val="clear" w:color="auto" w:fill="DDEFF3"/>
          </w:tcPr>
          <w:p>
            <w:pPr>
              <w:spacing w:after="0"/>
              <w:rPr>
                <w:sz w:val="9"/>
                <w:szCs w:val="9"/>
                <w:color w:val="auto"/>
              </w:rPr>
            </w:pPr>
          </w:p>
        </w:tc>
        <w:tc>
          <w:tcPr>
            <w:tcW w:w="1620" w:type="dxa"/>
            <w:vAlign w:val="bottom"/>
            <w:gridSpan w:val="3"/>
            <w:vMerge w:val="restart"/>
            <w:shd w:val="clear" w:color="auto" w:fill="DDEFF3"/>
          </w:tcPr>
          <w:p>
            <w:pPr>
              <w:spacing w:after="0"/>
              <w:rPr>
                <w:sz w:val="20"/>
                <w:szCs w:val="20"/>
                <w:color w:val="auto"/>
              </w:rPr>
            </w:pPr>
            <w:r>
              <w:rPr>
                <w:rFonts w:ascii="Arial" w:cs="Arial" w:eastAsia="Arial" w:hAnsi="Arial"/>
                <w:sz w:val="18"/>
                <w:szCs w:val="18"/>
                <w:color w:val="auto"/>
              </w:rPr>
              <w:t>broker non-votes</w:t>
            </w:r>
          </w:p>
        </w:tc>
        <w:tc>
          <w:tcPr>
            <w:tcW w:w="560" w:type="dxa"/>
            <w:vAlign w:val="bottom"/>
            <w:tcBorders>
              <w:right w:val="single" w:sz="8" w:color="BFBFBF"/>
            </w:tcBorders>
            <w:shd w:val="clear" w:color="auto" w:fill="DDEFF3"/>
          </w:tcPr>
          <w:p>
            <w:pPr>
              <w:spacing w:after="0"/>
              <w:rPr>
                <w:sz w:val="9"/>
                <w:szCs w:val="9"/>
                <w:color w:val="auto"/>
              </w:rPr>
            </w:pPr>
          </w:p>
        </w:tc>
        <w:tc>
          <w:tcPr>
            <w:tcW w:w="120" w:type="dxa"/>
            <w:vAlign w:val="bottom"/>
            <w:shd w:val="clear" w:color="auto" w:fill="DDEFF3"/>
          </w:tcPr>
          <w:p>
            <w:pPr>
              <w:spacing w:after="0"/>
              <w:rPr>
                <w:sz w:val="9"/>
                <w:szCs w:val="9"/>
                <w:color w:val="auto"/>
              </w:rPr>
            </w:pPr>
          </w:p>
        </w:tc>
        <w:tc>
          <w:tcPr>
            <w:tcW w:w="1060" w:type="dxa"/>
            <w:vAlign w:val="bottom"/>
            <w:tcBorders>
              <w:right w:val="single" w:sz="8" w:color="DDEFF3"/>
            </w:tcBorders>
            <w:shd w:val="clear" w:color="auto" w:fill="DDEFF3"/>
          </w:tcPr>
          <w:p>
            <w:pPr>
              <w:spacing w:after="0"/>
              <w:rPr>
                <w:sz w:val="9"/>
                <w:szCs w:val="9"/>
                <w:color w:val="auto"/>
              </w:rPr>
            </w:pPr>
          </w:p>
        </w:tc>
        <w:tc>
          <w:tcPr>
            <w:tcW w:w="120" w:type="dxa"/>
            <w:vAlign w:val="bottom"/>
            <w:shd w:val="clear" w:color="auto" w:fill="DDEFF3"/>
          </w:tcPr>
          <w:p>
            <w:pPr>
              <w:spacing w:after="0"/>
              <w:rPr>
                <w:sz w:val="9"/>
                <w:szCs w:val="9"/>
                <w:color w:val="auto"/>
              </w:rPr>
            </w:pPr>
          </w:p>
        </w:tc>
        <w:tc>
          <w:tcPr>
            <w:tcW w:w="1000" w:type="dxa"/>
            <w:vAlign w:val="bottom"/>
            <w:tcBorders>
              <w:right w:val="single" w:sz="8" w:color="BFBFBF"/>
            </w:tcBorders>
            <w:shd w:val="clear" w:color="auto" w:fill="DDEFF3"/>
          </w:tcPr>
          <w:p>
            <w:pPr>
              <w:spacing w:after="0"/>
              <w:rPr>
                <w:sz w:val="9"/>
                <w:szCs w:val="9"/>
                <w:color w:val="auto"/>
              </w:rPr>
            </w:pPr>
          </w:p>
        </w:tc>
        <w:tc>
          <w:tcPr>
            <w:tcW w:w="120" w:type="dxa"/>
            <w:vAlign w:val="bottom"/>
            <w:shd w:val="clear" w:color="auto" w:fill="DDEFF3"/>
          </w:tcPr>
          <w:p>
            <w:pPr>
              <w:spacing w:after="0"/>
              <w:rPr>
                <w:sz w:val="9"/>
                <w:szCs w:val="9"/>
                <w:color w:val="auto"/>
              </w:rPr>
            </w:pPr>
          </w:p>
        </w:tc>
        <w:tc>
          <w:tcPr>
            <w:tcW w:w="1040" w:type="dxa"/>
            <w:vAlign w:val="bottom"/>
            <w:tcBorders>
              <w:right w:val="single" w:sz="8" w:color="BFBFBF"/>
            </w:tcBorders>
            <w:shd w:val="clear" w:color="auto" w:fill="DDEFF3"/>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840" w:type="dxa"/>
            <w:vAlign w:val="bottom"/>
            <w:tcBorders>
              <w:left w:val="single" w:sz="8" w:color="BFBFBF"/>
            </w:tcBorders>
            <w:vMerge w:val="restart"/>
            <w:shd w:val="clear" w:color="auto" w:fill="DDEFF3"/>
          </w:tcPr>
          <w:p>
            <w:pPr>
              <w:ind w:left="120"/>
              <w:spacing w:after="0" w:line="200" w:lineRule="exact"/>
              <w:rPr>
                <w:sz w:val="20"/>
                <w:szCs w:val="20"/>
                <w:color w:val="auto"/>
              </w:rPr>
            </w:pPr>
            <w:r>
              <w:rPr>
                <w:rFonts w:ascii="Arial" w:cs="Arial" w:eastAsia="Arial" w:hAnsi="Arial"/>
                <w:sz w:val="18"/>
                <w:szCs w:val="18"/>
                <w:color w:val="auto"/>
              </w:rPr>
              <w:t>2013</w:t>
            </w:r>
          </w:p>
        </w:tc>
        <w:tc>
          <w:tcPr>
            <w:tcW w:w="100" w:type="dxa"/>
            <w:vAlign w:val="bottom"/>
            <w:shd w:val="clear" w:color="auto" w:fill="DDEFF3"/>
          </w:tcPr>
          <w:p>
            <w:pPr>
              <w:spacing w:after="0"/>
              <w:rPr>
                <w:sz w:val="8"/>
                <w:szCs w:val="8"/>
                <w:color w:val="auto"/>
              </w:rPr>
            </w:pPr>
          </w:p>
        </w:tc>
        <w:tc>
          <w:tcPr>
            <w:tcW w:w="1280" w:type="dxa"/>
            <w:vAlign w:val="bottom"/>
            <w:tcBorders>
              <w:right w:val="single" w:sz="8" w:color="BFBFBF"/>
            </w:tcBorders>
            <w:shd w:val="clear" w:color="auto" w:fill="DDEFF3"/>
          </w:tcPr>
          <w:p>
            <w:pPr>
              <w:spacing w:after="0"/>
              <w:rPr>
                <w:sz w:val="8"/>
                <w:szCs w:val="8"/>
                <w:color w:val="auto"/>
              </w:rPr>
            </w:pPr>
          </w:p>
        </w:tc>
        <w:tc>
          <w:tcPr>
            <w:tcW w:w="80" w:type="dxa"/>
            <w:vAlign w:val="bottom"/>
            <w:shd w:val="clear" w:color="auto" w:fill="DDEFF3"/>
          </w:tcPr>
          <w:p>
            <w:pPr>
              <w:spacing w:after="0"/>
              <w:rPr>
                <w:sz w:val="8"/>
                <w:szCs w:val="8"/>
                <w:color w:val="auto"/>
              </w:rPr>
            </w:pPr>
          </w:p>
        </w:tc>
        <w:tc>
          <w:tcPr>
            <w:tcW w:w="1060" w:type="dxa"/>
            <w:vAlign w:val="bottom"/>
            <w:tcBorders>
              <w:right w:val="single" w:sz="8" w:color="DDEFF3"/>
            </w:tcBorders>
            <w:shd w:val="clear" w:color="auto" w:fill="DDEFF3"/>
          </w:tcPr>
          <w:p>
            <w:pPr>
              <w:spacing w:after="0"/>
              <w:rPr>
                <w:sz w:val="8"/>
                <w:szCs w:val="8"/>
                <w:color w:val="auto"/>
              </w:rPr>
            </w:pPr>
          </w:p>
        </w:tc>
        <w:tc>
          <w:tcPr>
            <w:tcW w:w="640" w:type="dxa"/>
            <w:vAlign w:val="bottom"/>
            <w:shd w:val="clear" w:color="auto" w:fill="DDEFF3"/>
          </w:tcPr>
          <w:p>
            <w:pPr>
              <w:spacing w:after="0"/>
              <w:rPr>
                <w:sz w:val="8"/>
                <w:szCs w:val="8"/>
                <w:color w:val="auto"/>
              </w:rPr>
            </w:pPr>
          </w:p>
        </w:tc>
        <w:tc>
          <w:tcPr>
            <w:tcW w:w="720" w:type="dxa"/>
            <w:vAlign w:val="bottom"/>
            <w:tcBorders>
              <w:right w:val="single" w:sz="8" w:color="BFBFBF"/>
            </w:tcBorders>
            <w:shd w:val="clear" w:color="auto" w:fill="DDEFF3"/>
          </w:tcPr>
          <w:p>
            <w:pPr>
              <w:spacing w:after="0"/>
              <w:rPr>
                <w:sz w:val="8"/>
                <w:szCs w:val="8"/>
                <w:color w:val="auto"/>
              </w:rPr>
            </w:pPr>
          </w:p>
        </w:tc>
        <w:tc>
          <w:tcPr>
            <w:tcW w:w="80" w:type="dxa"/>
            <w:vAlign w:val="bottom"/>
            <w:shd w:val="clear" w:color="auto" w:fill="DDEFF3"/>
          </w:tcPr>
          <w:p>
            <w:pPr>
              <w:spacing w:after="0"/>
              <w:rPr>
                <w:sz w:val="8"/>
                <w:szCs w:val="8"/>
                <w:color w:val="auto"/>
              </w:rPr>
            </w:pPr>
          </w:p>
        </w:tc>
        <w:tc>
          <w:tcPr>
            <w:tcW w:w="1620" w:type="dxa"/>
            <w:vAlign w:val="bottom"/>
            <w:gridSpan w:val="3"/>
            <w:vMerge w:val="continue"/>
            <w:shd w:val="clear" w:color="auto" w:fill="DDEFF3"/>
          </w:tcPr>
          <w:p>
            <w:pPr>
              <w:spacing w:after="0"/>
              <w:rPr>
                <w:sz w:val="8"/>
                <w:szCs w:val="8"/>
                <w:color w:val="auto"/>
              </w:rPr>
            </w:pPr>
          </w:p>
        </w:tc>
        <w:tc>
          <w:tcPr>
            <w:tcW w:w="560" w:type="dxa"/>
            <w:vAlign w:val="bottom"/>
            <w:tcBorders>
              <w:right w:val="single" w:sz="8" w:color="BFBFBF"/>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60" w:type="dxa"/>
            <w:vAlign w:val="bottom"/>
            <w:tcBorders>
              <w:right w:val="single" w:sz="8" w:color="DDEFF3"/>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00" w:type="dxa"/>
            <w:vAlign w:val="bottom"/>
            <w:tcBorders>
              <w:right w:val="single" w:sz="8" w:color="BFBFBF"/>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40" w:type="dxa"/>
            <w:vAlign w:val="bottom"/>
            <w:tcBorders>
              <w:right w:val="single" w:sz="8" w:color="BFBFBF"/>
            </w:tcBorders>
            <w:shd w:val="clear" w:color="auto" w:fill="DDEFF3"/>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840" w:type="dxa"/>
            <w:vAlign w:val="bottom"/>
            <w:tcBorders>
              <w:left w:val="single" w:sz="8" w:color="BFBFBF"/>
              <w:bottom w:val="single" w:sz="8" w:color="BFBFBF"/>
            </w:tcBorders>
            <w:vMerge w:val="continue"/>
            <w:shd w:val="clear" w:color="auto" w:fill="DDEFF3"/>
          </w:tcPr>
          <w:p>
            <w:pPr>
              <w:spacing w:after="0"/>
              <w:rPr>
                <w:sz w:val="8"/>
                <w:szCs w:val="8"/>
                <w:color w:val="auto"/>
              </w:rPr>
            </w:pPr>
          </w:p>
        </w:tc>
        <w:tc>
          <w:tcPr>
            <w:tcW w:w="100" w:type="dxa"/>
            <w:vAlign w:val="bottom"/>
            <w:tcBorders>
              <w:bottom w:val="single" w:sz="8" w:color="BFBFBF"/>
            </w:tcBorders>
            <w:shd w:val="clear" w:color="auto" w:fill="DDEFF3"/>
          </w:tcPr>
          <w:p>
            <w:pPr>
              <w:spacing w:after="0"/>
              <w:rPr>
                <w:sz w:val="8"/>
                <w:szCs w:val="8"/>
                <w:color w:val="auto"/>
              </w:rPr>
            </w:pPr>
          </w:p>
        </w:tc>
        <w:tc>
          <w:tcPr>
            <w:tcW w:w="1280" w:type="dxa"/>
            <w:vAlign w:val="bottom"/>
            <w:tcBorders>
              <w:bottom w:val="single" w:sz="8" w:color="BFBFBF"/>
              <w:right w:val="single" w:sz="8" w:color="BFBFBF"/>
            </w:tcBorders>
            <w:shd w:val="clear" w:color="auto" w:fill="DDEFF3"/>
          </w:tcPr>
          <w:p>
            <w:pPr>
              <w:spacing w:after="0"/>
              <w:rPr>
                <w:sz w:val="8"/>
                <w:szCs w:val="8"/>
                <w:color w:val="auto"/>
              </w:rPr>
            </w:pPr>
          </w:p>
        </w:tc>
        <w:tc>
          <w:tcPr>
            <w:tcW w:w="80" w:type="dxa"/>
            <w:vAlign w:val="bottom"/>
            <w:tcBorders>
              <w:bottom w:val="single" w:sz="8" w:color="BFBFBF"/>
            </w:tcBorders>
            <w:shd w:val="clear" w:color="auto" w:fill="DDEFF3"/>
          </w:tcPr>
          <w:p>
            <w:pPr>
              <w:spacing w:after="0"/>
              <w:rPr>
                <w:sz w:val="8"/>
                <w:szCs w:val="8"/>
                <w:color w:val="auto"/>
              </w:rPr>
            </w:pPr>
          </w:p>
        </w:tc>
        <w:tc>
          <w:tcPr>
            <w:tcW w:w="1060" w:type="dxa"/>
            <w:vAlign w:val="bottom"/>
            <w:tcBorders>
              <w:bottom w:val="single" w:sz="8" w:color="BFBFBF"/>
              <w:right w:val="single" w:sz="8" w:color="DDEFF3"/>
            </w:tcBorders>
            <w:shd w:val="clear" w:color="auto" w:fill="DDEFF3"/>
          </w:tcPr>
          <w:p>
            <w:pPr>
              <w:spacing w:after="0"/>
              <w:rPr>
                <w:sz w:val="8"/>
                <w:szCs w:val="8"/>
                <w:color w:val="auto"/>
              </w:rPr>
            </w:pPr>
          </w:p>
        </w:tc>
        <w:tc>
          <w:tcPr>
            <w:tcW w:w="640" w:type="dxa"/>
            <w:vAlign w:val="bottom"/>
            <w:tcBorders>
              <w:bottom w:val="single" w:sz="8" w:color="BFBFBF"/>
            </w:tcBorders>
            <w:shd w:val="clear" w:color="auto" w:fill="DDEFF3"/>
          </w:tcPr>
          <w:p>
            <w:pPr>
              <w:spacing w:after="0"/>
              <w:rPr>
                <w:sz w:val="8"/>
                <w:szCs w:val="8"/>
                <w:color w:val="auto"/>
              </w:rPr>
            </w:pPr>
          </w:p>
        </w:tc>
        <w:tc>
          <w:tcPr>
            <w:tcW w:w="720" w:type="dxa"/>
            <w:vAlign w:val="bottom"/>
            <w:tcBorders>
              <w:bottom w:val="single" w:sz="8" w:color="BFBFBF"/>
              <w:right w:val="single" w:sz="8" w:color="BFBFBF"/>
            </w:tcBorders>
            <w:shd w:val="clear" w:color="auto" w:fill="DDEFF3"/>
          </w:tcPr>
          <w:p>
            <w:pPr>
              <w:spacing w:after="0"/>
              <w:rPr>
                <w:sz w:val="8"/>
                <w:szCs w:val="8"/>
                <w:color w:val="auto"/>
              </w:rPr>
            </w:pPr>
          </w:p>
        </w:tc>
        <w:tc>
          <w:tcPr>
            <w:tcW w:w="80" w:type="dxa"/>
            <w:vAlign w:val="bottom"/>
            <w:tcBorders>
              <w:bottom w:val="single" w:sz="8" w:color="BFBFBF"/>
            </w:tcBorders>
            <w:shd w:val="clear" w:color="auto" w:fill="DDEFF3"/>
          </w:tcPr>
          <w:p>
            <w:pPr>
              <w:spacing w:after="0"/>
              <w:rPr>
                <w:sz w:val="8"/>
                <w:szCs w:val="8"/>
                <w:color w:val="auto"/>
              </w:rPr>
            </w:pPr>
          </w:p>
        </w:tc>
        <w:tc>
          <w:tcPr>
            <w:tcW w:w="1080" w:type="dxa"/>
            <w:vAlign w:val="bottom"/>
            <w:tcBorders>
              <w:bottom w:val="single" w:sz="8" w:color="BFBFBF"/>
              <w:right w:val="single" w:sz="8" w:color="DDEFF3"/>
            </w:tcBorders>
            <w:shd w:val="clear" w:color="auto" w:fill="DDEFF3"/>
          </w:tcPr>
          <w:p>
            <w:pPr>
              <w:spacing w:after="0"/>
              <w:rPr>
                <w:sz w:val="8"/>
                <w:szCs w:val="8"/>
                <w:color w:val="auto"/>
              </w:rPr>
            </w:pPr>
          </w:p>
        </w:tc>
        <w:tc>
          <w:tcPr>
            <w:tcW w:w="80" w:type="dxa"/>
            <w:vAlign w:val="bottom"/>
            <w:tcBorders>
              <w:bottom w:val="single" w:sz="8" w:color="BFBFBF"/>
            </w:tcBorders>
            <w:shd w:val="clear" w:color="auto" w:fill="DDEFF3"/>
          </w:tcPr>
          <w:p>
            <w:pPr>
              <w:spacing w:after="0"/>
              <w:rPr>
                <w:sz w:val="8"/>
                <w:szCs w:val="8"/>
                <w:color w:val="auto"/>
              </w:rPr>
            </w:pPr>
          </w:p>
        </w:tc>
        <w:tc>
          <w:tcPr>
            <w:tcW w:w="460" w:type="dxa"/>
            <w:vAlign w:val="bottom"/>
            <w:tcBorders>
              <w:bottom w:val="single" w:sz="8" w:color="BFBFBF"/>
            </w:tcBorders>
            <w:shd w:val="clear" w:color="auto" w:fill="DDEFF3"/>
          </w:tcPr>
          <w:p>
            <w:pPr>
              <w:spacing w:after="0"/>
              <w:rPr>
                <w:sz w:val="8"/>
                <w:szCs w:val="8"/>
                <w:color w:val="auto"/>
              </w:rPr>
            </w:pPr>
          </w:p>
        </w:tc>
        <w:tc>
          <w:tcPr>
            <w:tcW w:w="560" w:type="dxa"/>
            <w:vAlign w:val="bottom"/>
            <w:tcBorders>
              <w:bottom w:val="single" w:sz="8" w:color="BFBFBF"/>
              <w:right w:val="single" w:sz="8" w:color="BFBFBF"/>
            </w:tcBorders>
            <w:shd w:val="clear" w:color="auto" w:fill="DDEFF3"/>
          </w:tcPr>
          <w:p>
            <w:pPr>
              <w:spacing w:after="0"/>
              <w:rPr>
                <w:sz w:val="8"/>
                <w:szCs w:val="8"/>
                <w:color w:val="auto"/>
              </w:rPr>
            </w:pPr>
          </w:p>
        </w:tc>
        <w:tc>
          <w:tcPr>
            <w:tcW w:w="120" w:type="dxa"/>
            <w:vAlign w:val="bottom"/>
            <w:tcBorders>
              <w:bottom w:val="single" w:sz="8" w:color="BFBFBF"/>
            </w:tcBorders>
            <w:shd w:val="clear" w:color="auto" w:fill="DDEFF3"/>
          </w:tcPr>
          <w:p>
            <w:pPr>
              <w:spacing w:after="0"/>
              <w:rPr>
                <w:sz w:val="8"/>
                <w:szCs w:val="8"/>
                <w:color w:val="auto"/>
              </w:rPr>
            </w:pPr>
          </w:p>
        </w:tc>
        <w:tc>
          <w:tcPr>
            <w:tcW w:w="1060" w:type="dxa"/>
            <w:vAlign w:val="bottom"/>
            <w:tcBorders>
              <w:bottom w:val="single" w:sz="8" w:color="BFBFBF"/>
              <w:right w:val="single" w:sz="8" w:color="DDEFF3"/>
            </w:tcBorders>
            <w:shd w:val="clear" w:color="auto" w:fill="DDEFF3"/>
          </w:tcPr>
          <w:p>
            <w:pPr>
              <w:spacing w:after="0"/>
              <w:rPr>
                <w:sz w:val="8"/>
                <w:szCs w:val="8"/>
                <w:color w:val="auto"/>
              </w:rPr>
            </w:pPr>
          </w:p>
        </w:tc>
        <w:tc>
          <w:tcPr>
            <w:tcW w:w="120" w:type="dxa"/>
            <w:vAlign w:val="bottom"/>
            <w:tcBorders>
              <w:bottom w:val="single" w:sz="8" w:color="BFBFBF"/>
            </w:tcBorders>
            <w:shd w:val="clear" w:color="auto" w:fill="DDEFF3"/>
          </w:tcPr>
          <w:p>
            <w:pPr>
              <w:spacing w:after="0"/>
              <w:rPr>
                <w:sz w:val="8"/>
                <w:szCs w:val="8"/>
                <w:color w:val="auto"/>
              </w:rPr>
            </w:pPr>
          </w:p>
        </w:tc>
        <w:tc>
          <w:tcPr>
            <w:tcW w:w="1000" w:type="dxa"/>
            <w:vAlign w:val="bottom"/>
            <w:tcBorders>
              <w:bottom w:val="single" w:sz="8" w:color="BFBFBF"/>
              <w:right w:val="single" w:sz="8" w:color="BFBFBF"/>
            </w:tcBorders>
            <w:shd w:val="clear" w:color="auto" w:fill="DDEFF3"/>
          </w:tcPr>
          <w:p>
            <w:pPr>
              <w:spacing w:after="0"/>
              <w:rPr>
                <w:sz w:val="8"/>
                <w:szCs w:val="8"/>
                <w:color w:val="auto"/>
              </w:rPr>
            </w:pPr>
          </w:p>
        </w:tc>
        <w:tc>
          <w:tcPr>
            <w:tcW w:w="120" w:type="dxa"/>
            <w:vAlign w:val="bottom"/>
            <w:tcBorders>
              <w:bottom w:val="single" w:sz="8" w:color="BFBFBF"/>
            </w:tcBorders>
            <w:shd w:val="clear" w:color="auto" w:fill="DDEFF3"/>
          </w:tcPr>
          <w:p>
            <w:pPr>
              <w:spacing w:after="0"/>
              <w:rPr>
                <w:sz w:val="8"/>
                <w:szCs w:val="8"/>
                <w:color w:val="auto"/>
              </w:rPr>
            </w:pPr>
          </w:p>
        </w:tc>
        <w:tc>
          <w:tcPr>
            <w:tcW w:w="1040" w:type="dxa"/>
            <w:vAlign w:val="bottom"/>
            <w:tcBorders>
              <w:bottom w:val="single" w:sz="8" w:color="BFBFBF"/>
              <w:right w:val="single" w:sz="8" w:color="BFBFBF"/>
            </w:tcBorders>
            <w:shd w:val="clear" w:color="auto" w:fill="DDEFF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220" w:type="dxa"/>
            <w:vAlign w:val="bottom"/>
            <w:tcBorders>
              <w:left w:val="single" w:sz="8" w:color="BFBFBF"/>
              <w:right w:val="single" w:sz="8" w:color="BFBFBF"/>
            </w:tcBorders>
            <w:gridSpan w:val="3"/>
            <w:vMerge w:val="restart"/>
          </w:tcPr>
          <w:p>
            <w:pPr>
              <w:ind w:left="120"/>
              <w:spacing w:after="0"/>
              <w:rPr>
                <w:sz w:val="20"/>
                <w:szCs w:val="20"/>
                <w:color w:val="auto"/>
              </w:rPr>
            </w:pPr>
            <w:r>
              <w:rPr>
                <w:rFonts w:ascii="Arial" w:cs="Arial" w:eastAsia="Arial" w:hAnsi="Arial"/>
                <w:sz w:val="18"/>
                <w:szCs w:val="18"/>
                <w:color w:val="auto"/>
              </w:rPr>
              <w:t>Advisory vote to approve the</w:t>
            </w:r>
          </w:p>
        </w:tc>
        <w:tc>
          <w:tcPr>
            <w:tcW w:w="80" w:type="dxa"/>
            <w:vAlign w:val="bottom"/>
          </w:tcPr>
          <w:p>
            <w:pPr>
              <w:spacing w:after="0"/>
              <w:rPr>
                <w:sz w:val="17"/>
                <w:szCs w:val="17"/>
                <w:color w:val="auto"/>
              </w:rPr>
            </w:pPr>
          </w:p>
        </w:tc>
        <w:tc>
          <w:tcPr>
            <w:tcW w:w="2420" w:type="dxa"/>
            <w:vAlign w:val="bottom"/>
            <w:tcBorders>
              <w:right w:val="single" w:sz="8" w:color="BFBFBF"/>
            </w:tcBorders>
            <w:gridSpan w:val="3"/>
            <w:vMerge w:val="restart"/>
          </w:tcPr>
          <w:p>
            <w:pPr>
              <w:spacing w:after="0"/>
              <w:rPr>
                <w:sz w:val="20"/>
                <w:szCs w:val="20"/>
                <w:color w:val="auto"/>
              </w:rPr>
            </w:pPr>
            <w:r>
              <w:rPr>
                <w:rFonts w:ascii="Arial" w:cs="Arial" w:eastAsia="Arial" w:hAnsi="Arial"/>
                <w:sz w:val="18"/>
                <w:szCs w:val="18"/>
                <w:color w:val="auto"/>
              </w:rPr>
              <w:t>Majority of votes present in</w:t>
            </w:r>
          </w:p>
        </w:tc>
        <w:tc>
          <w:tcPr>
            <w:tcW w:w="80" w:type="dxa"/>
            <w:vAlign w:val="bottom"/>
          </w:tcPr>
          <w:p>
            <w:pPr>
              <w:spacing w:after="0"/>
              <w:rPr>
                <w:sz w:val="17"/>
                <w:szCs w:val="17"/>
                <w:color w:val="auto"/>
              </w:rPr>
            </w:pPr>
          </w:p>
        </w:tc>
        <w:tc>
          <w:tcPr>
            <w:tcW w:w="2180" w:type="dxa"/>
            <w:vAlign w:val="bottom"/>
            <w:tcBorders>
              <w:right w:val="single" w:sz="8" w:color="BFBFBF"/>
            </w:tcBorders>
            <w:gridSpan w:val="4"/>
          </w:tcPr>
          <w:p>
            <w:pPr>
              <w:spacing w:after="0" w:line="200" w:lineRule="exact"/>
              <w:rPr>
                <w:sz w:val="20"/>
                <w:szCs w:val="20"/>
                <w:color w:val="auto"/>
              </w:rPr>
            </w:pPr>
            <w:r>
              <w:rPr>
                <w:rFonts w:ascii="Arial" w:cs="Arial" w:eastAsia="Arial" w:hAnsi="Arial"/>
                <w:sz w:val="18"/>
                <w:szCs w:val="18"/>
                <w:color w:val="auto"/>
                <w:w w:val="98"/>
              </w:rPr>
              <w:t>Abstentions have the effect</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right w:val="single" w:sz="8" w:color="BFBFBF"/>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220" w:type="dxa"/>
            <w:vAlign w:val="bottom"/>
            <w:tcBorders>
              <w:left w:val="single" w:sz="8" w:color="BFBFBF"/>
              <w:right w:val="single" w:sz="8" w:color="BFBFBF"/>
            </w:tcBorders>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tcBorders>
              <w:right w:val="single" w:sz="8" w:color="BFBFBF"/>
            </w:tcBorders>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w w:val="98"/>
              </w:rPr>
              <w:t>of a vote against the</w:t>
            </w:r>
          </w:p>
        </w:tc>
        <w:tc>
          <w:tcPr>
            <w:tcW w:w="560" w:type="dxa"/>
            <w:vAlign w:val="bottom"/>
            <w:tcBorders>
              <w:right w:val="single" w:sz="8" w:color="BFBFBF"/>
            </w:tcBorders>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right w:val="single" w:sz="8" w:color="BFBFBF"/>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right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220" w:type="dxa"/>
            <w:vAlign w:val="bottom"/>
            <w:tcBorders>
              <w:left w:val="single" w:sz="8" w:color="BFBFBF"/>
              <w:right w:val="single" w:sz="8" w:color="BFBFBF"/>
            </w:tcBorders>
            <w:gridSpan w:val="3"/>
            <w:vMerge w:val="restart"/>
          </w:tcPr>
          <w:p>
            <w:pPr>
              <w:ind w:left="120"/>
              <w:spacing w:after="0" w:line="202" w:lineRule="exact"/>
              <w:rPr>
                <w:sz w:val="20"/>
                <w:szCs w:val="20"/>
                <w:color w:val="auto"/>
              </w:rPr>
            </w:pPr>
            <w:r>
              <w:rPr>
                <w:rFonts w:ascii="Arial" w:cs="Arial" w:eastAsia="Arial" w:hAnsi="Arial"/>
                <w:sz w:val="18"/>
                <w:szCs w:val="18"/>
                <w:color w:val="auto"/>
                <w:w w:val="98"/>
              </w:rPr>
              <w:t>company’s executive compensation on</w:t>
            </w:r>
          </w:p>
        </w:tc>
        <w:tc>
          <w:tcPr>
            <w:tcW w:w="80" w:type="dxa"/>
            <w:vAlign w:val="bottom"/>
          </w:tcPr>
          <w:p>
            <w:pPr>
              <w:spacing w:after="0"/>
              <w:rPr>
                <w:sz w:val="9"/>
                <w:szCs w:val="9"/>
                <w:color w:val="auto"/>
              </w:rPr>
            </w:pPr>
          </w:p>
        </w:tc>
        <w:tc>
          <w:tcPr>
            <w:tcW w:w="2420" w:type="dxa"/>
            <w:vAlign w:val="bottom"/>
            <w:tcBorders>
              <w:right w:val="single" w:sz="8" w:color="BFBFBF"/>
            </w:tcBorders>
            <w:gridSpan w:val="3"/>
            <w:vMerge w:val="restart"/>
          </w:tcPr>
          <w:p>
            <w:pPr>
              <w:spacing w:after="0" w:line="202" w:lineRule="exact"/>
              <w:rPr>
                <w:sz w:val="20"/>
                <w:szCs w:val="20"/>
                <w:color w:val="auto"/>
              </w:rPr>
            </w:pPr>
            <w:r>
              <w:rPr>
                <w:rFonts w:ascii="Arial" w:cs="Arial" w:eastAsia="Arial" w:hAnsi="Arial"/>
                <w:sz w:val="18"/>
                <w:szCs w:val="18"/>
                <w:color w:val="auto"/>
              </w:rPr>
              <w:t>person or represented by</w:t>
            </w:r>
          </w:p>
        </w:tc>
        <w:tc>
          <w:tcPr>
            <w:tcW w:w="8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60" w:type="dxa"/>
            <w:vAlign w:val="bottom"/>
            <w:tcBorders>
              <w:right w:val="single" w:sz="8" w:color="BFBFBF"/>
            </w:tcBorders>
          </w:tcPr>
          <w:p>
            <w:pPr>
              <w:spacing w:after="0"/>
              <w:rPr>
                <w:sz w:val="9"/>
                <w:szCs w:val="9"/>
                <w:color w:val="auto"/>
              </w:rPr>
            </w:pPr>
          </w:p>
        </w:tc>
        <w:tc>
          <w:tcPr>
            <w:tcW w:w="1300" w:type="dxa"/>
            <w:vAlign w:val="bottom"/>
            <w:gridSpan w:val="3"/>
            <w:vMerge w:val="restart"/>
          </w:tcPr>
          <w:p>
            <w:pPr>
              <w:ind w:left="120"/>
              <w:spacing w:after="0" w:line="202" w:lineRule="exact"/>
              <w:rPr>
                <w:sz w:val="20"/>
                <w:szCs w:val="20"/>
                <w:color w:val="auto"/>
              </w:rPr>
            </w:pPr>
            <w:r>
              <w:rPr>
                <w:rFonts w:ascii="Arial" w:cs="Arial" w:eastAsia="Arial" w:hAnsi="Arial"/>
                <w:sz w:val="18"/>
                <w:szCs w:val="18"/>
                <w:color w:val="auto"/>
              </w:rPr>
              <w:t>FOR</w:t>
            </w:r>
          </w:p>
        </w:tc>
        <w:tc>
          <w:tcPr>
            <w:tcW w:w="1000" w:type="dxa"/>
            <w:vAlign w:val="bottom"/>
            <w:tcBorders>
              <w:right w:val="single" w:sz="8" w:color="BFBFBF"/>
            </w:tcBorders>
          </w:tcPr>
          <w:p>
            <w:pPr>
              <w:spacing w:after="0"/>
              <w:rPr>
                <w:sz w:val="9"/>
                <w:szCs w:val="9"/>
                <w:color w:val="auto"/>
              </w:rPr>
            </w:pPr>
          </w:p>
        </w:tc>
        <w:tc>
          <w:tcPr>
            <w:tcW w:w="1160" w:type="dxa"/>
            <w:vAlign w:val="bottom"/>
            <w:tcBorders>
              <w:right w:val="single" w:sz="8" w:color="BFBFBF"/>
            </w:tcBorders>
            <w:gridSpan w:val="2"/>
            <w:vMerge w:val="restart"/>
          </w:tcPr>
          <w:p>
            <w:pPr>
              <w:jc w:val="right"/>
              <w:ind w:right="572"/>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95"/>
        </w:trPr>
        <w:tc>
          <w:tcPr>
            <w:tcW w:w="3220" w:type="dxa"/>
            <w:vAlign w:val="bottom"/>
            <w:tcBorders>
              <w:left w:val="single" w:sz="8" w:color="BFBFBF"/>
              <w:right w:val="single" w:sz="8" w:color="BFBFBF"/>
            </w:tcBorders>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tcBorders>
              <w:right w:val="single" w:sz="8" w:color="BFBFBF"/>
            </w:tcBorders>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tcBorders>
              <w:right w:val="single" w:sz="8" w:color="BFBFBF"/>
            </w:tcBorders>
            <w:gridSpan w:val="4"/>
            <w:vMerge w:val="restart"/>
          </w:tcPr>
          <w:p>
            <w:pPr>
              <w:spacing w:after="0" w:line="202" w:lineRule="exact"/>
              <w:rPr>
                <w:sz w:val="20"/>
                <w:szCs w:val="20"/>
                <w:color w:val="auto"/>
              </w:rPr>
            </w:pPr>
            <w:r>
              <w:rPr>
                <w:rFonts w:ascii="Arial" w:cs="Arial" w:eastAsia="Arial" w:hAnsi="Arial"/>
                <w:sz w:val="18"/>
                <w:szCs w:val="18"/>
                <w:color w:val="auto"/>
                <w:w w:val="99"/>
              </w:rPr>
              <w:t>proposal; broker non-votes</w:t>
            </w:r>
          </w:p>
        </w:tc>
        <w:tc>
          <w:tcPr>
            <w:tcW w:w="1300" w:type="dxa"/>
            <w:vAlign w:val="bottom"/>
            <w:gridSpan w:val="3"/>
            <w:vMerge w:val="continue"/>
          </w:tcPr>
          <w:p>
            <w:pPr>
              <w:spacing w:after="0"/>
              <w:rPr>
                <w:sz w:val="8"/>
                <w:szCs w:val="8"/>
                <w:color w:val="auto"/>
              </w:rPr>
            </w:pPr>
          </w:p>
        </w:tc>
        <w:tc>
          <w:tcPr>
            <w:tcW w:w="1000" w:type="dxa"/>
            <w:vAlign w:val="bottom"/>
            <w:tcBorders>
              <w:right w:val="single" w:sz="8" w:color="BFBFBF"/>
            </w:tcBorders>
          </w:tcPr>
          <w:p>
            <w:pPr>
              <w:spacing w:after="0"/>
              <w:rPr>
                <w:sz w:val="8"/>
                <w:szCs w:val="8"/>
                <w:color w:val="auto"/>
              </w:rPr>
            </w:pPr>
          </w:p>
        </w:tc>
        <w:tc>
          <w:tcPr>
            <w:tcW w:w="1160" w:type="dxa"/>
            <w:vAlign w:val="bottom"/>
            <w:tcBorders>
              <w:right w:val="single" w:sz="8" w:color="BFBFBF"/>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BFBFBF"/>
            </w:tcBorders>
            <w:gridSpan w:val="2"/>
            <w:vMerge w:val="restart"/>
          </w:tcPr>
          <w:p>
            <w:pPr>
              <w:ind w:left="120"/>
              <w:spacing w:after="0"/>
              <w:rPr>
                <w:sz w:val="20"/>
                <w:szCs w:val="20"/>
                <w:color w:val="auto"/>
              </w:rPr>
            </w:pPr>
            <w:r>
              <w:rPr>
                <w:rFonts w:ascii="Arial" w:cs="Arial" w:eastAsia="Arial" w:hAnsi="Arial"/>
                <w:sz w:val="18"/>
                <w:szCs w:val="18"/>
                <w:color w:val="auto"/>
              </w:rPr>
              <w:t>an advisory basis</w:t>
            </w:r>
          </w:p>
        </w:tc>
        <w:tc>
          <w:tcPr>
            <w:tcW w:w="1280" w:type="dxa"/>
            <w:vAlign w:val="bottom"/>
            <w:tcBorders>
              <w:right w:val="single" w:sz="8" w:color="BFBFBF"/>
            </w:tcBorders>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gridSpan w:val="2"/>
            <w:vMerge w:val="restart"/>
          </w:tcPr>
          <w:p>
            <w:pPr>
              <w:spacing w:after="0"/>
              <w:rPr>
                <w:sz w:val="20"/>
                <w:szCs w:val="20"/>
                <w:color w:val="auto"/>
              </w:rPr>
            </w:pPr>
            <w:r>
              <w:rPr>
                <w:rFonts w:ascii="Arial" w:cs="Arial" w:eastAsia="Arial" w:hAnsi="Arial"/>
                <w:sz w:val="18"/>
                <w:szCs w:val="18"/>
                <w:color w:val="auto"/>
              </w:rPr>
              <w:t>proxy</w:t>
            </w:r>
          </w:p>
        </w:tc>
        <w:tc>
          <w:tcPr>
            <w:tcW w:w="720" w:type="dxa"/>
            <w:vAlign w:val="bottom"/>
            <w:tcBorders>
              <w:right w:val="single" w:sz="8" w:color="BFBFBF"/>
            </w:tcBorders>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tcBorders>
              <w:right w:val="single" w:sz="8" w:color="BFBFBF"/>
            </w:tcBorders>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right w:val="single" w:sz="8" w:color="BFBFBF"/>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right w:val="single" w:sz="8" w:color="BFBFBF"/>
            </w:tcBorders>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40" w:type="dxa"/>
            <w:vAlign w:val="bottom"/>
            <w:tcBorders>
              <w:left w:val="single" w:sz="8" w:color="BFBFBF"/>
            </w:tcBorders>
            <w:gridSpan w:val="2"/>
            <w:vMerge w:val="continue"/>
          </w:tcPr>
          <w:p>
            <w:pPr>
              <w:spacing w:after="0"/>
              <w:rPr>
                <w:sz w:val="11"/>
                <w:szCs w:val="11"/>
                <w:color w:val="auto"/>
              </w:rPr>
            </w:pPr>
          </w:p>
        </w:tc>
        <w:tc>
          <w:tcPr>
            <w:tcW w:w="1280" w:type="dxa"/>
            <w:vAlign w:val="bottom"/>
            <w:tcBorders>
              <w:right w:val="single" w:sz="8" w:color="BFBFBF"/>
            </w:tcBorders>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720" w:type="dxa"/>
            <w:vAlign w:val="bottom"/>
            <w:tcBorders>
              <w:right w:val="single" w:sz="8" w:color="BFBFBF"/>
            </w:tcBorders>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restart"/>
          </w:tcPr>
          <w:p>
            <w:pPr>
              <w:spacing w:after="0" w:line="200" w:lineRule="exact"/>
              <w:rPr>
                <w:sz w:val="20"/>
                <w:szCs w:val="20"/>
                <w:color w:val="auto"/>
              </w:rPr>
            </w:pPr>
            <w:r>
              <w:rPr>
                <w:rFonts w:ascii="Arial" w:cs="Arial" w:eastAsia="Arial" w:hAnsi="Arial"/>
                <w:sz w:val="18"/>
                <w:szCs w:val="18"/>
                <w:color w:val="auto"/>
              </w:rPr>
              <w:t>have no effect</w:t>
            </w:r>
          </w:p>
        </w:tc>
        <w:tc>
          <w:tcPr>
            <w:tcW w:w="460" w:type="dxa"/>
            <w:vAlign w:val="bottom"/>
          </w:tcPr>
          <w:p>
            <w:pPr>
              <w:spacing w:after="0"/>
              <w:rPr>
                <w:sz w:val="11"/>
                <w:szCs w:val="11"/>
                <w:color w:val="auto"/>
              </w:rPr>
            </w:pPr>
          </w:p>
        </w:tc>
        <w:tc>
          <w:tcPr>
            <w:tcW w:w="560" w:type="dxa"/>
            <w:vAlign w:val="bottom"/>
            <w:tcBorders>
              <w:right w:val="single" w:sz="8" w:color="BFBFBF"/>
            </w:tcBorders>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BFBFBF"/>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1840" w:type="dxa"/>
            <w:vAlign w:val="bottom"/>
            <w:tcBorders>
              <w:left w:val="single" w:sz="8" w:color="BFBFBF"/>
              <w:bottom w:val="single" w:sz="8" w:color="BFBFBF"/>
            </w:tcBorders>
          </w:tcPr>
          <w:p>
            <w:pPr>
              <w:spacing w:after="0"/>
              <w:rPr>
                <w:sz w:val="6"/>
                <w:szCs w:val="6"/>
                <w:color w:val="auto"/>
              </w:rPr>
            </w:pPr>
          </w:p>
        </w:tc>
        <w:tc>
          <w:tcPr>
            <w:tcW w:w="100" w:type="dxa"/>
            <w:vAlign w:val="bottom"/>
            <w:tcBorders>
              <w:bottom w:val="single" w:sz="8" w:color="BFBFBF"/>
            </w:tcBorders>
          </w:tcPr>
          <w:p>
            <w:pPr>
              <w:spacing w:after="0"/>
              <w:rPr>
                <w:sz w:val="6"/>
                <w:szCs w:val="6"/>
                <w:color w:val="auto"/>
              </w:rPr>
            </w:pPr>
          </w:p>
        </w:tc>
        <w:tc>
          <w:tcPr>
            <w:tcW w:w="1280" w:type="dxa"/>
            <w:vAlign w:val="bottom"/>
            <w:tcBorders>
              <w:bottom w:val="single" w:sz="8" w:color="BFBFBF"/>
              <w:right w:val="single" w:sz="8" w:color="BFBFBF"/>
            </w:tcBorders>
          </w:tcPr>
          <w:p>
            <w:pPr>
              <w:spacing w:after="0"/>
              <w:rPr>
                <w:sz w:val="6"/>
                <w:szCs w:val="6"/>
                <w:color w:val="auto"/>
              </w:rPr>
            </w:pPr>
          </w:p>
        </w:tc>
        <w:tc>
          <w:tcPr>
            <w:tcW w:w="80" w:type="dxa"/>
            <w:vAlign w:val="bottom"/>
            <w:tcBorders>
              <w:bottom w:val="single" w:sz="8" w:color="BFBFBF"/>
            </w:tcBorders>
          </w:tcPr>
          <w:p>
            <w:pPr>
              <w:spacing w:after="0"/>
              <w:rPr>
                <w:sz w:val="6"/>
                <w:szCs w:val="6"/>
                <w:color w:val="auto"/>
              </w:rPr>
            </w:pPr>
          </w:p>
        </w:tc>
        <w:tc>
          <w:tcPr>
            <w:tcW w:w="1060" w:type="dxa"/>
            <w:vAlign w:val="bottom"/>
            <w:tcBorders>
              <w:bottom w:val="single" w:sz="8" w:color="BFBFBF"/>
            </w:tcBorders>
          </w:tcPr>
          <w:p>
            <w:pPr>
              <w:spacing w:after="0"/>
              <w:rPr>
                <w:sz w:val="6"/>
                <w:szCs w:val="6"/>
                <w:color w:val="auto"/>
              </w:rPr>
            </w:pPr>
          </w:p>
        </w:tc>
        <w:tc>
          <w:tcPr>
            <w:tcW w:w="640" w:type="dxa"/>
            <w:vAlign w:val="bottom"/>
            <w:tcBorders>
              <w:bottom w:val="single" w:sz="8" w:color="BFBFBF"/>
            </w:tcBorders>
          </w:tcPr>
          <w:p>
            <w:pPr>
              <w:spacing w:after="0"/>
              <w:rPr>
                <w:sz w:val="6"/>
                <w:szCs w:val="6"/>
                <w:color w:val="auto"/>
              </w:rPr>
            </w:pPr>
          </w:p>
        </w:tc>
        <w:tc>
          <w:tcPr>
            <w:tcW w:w="720" w:type="dxa"/>
            <w:vAlign w:val="bottom"/>
            <w:tcBorders>
              <w:bottom w:val="single" w:sz="8" w:color="BFBFBF"/>
              <w:right w:val="single" w:sz="8" w:color="BFBFBF"/>
            </w:tcBorders>
          </w:tcPr>
          <w:p>
            <w:pPr>
              <w:spacing w:after="0"/>
              <w:rPr>
                <w:sz w:val="6"/>
                <w:szCs w:val="6"/>
                <w:color w:val="auto"/>
              </w:rPr>
            </w:pPr>
          </w:p>
        </w:tc>
        <w:tc>
          <w:tcPr>
            <w:tcW w:w="80" w:type="dxa"/>
            <w:vAlign w:val="bottom"/>
            <w:tcBorders>
              <w:bottom w:val="single" w:sz="8" w:color="BFBFBF"/>
            </w:tcBorders>
          </w:tcPr>
          <w:p>
            <w:pPr>
              <w:spacing w:after="0"/>
              <w:rPr>
                <w:sz w:val="6"/>
                <w:szCs w:val="6"/>
                <w:color w:val="auto"/>
              </w:rPr>
            </w:pPr>
          </w:p>
        </w:tc>
        <w:tc>
          <w:tcPr>
            <w:tcW w:w="1160" w:type="dxa"/>
            <w:vAlign w:val="bottom"/>
            <w:tcBorders>
              <w:bottom w:val="single" w:sz="8" w:color="BFBFBF"/>
            </w:tcBorders>
            <w:gridSpan w:val="2"/>
            <w:vMerge w:val="continue"/>
          </w:tcPr>
          <w:p>
            <w:pPr>
              <w:spacing w:after="0"/>
              <w:rPr>
                <w:sz w:val="6"/>
                <w:szCs w:val="6"/>
                <w:color w:val="auto"/>
              </w:rPr>
            </w:pPr>
          </w:p>
        </w:tc>
        <w:tc>
          <w:tcPr>
            <w:tcW w:w="460" w:type="dxa"/>
            <w:vAlign w:val="bottom"/>
            <w:tcBorders>
              <w:bottom w:val="single" w:sz="8" w:color="BFBFBF"/>
            </w:tcBorders>
          </w:tcPr>
          <w:p>
            <w:pPr>
              <w:spacing w:after="0"/>
              <w:rPr>
                <w:sz w:val="6"/>
                <w:szCs w:val="6"/>
                <w:color w:val="auto"/>
              </w:rPr>
            </w:pPr>
          </w:p>
        </w:tc>
        <w:tc>
          <w:tcPr>
            <w:tcW w:w="560" w:type="dxa"/>
            <w:vAlign w:val="bottom"/>
            <w:tcBorders>
              <w:bottom w:val="single" w:sz="8" w:color="BFBFBF"/>
              <w:right w:val="single" w:sz="8" w:color="BFBFBF"/>
            </w:tcBorders>
          </w:tcPr>
          <w:p>
            <w:pPr>
              <w:spacing w:after="0"/>
              <w:rPr>
                <w:sz w:val="6"/>
                <w:szCs w:val="6"/>
                <w:color w:val="auto"/>
              </w:rPr>
            </w:pPr>
          </w:p>
        </w:tc>
        <w:tc>
          <w:tcPr>
            <w:tcW w:w="120" w:type="dxa"/>
            <w:vAlign w:val="bottom"/>
            <w:tcBorders>
              <w:bottom w:val="single" w:sz="8" w:color="BFBFBF"/>
            </w:tcBorders>
          </w:tcPr>
          <w:p>
            <w:pPr>
              <w:spacing w:after="0"/>
              <w:rPr>
                <w:sz w:val="6"/>
                <w:szCs w:val="6"/>
                <w:color w:val="auto"/>
              </w:rPr>
            </w:pPr>
          </w:p>
        </w:tc>
        <w:tc>
          <w:tcPr>
            <w:tcW w:w="1060" w:type="dxa"/>
            <w:vAlign w:val="bottom"/>
            <w:tcBorders>
              <w:bottom w:val="single" w:sz="8" w:color="BFBFBF"/>
            </w:tcBorders>
          </w:tcPr>
          <w:p>
            <w:pPr>
              <w:spacing w:after="0"/>
              <w:rPr>
                <w:sz w:val="6"/>
                <w:szCs w:val="6"/>
                <w:color w:val="auto"/>
              </w:rPr>
            </w:pPr>
          </w:p>
        </w:tc>
        <w:tc>
          <w:tcPr>
            <w:tcW w:w="120" w:type="dxa"/>
            <w:vAlign w:val="bottom"/>
            <w:tcBorders>
              <w:bottom w:val="single" w:sz="8" w:color="BFBFBF"/>
            </w:tcBorders>
          </w:tcPr>
          <w:p>
            <w:pPr>
              <w:spacing w:after="0"/>
              <w:rPr>
                <w:sz w:val="6"/>
                <w:szCs w:val="6"/>
                <w:color w:val="auto"/>
              </w:rPr>
            </w:pPr>
          </w:p>
        </w:tc>
        <w:tc>
          <w:tcPr>
            <w:tcW w:w="1000" w:type="dxa"/>
            <w:vAlign w:val="bottom"/>
            <w:tcBorders>
              <w:bottom w:val="single" w:sz="8" w:color="BFBFBF"/>
              <w:right w:val="single" w:sz="8" w:color="BFBFBF"/>
            </w:tcBorders>
          </w:tcPr>
          <w:p>
            <w:pPr>
              <w:spacing w:after="0"/>
              <w:rPr>
                <w:sz w:val="6"/>
                <w:szCs w:val="6"/>
                <w:color w:val="auto"/>
              </w:rPr>
            </w:pPr>
          </w:p>
        </w:tc>
        <w:tc>
          <w:tcPr>
            <w:tcW w:w="120" w:type="dxa"/>
            <w:vAlign w:val="bottom"/>
            <w:tcBorders>
              <w:bottom w:val="single" w:sz="8" w:color="BFBFBF"/>
            </w:tcBorders>
          </w:tcPr>
          <w:p>
            <w:pPr>
              <w:spacing w:after="0"/>
              <w:rPr>
                <w:sz w:val="6"/>
                <w:szCs w:val="6"/>
                <w:color w:val="auto"/>
              </w:rPr>
            </w:pPr>
          </w:p>
        </w:tc>
        <w:tc>
          <w:tcPr>
            <w:tcW w:w="1040" w:type="dxa"/>
            <w:vAlign w:val="bottom"/>
            <w:tcBorders>
              <w:bottom w:val="single" w:sz="8" w:color="BFBFBF"/>
              <w:right w:val="single" w:sz="8" w:color="BFBFBF"/>
            </w:tcBorders>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3220" w:type="dxa"/>
            <w:vAlign w:val="bottom"/>
            <w:tcBorders>
              <w:left w:val="single" w:sz="8" w:color="BFBFBF"/>
              <w:right w:val="single" w:sz="8" w:color="BFBFBF"/>
            </w:tcBorders>
            <w:gridSpan w:val="3"/>
            <w:shd w:val="clear" w:color="auto" w:fill="DDEFF3"/>
          </w:tcPr>
          <w:p>
            <w:pPr>
              <w:ind w:left="120"/>
              <w:spacing w:after="0" w:line="200" w:lineRule="exact"/>
              <w:rPr>
                <w:sz w:val="20"/>
                <w:szCs w:val="20"/>
                <w:color w:val="auto"/>
              </w:rPr>
            </w:pPr>
            <w:r>
              <w:rPr>
                <w:rFonts w:ascii="Arial" w:cs="Arial" w:eastAsia="Arial" w:hAnsi="Arial"/>
                <w:sz w:val="18"/>
                <w:szCs w:val="18"/>
                <w:color w:val="auto"/>
              </w:rPr>
              <w:t>Approval of an amendment of</w:t>
            </w:r>
          </w:p>
        </w:tc>
        <w:tc>
          <w:tcPr>
            <w:tcW w:w="80" w:type="dxa"/>
            <w:vAlign w:val="bottom"/>
            <w:shd w:val="clear" w:color="auto" w:fill="DDEFF3"/>
          </w:tcPr>
          <w:p>
            <w:pPr>
              <w:spacing w:after="0"/>
              <w:rPr>
                <w:sz w:val="17"/>
                <w:szCs w:val="17"/>
                <w:color w:val="auto"/>
              </w:rPr>
            </w:pPr>
          </w:p>
        </w:tc>
        <w:tc>
          <w:tcPr>
            <w:tcW w:w="2420" w:type="dxa"/>
            <w:vAlign w:val="bottom"/>
            <w:tcBorders>
              <w:right w:val="single" w:sz="8" w:color="BFBFBF"/>
            </w:tcBorders>
            <w:gridSpan w:val="3"/>
            <w:vMerge w:val="restart"/>
            <w:shd w:val="clear" w:color="auto" w:fill="DDEFF3"/>
          </w:tcPr>
          <w:p>
            <w:pPr>
              <w:spacing w:after="0"/>
              <w:rPr>
                <w:sz w:val="20"/>
                <w:szCs w:val="20"/>
                <w:color w:val="auto"/>
              </w:rPr>
            </w:pPr>
            <w:r>
              <w:rPr>
                <w:rFonts w:ascii="Arial" w:cs="Arial" w:eastAsia="Arial" w:hAnsi="Arial"/>
                <w:sz w:val="18"/>
                <w:szCs w:val="18"/>
                <w:color w:val="auto"/>
              </w:rPr>
              <w:t>At least 66 2/3% of the total</w:t>
            </w:r>
          </w:p>
        </w:tc>
        <w:tc>
          <w:tcPr>
            <w:tcW w:w="80" w:type="dxa"/>
            <w:vAlign w:val="bottom"/>
            <w:shd w:val="clear" w:color="auto" w:fill="DDEFF3"/>
          </w:tcPr>
          <w:p>
            <w:pPr>
              <w:spacing w:after="0"/>
              <w:rPr>
                <w:sz w:val="17"/>
                <w:szCs w:val="17"/>
                <w:color w:val="auto"/>
              </w:rPr>
            </w:pPr>
          </w:p>
        </w:tc>
        <w:tc>
          <w:tcPr>
            <w:tcW w:w="1080" w:type="dxa"/>
            <w:vAlign w:val="bottom"/>
            <w:tcBorders>
              <w:right w:val="single" w:sz="8" w:color="DDEFF3"/>
            </w:tcBorders>
            <w:shd w:val="clear" w:color="auto" w:fill="DDEFF3"/>
          </w:tcPr>
          <w:p>
            <w:pPr>
              <w:spacing w:after="0"/>
              <w:rPr>
                <w:sz w:val="17"/>
                <w:szCs w:val="17"/>
                <w:color w:val="auto"/>
              </w:rPr>
            </w:pPr>
          </w:p>
        </w:tc>
        <w:tc>
          <w:tcPr>
            <w:tcW w:w="80" w:type="dxa"/>
            <w:vAlign w:val="bottom"/>
            <w:shd w:val="clear" w:color="auto" w:fill="DDEFF3"/>
          </w:tcPr>
          <w:p>
            <w:pPr>
              <w:spacing w:after="0"/>
              <w:rPr>
                <w:sz w:val="17"/>
                <w:szCs w:val="17"/>
                <w:color w:val="auto"/>
              </w:rPr>
            </w:pPr>
          </w:p>
        </w:tc>
        <w:tc>
          <w:tcPr>
            <w:tcW w:w="460" w:type="dxa"/>
            <w:vAlign w:val="bottom"/>
            <w:shd w:val="clear" w:color="auto" w:fill="DDEFF3"/>
          </w:tcPr>
          <w:p>
            <w:pPr>
              <w:spacing w:after="0"/>
              <w:rPr>
                <w:sz w:val="17"/>
                <w:szCs w:val="17"/>
                <w:color w:val="auto"/>
              </w:rPr>
            </w:pPr>
          </w:p>
        </w:tc>
        <w:tc>
          <w:tcPr>
            <w:tcW w:w="560" w:type="dxa"/>
            <w:vAlign w:val="bottom"/>
            <w:tcBorders>
              <w:right w:val="single" w:sz="8" w:color="BFBFBF"/>
            </w:tcBorders>
            <w:shd w:val="clear" w:color="auto" w:fill="DDEFF3"/>
          </w:tcPr>
          <w:p>
            <w:pPr>
              <w:spacing w:after="0"/>
              <w:rPr>
                <w:sz w:val="17"/>
                <w:szCs w:val="17"/>
                <w:color w:val="auto"/>
              </w:rPr>
            </w:pPr>
          </w:p>
        </w:tc>
        <w:tc>
          <w:tcPr>
            <w:tcW w:w="120" w:type="dxa"/>
            <w:vAlign w:val="bottom"/>
            <w:shd w:val="clear" w:color="auto" w:fill="DDEFF3"/>
          </w:tcPr>
          <w:p>
            <w:pPr>
              <w:spacing w:after="0"/>
              <w:rPr>
                <w:sz w:val="17"/>
                <w:szCs w:val="17"/>
                <w:color w:val="auto"/>
              </w:rPr>
            </w:pPr>
          </w:p>
        </w:tc>
        <w:tc>
          <w:tcPr>
            <w:tcW w:w="1060" w:type="dxa"/>
            <w:vAlign w:val="bottom"/>
            <w:tcBorders>
              <w:right w:val="single" w:sz="8" w:color="DDEFF3"/>
            </w:tcBorders>
            <w:shd w:val="clear" w:color="auto" w:fill="DDEFF3"/>
          </w:tcPr>
          <w:p>
            <w:pPr>
              <w:spacing w:after="0"/>
              <w:rPr>
                <w:sz w:val="17"/>
                <w:szCs w:val="17"/>
                <w:color w:val="auto"/>
              </w:rPr>
            </w:pPr>
          </w:p>
        </w:tc>
        <w:tc>
          <w:tcPr>
            <w:tcW w:w="120" w:type="dxa"/>
            <w:vAlign w:val="bottom"/>
            <w:shd w:val="clear" w:color="auto" w:fill="DDEFF3"/>
          </w:tcPr>
          <w:p>
            <w:pPr>
              <w:spacing w:after="0"/>
              <w:rPr>
                <w:sz w:val="17"/>
                <w:szCs w:val="17"/>
                <w:color w:val="auto"/>
              </w:rPr>
            </w:pPr>
          </w:p>
        </w:tc>
        <w:tc>
          <w:tcPr>
            <w:tcW w:w="1000" w:type="dxa"/>
            <w:vAlign w:val="bottom"/>
            <w:tcBorders>
              <w:right w:val="single" w:sz="8" w:color="BFBFBF"/>
            </w:tcBorders>
            <w:shd w:val="clear" w:color="auto" w:fill="DDEFF3"/>
          </w:tcPr>
          <w:p>
            <w:pPr>
              <w:spacing w:after="0"/>
              <w:rPr>
                <w:sz w:val="17"/>
                <w:szCs w:val="17"/>
                <w:color w:val="auto"/>
              </w:rPr>
            </w:pPr>
          </w:p>
        </w:tc>
        <w:tc>
          <w:tcPr>
            <w:tcW w:w="120" w:type="dxa"/>
            <w:vAlign w:val="bottom"/>
            <w:shd w:val="clear" w:color="auto" w:fill="DDEFF3"/>
          </w:tcPr>
          <w:p>
            <w:pPr>
              <w:spacing w:after="0"/>
              <w:rPr>
                <w:sz w:val="17"/>
                <w:szCs w:val="17"/>
                <w:color w:val="auto"/>
              </w:rPr>
            </w:pPr>
          </w:p>
        </w:tc>
        <w:tc>
          <w:tcPr>
            <w:tcW w:w="1040" w:type="dxa"/>
            <w:vAlign w:val="bottom"/>
            <w:tcBorders>
              <w:right w:val="single" w:sz="8" w:color="BFBFBF"/>
            </w:tcBorders>
            <w:shd w:val="clear" w:color="auto" w:fill="DDEFF3"/>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220" w:type="dxa"/>
            <w:vAlign w:val="bottom"/>
            <w:tcBorders>
              <w:left w:val="single" w:sz="8" w:color="BFBFBF"/>
              <w:right w:val="single" w:sz="8" w:color="BFBFBF"/>
            </w:tcBorders>
            <w:gridSpan w:val="3"/>
            <w:vMerge w:val="restart"/>
            <w:shd w:val="clear" w:color="auto" w:fill="DDEFF3"/>
          </w:tcPr>
          <w:p>
            <w:pPr>
              <w:ind w:left="120"/>
              <w:spacing w:after="0"/>
              <w:rPr>
                <w:sz w:val="20"/>
                <w:szCs w:val="20"/>
                <w:color w:val="auto"/>
              </w:rPr>
            </w:pPr>
            <w:r>
              <w:rPr>
                <w:rFonts w:ascii="Arial" w:cs="Arial" w:eastAsia="Arial" w:hAnsi="Arial"/>
                <w:sz w:val="18"/>
                <w:szCs w:val="18"/>
                <w:color w:val="auto"/>
                <w:w w:val="99"/>
              </w:rPr>
              <w:t>NASDAQ OMX’s restated certificate of</w:t>
            </w:r>
          </w:p>
        </w:tc>
        <w:tc>
          <w:tcPr>
            <w:tcW w:w="80" w:type="dxa"/>
            <w:vAlign w:val="bottom"/>
            <w:shd w:val="clear" w:color="auto" w:fill="DDEFF3"/>
          </w:tcPr>
          <w:p>
            <w:pPr>
              <w:spacing w:after="0"/>
              <w:rPr>
                <w:sz w:val="8"/>
                <w:szCs w:val="8"/>
                <w:color w:val="auto"/>
              </w:rPr>
            </w:pPr>
          </w:p>
        </w:tc>
        <w:tc>
          <w:tcPr>
            <w:tcW w:w="2420" w:type="dxa"/>
            <w:vAlign w:val="bottom"/>
            <w:tcBorders>
              <w:right w:val="single" w:sz="8" w:color="BFBFBF"/>
            </w:tcBorders>
            <w:gridSpan w:val="3"/>
            <w:vMerge w:val="continue"/>
            <w:shd w:val="clear" w:color="auto" w:fill="DDEFF3"/>
          </w:tcPr>
          <w:p>
            <w:pPr>
              <w:spacing w:after="0"/>
              <w:rPr>
                <w:sz w:val="8"/>
                <w:szCs w:val="8"/>
                <w:color w:val="auto"/>
              </w:rPr>
            </w:pPr>
          </w:p>
        </w:tc>
        <w:tc>
          <w:tcPr>
            <w:tcW w:w="80" w:type="dxa"/>
            <w:vAlign w:val="bottom"/>
            <w:shd w:val="clear" w:color="auto" w:fill="DDEFF3"/>
          </w:tcPr>
          <w:p>
            <w:pPr>
              <w:spacing w:after="0"/>
              <w:rPr>
                <w:sz w:val="8"/>
                <w:szCs w:val="8"/>
                <w:color w:val="auto"/>
              </w:rPr>
            </w:pPr>
          </w:p>
        </w:tc>
        <w:tc>
          <w:tcPr>
            <w:tcW w:w="2180" w:type="dxa"/>
            <w:vAlign w:val="bottom"/>
            <w:tcBorders>
              <w:right w:val="single" w:sz="8" w:color="BFBFBF"/>
            </w:tcBorders>
            <w:gridSpan w:val="4"/>
            <w:vMerge w:val="restart"/>
            <w:shd w:val="clear" w:color="auto" w:fill="DDEFF3"/>
          </w:tcPr>
          <w:p>
            <w:pPr>
              <w:spacing w:after="0"/>
              <w:rPr>
                <w:sz w:val="20"/>
                <w:szCs w:val="20"/>
                <w:color w:val="auto"/>
              </w:rPr>
            </w:pPr>
            <w:r>
              <w:rPr>
                <w:rFonts w:ascii="Arial" w:cs="Arial" w:eastAsia="Arial" w:hAnsi="Arial"/>
                <w:sz w:val="18"/>
                <w:szCs w:val="18"/>
                <w:color w:val="auto"/>
              </w:rPr>
              <w:t>Have the effect of a vote</w:t>
            </w:r>
          </w:p>
        </w:tc>
        <w:tc>
          <w:tcPr>
            <w:tcW w:w="120" w:type="dxa"/>
            <w:vAlign w:val="bottom"/>
            <w:shd w:val="clear" w:color="auto" w:fill="DDEFF3"/>
          </w:tcPr>
          <w:p>
            <w:pPr>
              <w:spacing w:after="0"/>
              <w:rPr>
                <w:sz w:val="8"/>
                <w:szCs w:val="8"/>
                <w:color w:val="auto"/>
              </w:rPr>
            </w:pPr>
          </w:p>
        </w:tc>
        <w:tc>
          <w:tcPr>
            <w:tcW w:w="1060" w:type="dxa"/>
            <w:vAlign w:val="bottom"/>
            <w:tcBorders>
              <w:right w:val="single" w:sz="8" w:color="DDEFF3"/>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00" w:type="dxa"/>
            <w:vAlign w:val="bottom"/>
            <w:tcBorders>
              <w:right w:val="single" w:sz="8" w:color="BFBFBF"/>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40" w:type="dxa"/>
            <w:vAlign w:val="bottom"/>
            <w:tcBorders>
              <w:right w:val="single" w:sz="8" w:color="BFBFBF"/>
            </w:tcBorders>
            <w:shd w:val="clear" w:color="auto" w:fill="DDEFF3"/>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3220" w:type="dxa"/>
            <w:vAlign w:val="bottom"/>
            <w:tcBorders>
              <w:left w:val="single" w:sz="8" w:color="BFBFBF"/>
              <w:right w:val="single" w:sz="8" w:color="BFBFBF"/>
            </w:tcBorders>
            <w:gridSpan w:val="3"/>
            <w:vMerge w:val="continue"/>
            <w:shd w:val="clear" w:color="auto" w:fill="DDEFF3"/>
          </w:tcPr>
          <w:p>
            <w:pPr>
              <w:spacing w:after="0"/>
              <w:rPr>
                <w:sz w:val="13"/>
                <w:szCs w:val="13"/>
                <w:color w:val="auto"/>
              </w:rPr>
            </w:pPr>
          </w:p>
        </w:tc>
        <w:tc>
          <w:tcPr>
            <w:tcW w:w="80" w:type="dxa"/>
            <w:vAlign w:val="bottom"/>
            <w:shd w:val="clear" w:color="auto" w:fill="DDEFF3"/>
          </w:tcPr>
          <w:p>
            <w:pPr>
              <w:spacing w:after="0"/>
              <w:rPr>
                <w:sz w:val="13"/>
                <w:szCs w:val="13"/>
                <w:color w:val="auto"/>
              </w:rPr>
            </w:pPr>
          </w:p>
        </w:tc>
        <w:tc>
          <w:tcPr>
            <w:tcW w:w="2420" w:type="dxa"/>
            <w:vAlign w:val="bottom"/>
            <w:tcBorders>
              <w:right w:val="single" w:sz="8" w:color="BFBFBF"/>
            </w:tcBorders>
            <w:gridSpan w:val="3"/>
            <w:shd w:val="clear" w:color="auto" w:fill="DDEFF3"/>
          </w:tcPr>
          <w:p>
            <w:pPr>
              <w:spacing w:after="0" w:line="159" w:lineRule="exact"/>
              <w:rPr>
                <w:sz w:val="20"/>
                <w:szCs w:val="20"/>
                <w:color w:val="auto"/>
              </w:rPr>
            </w:pPr>
            <w:r>
              <w:rPr>
                <w:rFonts w:ascii="Arial" w:cs="Arial" w:eastAsia="Arial" w:hAnsi="Arial"/>
                <w:sz w:val="18"/>
                <w:szCs w:val="18"/>
                <w:color w:val="auto"/>
              </w:rPr>
              <w:t>voting power of NASDAQ</w:t>
            </w:r>
          </w:p>
        </w:tc>
        <w:tc>
          <w:tcPr>
            <w:tcW w:w="80" w:type="dxa"/>
            <w:vAlign w:val="bottom"/>
            <w:shd w:val="clear" w:color="auto" w:fill="DDEFF3"/>
          </w:tcPr>
          <w:p>
            <w:pPr>
              <w:spacing w:after="0"/>
              <w:rPr>
                <w:sz w:val="13"/>
                <w:szCs w:val="13"/>
                <w:color w:val="auto"/>
              </w:rPr>
            </w:pPr>
          </w:p>
        </w:tc>
        <w:tc>
          <w:tcPr>
            <w:tcW w:w="2180" w:type="dxa"/>
            <w:vAlign w:val="bottom"/>
            <w:tcBorders>
              <w:right w:val="single" w:sz="8" w:color="BFBFBF"/>
            </w:tcBorders>
            <w:gridSpan w:val="4"/>
            <w:vMerge w:val="continue"/>
            <w:shd w:val="clear" w:color="auto" w:fill="DDEFF3"/>
          </w:tcPr>
          <w:p>
            <w:pPr>
              <w:spacing w:after="0"/>
              <w:rPr>
                <w:sz w:val="13"/>
                <w:szCs w:val="13"/>
                <w:color w:val="auto"/>
              </w:rPr>
            </w:pPr>
          </w:p>
        </w:tc>
        <w:tc>
          <w:tcPr>
            <w:tcW w:w="1300" w:type="dxa"/>
            <w:vAlign w:val="bottom"/>
            <w:gridSpan w:val="3"/>
            <w:shd w:val="clear" w:color="auto" w:fill="DDEFF3"/>
          </w:tcPr>
          <w:p>
            <w:pPr>
              <w:ind w:left="120"/>
              <w:spacing w:after="0" w:line="159" w:lineRule="exact"/>
              <w:rPr>
                <w:sz w:val="20"/>
                <w:szCs w:val="20"/>
                <w:color w:val="auto"/>
              </w:rPr>
            </w:pPr>
            <w:r>
              <w:rPr>
                <w:rFonts w:ascii="Arial" w:cs="Arial" w:eastAsia="Arial" w:hAnsi="Arial"/>
                <w:sz w:val="18"/>
                <w:szCs w:val="18"/>
                <w:color w:val="auto"/>
              </w:rPr>
              <w:t>FOR</w:t>
            </w:r>
          </w:p>
        </w:tc>
        <w:tc>
          <w:tcPr>
            <w:tcW w:w="1000" w:type="dxa"/>
            <w:vAlign w:val="bottom"/>
            <w:tcBorders>
              <w:right w:val="single" w:sz="8" w:color="BFBFBF"/>
            </w:tcBorders>
            <w:shd w:val="clear" w:color="auto" w:fill="DDEFF3"/>
          </w:tcPr>
          <w:p>
            <w:pPr>
              <w:spacing w:after="0"/>
              <w:rPr>
                <w:sz w:val="13"/>
                <w:szCs w:val="13"/>
                <w:color w:val="auto"/>
              </w:rPr>
            </w:pPr>
          </w:p>
        </w:tc>
        <w:tc>
          <w:tcPr>
            <w:tcW w:w="1160" w:type="dxa"/>
            <w:vAlign w:val="bottom"/>
            <w:tcBorders>
              <w:right w:val="single" w:sz="8" w:color="BFBFBF"/>
            </w:tcBorders>
            <w:gridSpan w:val="2"/>
            <w:shd w:val="clear" w:color="auto" w:fill="DDEFF3"/>
          </w:tcPr>
          <w:p>
            <w:pPr>
              <w:jc w:val="right"/>
              <w:ind w:right="572"/>
              <w:spacing w:after="0" w:line="15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52"/>
        </w:trPr>
        <w:tc>
          <w:tcPr>
            <w:tcW w:w="3220" w:type="dxa"/>
            <w:vAlign w:val="bottom"/>
            <w:tcBorders>
              <w:left w:val="single" w:sz="8" w:color="BFBFBF"/>
              <w:right w:val="single" w:sz="8" w:color="BFBFBF"/>
            </w:tcBorders>
            <w:gridSpan w:val="3"/>
            <w:shd w:val="clear" w:color="auto" w:fill="DDEFF3"/>
          </w:tcPr>
          <w:p>
            <w:pPr>
              <w:ind w:left="120"/>
              <w:spacing w:after="0" w:line="152" w:lineRule="exact"/>
              <w:rPr>
                <w:sz w:val="20"/>
                <w:szCs w:val="20"/>
                <w:color w:val="auto"/>
              </w:rPr>
            </w:pPr>
            <w:r>
              <w:rPr>
                <w:rFonts w:ascii="Arial" w:cs="Arial" w:eastAsia="Arial" w:hAnsi="Arial"/>
                <w:sz w:val="16"/>
                <w:szCs w:val="16"/>
                <w:color w:val="auto"/>
              </w:rPr>
              <w:t>incorporation to remove and replace</w:t>
            </w:r>
          </w:p>
        </w:tc>
        <w:tc>
          <w:tcPr>
            <w:tcW w:w="80" w:type="dxa"/>
            <w:vAlign w:val="bottom"/>
            <w:shd w:val="clear" w:color="auto" w:fill="DDEFF3"/>
          </w:tcPr>
          <w:p>
            <w:pPr>
              <w:spacing w:after="0"/>
              <w:rPr>
                <w:sz w:val="13"/>
                <w:szCs w:val="13"/>
                <w:color w:val="auto"/>
              </w:rPr>
            </w:pPr>
          </w:p>
        </w:tc>
        <w:tc>
          <w:tcPr>
            <w:tcW w:w="1700" w:type="dxa"/>
            <w:vAlign w:val="bottom"/>
            <w:gridSpan w:val="2"/>
            <w:vMerge w:val="restart"/>
            <w:shd w:val="clear" w:color="auto" w:fill="DDEFF3"/>
          </w:tcPr>
          <w:p>
            <w:pPr>
              <w:spacing w:after="0"/>
              <w:rPr>
                <w:sz w:val="20"/>
                <w:szCs w:val="20"/>
                <w:color w:val="auto"/>
              </w:rPr>
            </w:pPr>
            <w:r>
              <w:rPr>
                <w:rFonts w:ascii="Arial" w:cs="Arial" w:eastAsia="Arial" w:hAnsi="Arial"/>
                <w:sz w:val="18"/>
                <w:szCs w:val="18"/>
                <w:color w:val="auto"/>
                <w:w w:val="95"/>
              </w:rPr>
              <w:t>OMX’s common stock</w:t>
            </w:r>
          </w:p>
        </w:tc>
        <w:tc>
          <w:tcPr>
            <w:tcW w:w="720" w:type="dxa"/>
            <w:vAlign w:val="bottom"/>
            <w:tcBorders>
              <w:right w:val="single" w:sz="8" w:color="BFBFBF"/>
            </w:tcBorders>
            <w:shd w:val="clear" w:color="auto" w:fill="DDEFF3"/>
          </w:tcPr>
          <w:p>
            <w:pPr>
              <w:spacing w:after="0"/>
              <w:rPr>
                <w:sz w:val="13"/>
                <w:szCs w:val="13"/>
                <w:color w:val="auto"/>
              </w:rPr>
            </w:pPr>
          </w:p>
        </w:tc>
        <w:tc>
          <w:tcPr>
            <w:tcW w:w="80" w:type="dxa"/>
            <w:vAlign w:val="bottom"/>
            <w:shd w:val="clear" w:color="auto" w:fill="DDEFF3"/>
          </w:tcPr>
          <w:p>
            <w:pPr>
              <w:spacing w:after="0"/>
              <w:rPr>
                <w:sz w:val="13"/>
                <w:szCs w:val="13"/>
                <w:color w:val="auto"/>
              </w:rPr>
            </w:pPr>
          </w:p>
        </w:tc>
        <w:tc>
          <w:tcPr>
            <w:tcW w:w="1620" w:type="dxa"/>
            <w:vAlign w:val="bottom"/>
            <w:gridSpan w:val="3"/>
            <w:shd w:val="clear" w:color="auto" w:fill="DDEFF3"/>
          </w:tcPr>
          <w:p>
            <w:pPr>
              <w:spacing w:after="0" w:line="152" w:lineRule="exact"/>
              <w:rPr>
                <w:sz w:val="20"/>
                <w:szCs w:val="20"/>
                <w:color w:val="auto"/>
              </w:rPr>
            </w:pPr>
            <w:r>
              <w:rPr>
                <w:rFonts w:ascii="Arial" w:cs="Arial" w:eastAsia="Arial" w:hAnsi="Arial"/>
                <w:sz w:val="16"/>
                <w:szCs w:val="16"/>
                <w:color w:val="auto"/>
              </w:rPr>
              <w:t>against the proposal</w:t>
            </w:r>
          </w:p>
        </w:tc>
        <w:tc>
          <w:tcPr>
            <w:tcW w:w="560" w:type="dxa"/>
            <w:vAlign w:val="bottom"/>
            <w:tcBorders>
              <w:right w:val="single" w:sz="8" w:color="BFBFBF"/>
            </w:tcBorders>
            <w:shd w:val="clear" w:color="auto" w:fill="DDEFF3"/>
          </w:tcPr>
          <w:p>
            <w:pPr>
              <w:spacing w:after="0"/>
              <w:rPr>
                <w:sz w:val="13"/>
                <w:szCs w:val="13"/>
                <w:color w:val="auto"/>
              </w:rPr>
            </w:pPr>
          </w:p>
        </w:tc>
        <w:tc>
          <w:tcPr>
            <w:tcW w:w="120" w:type="dxa"/>
            <w:vAlign w:val="bottom"/>
            <w:shd w:val="clear" w:color="auto" w:fill="DDEFF3"/>
          </w:tcPr>
          <w:p>
            <w:pPr>
              <w:spacing w:after="0"/>
              <w:rPr>
                <w:sz w:val="13"/>
                <w:szCs w:val="13"/>
                <w:color w:val="auto"/>
              </w:rPr>
            </w:pPr>
          </w:p>
        </w:tc>
        <w:tc>
          <w:tcPr>
            <w:tcW w:w="1060" w:type="dxa"/>
            <w:vAlign w:val="bottom"/>
            <w:tcBorders>
              <w:right w:val="single" w:sz="8" w:color="DDEFF3"/>
            </w:tcBorders>
            <w:shd w:val="clear" w:color="auto" w:fill="DDEFF3"/>
          </w:tcPr>
          <w:p>
            <w:pPr>
              <w:spacing w:after="0"/>
              <w:rPr>
                <w:sz w:val="13"/>
                <w:szCs w:val="13"/>
                <w:color w:val="auto"/>
              </w:rPr>
            </w:pPr>
          </w:p>
        </w:tc>
        <w:tc>
          <w:tcPr>
            <w:tcW w:w="120" w:type="dxa"/>
            <w:vAlign w:val="bottom"/>
            <w:shd w:val="clear" w:color="auto" w:fill="DDEFF3"/>
          </w:tcPr>
          <w:p>
            <w:pPr>
              <w:spacing w:after="0"/>
              <w:rPr>
                <w:sz w:val="13"/>
                <w:szCs w:val="13"/>
                <w:color w:val="auto"/>
              </w:rPr>
            </w:pPr>
          </w:p>
        </w:tc>
        <w:tc>
          <w:tcPr>
            <w:tcW w:w="1000" w:type="dxa"/>
            <w:vAlign w:val="bottom"/>
            <w:tcBorders>
              <w:right w:val="single" w:sz="8" w:color="BFBFBF"/>
            </w:tcBorders>
            <w:shd w:val="clear" w:color="auto" w:fill="DDEFF3"/>
          </w:tcPr>
          <w:p>
            <w:pPr>
              <w:spacing w:after="0"/>
              <w:rPr>
                <w:sz w:val="13"/>
                <w:szCs w:val="13"/>
                <w:color w:val="auto"/>
              </w:rPr>
            </w:pPr>
          </w:p>
        </w:tc>
        <w:tc>
          <w:tcPr>
            <w:tcW w:w="120" w:type="dxa"/>
            <w:vAlign w:val="bottom"/>
            <w:shd w:val="clear" w:color="auto" w:fill="DDEFF3"/>
          </w:tcPr>
          <w:p>
            <w:pPr>
              <w:spacing w:after="0"/>
              <w:rPr>
                <w:sz w:val="13"/>
                <w:szCs w:val="13"/>
                <w:color w:val="auto"/>
              </w:rPr>
            </w:pPr>
          </w:p>
        </w:tc>
        <w:tc>
          <w:tcPr>
            <w:tcW w:w="1040" w:type="dxa"/>
            <w:vAlign w:val="bottom"/>
            <w:tcBorders>
              <w:right w:val="single" w:sz="8" w:color="BFBFBF"/>
            </w:tcBorders>
            <w:shd w:val="clear" w:color="auto" w:fill="DDEFF3"/>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220" w:type="dxa"/>
            <w:vAlign w:val="bottom"/>
            <w:tcBorders>
              <w:left w:val="single" w:sz="8" w:color="BFBFBF"/>
              <w:right w:val="single" w:sz="8" w:color="BFBFBF"/>
            </w:tcBorders>
            <w:gridSpan w:val="3"/>
            <w:vMerge w:val="restart"/>
            <w:shd w:val="clear" w:color="auto" w:fill="DDEFF3"/>
          </w:tcPr>
          <w:p>
            <w:pPr>
              <w:ind w:left="120"/>
              <w:spacing w:after="0" w:line="200" w:lineRule="exact"/>
              <w:rPr>
                <w:sz w:val="20"/>
                <w:szCs w:val="20"/>
                <w:color w:val="auto"/>
              </w:rPr>
            </w:pPr>
            <w:r>
              <w:rPr>
                <w:rFonts w:ascii="Arial" w:cs="Arial" w:eastAsia="Arial" w:hAnsi="Arial"/>
                <w:sz w:val="18"/>
                <w:szCs w:val="18"/>
                <w:color w:val="auto"/>
              </w:rPr>
              <w:t>the supermajority voting requirements</w:t>
            </w:r>
          </w:p>
        </w:tc>
        <w:tc>
          <w:tcPr>
            <w:tcW w:w="80" w:type="dxa"/>
            <w:vAlign w:val="bottom"/>
            <w:shd w:val="clear" w:color="auto" w:fill="DDEFF3"/>
          </w:tcPr>
          <w:p>
            <w:pPr>
              <w:spacing w:after="0"/>
              <w:rPr>
                <w:sz w:val="8"/>
                <w:szCs w:val="8"/>
                <w:color w:val="auto"/>
              </w:rPr>
            </w:pPr>
          </w:p>
        </w:tc>
        <w:tc>
          <w:tcPr>
            <w:tcW w:w="1700" w:type="dxa"/>
            <w:vAlign w:val="bottom"/>
            <w:gridSpan w:val="2"/>
            <w:vMerge w:val="continue"/>
            <w:shd w:val="clear" w:color="auto" w:fill="DDEFF3"/>
          </w:tcPr>
          <w:p>
            <w:pPr>
              <w:spacing w:after="0"/>
              <w:rPr>
                <w:sz w:val="8"/>
                <w:szCs w:val="8"/>
                <w:color w:val="auto"/>
              </w:rPr>
            </w:pPr>
          </w:p>
        </w:tc>
        <w:tc>
          <w:tcPr>
            <w:tcW w:w="720" w:type="dxa"/>
            <w:vAlign w:val="bottom"/>
            <w:tcBorders>
              <w:right w:val="single" w:sz="8" w:color="BFBFBF"/>
            </w:tcBorders>
            <w:shd w:val="clear" w:color="auto" w:fill="DDEFF3"/>
          </w:tcPr>
          <w:p>
            <w:pPr>
              <w:spacing w:after="0"/>
              <w:rPr>
                <w:sz w:val="8"/>
                <w:szCs w:val="8"/>
                <w:color w:val="auto"/>
              </w:rPr>
            </w:pPr>
          </w:p>
        </w:tc>
        <w:tc>
          <w:tcPr>
            <w:tcW w:w="80" w:type="dxa"/>
            <w:vAlign w:val="bottom"/>
            <w:shd w:val="clear" w:color="auto" w:fill="DDEFF3"/>
          </w:tcPr>
          <w:p>
            <w:pPr>
              <w:spacing w:after="0"/>
              <w:rPr>
                <w:sz w:val="8"/>
                <w:szCs w:val="8"/>
                <w:color w:val="auto"/>
              </w:rPr>
            </w:pPr>
          </w:p>
        </w:tc>
        <w:tc>
          <w:tcPr>
            <w:tcW w:w="1080" w:type="dxa"/>
            <w:vAlign w:val="bottom"/>
            <w:tcBorders>
              <w:right w:val="single" w:sz="8" w:color="DDEFF3"/>
            </w:tcBorders>
            <w:shd w:val="clear" w:color="auto" w:fill="DDEFF3"/>
          </w:tcPr>
          <w:p>
            <w:pPr>
              <w:spacing w:after="0"/>
              <w:rPr>
                <w:sz w:val="8"/>
                <w:szCs w:val="8"/>
                <w:color w:val="auto"/>
              </w:rPr>
            </w:pPr>
          </w:p>
        </w:tc>
        <w:tc>
          <w:tcPr>
            <w:tcW w:w="80" w:type="dxa"/>
            <w:vAlign w:val="bottom"/>
            <w:shd w:val="clear" w:color="auto" w:fill="DDEFF3"/>
          </w:tcPr>
          <w:p>
            <w:pPr>
              <w:spacing w:after="0"/>
              <w:rPr>
                <w:sz w:val="8"/>
                <w:szCs w:val="8"/>
                <w:color w:val="auto"/>
              </w:rPr>
            </w:pPr>
          </w:p>
        </w:tc>
        <w:tc>
          <w:tcPr>
            <w:tcW w:w="460" w:type="dxa"/>
            <w:vAlign w:val="bottom"/>
            <w:shd w:val="clear" w:color="auto" w:fill="DDEFF3"/>
          </w:tcPr>
          <w:p>
            <w:pPr>
              <w:spacing w:after="0"/>
              <w:rPr>
                <w:sz w:val="8"/>
                <w:szCs w:val="8"/>
                <w:color w:val="auto"/>
              </w:rPr>
            </w:pPr>
          </w:p>
        </w:tc>
        <w:tc>
          <w:tcPr>
            <w:tcW w:w="560" w:type="dxa"/>
            <w:vAlign w:val="bottom"/>
            <w:tcBorders>
              <w:right w:val="single" w:sz="8" w:color="BFBFBF"/>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60" w:type="dxa"/>
            <w:vAlign w:val="bottom"/>
            <w:tcBorders>
              <w:right w:val="single" w:sz="8" w:color="DDEFF3"/>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00" w:type="dxa"/>
            <w:vAlign w:val="bottom"/>
            <w:tcBorders>
              <w:right w:val="single" w:sz="8" w:color="BFBFBF"/>
            </w:tcBorders>
            <w:shd w:val="clear" w:color="auto" w:fill="DDEFF3"/>
          </w:tcPr>
          <w:p>
            <w:pPr>
              <w:spacing w:after="0"/>
              <w:rPr>
                <w:sz w:val="8"/>
                <w:szCs w:val="8"/>
                <w:color w:val="auto"/>
              </w:rPr>
            </w:pPr>
          </w:p>
        </w:tc>
        <w:tc>
          <w:tcPr>
            <w:tcW w:w="120" w:type="dxa"/>
            <w:vAlign w:val="bottom"/>
            <w:shd w:val="clear" w:color="auto" w:fill="DDEFF3"/>
          </w:tcPr>
          <w:p>
            <w:pPr>
              <w:spacing w:after="0"/>
              <w:rPr>
                <w:sz w:val="8"/>
                <w:szCs w:val="8"/>
                <w:color w:val="auto"/>
              </w:rPr>
            </w:pPr>
          </w:p>
        </w:tc>
        <w:tc>
          <w:tcPr>
            <w:tcW w:w="1040" w:type="dxa"/>
            <w:vAlign w:val="bottom"/>
            <w:tcBorders>
              <w:right w:val="single" w:sz="8" w:color="BFBFBF"/>
            </w:tcBorders>
            <w:shd w:val="clear" w:color="auto" w:fill="DDEFF3"/>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20" w:type="dxa"/>
            <w:vAlign w:val="bottom"/>
            <w:tcBorders>
              <w:left w:val="single" w:sz="8" w:color="BFBFBF"/>
              <w:bottom w:val="single" w:sz="8" w:color="BFBFBF"/>
              <w:right w:val="single" w:sz="8" w:color="BFBFBF"/>
            </w:tcBorders>
            <w:gridSpan w:val="3"/>
            <w:vMerge w:val="continue"/>
            <w:shd w:val="clear" w:color="auto" w:fill="DDEFF3"/>
          </w:tcPr>
          <w:p>
            <w:pPr>
              <w:spacing w:after="0"/>
              <w:rPr>
                <w:sz w:val="8"/>
                <w:szCs w:val="8"/>
                <w:color w:val="auto"/>
              </w:rPr>
            </w:pPr>
          </w:p>
        </w:tc>
        <w:tc>
          <w:tcPr>
            <w:tcW w:w="80" w:type="dxa"/>
            <w:vAlign w:val="bottom"/>
            <w:tcBorders>
              <w:bottom w:val="single" w:sz="8" w:color="BFBFBF"/>
            </w:tcBorders>
            <w:shd w:val="clear" w:color="auto" w:fill="DDEFF3"/>
          </w:tcPr>
          <w:p>
            <w:pPr>
              <w:spacing w:after="0"/>
              <w:rPr>
                <w:sz w:val="8"/>
                <w:szCs w:val="8"/>
                <w:color w:val="auto"/>
              </w:rPr>
            </w:pPr>
          </w:p>
        </w:tc>
        <w:tc>
          <w:tcPr>
            <w:tcW w:w="1060" w:type="dxa"/>
            <w:vAlign w:val="bottom"/>
            <w:tcBorders>
              <w:bottom w:val="single" w:sz="8" w:color="BFBFBF"/>
              <w:right w:val="single" w:sz="8" w:color="DDEFF3"/>
            </w:tcBorders>
            <w:shd w:val="clear" w:color="auto" w:fill="DDEFF3"/>
          </w:tcPr>
          <w:p>
            <w:pPr>
              <w:spacing w:after="0"/>
              <w:rPr>
                <w:sz w:val="8"/>
                <w:szCs w:val="8"/>
                <w:color w:val="auto"/>
              </w:rPr>
            </w:pPr>
          </w:p>
        </w:tc>
        <w:tc>
          <w:tcPr>
            <w:tcW w:w="640" w:type="dxa"/>
            <w:vAlign w:val="bottom"/>
            <w:tcBorders>
              <w:bottom w:val="single" w:sz="8" w:color="BFBFBF"/>
            </w:tcBorders>
            <w:shd w:val="clear" w:color="auto" w:fill="DDEFF3"/>
          </w:tcPr>
          <w:p>
            <w:pPr>
              <w:spacing w:after="0"/>
              <w:rPr>
                <w:sz w:val="8"/>
                <w:szCs w:val="8"/>
                <w:color w:val="auto"/>
              </w:rPr>
            </w:pPr>
          </w:p>
        </w:tc>
        <w:tc>
          <w:tcPr>
            <w:tcW w:w="720" w:type="dxa"/>
            <w:vAlign w:val="bottom"/>
            <w:tcBorders>
              <w:bottom w:val="single" w:sz="8" w:color="BFBFBF"/>
              <w:right w:val="single" w:sz="8" w:color="BFBFBF"/>
            </w:tcBorders>
            <w:shd w:val="clear" w:color="auto" w:fill="DDEFF3"/>
          </w:tcPr>
          <w:p>
            <w:pPr>
              <w:spacing w:after="0"/>
              <w:rPr>
                <w:sz w:val="8"/>
                <w:szCs w:val="8"/>
                <w:color w:val="auto"/>
              </w:rPr>
            </w:pPr>
          </w:p>
        </w:tc>
        <w:tc>
          <w:tcPr>
            <w:tcW w:w="80" w:type="dxa"/>
            <w:vAlign w:val="bottom"/>
            <w:tcBorders>
              <w:bottom w:val="single" w:sz="8" w:color="BFBFBF"/>
            </w:tcBorders>
            <w:shd w:val="clear" w:color="auto" w:fill="DDEFF3"/>
          </w:tcPr>
          <w:p>
            <w:pPr>
              <w:spacing w:after="0"/>
              <w:rPr>
                <w:sz w:val="8"/>
                <w:szCs w:val="8"/>
                <w:color w:val="auto"/>
              </w:rPr>
            </w:pPr>
          </w:p>
        </w:tc>
        <w:tc>
          <w:tcPr>
            <w:tcW w:w="1080" w:type="dxa"/>
            <w:vAlign w:val="bottom"/>
            <w:tcBorders>
              <w:bottom w:val="single" w:sz="8" w:color="BFBFBF"/>
              <w:right w:val="single" w:sz="8" w:color="DDEFF3"/>
            </w:tcBorders>
            <w:shd w:val="clear" w:color="auto" w:fill="DDEFF3"/>
          </w:tcPr>
          <w:p>
            <w:pPr>
              <w:spacing w:after="0"/>
              <w:rPr>
                <w:sz w:val="8"/>
                <w:szCs w:val="8"/>
                <w:color w:val="auto"/>
              </w:rPr>
            </w:pPr>
          </w:p>
        </w:tc>
        <w:tc>
          <w:tcPr>
            <w:tcW w:w="80" w:type="dxa"/>
            <w:vAlign w:val="bottom"/>
            <w:tcBorders>
              <w:bottom w:val="single" w:sz="8" w:color="BFBFBF"/>
            </w:tcBorders>
            <w:shd w:val="clear" w:color="auto" w:fill="DDEFF3"/>
          </w:tcPr>
          <w:p>
            <w:pPr>
              <w:spacing w:after="0"/>
              <w:rPr>
                <w:sz w:val="8"/>
                <w:szCs w:val="8"/>
                <w:color w:val="auto"/>
              </w:rPr>
            </w:pPr>
          </w:p>
        </w:tc>
        <w:tc>
          <w:tcPr>
            <w:tcW w:w="460" w:type="dxa"/>
            <w:vAlign w:val="bottom"/>
            <w:tcBorders>
              <w:bottom w:val="single" w:sz="8" w:color="BFBFBF"/>
            </w:tcBorders>
            <w:shd w:val="clear" w:color="auto" w:fill="DDEFF3"/>
          </w:tcPr>
          <w:p>
            <w:pPr>
              <w:spacing w:after="0"/>
              <w:rPr>
                <w:sz w:val="8"/>
                <w:szCs w:val="8"/>
                <w:color w:val="auto"/>
              </w:rPr>
            </w:pPr>
          </w:p>
        </w:tc>
        <w:tc>
          <w:tcPr>
            <w:tcW w:w="560" w:type="dxa"/>
            <w:vAlign w:val="bottom"/>
            <w:tcBorders>
              <w:bottom w:val="single" w:sz="8" w:color="BFBFBF"/>
              <w:right w:val="single" w:sz="8" w:color="BFBFBF"/>
            </w:tcBorders>
            <w:shd w:val="clear" w:color="auto" w:fill="DDEFF3"/>
          </w:tcPr>
          <w:p>
            <w:pPr>
              <w:spacing w:after="0"/>
              <w:rPr>
                <w:sz w:val="8"/>
                <w:szCs w:val="8"/>
                <w:color w:val="auto"/>
              </w:rPr>
            </w:pPr>
          </w:p>
        </w:tc>
        <w:tc>
          <w:tcPr>
            <w:tcW w:w="120" w:type="dxa"/>
            <w:vAlign w:val="bottom"/>
            <w:tcBorders>
              <w:bottom w:val="single" w:sz="8" w:color="BFBFBF"/>
            </w:tcBorders>
            <w:shd w:val="clear" w:color="auto" w:fill="DDEFF3"/>
          </w:tcPr>
          <w:p>
            <w:pPr>
              <w:spacing w:after="0"/>
              <w:rPr>
                <w:sz w:val="8"/>
                <w:szCs w:val="8"/>
                <w:color w:val="auto"/>
              </w:rPr>
            </w:pPr>
          </w:p>
        </w:tc>
        <w:tc>
          <w:tcPr>
            <w:tcW w:w="1060" w:type="dxa"/>
            <w:vAlign w:val="bottom"/>
            <w:tcBorders>
              <w:bottom w:val="single" w:sz="8" w:color="BFBFBF"/>
              <w:right w:val="single" w:sz="8" w:color="DDEFF3"/>
            </w:tcBorders>
            <w:shd w:val="clear" w:color="auto" w:fill="DDEFF3"/>
          </w:tcPr>
          <w:p>
            <w:pPr>
              <w:spacing w:after="0"/>
              <w:rPr>
                <w:sz w:val="8"/>
                <w:szCs w:val="8"/>
                <w:color w:val="auto"/>
              </w:rPr>
            </w:pPr>
          </w:p>
        </w:tc>
        <w:tc>
          <w:tcPr>
            <w:tcW w:w="120" w:type="dxa"/>
            <w:vAlign w:val="bottom"/>
            <w:tcBorders>
              <w:bottom w:val="single" w:sz="8" w:color="BFBFBF"/>
            </w:tcBorders>
            <w:shd w:val="clear" w:color="auto" w:fill="DDEFF3"/>
          </w:tcPr>
          <w:p>
            <w:pPr>
              <w:spacing w:after="0"/>
              <w:rPr>
                <w:sz w:val="8"/>
                <w:szCs w:val="8"/>
                <w:color w:val="auto"/>
              </w:rPr>
            </w:pPr>
          </w:p>
        </w:tc>
        <w:tc>
          <w:tcPr>
            <w:tcW w:w="1000" w:type="dxa"/>
            <w:vAlign w:val="bottom"/>
            <w:tcBorders>
              <w:bottom w:val="single" w:sz="8" w:color="BFBFBF"/>
              <w:right w:val="single" w:sz="8" w:color="BFBFBF"/>
            </w:tcBorders>
            <w:shd w:val="clear" w:color="auto" w:fill="DDEFF3"/>
          </w:tcPr>
          <w:p>
            <w:pPr>
              <w:spacing w:after="0"/>
              <w:rPr>
                <w:sz w:val="8"/>
                <w:szCs w:val="8"/>
                <w:color w:val="auto"/>
              </w:rPr>
            </w:pPr>
          </w:p>
        </w:tc>
        <w:tc>
          <w:tcPr>
            <w:tcW w:w="120" w:type="dxa"/>
            <w:vAlign w:val="bottom"/>
            <w:tcBorders>
              <w:bottom w:val="single" w:sz="8" w:color="BFBFBF"/>
            </w:tcBorders>
            <w:shd w:val="clear" w:color="auto" w:fill="DDEFF3"/>
          </w:tcPr>
          <w:p>
            <w:pPr>
              <w:spacing w:after="0"/>
              <w:rPr>
                <w:sz w:val="8"/>
                <w:szCs w:val="8"/>
                <w:color w:val="auto"/>
              </w:rPr>
            </w:pPr>
          </w:p>
        </w:tc>
        <w:tc>
          <w:tcPr>
            <w:tcW w:w="1040" w:type="dxa"/>
            <w:vAlign w:val="bottom"/>
            <w:tcBorders>
              <w:bottom w:val="single" w:sz="8" w:color="BFBFBF"/>
              <w:right w:val="single" w:sz="8" w:color="BFBFBF"/>
            </w:tcBorders>
            <w:shd w:val="clear" w:color="auto" w:fill="DDEFF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220" w:type="dxa"/>
            <w:vAlign w:val="bottom"/>
            <w:tcBorders>
              <w:left w:val="single" w:sz="8" w:color="BFBFBF"/>
              <w:right w:val="single" w:sz="8" w:color="BFBFBF"/>
            </w:tcBorders>
            <w:gridSpan w:val="3"/>
          </w:tcPr>
          <w:p>
            <w:pPr>
              <w:ind w:left="120"/>
              <w:spacing w:after="0" w:line="200" w:lineRule="exact"/>
              <w:rPr>
                <w:sz w:val="20"/>
                <w:szCs w:val="20"/>
                <w:color w:val="auto"/>
              </w:rPr>
            </w:pPr>
            <w:r>
              <w:rPr>
                <w:rFonts w:ascii="Arial" w:cs="Arial" w:eastAsia="Arial" w:hAnsi="Arial"/>
                <w:sz w:val="18"/>
                <w:szCs w:val="18"/>
                <w:color w:val="auto"/>
              </w:rPr>
              <w:t>Approval of an amendment and</w:t>
            </w:r>
          </w:p>
        </w:tc>
        <w:tc>
          <w:tcPr>
            <w:tcW w:w="80" w:type="dxa"/>
            <w:vAlign w:val="bottom"/>
          </w:tcPr>
          <w:p>
            <w:pPr>
              <w:spacing w:after="0"/>
              <w:rPr>
                <w:sz w:val="17"/>
                <w:szCs w:val="17"/>
                <w:color w:val="auto"/>
              </w:rPr>
            </w:pPr>
          </w:p>
        </w:tc>
        <w:tc>
          <w:tcPr>
            <w:tcW w:w="2420" w:type="dxa"/>
            <w:vAlign w:val="bottom"/>
            <w:tcBorders>
              <w:right w:val="single" w:sz="8" w:color="BFBFBF"/>
            </w:tcBorders>
            <w:gridSpan w:val="3"/>
            <w:vMerge w:val="restart"/>
          </w:tcPr>
          <w:p>
            <w:pPr>
              <w:spacing w:after="0"/>
              <w:rPr>
                <w:sz w:val="20"/>
                <w:szCs w:val="20"/>
                <w:color w:val="auto"/>
              </w:rPr>
            </w:pPr>
            <w:r>
              <w:rPr>
                <w:rFonts w:ascii="Arial" w:cs="Arial" w:eastAsia="Arial" w:hAnsi="Arial"/>
                <w:sz w:val="18"/>
                <w:szCs w:val="18"/>
                <w:color w:val="auto"/>
              </w:rPr>
              <w:t>At least 66 2/3% of the total</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Borders>
              <w:right w:val="single" w:sz="8" w:color="BFBFBF"/>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right w:val="single" w:sz="8" w:color="BFBFBF"/>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220" w:type="dxa"/>
            <w:vAlign w:val="bottom"/>
            <w:tcBorders>
              <w:left w:val="single" w:sz="8" w:color="BFBFBF"/>
              <w:right w:val="single" w:sz="8" w:color="BFBFBF"/>
            </w:tcBorders>
            <w:gridSpan w:val="3"/>
            <w:vMerge w:val="restart"/>
          </w:tcPr>
          <w:p>
            <w:pPr>
              <w:ind w:left="120"/>
              <w:spacing w:after="0" w:line="202" w:lineRule="exact"/>
              <w:rPr>
                <w:sz w:val="20"/>
                <w:szCs w:val="20"/>
                <w:color w:val="auto"/>
              </w:rPr>
            </w:pPr>
            <w:r>
              <w:rPr>
                <w:rFonts w:ascii="Arial" w:cs="Arial" w:eastAsia="Arial" w:hAnsi="Arial"/>
                <w:sz w:val="18"/>
                <w:szCs w:val="18"/>
                <w:color w:val="auto"/>
              </w:rPr>
              <w:t>restatement of NASDAQ OMX’s</w:t>
            </w:r>
          </w:p>
        </w:tc>
        <w:tc>
          <w:tcPr>
            <w:tcW w:w="80" w:type="dxa"/>
            <w:vAlign w:val="bottom"/>
          </w:tcPr>
          <w:p>
            <w:pPr>
              <w:spacing w:after="0"/>
              <w:rPr>
                <w:sz w:val="8"/>
                <w:szCs w:val="8"/>
                <w:color w:val="auto"/>
              </w:rPr>
            </w:pPr>
          </w:p>
        </w:tc>
        <w:tc>
          <w:tcPr>
            <w:tcW w:w="2420" w:type="dxa"/>
            <w:vAlign w:val="bottom"/>
            <w:tcBorders>
              <w:right w:val="single" w:sz="8" w:color="BFBFBF"/>
            </w:tcBorders>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tcBorders>
              <w:right w:val="single" w:sz="8" w:color="BFBFBF"/>
            </w:tcBorders>
            <w:gridSpan w:val="4"/>
            <w:vMerge w:val="restart"/>
          </w:tcPr>
          <w:p>
            <w:pPr>
              <w:spacing w:after="0" w:line="202" w:lineRule="exact"/>
              <w:rPr>
                <w:sz w:val="20"/>
                <w:szCs w:val="20"/>
                <w:color w:val="auto"/>
              </w:rPr>
            </w:pPr>
            <w:r>
              <w:rPr>
                <w:rFonts w:ascii="Arial" w:cs="Arial" w:eastAsia="Arial" w:hAnsi="Arial"/>
                <w:sz w:val="18"/>
                <w:szCs w:val="18"/>
                <w:color w:val="auto"/>
              </w:rPr>
              <w:t>Have the effect of a vote</w:t>
            </w: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right w:val="single" w:sz="8" w:color="BFBFBF"/>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right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220" w:type="dxa"/>
            <w:vAlign w:val="bottom"/>
            <w:tcBorders>
              <w:left w:val="single" w:sz="8" w:color="BFBFBF"/>
              <w:right w:val="single" w:sz="8" w:color="BFBFBF"/>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tcBorders>
              <w:right w:val="single" w:sz="8" w:color="BFBFBF"/>
            </w:tcBorders>
            <w:gridSpan w:val="3"/>
            <w:vMerge w:val="restart"/>
          </w:tcPr>
          <w:p>
            <w:pPr>
              <w:spacing w:after="0" w:line="202" w:lineRule="exact"/>
              <w:rPr>
                <w:sz w:val="20"/>
                <w:szCs w:val="20"/>
                <w:color w:val="auto"/>
              </w:rPr>
            </w:pPr>
            <w:r>
              <w:rPr>
                <w:rFonts w:ascii="Arial" w:cs="Arial" w:eastAsia="Arial" w:hAnsi="Arial"/>
                <w:sz w:val="18"/>
                <w:szCs w:val="18"/>
                <w:color w:val="auto"/>
              </w:rPr>
              <w:t>voting power of NASDAQ</w:t>
            </w:r>
          </w:p>
        </w:tc>
        <w:tc>
          <w:tcPr>
            <w:tcW w:w="80" w:type="dxa"/>
            <w:vAlign w:val="bottom"/>
          </w:tcPr>
          <w:p>
            <w:pPr>
              <w:spacing w:after="0"/>
              <w:rPr>
                <w:sz w:val="9"/>
                <w:szCs w:val="9"/>
                <w:color w:val="auto"/>
              </w:rPr>
            </w:pPr>
          </w:p>
        </w:tc>
        <w:tc>
          <w:tcPr>
            <w:tcW w:w="2180" w:type="dxa"/>
            <w:vAlign w:val="bottom"/>
            <w:tcBorders>
              <w:right w:val="single" w:sz="8" w:color="BFBFBF"/>
            </w:tcBorders>
            <w:gridSpan w:val="4"/>
            <w:vMerge w:val="continue"/>
          </w:tcPr>
          <w:p>
            <w:pPr>
              <w:spacing w:after="0"/>
              <w:rPr>
                <w:sz w:val="9"/>
                <w:szCs w:val="9"/>
                <w:color w:val="auto"/>
              </w:rPr>
            </w:pPr>
          </w:p>
        </w:tc>
        <w:tc>
          <w:tcPr>
            <w:tcW w:w="1300" w:type="dxa"/>
            <w:vAlign w:val="bottom"/>
            <w:gridSpan w:val="3"/>
            <w:vMerge w:val="restart"/>
          </w:tcPr>
          <w:p>
            <w:pPr>
              <w:ind w:left="120"/>
              <w:spacing w:after="0" w:line="202" w:lineRule="exact"/>
              <w:rPr>
                <w:sz w:val="20"/>
                <w:szCs w:val="20"/>
                <w:color w:val="auto"/>
              </w:rPr>
            </w:pPr>
            <w:r>
              <w:rPr>
                <w:rFonts w:ascii="Arial" w:cs="Arial" w:eastAsia="Arial" w:hAnsi="Arial"/>
                <w:sz w:val="18"/>
                <w:szCs w:val="18"/>
                <w:color w:val="auto"/>
              </w:rPr>
              <w:t>FOR</w:t>
            </w:r>
          </w:p>
        </w:tc>
        <w:tc>
          <w:tcPr>
            <w:tcW w:w="1000" w:type="dxa"/>
            <w:vAlign w:val="bottom"/>
            <w:tcBorders>
              <w:right w:val="single" w:sz="8" w:color="BFBFBF"/>
            </w:tcBorders>
          </w:tcPr>
          <w:p>
            <w:pPr>
              <w:spacing w:after="0"/>
              <w:rPr>
                <w:sz w:val="9"/>
                <w:szCs w:val="9"/>
                <w:color w:val="auto"/>
              </w:rPr>
            </w:pPr>
          </w:p>
        </w:tc>
        <w:tc>
          <w:tcPr>
            <w:tcW w:w="1160" w:type="dxa"/>
            <w:vAlign w:val="bottom"/>
            <w:tcBorders>
              <w:right w:val="single" w:sz="8" w:color="BFBFBF"/>
            </w:tcBorders>
            <w:gridSpan w:val="2"/>
            <w:vMerge w:val="restart"/>
          </w:tcPr>
          <w:p>
            <w:pPr>
              <w:jc w:val="right"/>
              <w:ind w:right="572"/>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95"/>
        </w:trPr>
        <w:tc>
          <w:tcPr>
            <w:tcW w:w="3220" w:type="dxa"/>
            <w:vAlign w:val="bottom"/>
            <w:tcBorders>
              <w:left w:val="single" w:sz="8" w:color="BFBFBF"/>
              <w:right w:val="single" w:sz="8" w:color="BFBFBF"/>
            </w:tcBorders>
            <w:gridSpan w:val="3"/>
            <w:vMerge w:val="restart"/>
          </w:tcPr>
          <w:p>
            <w:pPr>
              <w:ind w:left="120"/>
              <w:spacing w:after="0" w:line="202" w:lineRule="exact"/>
              <w:rPr>
                <w:sz w:val="20"/>
                <w:szCs w:val="20"/>
                <w:color w:val="auto"/>
              </w:rPr>
            </w:pPr>
            <w:r>
              <w:rPr>
                <w:rFonts w:ascii="Arial" w:cs="Arial" w:eastAsia="Arial" w:hAnsi="Arial"/>
                <w:sz w:val="18"/>
                <w:szCs w:val="18"/>
                <w:color w:val="auto"/>
              </w:rPr>
              <w:t>restated certificate of incorporation to</w:t>
            </w:r>
          </w:p>
        </w:tc>
        <w:tc>
          <w:tcPr>
            <w:tcW w:w="80" w:type="dxa"/>
            <w:vAlign w:val="bottom"/>
          </w:tcPr>
          <w:p>
            <w:pPr>
              <w:spacing w:after="0"/>
              <w:rPr>
                <w:sz w:val="8"/>
                <w:szCs w:val="8"/>
                <w:color w:val="auto"/>
              </w:rPr>
            </w:pPr>
          </w:p>
        </w:tc>
        <w:tc>
          <w:tcPr>
            <w:tcW w:w="2420" w:type="dxa"/>
            <w:vAlign w:val="bottom"/>
            <w:tcBorders>
              <w:right w:val="single" w:sz="8" w:color="BFBFBF"/>
            </w:tcBorders>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w w:val="98"/>
              </w:rPr>
              <w:t>against the proposal</w:t>
            </w:r>
          </w:p>
        </w:tc>
        <w:tc>
          <w:tcPr>
            <w:tcW w:w="560" w:type="dxa"/>
            <w:vAlign w:val="bottom"/>
            <w:tcBorders>
              <w:right w:val="single" w:sz="8" w:color="BFBFBF"/>
            </w:tcBorders>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1000" w:type="dxa"/>
            <w:vAlign w:val="bottom"/>
            <w:tcBorders>
              <w:right w:val="single" w:sz="8" w:color="BFBFBF"/>
            </w:tcBorders>
          </w:tcPr>
          <w:p>
            <w:pPr>
              <w:spacing w:after="0"/>
              <w:rPr>
                <w:sz w:val="8"/>
                <w:szCs w:val="8"/>
                <w:color w:val="auto"/>
              </w:rPr>
            </w:pPr>
          </w:p>
        </w:tc>
        <w:tc>
          <w:tcPr>
            <w:tcW w:w="1160" w:type="dxa"/>
            <w:vAlign w:val="bottom"/>
            <w:tcBorders>
              <w:right w:val="single" w:sz="8" w:color="BFBFBF"/>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220" w:type="dxa"/>
            <w:vAlign w:val="bottom"/>
            <w:tcBorders>
              <w:left w:val="single" w:sz="8" w:color="BFBFBF"/>
              <w:right w:val="single" w:sz="8" w:color="BFBFBF"/>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gridSpan w:val="2"/>
            <w:vMerge w:val="restart"/>
          </w:tcPr>
          <w:p>
            <w:pPr>
              <w:spacing w:after="0"/>
              <w:rPr>
                <w:sz w:val="20"/>
                <w:szCs w:val="20"/>
                <w:color w:val="auto"/>
              </w:rPr>
            </w:pPr>
            <w:r>
              <w:rPr>
                <w:rFonts w:ascii="Arial" w:cs="Arial" w:eastAsia="Arial" w:hAnsi="Arial"/>
                <w:sz w:val="18"/>
                <w:szCs w:val="18"/>
                <w:color w:val="auto"/>
                <w:w w:val="95"/>
              </w:rPr>
              <w:t>OMX’s common stock</w:t>
            </w:r>
          </w:p>
        </w:tc>
        <w:tc>
          <w:tcPr>
            <w:tcW w:w="720" w:type="dxa"/>
            <w:vAlign w:val="bottom"/>
            <w:tcBorders>
              <w:right w:val="single" w:sz="8" w:color="BFBFBF"/>
            </w:tcBorders>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60" w:type="dxa"/>
            <w:vAlign w:val="bottom"/>
            <w:tcBorders>
              <w:right w:val="single" w:sz="8" w:color="BFBFBF"/>
            </w:tcBorders>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right w:val="single" w:sz="8" w:color="BFBFBF"/>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right w:val="single" w:sz="8" w:color="BFBFBF"/>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220" w:type="dxa"/>
            <w:vAlign w:val="bottom"/>
            <w:tcBorders>
              <w:left w:val="single" w:sz="8" w:color="BFBFBF"/>
              <w:right w:val="single" w:sz="8" w:color="BFBFBF"/>
            </w:tcBorders>
            <w:gridSpan w:val="3"/>
            <w:vMerge w:val="restart"/>
          </w:tcPr>
          <w:p>
            <w:pPr>
              <w:ind w:left="120"/>
              <w:spacing w:after="0" w:line="200" w:lineRule="exact"/>
              <w:rPr>
                <w:sz w:val="20"/>
                <w:szCs w:val="20"/>
                <w:color w:val="auto"/>
              </w:rPr>
            </w:pPr>
            <w:r>
              <w:rPr>
                <w:rFonts w:ascii="Arial" w:cs="Arial" w:eastAsia="Arial" w:hAnsi="Arial"/>
                <w:sz w:val="18"/>
                <w:szCs w:val="18"/>
                <w:color w:val="auto"/>
              </w:rPr>
              <w:t>make other non-substantive changes</w:t>
            </w:r>
          </w:p>
        </w:tc>
        <w:tc>
          <w:tcPr>
            <w:tcW w:w="8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720" w:type="dxa"/>
            <w:vAlign w:val="bottom"/>
            <w:tcBorders>
              <w:right w:val="single" w:sz="8" w:color="BFBFBF"/>
            </w:tcBorders>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right w:val="single" w:sz="8" w:color="BFBFBF"/>
            </w:tcBorders>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right w:val="single" w:sz="8" w:color="BFBFBF"/>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right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20" w:type="dxa"/>
            <w:vAlign w:val="bottom"/>
            <w:tcBorders>
              <w:left w:val="single" w:sz="8" w:color="BFBFBF"/>
              <w:bottom w:val="single" w:sz="8" w:color="BFBFBF"/>
              <w:right w:val="single" w:sz="8" w:color="BFBFBF"/>
            </w:tcBorders>
            <w:gridSpan w:val="3"/>
            <w:vMerge w:val="continue"/>
          </w:tcPr>
          <w:p>
            <w:pPr>
              <w:spacing w:after="0"/>
              <w:rPr>
                <w:sz w:val="8"/>
                <w:szCs w:val="8"/>
                <w:color w:val="auto"/>
              </w:rPr>
            </w:pPr>
          </w:p>
        </w:tc>
        <w:tc>
          <w:tcPr>
            <w:tcW w:w="80" w:type="dxa"/>
            <w:vAlign w:val="bottom"/>
            <w:tcBorders>
              <w:bottom w:val="single" w:sz="8" w:color="BFBFBF"/>
            </w:tcBorders>
          </w:tcPr>
          <w:p>
            <w:pPr>
              <w:spacing w:after="0"/>
              <w:rPr>
                <w:sz w:val="8"/>
                <w:szCs w:val="8"/>
                <w:color w:val="auto"/>
              </w:rPr>
            </w:pPr>
          </w:p>
        </w:tc>
        <w:tc>
          <w:tcPr>
            <w:tcW w:w="1060" w:type="dxa"/>
            <w:vAlign w:val="bottom"/>
            <w:tcBorders>
              <w:bottom w:val="single" w:sz="8" w:color="BFBFBF"/>
            </w:tcBorders>
          </w:tcPr>
          <w:p>
            <w:pPr>
              <w:spacing w:after="0"/>
              <w:rPr>
                <w:sz w:val="8"/>
                <w:szCs w:val="8"/>
                <w:color w:val="auto"/>
              </w:rPr>
            </w:pPr>
          </w:p>
        </w:tc>
        <w:tc>
          <w:tcPr>
            <w:tcW w:w="640" w:type="dxa"/>
            <w:vAlign w:val="bottom"/>
            <w:tcBorders>
              <w:bottom w:val="single" w:sz="8" w:color="BFBFBF"/>
            </w:tcBorders>
          </w:tcPr>
          <w:p>
            <w:pPr>
              <w:spacing w:after="0"/>
              <w:rPr>
                <w:sz w:val="8"/>
                <w:szCs w:val="8"/>
                <w:color w:val="auto"/>
              </w:rPr>
            </w:pPr>
          </w:p>
        </w:tc>
        <w:tc>
          <w:tcPr>
            <w:tcW w:w="720" w:type="dxa"/>
            <w:vAlign w:val="bottom"/>
            <w:tcBorders>
              <w:bottom w:val="single" w:sz="8" w:color="BFBFBF"/>
              <w:right w:val="single" w:sz="8" w:color="BFBFBF"/>
            </w:tcBorders>
          </w:tcPr>
          <w:p>
            <w:pPr>
              <w:spacing w:after="0"/>
              <w:rPr>
                <w:sz w:val="8"/>
                <w:szCs w:val="8"/>
                <w:color w:val="auto"/>
              </w:rPr>
            </w:pPr>
          </w:p>
        </w:tc>
        <w:tc>
          <w:tcPr>
            <w:tcW w:w="80" w:type="dxa"/>
            <w:vAlign w:val="bottom"/>
            <w:tcBorders>
              <w:bottom w:val="single" w:sz="8" w:color="BFBFBF"/>
            </w:tcBorders>
          </w:tcPr>
          <w:p>
            <w:pPr>
              <w:spacing w:after="0"/>
              <w:rPr>
                <w:sz w:val="8"/>
                <w:szCs w:val="8"/>
                <w:color w:val="auto"/>
              </w:rPr>
            </w:pPr>
          </w:p>
        </w:tc>
        <w:tc>
          <w:tcPr>
            <w:tcW w:w="1080" w:type="dxa"/>
            <w:vAlign w:val="bottom"/>
            <w:tcBorders>
              <w:bottom w:val="single" w:sz="8" w:color="BFBFBF"/>
            </w:tcBorders>
          </w:tcPr>
          <w:p>
            <w:pPr>
              <w:spacing w:after="0"/>
              <w:rPr>
                <w:sz w:val="8"/>
                <w:szCs w:val="8"/>
                <w:color w:val="auto"/>
              </w:rPr>
            </w:pPr>
          </w:p>
        </w:tc>
        <w:tc>
          <w:tcPr>
            <w:tcW w:w="80" w:type="dxa"/>
            <w:vAlign w:val="bottom"/>
            <w:tcBorders>
              <w:bottom w:val="single" w:sz="8" w:color="BFBFBF"/>
            </w:tcBorders>
          </w:tcPr>
          <w:p>
            <w:pPr>
              <w:spacing w:after="0"/>
              <w:rPr>
                <w:sz w:val="8"/>
                <w:szCs w:val="8"/>
                <w:color w:val="auto"/>
              </w:rPr>
            </w:pPr>
          </w:p>
        </w:tc>
        <w:tc>
          <w:tcPr>
            <w:tcW w:w="460" w:type="dxa"/>
            <w:vAlign w:val="bottom"/>
            <w:tcBorders>
              <w:bottom w:val="single" w:sz="8" w:color="BFBFBF"/>
            </w:tcBorders>
          </w:tcPr>
          <w:p>
            <w:pPr>
              <w:spacing w:after="0"/>
              <w:rPr>
                <w:sz w:val="8"/>
                <w:szCs w:val="8"/>
                <w:color w:val="auto"/>
              </w:rPr>
            </w:pPr>
          </w:p>
        </w:tc>
        <w:tc>
          <w:tcPr>
            <w:tcW w:w="560" w:type="dxa"/>
            <w:vAlign w:val="bottom"/>
            <w:tcBorders>
              <w:bottom w:val="single" w:sz="8" w:color="BFBFBF"/>
              <w:right w:val="single" w:sz="8" w:color="BFBFBF"/>
            </w:tcBorders>
          </w:tcPr>
          <w:p>
            <w:pPr>
              <w:spacing w:after="0"/>
              <w:rPr>
                <w:sz w:val="8"/>
                <w:szCs w:val="8"/>
                <w:color w:val="auto"/>
              </w:rPr>
            </w:pPr>
          </w:p>
        </w:tc>
        <w:tc>
          <w:tcPr>
            <w:tcW w:w="120" w:type="dxa"/>
            <w:vAlign w:val="bottom"/>
            <w:tcBorders>
              <w:bottom w:val="single" w:sz="8" w:color="BFBFBF"/>
            </w:tcBorders>
          </w:tcPr>
          <w:p>
            <w:pPr>
              <w:spacing w:after="0"/>
              <w:rPr>
                <w:sz w:val="8"/>
                <w:szCs w:val="8"/>
                <w:color w:val="auto"/>
              </w:rPr>
            </w:pPr>
          </w:p>
        </w:tc>
        <w:tc>
          <w:tcPr>
            <w:tcW w:w="1060" w:type="dxa"/>
            <w:vAlign w:val="bottom"/>
            <w:tcBorders>
              <w:bottom w:val="single" w:sz="8" w:color="BFBFBF"/>
            </w:tcBorders>
          </w:tcPr>
          <w:p>
            <w:pPr>
              <w:spacing w:after="0"/>
              <w:rPr>
                <w:sz w:val="8"/>
                <w:szCs w:val="8"/>
                <w:color w:val="auto"/>
              </w:rPr>
            </w:pPr>
          </w:p>
        </w:tc>
        <w:tc>
          <w:tcPr>
            <w:tcW w:w="120" w:type="dxa"/>
            <w:vAlign w:val="bottom"/>
            <w:tcBorders>
              <w:bottom w:val="single" w:sz="8" w:color="BFBFBF"/>
            </w:tcBorders>
          </w:tcPr>
          <w:p>
            <w:pPr>
              <w:spacing w:after="0"/>
              <w:rPr>
                <w:sz w:val="8"/>
                <w:szCs w:val="8"/>
                <w:color w:val="auto"/>
              </w:rPr>
            </w:pPr>
          </w:p>
        </w:tc>
        <w:tc>
          <w:tcPr>
            <w:tcW w:w="1000" w:type="dxa"/>
            <w:vAlign w:val="bottom"/>
            <w:tcBorders>
              <w:bottom w:val="single" w:sz="8" w:color="BFBFBF"/>
              <w:right w:val="single" w:sz="8" w:color="BFBFBF"/>
            </w:tcBorders>
          </w:tcPr>
          <w:p>
            <w:pPr>
              <w:spacing w:after="0"/>
              <w:rPr>
                <w:sz w:val="8"/>
                <w:szCs w:val="8"/>
                <w:color w:val="auto"/>
              </w:rPr>
            </w:pPr>
          </w:p>
        </w:tc>
        <w:tc>
          <w:tcPr>
            <w:tcW w:w="120" w:type="dxa"/>
            <w:vAlign w:val="bottom"/>
            <w:tcBorders>
              <w:bottom w:val="single" w:sz="8" w:color="BFBFBF"/>
            </w:tcBorders>
          </w:tcPr>
          <w:p>
            <w:pPr>
              <w:spacing w:after="0"/>
              <w:rPr>
                <w:sz w:val="8"/>
                <w:szCs w:val="8"/>
                <w:color w:val="auto"/>
              </w:rPr>
            </w:pPr>
          </w:p>
        </w:tc>
        <w:tc>
          <w:tcPr>
            <w:tcW w:w="1040" w:type="dxa"/>
            <w:vAlign w:val="bottom"/>
            <w:tcBorders>
              <w:bottom w:val="single" w:sz="8" w:color="BFBFBF"/>
              <w:right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5"/>
          </w:tcPr>
          <w:p>
            <w:pPr>
              <w:jc w:val="right"/>
              <w:spacing w:after="0"/>
              <w:rPr>
                <w:sz w:val="20"/>
                <w:szCs w:val="20"/>
                <w:color w:val="auto"/>
              </w:rPr>
            </w:pPr>
            <w:r>
              <w:rPr>
                <w:rFonts w:ascii="Arial" w:cs="Arial" w:eastAsia="Arial" w:hAnsi="Arial"/>
                <w:sz w:val="18"/>
                <w:szCs w:val="18"/>
                <w:color w:val="0088A6"/>
              </w:rPr>
              <w:t>THE NASDAQ OMX GROUP, INC.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-2870835</wp:posOffset>
            </wp:positionV>
            <wp:extent cx="889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-2870835</wp:posOffset>
            </wp:positionV>
            <wp:extent cx="889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-2870835</wp:posOffset>
            </wp:positionV>
            <wp:extent cx="889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-2870835</wp:posOffset>
            </wp:positionV>
            <wp:extent cx="889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-2870835</wp:posOffset>
            </wp:positionV>
            <wp:extent cx="889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-2870835</wp:posOffset>
            </wp:positionV>
            <wp:extent cx="889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-5100955</wp:posOffset>
            </wp:positionV>
            <wp:extent cx="428625"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8625" cy="3771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-5100955</wp:posOffset>
            </wp:positionV>
            <wp:extent cx="454660" cy="368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4660" cy="36893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-5100955</wp:posOffset>
            </wp:positionV>
            <wp:extent cx="377190"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-5100955</wp:posOffset>
            </wp:positionV>
            <wp:extent cx="711835" cy="711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835" cy="71183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NOMINEES</w:t>
      </w:r>
    </w:p>
    <w:p>
      <w:pPr>
        <w:spacing w:after="0" w:line="13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following table provides summary information about each director nominee. Each director nominee is elected annually by a majority of votes cast.</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520" w:type="dxa"/>
            <w:vAlign w:val="bottom"/>
            <w:tcBorders>
              <w:left w:val="single" w:sz="8" w:color="BFBFBF"/>
              <w:right w:val="single" w:sz="8" w:color="BFBFBF"/>
            </w:tcBorders>
            <w:shd w:val="clear" w:color="auto" w:fill="0088A6"/>
          </w:tcPr>
          <w:p>
            <w:pPr>
              <w:ind w:left="120"/>
              <w:spacing w:after="0"/>
              <w:rPr>
                <w:sz w:val="20"/>
                <w:szCs w:val="20"/>
                <w:color w:val="auto"/>
              </w:rPr>
            </w:pPr>
            <w:r>
              <w:rPr>
                <w:rFonts w:ascii="Arial" w:cs="Arial" w:eastAsia="Arial" w:hAnsi="Arial"/>
                <w:sz w:val="18"/>
                <w:szCs w:val="18"/>
                <w:b w:val="1"/>
                <w:bCs w:val="1"/>
                <w:color w:val="FFFFFF"/>
              </w:rPr>
              <w:t>Name</w:t>
            </w:r>
          </w:p>
        </w:tc>
        <w:tc>
          <w:tcPr>
            <w:tcW w:w="700" w:type="dxa"/>
            <w:vAlign w:val="bottom"/>
            <w:shd w:val="clear" w:color="auto" w:fill="0088A6"/>
          </w:tcPr>
          <w:p>
            <w:pPr>
              <w:spacing w:after="0"/>
              <w:rPr>
                <w:sz w:val="21"/>
                <w:szCs w:val="21"/>
                <w:color w:val="auto"/>
              </w:rPr>
            </w:pPr>
          </w:p>
        </w:tc>
        <w:tc>
          <w:tcPr>
            <w:tcW w:w="760" w:type="dxa"/>
            <w:vAlign w:val="bottom"/>
            <w:tcBorders>
              <w:right w:val="single" w:sz="8" w:color="BFBFBF"/>
            </w:tcBorders>
            <w:shd w:val="clear" w:color="auto" w:fill="0088A6"/>
          </w:tcPr>
          <w:p>
            <w:pPr>
              <w:spacing w:after="0"/>
              <w:rPr>
                <w:sz w:val="20"/>
                <w:szCs w:val="20"/>
                <w:color w:val="auto"/>
              </w:rPr>
            </w:pPr>
            <w:r>
              <w:rPr>
                <w:rFonts w:ascii="Arial" w:cs="Arial" w:eastAsia="Arial" w:hAnsi="Arial"/>
                <w:sz w:val="18"/>
                <w:szCs w:val="18"/>
                <w:b w:val="1"/>
                <w:bCs w:val="1"/>
                <w:color w:val="FFFFFF"/>
              </w:rPr>
              <w:t>Age</w:t>
            </w:r>
          </w:p>
        </w:tc>
        <w:tc>
          <w:tcPr>
            <w:tcW w:w="700" w:type="dxa"/>
            <w:vAlign w:val="bottom"/>
            <w:shd w:val="clear" w:color="auto" w:fill="0088A6"/>
          </w:tcPr>
          <w:p>
            <w:pPr>
              <w:spacing w:after="0"/>
              <w:rPr>
                <w:sz w:val="21"/>
                <w:szCs w:val="21"/>
                <w:color w:val="auto"/>
              </w:rPr>
            </w:pPr>
          </w:p>
        </w:tc>
        <w:tc>
          <w:tcPr>
            <w:tcW w:w="3320" w:type="dxa"/>
            <w:vAlign w:val="bottom"/>
            <w:tcBorders>
              <w:right w:val="single" w:sz="8" w:color="BFBFBF"/>
            </w:tcBorders>
            <w:shd w:val="clear" w:color="auto" w:fill="0088A6"/>
          </w:tcPr>
          <w:p>
            <w:pPr>
              <w:spacing w:after="0"/>
              <w:rPr>
                <w:sz w:val="20"/>
                <w:szCs w:val="20"/>
                <w:color w:val="auto"/>
              </w:rPr>
            </w:pPr>
            <w:r>
              <w:rPr>
                <w:rFonts w:ascii="Arial" w:cs="Arial" w:eastAsia="Arial" w:hAnsi="Arial"/>
                <w:sz w:val="18"/>
                <w:szCs w:val="18"/>
                <w:b w:val="1"/>
                <w:bCs w:val="1"/>
                <w:color w:val="FFFFFF"/>
              </w:rPr>
              <w:t>Classification</w:t>
            </w:r>
          </w:p>
        </w:tc>
        <w:tc>
          <w:tcPr>
            <w:tcW w:w="2440" w:type="dxa"/>
            <w:vAlign w:val="bottom"/>
            <w:tcBorders>
              <w:right w:val="single" w:sz="8" w:color="BFBFBF"/>
            </w:tcBorders>
            <w:gridSpan w:val="2"/>
            <w:shd w:val="clear" w:color="auto" w:fill="0088A6"/>
          </w:tcPr>
          <w:p>
            <w:pPr>
              <w:ind w:left="720"/>
              <w:spacing w:after="0"/>
              <w:rPr>
                <w:sz w:val="20"/>
                <w:szCs w:val="20"/>
                <w:color w:val="auto"/>
              </w:rPr>
            </w:pPr>
            <w:r>
              <w:rPr>
                <w:rFonts w:ascii="Arial" w:cs="Arial" w:eastAsia="Arial" w:hAnsi="Arial"/>
                <w:sz w:val="18"/>
                <w:szCs w:val="18"/>
                <w:b w:val="1"/>
                <w:bCs w:val="1"/>
                <w:color w:val="FFFFFF"/>
              </w:rPr>
              <w:t>Director Since</w:t>
            </w:r>
          </w:p>
        </w:tc>
      </w:tr>
      <w:tr>
        <w:trPr>
          <w:trHeight w:val="20"/>
        </w:trPr>
        <w:tc>
          <w:tcPr>
            <w:tcW w:w="3520" w:type="dxa"/>
            <w:vAlign w:val="bottom"/>
            <w:tcBorders>
              <w:top w:val="single" w:sz="8" w:color="auto"/>
              <w:left w:val="single" w:sz="8" w:color="BFBFBF"/>
              <w:right w:val="single" w:sz="8" w:color="BFBFBF"/>
            </w:tcBorders>
            <w:shd w:val="clear" w:color="auto" w:fill="BFBFBF"/>
          </w:tcPr>
          <w:p>
            <w:pPr>
              <w:spacing w:after="0" w:line="20" w:lineRule="exact"/>
              <w:rPr>
                <w:sz w:val="1"/>
                <w:szCs w:val="1"/>
                <w:color w:val="auto"/>
              </w:rPr>
            </w:pPr>
          </w:p>
        </w:tc>
        <w:tc>
          <w:tcPr>
            <w:tcW w:w="700" w:type="dxa"/>
            <w:vAlign w:val="bottom"/>
            <w:tcBorders>
              <w:top w:val="single" w:sz="8" w:color="0088A6"/>
            </w:tcBorders>
            <w:shd w:val="clear" w:color="auto" w:fill="BFBFBF"/>
          </w:tcPr>
          <w:p>
            <w:pPr>
              <w:spacing w:after="0" w:line="20" w:lineRule="exact"/>
              <w:rPr>
                <w:sz w:val="1"/>
                <w:szCs w:val="1"/>
                <w:color w:val="auto"/>
              </w:rPr>
            </w:pPr>
          </w:p>
        </w:tc>
        <w:tc>
          <w:tcPr>
            <w:tcW w:w="760" w:type="dxa"/>
            <w:vAlign w:val="bottom"/>
            <w:tcBorders>
              <w:top w:val="single" w:sz="8" w:color="auto"/>
              <w:right w:val="single" w:sz="8" w:color="BFBFBF"/>
            </w:tcBorders>
            <w:shd w:val="clear" w:color="auto" w:fill="BFBFBF"/>
          </w:tcPr>
          <w:p>
            <w:pPr>
              <w:spacing w:after="0" w:line="20" w:lineRule="exact"/>
              <w:rPr>
                <w:sz w:val="1"/>
                <w:szCs w:val="1"/>
                <w:color w:val="auto"/>
              </w:rPr>
            </w:pPr>
          </w:p>
        </w:tc>
        <w:tc>
          <w:tcPr>
            <w:tcW w:w="700" w:type="dxa"/>
            <w:vAlign w:val="bottom"/>
            <w:tcBorders>
              <w:top w:val="single" w:sz="8" w:color="0088A6"/>
            </w:tcBorders>
            <w:shd w:val="clear" w:color="auto" w:fill="BFBFBF"/>
          </w:tcPr>
          <w:p>
            <w:pPr>
              <w:spacing w:after="0" w:line="20" w:lineRule="exact"/>
              <w:rPr>
                <w:sz w:val="1"/>
                <w:szCs w:val="1"/>
                <w:color w:val="auto"/>
              </w:rPr>
            </w:pPr>
          </w:p>
        </w:tc>
        <w:tc>
          <w:tcPr>
            <w:tcW w:w="3320" w:type="dxa"/>
            <w:vAlign w:val="bottom"/>
            <w:tcBorders>
              <w:top w:val="single" w:sz="8" w:color="auto"/>
              <w:right w:val="single" w:sz="8" w:color="BFBFBF"/>
            </w:tcBorders>
            <w:shd w:val="clear" w:color="auto" w:fill="BFBFBF"/>
          </w:tcPr>
          <w:p>
            <w:pPr>
              <w:spacing w:after="0" w:line="20" w:lineRule="exact"/>
              <w:rPr>
                <w:sz w:val="1"/>
                <w:szCs w:val="1"/>
                <w:color w:val="auto"/>
              </w:rPr>
            </w:pPr>
          </w:p>
        </w:tc>
        <w:tc>
          <w:tcPr>
            <w:tcW w:w="720" w:type="dxa"/>
            <w:vAlign w:val="bottom"/>
            <w:tcBorders>
              <w:top w:val="single" w:sz="8" w:color="0088A6"/>
            </w:tcBorders>
            <w:shd w:val="clear" w:color="auto" w:fill="BFBFBF"/>
          </w:tcPr>
          <w:p>
            <w:pPr>
              <w:spacing w:after="0" w:line="20" w:lineRule="exact"/>
              <w:rPr>
                <w:sz w:val="1"/>
                <w:szCs w:val="1"/>
                <w:color w:val="auto"/>
              </w:rPr>
            </w:pPr>
          </w:p>
        </w:tc>
        <w:tc>
          <w:tcPr>
            <w:tcW w:w="1720" w:type="dxa"/>
            <w:vAlign w:val="bottom"/>
            <w:tcBorders>
              <w:top w:val="single" w:sz="8" w:color="auto"/>
              <w:right w:val="single" w:sz="8" w:color="BFBFBF"/>
            </w:tcBorders>
            <w:shd w:val="clear" w:color="auto" w:fill="BFBFBF"/>
          </w:tcPr>
          <w:p>
            <w:pPr>
              <w:spacing w:after="0" w:line="20" w:lineRule="exact"/>
              <w:rPr>
                <w:sz w:val="1"/>
                <w:szCs w:val="1"/>
                <w:color w:val="auto"/>
              </w:rPr>
            </w:pPr>
          </w:p>
        </w:tc>
      </w:tr>
      <w:tr>
        <w:trPr>
          <w:trHeight w:val="183"/>
        </w:trPr>
        <w:tc>
          <w:tcPr>
            <w:tcW w:w="3520" w:type="dxa"/>
            <w:vAlign w:val="bottom"/>
            <w:tcBorders>
              <w:left w:val="single" w:sz="8" w:color="BFBFBF"/>
              <w:bottom w:val="single" w:sz="8" w:color="BFBFBF"/>
              <w:right w:val="single" w:sz="8" w:color="BFBFBF"/>
            </w:tcBorders>
          </w:tcPr>
          <w:p>
            <w:pPr>
              <w:ind w:left="120"/>
              <w:spacing w:after="0" w:line="183" w:lineRule="exact"/>
              <w:rPr>
                <w:sz w:val="20"/>
                <w:szCs w:val="20"/>
                <w:color w:val="auto"/>
              </w:rPr>
            </w:pPr>
            <w:r>
              <w:rPr>
                <w:rFonts w:ascii="Arial" w:cs="Arial" w:eastAsia="Arial" w:hAnsi="Arial"/>
                <w:sz w:val="18"/>
                <w:szCs w:val="18"/>
                <w:color w:val="auto"/>
              </w:rPr>
              <w:t>Steven D. Black</w:t>
            </w:r>
          </w:p>
        </w:tc>
        <w:tc>
          <w:tcPr>
            <w:tcW w:w="700" w:type="dxa"/>
            <w:vAlign w:val="bottom"/>
            <w:tcBorders>
              <w:bottom w:val="single" w:sz="8" w:color="BFBFBF"/>
            </w:tcBorders>
          </w:tcPr>
          <w:p>
            <w:pPr>
              <w:spacing w:after="0"/>
              <w:rPr>
                <w:sz w:val="15"/>
                <w:szCs w:val="15"/>
                <w:color w:val="auto"/>
              </w:rPr>
            </w:pPr>
          </w:p>
        </w:tc>
        <w:tc>
          <w:tcPr>
            <w:tcW w:w="760" w:type="dxa"/>
            <w:vAlign w:val="bottom"/>
            <w:tcBorders>
              <w:bottom w:val="single" w:sz="8" w:color="BFBFBF"/>
              <w:right w:val="single" w:sz="8" w:color="BFBFBF"/>
            </w:tcBorders>
          </w:tcPr>
          <w:p>
            <w:pPr>
              <w:spacing w:after="0" w:line="183" w:lineRule="exact"/>
              <w:rPr>
                <w:sz w:val="20"/>
                <w:szCs w:val="20"/>
                <w:color w:val="auto"/>
              </w:rPr>
            </w:pPr>
            <w:r>
              <w:rPr>
                <w:rFonts w:ascii="Arial" w:cs="Arial" w:eastAsia="Arial" w:hAnsi="Arial"/>
                <w:sz w:val="18"/>
                <w:szCs w:val="18"/>
                <w:color w:val="auto"/>
              </w:rPr>
              <w:t>60</w:t>
            </w:r>
          </w:p>
        </w:tc>
        <w:tc>
          <w:tcPr>
            <w:tcW w:w="700" w:type="dxa"/>
            <w:vAlign w:val="bottom"/>
            <w:tcBorders>
              <w:bottom w:val="single" w:sz="8" w:color="BFBFBF"/>
            </w:tcBorders>
          </w:tcPr>
          <w:p>
            <w:pPr>
              <w:spacing w:after="0"/>
              <w:rPr>
                <w:sz w:val="15"/>
                <w:szCs w:val="15"/>
                <w:color w:val="auto"/>
              </w:rPr>
            </w:pPr>
          </w:p>
        </w:tc>
        <w:tc>
          <w:tcPr>
            <w:tcW w:w="3320" w:type="dxa"/>
            <w:vAlign w:val="bottom"/>
            <w:tcBorders>
              <w:bottom w:val="single" w:sz="8" w:color="BFBFBF"/>
              <w:right w:val="single" w:sz="8" w:color="BFBFBF"/>
            </w:tcBorders>
          </w:tcPr>
          <w:p>
            <w:pPr>
              <w:ind w:left="40"/>
              <w:spacing w:after="0" w:line="183" w:lineRule="exact"/>
              <w:rPr>
                <w:sz w:val="20"/>
                <w:szCs w:val="20"/>
                <w:color w:val="auto"/>
              </w:rPr>
            </w:pPr>
            <w:r>
              <w:rPr>
                <w:rFonts w:ascii="Arial" w:cs="Arial" w:eastAsia="Arial" w:hAnsi="Arial"/>
                <w:sz w:val="18"/>
                <w:szCs w:val="18"/>
                <w:color w:val="auto"/>
              </w:rPr>
              <w:t>Non-Industry; Public</w:t>
            </w:r>
          </w:p>
        </w:tc>
        <w:tc>
          <w:tcPr>
            <w:tcW w:w="2440" w:type="dxa"/>
            <w:vAlign w:val="bottom"/>
            <w:tcBorders>
              <w:bottom w:val="single" w:sz="8" w:color="BFBFBF"/>
              <w:right w:val="single" w:sz="8" w:color="BFBFBF"/>
            </w:tcBorders>
            <w:gridSpan w:val="2"/>
          </w:tcPr>
          <w:p>
            <w:pPr>
              <w:ind w:left="720"/>
              <w:spacing w:after="0" w:line="183" w:lineRule="exact"/>
              <w:rPr>
                <w:sz w:val="20"/>
                <w:szCs w:val="20"/>
                <w:color w:val="auto"/>
              </w:rPr>
            </w:pPr>
            <w:r>
              <w:rPr>
                <w:rFonts w:ascii="Arial" w:cs="Arial" w:eastAsia="Arial" w:hAnsi="Arial"/>
                <w:sz w:val="18"/>
                <w:szCs w:val="18"/>
                <w:color w:val="auto"/>
              </w:rPr>
              <w:t>2011</w:t>
            </w:r>
          </w:p>
        </w:tc>
      </w:tr>
      <w:tr>
        <w:trPr>
          <w:trHeight w:val="196"/>
        </w:trPr>
        <w:tc>
          <w:tcPr>
            <w:tcW w:w="3520" w:type="dxa"/>
            <w:vAlign w:val="bottom"/>
            <w:tcBorders>
              <w:left w:val="single" w:sz="8" w:color="BFBFBF"/>
              <w:bottom w:val="single" w:sz="8" w:color="BFBFBF"/>
              <w:right w:val="single" w:sz="8" w:color="BFBFBF"/>
            </w:tcBorders>
            <w:shd w:val="clear" w:color="auto" w:fill="DDEFF3"/>
          </w:tcPr>
          <w:p>
            <w:pPr>
              <w:ind w:left="120"/>
              <w:spacing w:after="0" w:line="196" w:lineRule="exact"/>
              <w:rPr>
                <w:sz w:val="20"/>
                <w:szCs w:val="20"/>
                <w:color w:val="auto"/>
              </w:rPr>
            </w:pPr>
            <w:r>
              <w:rPr>
                <w:rFonts w:ascii="Arial" w:cs="Arial" w:eastAsia="Arial" w:hAnsi="Arial"/>
                <w:sz w:val="18"/>
                <w:szCs w:val="18"/>
                <w:color w:val="auto"/>
              </w:rPr>
              <w:t>Börje E. Ekholm</w:t>
            </w:r>
          </w:p>
        </w:tc>
        <w:tc>
          <w:tcPr>
            <w:tcW w:w="1460" w:type="dxa"/>
            <w:vAlign w:val="bottom"/>
            <w:tcBorders>
              <w:bottom w:val="single" w:sz="8" w:color="BFBFBF"/>
              <w:right w:val="single" w:sz="8" w:color="BFBFBF"/>
            </w:tcBorders>
            <w:gridSpan w:val="2"/>
            <w:shd w:val="clear" w:color="auto" w:fill="DDEFF3"/>
          </w:tcPr>
          <w:p>
            <w:pPr>
              <w:ind w:left="700"/>
              <w:spacing w:after="0" w:line="196" w:lineRule="exact"/>
              <w:rPr>
                <w:sz w:val="20"/>
                <w:szCs w:val="20"/>
                <w:color w:val="auto"/>
              </w:rPr>
            </w:pPr>
            <w:r>
              <w:rPr>
                <w:rFonts w:ascii="Arial" w:cs="Arial" w:eastAsia="Arial" w:hAnsi="Arial"/>
                <w:sz w:val="18"/>
                <w:szCs w:val="18"/>
                <w:color w:val="auto"/>
              </w:rPr>
              <w:t>50</w:t>
            </w:r>
          </w:p>
        </w:tc>
        <w:tc>
          <w:tcPr>
            <w:tcW w:w="700" w:type="dxa"/>
            <w:vAlign w:val="bottom"/>
            <w:tcBorders>
              <w:bottom w:val="single" w:sz="8" w:color="BFBFBF"/>
            </w:tcBorders>
            <w:shd w:val="clear" w:color="auto" w:fill="DDEFF3"/>
          </w:tcPr>
          <w:p>
            <w:pPr>
              <w:spacing w:after="0"/>
              <w:rPr>
                <w:sz w:val="17"/>
                <w:szCs w:val="17"/>
                <w:color w:val="auto"/>
              </w:rPr>
            </w:pPr>
          </w:p>
        </w:tc>
        <w:tc>
          <w:tcPr>
            <w:tcW w:w="3320" w:type="dxa"/>
            <w:vAlign w:val="bottom"/>
            <w:tcBorders>
              <w:bottom w:val="single" w:sz="8" w:color="BFBFBF"/>
              <w:right w:val="single" w:sz="8" w:color="BFBFBF"/>
            </w:tcBorders>
            <w:shd w:val="clear" w:color="auto" w:fill="DDEFF3"/>
          </w:tcPr>
          <w:p>
            <w:pPr>
              <w:ind w:left="40"/>
              <w:spacing w:after="0" w:line="196" w:lineRule="exact"/>
              <w:rPr>
                <w:sz w:val="20"/>
                <w:szCs w:val="20"/>
                <w:color w:val="auto"/>
              </w:rPr>
            </w:pPr>
            <w:r>
              <w:rPr>
                <w:rFonts w:ascii="Arial" w:cs="Arial" w:eastAsia="Arial" w:hAnsi="Arial"/>
                <w:sz w:val="18"/>
                <w:szCs w:val="18"/>
                <w:color w:val="auto"/>
              </w:rPr>
              <w:t>Non-Industry</w:t>
            </w:r>
          </w:p>
        </w:tc>
        <w:tc>
          <w:tcPr>
            <w:tcW w:w="2440" w:type="dxa"/>
            <w:vAlign w:val="bottom"/>
            <w:tcBorders>
              <w:bottom w:val="single" w:sz="8" w:color="BFBFBF"/>
              <w:right w:val="single" w:sz="8" w:color="BFBFBF"/>
            </w:tcBorders>
            <w:gridSpan w:val="2"/>
            <w:shd w:val="clear" w:color="auto" w:fill="DDEFF3"/>
          </w:tcPr>
          <w:p>
            <w:pPr>
              <w:ind w:left="720"/>
              <w:spacing w:after="0" w:line="196" w:lineRule="exact"/>
              <w:rPr>
                <w:sz w:val="20"/>
                <w:szCs w:val="20"/>
                <w:color w:val="auto"/>
              </w:rPr>
            </w:pPr>
            <w:r>
              <w:rPr>
                <w:rFonts w:ascii="Arial" w:cs="Arial" w:eastAsia="Arial" w:hAnsi="Arial"/>
                <w:sz w:val="18"/>
                <w:szCs w:val="18"/>
                <w:color w:val="auto"/>
              </w:rPr>
              <w:t>2011</w:t>
            </w:r>
          </w:p>
        </w:tc>
      </w:tr>
      <w:tr>
        <w:trPr>
          <w:trHeight w:val="196"/>
        </w:trPr>
        <w:tc>
          <w:tcPr>
            <w:tcW w:w="35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Robert Greifeld</w:t>
            </w:r>
          </w:p>
        </w:tc>
        <w:tc>
          <w:tcPr>
            <w:tcW w:w="1460" w:type="dxa"/>
            <w:vAlign w:val="bottom"/>
            <w:tcBorders>
              <w:bottom w:val="single" w:sz="8" w:color="BFBFBF"/>
              <w:right w:val="single" w:sz="8" w:color="BFBFBF"/>
            </w:tcBorders>
            <w:gridSpan w:val="2"/>
          </w:tcPr>
          <w:p>
            <w:pPr>
              <w:ind w:left="700"/>
              <w:spacing w:after="0" w:line="196" w:lineRule="exact"/>
              <w:rPr>
                <w:sz w:val="20"/>
                <w:szCs w:val="20"/>
                <w:color w:val="auto"/>
              </w:rPr>
            </w:pPr>
            <w:r>
              <w:rPr>
                <w:rFonts w:ascii="Arial" w:cs="Arial" w:eastAsia="Arial" w:hAnsi="Arial"/>
                <w:sz w:val="18"/>
                <w:szCs w:val="18"/>
                <w:color w:val="auto"/>
              </w:rPr>
              <w:t>55</w:t>
            </w:r>
          </w:p>
        </w:tc>
        <w:tc>
          <w:tcPr>
            <w:tcW w:w="700" w:type="dxa"/>
            <w:vAlign w:val="bottom"/>
            <w:tcBorders>
              <w:bottom w:val="single" w:sz="8" w:color="BFBFBF"/>
            </w:tcBorders>
          </w:tcPr>
          <w:p>
            <w:pPr>
              <w:spacing w:after="0"/>
              <w:rPr>
                <w:sz w:val="17"/>
                <w:szCs w:val="17"/>
                <w:color w:val="auto"/>
              </w:rPr>
            </w:pPr>
          </w:p>
        </w:tc>
        <w:tc>
          <w:tcPr>
            <w:tcW w:w="3320" w:type="dxa"/>
            <w:vAlign w:val="bottom"/>
            <w:tcBorders>
              <w:bottom w:val="single" w:sz="8" w:color="BFBFBF"/>
              <w:right w:val="single" w:sz="8" w:color="BFBFBF"/>
            </w:tcBorders>
          </w:tcPr>
          <w:p>
            <w:pPr>
              <w:ind w:left="40"/>
              <w:spacing w:after="0" w:line="196" w:lineRule="exact"/>
              <w:rPr>
                <w:sz w:val="20"/>
                <w:szCs w:val="20"/>
                <w:color w:val="auto"/>
              </w:rPr>
            </w:pPr>
            <w:r>
              <w:rPr>
                <w:rFonts w:ascii="Arial" w:cs="Arial" w:eastAsia="Arial" w:hAnsi="Arial"/>
                <w:sz w:val="18"/>
                <w:szCs w:val="18"/>
                <w:color w:val="auto"/>
              </w:rPr>
              <w:t>Staff</w:t>
            </w:r>
          </w:p>
        </w:tc>
        <w:tc>
          <w:tcPr>
            <w:tcW w:w="2440" w:type="dxa"/>
            <w:vAlign w:val="bottom"/>
            <w:tcBorders>
              <w:bottom w:val="single" w:sz="8" w:color="BFBFBF"/>
              <w:right w:val="single" w:sz="8" w:color="BFBFBF"/>
            </w:tcBorders>
            <w:gridSpan w:val="2"/>
          </w:tcPr>
          <w:p>
            <w:pPr>
              <w:ind w:left="720"/>
              <w:spacing w:after="0" w:line="196" w:lineRule="exact"/>
              <w:rPr>
                <w:sz w:val="20"/>
                <w:szCs w:val="20"/>
                <w:color w:val="auto"/>
              </w:rPr>
            </w:pPr>
            <w:r>
              <w:rPr>
                <w:rFonts w:ascii="Arial" w:cs="Arial" w:eastAsia="Arial" w:hAnsi="Arial"/>
                <w:sz w:val="18"/>
                <w:szCs w:val="18"/>
                <w:color w:val="auto"/>
              </w:rPr>
              <w:t>2003</w:t>
            </w:r>
          </w:p>
        </w:tc>
      </w:tr>
      <w:tr>
        <w:trPr>
          <w:trHeight w:val="196"/>
        </w:trPr>
        <w:tc>
          <w:tcPr>
            <w:tcW w:w="3520" w:type="dxa"/>
            <w:vAlign w:val="bottom"/>
            <w:tcBorders>
              <w:left w:val="single" w:sz="8" w:color="BFBFBF"/>
              <w:bottom w:val="single" w:sz="8" w:color="BFBFBF"/>
              <w:right w:val="single" w:sz="8" w:color="BFBFBF"/>
            </w:tcBorders>
            <w:shd w:val="clear" w:color="auto" w:fill="DDEFF3"/>
          </w:tcPr>
          <w:p>
            <w:pPr>
              <w:ind w:left="120"/>
              <w:spacing w:after="0" w:line="196" w:lineRule="exact"/>
              <w:rPr>
                <w:sz w:val="20"/>
                <w:szCs w:val="20"/>
                <w:color w:val="auto"/>
              </w:rPr>
            </w:pPr>
            <w:r>
              <w:rPr>
                <w:rFonts w:ascii="Arial" w:cs="Arial" w:eastAsia="Arial" w:hAnsi="Arial"/>
                <w:sz w:val="18"/>
                <w:szCs w:val="18"/>
                <w:color w:val="auto"/>
              </w:rPr>
              <w:t>Glenn H. Hutchins</w:t>
            </w:r>
          </w:p>
        </w:tc>
        <w:tc>
          <w:tcPr>
            <w:tcW w:w="1460" w:type="dxa"/>
            <w:vAlign w:val="bottom"/>
            <w:tcBorders>
              <w:bottom w:val="single" w:sz="8" w:color="BFBFBF"/>
              <w:right w:val="single" w:sz="8" w:color="BFBFBF"/>
            </w:tcBorders>
            <w:gridSpan w:val="2"/>
            <w:shd w:val="clear" w:color="auto" w:fill="DDEFF3"/>
          </w:tcPr>
          <w:p>
            <w:pPr>
              <w:ind w:left="700"/>
              <w:spacing w:after="0" w:line="196" w:lineRule="exact"/>
              <w:rPr>
                <w:sz w:val="20"/>
                <w:szCs w:val="20"/>
                <w:color w:val="auto"/>
              </w:rPr>
            </w:pPr>
            <w:r>
              <w:rPr>
                <w:rFonts w:ascii="Arial" w:cs="Arial" w:eastAsia="Arial" w:hAnsi="Arial"/>
                <w:sz w:val="18"/>
                <w:szCs w:val="18"/>
                <w:color w:val="auto"/>
              </w:rPr>
              <w:t>57</w:t>
            </w:r>
          </w:p>
        </w:tc>
        <w:tc>
          <w:tcPr>
            <w:tcW w:w="700" w:type="dxa"/>
            <w:vAlign w:val="bottom"/>
            <w:tcBorders>
              <w:bottom w:val="single" w:sz="8" w:color="BFBFBF"/>
            </w:tcBorders>
            <w:shd w:val="clear" w:color="auto" w:fill="DDEFF3"/>
          </w:tcPr>
          <w:p>
            <w:pPr>
              <w:spacing w:after="0"/>
              <w:rPr>
                <w:sz w:val="17"/>
                <w:szCs w:val="17"/>
                <w:color w:val="auto"/>
              </w:rPr>
            </w:pPr>
          </w:p>
        </w:tc>
        <w:tc>
          <w:tcPr>
            <w:tcW w:w="3320" w:type="dxa"/>
            <w:vAlign w:val="bottom"/>
            <w:tcBorders>
              <w:bottom w:val="single" w:sz="8" w:color="BFBFBF"/>
              <w:right w:val="single" w:sz="8" w:color="BFBFBF"/>
            </w:tcBorders>
            <w:shd w:val="clear" w:color="auto" w:fill="DDEFF3"/>
          </w:tcPr>
          <w:p>
            <w:pPr>
              <w:ind w:left="40"/>
              <w:spacing w:after="0" w:line="196" w:lineRule="exact"/>
              <w:rPr>
                <w:sz w:val="20"/>
                <w:szCs w:val="20"/>
                <w:color w:val="auto"/>
              </w:rPr>
            </w:pPr>
            <w:r>
              <w:rPr>
                <w:rFonts w:ascii="Arial" w:cs="Arial" w:eastAsia="Arial" w:hAnsi="Arial"/>
                <w:sz w:val="18"/>
                <w:szCs w:val="18"/>
                <w:color w:val="auto"/>
              </w:rPr>
              <w:t>Industry</w:t>
            </w:r>
          </w:p>
        </w:tc>
        <w:tc>
          <w:tcPr>
            <w:tcW w:w="2440" w:type="dxa"/>
            <w:vAlign w:val="bottom"/>
            <w:tcBorders>
              <w:bottom w:val="single" w:sz="8" w:color="BFBFBF"/>
              <w:right w:val="single" w:sz="8" w:color="BFBFBF"/>
            </w:tcBorders>
            <w:gridSpan w:val="2"/>
            <w:shd w:val="clear" w:color="auto" w:fill="DDEFF3"/>
          </w:tcPr>
          <w:p>
            <w:pPr>
              <w:ind w:left="720"/>
              <w:spacing w:after="0" w:line="196" w:lineRule="exact"/>
              <w:rPr>
                <w:sz w:val="20"/>
                <w:szCs w:val="20"/>
                <w:color w:val="auto"/>
              </w:rPr>
            </w:pPr>
            <w:r>
              <w:rPr>
                <w:rFonts w:ascii="Arial" w:cs="Arial" w:eastAsia="Arial" w:hAnsi="Arial"/>
                <w:sz w:val="18"/>
                <w:szCs w:val="18"/>
                <w:color w:val="auto"/>
              </w:rPr>
              <w:t>2005</w:t>
            </w:r>
          </w:p>
        </w:tc>
      </w:tr>
      <w:tr>
        <w:trPr>
          <w:trHeight w:val="196"/>
        </w:trPr>
        <w:tc>
          <w:tcPr>
            <w:tcW w:w="35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Essa Kazim</w:t>
            </w:r>
          </w:p>
        </w:tc>
        <w:tc>
          <w:tcPr>
            <w:tcW w:w="1460" w:type="dxa"/>
            <w:vAlign w:val="bottom"/>
            <w:tcBorders>
              <w:bottom w:val="single" w:sz="8" w:color="BFBFBF"/>
              <w:right w:val="single" w:sz="8" w:color="BFBFBF"/>
            </w:tcBorders>
            <w:gridSpan w:val="2"/>
          </w:tcPr>
          <w:p>
            <w:pPr>
              <w:ind w:left="700"/>
              <w:spacing w:after="0" w:line="196" w:lineRule="exact"/>
              <w:rPr>
                <w:sz w:val="20"/>
                <w:szCs w:val="20"/>
                <w:color w:val="auto"/>
              </w:rPr>
            </w:pPr>
            <w:r>
              <w:rPr>
                <w:rFonts w:ascii="Arial" w:cs="Arial" w:eastAsia="Arial" w:hAnsi="Arial"/>
                <w:sz w:val="18"/>
                <w:szCs w:val="18"/>
                <w:color w:val="auto"/>
              </w:rPr>
              <w:t>54</w:t>
            </w:r>
          </w:p>
        </w:tc>
        <w:tc>
          <w:tcPr>
            <w:tcW w:w="700" w:type="dxa"/>
            <w:vAlign w:val="bottom"/>
            <w:tcBorders>
              <w:bottom w:val="single" w:sz="8" w:color="BFBFBF"/>
            </w:tcBorders>
          </w:tcPr>
          <w:p>
            <w:pPr>
              <w:spacing w:after="0"/>
              <w:rPr>
                <w:sz w:val="17"/>
                <w:szCs w:val="17"/>
                <w:color w:val="auto"/>
              </w:rPr>
            </w:pPr>
          </w:p>
        </w:tc>
        <w:tc>
          <w:tcPr>
            <w:tcW w:w="3320" w:type="dxa"/>
            <w:vAlign w:val="bottom"/>
            <w:tcBorders>
              <w:bottom w:val="single" w:sz="8" w:color="BFBFBF"/>
              <w:right w:val="single" w:sz="8" w:color="BFBFBF"/>
            </w:tcBorders>
          </w:tcPr>
          <w:p>
            <w:pPr>
              <w:ind w:left="40"/>
              <w:spacing w:after="0" w:line="196" w:lineRule="exact"/>
              <w:rPr>
                <w:sz w:val="20"/>
                <w:szCs w:val="20"/>
                <w:color w:val="auto"/>
              </w:rPr>
            </w:pPr>
            <w:r>
              <w:rPr>
                <w:rFonts w:ascii="Arial" w:cs="Arial" w:eastAsia="Arial" w:hAnsi="Arial"/>
                <w:sz w:val="18"/>
                <w:szCs w:val="18"/>
                <w:color w:val="auto"/>
              </w:rPr>
              <w:t>Non-Industry</w:t>
            </w:r>
          </w:p>
        </w:tc>
        <w:tc>
          <w:tcPr>
            <w:tcW w:w="2440" w:type="dxa"/>
            <w:vAlign w:val="bottom"/>
            <w:tcBorders>
              <w:bottom w:val="single" w:sz="8" w:color="BFBFBF"/>
              <w:right w:val="single" w:sz="8" w:color="BFBFBF"/>
            </w:tcBorders>
            <w:gridSpan w:val="2"/>
          </w:tcPr>
          <w:p>
            <w:pPr>
              <w:ind w:left="720"/>
              <w:spacing w:after="0" w:line="196" w:lineRule="exact"/>
              <w:rPr>
                <w:sz w:val="20"/>
                <w:szCs w:val="20"/>
                <w:color w:val="auto"/>
              </w:rPr>
            </w:pPr>
            <w:r>
              <w:rPr>
                <w:rFonts w:ascii="Arial" w:cs="Arial" w:eastAsia="Arial" w:hAnsi="Arial"/>
                <w:sz w:val="18"/>
                <w:szCs w:val="18"/>
                <w:color w:val="auto"/>
              </w:rPr>
              <w:t>2008</w:t>
            </w:r>
          </w:p>
        </w:tc>
      </w:tr>
      <w:tr>
        <w:trPr>
          <w:trHeight w:val="196"/>
        </w:trPr>
        <w:tc>
          <w:tcPr>
            <w:tcW w:w="3520" w:type="dxa"/>
            <w:vAlign w:val="bottom"/>
            <w:tcBorders>
              <w:left w:val="single" w:sz="8" w:color="BFBFBF"/>
              <w:bottom w:val="single" w:sz="8" w:color="BFBFBF"/>
              <w:right w:val="single" w:sz="8" w:color="BFBFBF"/>
            </w:tcBorders>
            <w:shd w:val="clear" w:color="auto" w:fill="DDEFF3"/>
          </w:tcPr>
          <w:p>
            <w:pPr>
              <w:ind w:left="120"/>
              <w:spacing w:after="0" w:line="196" w:lineRule="exact"/>
              <w:rPr>
                <w:sz w:val="20"/>
                <w:szCs w:val="20"/>
                <w:color w:val="auto"/>
              </w:rPr>
            </w:pPr>
            <w:r>
              <w:rPr>
                <w:rFonts w:ascii="Arial" w:cs="Arial" w:eastAsia="Arial" w:hAnsi="Arial"/>
                <w:sz w:val="18"/>
                <w:szCs w:val="18"/>
                <w:color w:val="auto"/>
              </w:rPr>
              <w:t>John D. Markese</w:t>
            </w:r>
          </w:p>
        </w:tc>
        <w:tc>
          <w:tcPr>
            <w:tcW w:w="1460" w:type="dxa"/>
            <w:vAlign w:val="bottom"/>
            <w:tcBorders>
              <w:bottom w:val="single" w:sz="8" w:color="BFBFBF"/>
              <w:right w:val="single" w:sz="8" w:color="BFBFBF"/>
            </w:tcBorders>
            <w:gridSpan w:val="2"/>
            <w:shd w:val="clear" w:color="auto" w:fill="DDEFF3"/>
          </w:tcPr>
          <w:p>
            <w:pPr>
              <w:ind w:left="700"/>
              <w:spacing w:after="0" w:line="196" w:lineRule="exact"/>
              <w:rPr>
                <w:sz w:val="20"/>
                <w:szCs w:val="20"/>
                <w:color w:val="auto"/>
              </w:rPr>
            </w:pPr>
            <w:r>
              <w:rPr>
                <w:rFonts w:ascii="Arial" w:cs="Arial" w:eastAsia="Arial" w:hAnsi="Arial"/>
                <w:sz w:val="18"/>
                <w:szCs w:val="18"/>
                <w:color w:val="auto"/>
              </w:rPr>
              <w:t>67</w:t>
            </w:r>
          </w:p>
        </w:tc>
        <w:tc>
          <w:tcPr>
            <w:tcW w:w="700" w:type="dxa"/>
            <w:vAlign w:val="bottom"/>
            <w:tcBorders>
              <w:bottom w:val="single" w:sz="8" w:color="BFBFBF"/>
            </w:tcBorders>
            <w:shd w:val="clear" w:color="auto" w:fill="DDEFF3"/>
          </w:tcPr>
          <w:p>
            <w:pPr>
              <w:spacing w:after="0"/>
              <w:rPr>
                <w:sz w:val="17"/>
                <w:szCs w:val="17"/>
                <w:color w:val="auto"/>
              </w:rPr>
            </w:pPr>
          </w:p>
        </w:tc>
        <w:tc>
          <w:tcPr>
            <w:tcW w:w="3320" w:type="dxa"/>
            <w:vAlign w:val="bottom"/>
            <w:tcBorders>
              <w:bottom w:val="single" w:sz="8" w:color="BFBFBF"/>
              <w:right w:val="single" w:sz="8" w:color="BFBFBF"/>
            </w:tcBorders>
            <w:shd w:val="clear" w:color="auto" w:fill="DDEFF3"/>
          </w:tcPr>
          <w:p>
            <w:pPr>
              <w:ind w:left="40"/>
              <w:spacing w:after="0" w:line="196" w:lineRule="exact"/>
              <w:rPr>
                <w:sz w:val="20"/>
                <w:szCs w:val="20"/>
                <w:color w:val="auto"/>
              </w:rPr>
            </w:pPr>
            <w:r>
              <w:rPr>
                <w:rFonts w:ascii="Arial" w:cs="Arial" w:eastAsia="Arial" w:hAnsi="Arial"/>
                <w:sz w:val="18"/>
                <w:szCs w:val="18"/>
                <w:color w:val="auto"/>
              </w:rPr>
              <w:t>Non-Industry; Public</w:t>
            </w:r>
          </w:p>
        </w:tc>
        <w:tc>
          <w:tcPr>
            <w:tcW w:w="2440" w:type="dxa"/>
            <w:vAlign w:val="bottom"/>
            <w:tcBorders>
              <w:bottom w:val="single" w:sz="8" w:color="BFBFBF"/>
              <w:right w:val="single" w:sz="8" w:color="BFBFBF"/>
            </w:tcBorders>
            <w:gridSpan w:val="2"/>
            <w:shd w:val="clear" w:color="auto" w:fill="DDEFF3"/>
          </w:tcPr>
          <w:p>
            <w:pPr>
              <w:ind w:left="720"/>
              <w:spacing w:after="0" w:line="196" w:lineRule="exact"/>
              <w:rPr>
                <w:sz w:val="20"/>
                <w:szCs w:val="20"/>
                <w:color w:val="auto"/>
              </w:rPr>
            </w:pPr>
            <w:r>
              <w:rPr>
                <w:rFonts w:ascii="Arial" w:cs="Arial" w:eastAsia="Arial" w:hAnsi="Arial"/>
                <w:sz w:val="18"/>
                <w:szCs w:val="18"/>
                <w:color w:val="auto"/>
              </w:rPr>
              <w:t>1996</w:t>
            </w:r>
          </w:p>
        </w:tc>
      </w:tr>
      <w:tr>
        <w:trPr>
          <w:trHeight w:val="196"/>
        </w:trPr>
        <w:tc>
          <w:tcPr>
            <w:tcW w:w="35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Ellyn A. McColgan</w:t>
            </w:r>
          </w:p>
        </w:tc>
        <w:tc>
          <w:tcPr>
            <w:tcW w:w="1460" w:type="dxa"/>
            <w:vAlign w:val="bottom"/>
            <w:tcBorders>
              <w:bottom w:val="single" w:sz="8" w:color="BFBFBF"/>
              <w:right w:val="single" w:sz="8" w:color="BFBFBF"/>
            </w:tcBorders>
            <w:gridSpan w:val="2"/>
          </w:tcPr>
          <w:p>
            <w:pPr>
              <w:ind w:left="700"/>
              <w:spacing w:after="0" w:line="196" w:lineRule="exact"/>
              <w:rPr>
                <w:sz w:val="20"/>
                <w:szCs w:val="20"/>
                <w:color w:val="auto"/>
              </w:rPr>
            </w:pPr>
            <w:r>
              <w:rPr>
                <w:rFonts w:ascii="Arial" w:cs="Arial" w:eastAsia="Arial" w:hAnsi="Arial"/>
                <w:sz w:val="18"/>
                <w:szCs w:val="18"/>
                <w:color w:val="auto"/>
              </w:rPr>
              <w:t>59</w:t>
            </w:r>
          </w:p>
        </w:tc>
        <w:tc>
          <w:tcPr>
            <w:tcW w:w="700" w:type="dxa"/>
            <w:vAlign w:val="bottom"/>
            <w:tcBorders>
              <w:bottom w:val="single" w:sz="8" w:color="BFBFBF"/>
            </w:tcBorders>
          </w:tcPr>
          <w:p>
            <w:pPr>
              <w:spacing w:after="0"/>
              <w:rPr>
                <w:sz w:val="17"/>
                <w:szCs w:val="17"/>
                <w:color w:val="auto"/>
              </w:rPr>
            </w:pPr>
          </w:p>
        </w:tc>
        <w:tc>
          <w:tcPr>
            <w:tcW w:w="3320" w:type="dxa"/>
            <w:vAlign w:val="bottom"/>
            <w:tcBorders>
              <w:bottom w:val="single" w:sz="8" w:color="BFBFBF"/>
              <w:right w:val="single" w:sz="8" w:color="BFBFBF"/>
            </w:tcBorders>
          </w:tcPr>
          <w:p>
            <w:pPr>
              <w:ind w:left="40"/>
              <w:spacing w:after="0" w:line="196" w:lineRule="exact"/>
              <w:rPr>
                <w:sz w:val="20"/>
                <w:szCs w:val="20"/>
                <w:color w:val="auto"/>
              </w:rPr>
            </w:pPr>
            <w:r>
              <w:rPr>
                <w:rFonts w:ascii="Arial" w:cs="Arial" w:eastAsia="Arial" w:hAnsi="Arial"/>
                <w:sz w:val="18"/>
                <w:szCs w:val="18"/>
                <w:color w:val="auto"/>
              </w:rPr>
              <w:t>Non-Industry; Public</w:t>
            </w:r>
          </w:p>
        </w:tc>
        <w:tc>
          <w:tcPr>
            <w:tcW w:w="2440" w:type="dxa"/>
            <w:vAlign w:val="bottom"/>
            <w:tcBorders>
              <w:bottom w:val="single" w:sz="8" w:color="BFBFBF"/>
              <w:right w:val="single" w:sz="8" w:color="BFBFBF"/>
            </w:tcBorders>
            <w:gridSpan w:val="2"/>
          </w:tcPr>
          <w:p>
            <w:pPr>
              <w:ind w:left="720"/>
              <w:spacing w:after="0" w:line="196" w:lineRule="exact"/>
              <w:rPr>
                <w:sz w:val="20"/>
                <w:szCs w:val="20"/>
                <w:color w:val="auto"/>
              </w:rPr>
            </w:pPr>
            <w:r>
              <w:rPr>
                <w:rFonts w:ascii="Arial" w:cs="Arial" w:eastAsia="Arial" w:hAnsi="Arial"/>
                <w:sz w:val="18"/>
                <w:szCs w:val="18"/>
                <w:color w:val="auto"/>
              </w:rPr>
              <w:t>2012</w:t>
            </w:r>
          </w:p>
        </w:tc>
      </w:tr>
      <w:tr>
        <w:trPr>
          <w:trHeight w:val="196"/>
        </w:trPr>
        <w:tc>
          <w:tcPr>
            <w:tcW w:w="3520" w:type="dxa"/>
            <w:vAlign w:val="bottom"/>
            <w:tcBorders>
              <w:left w:val="single" w:sz="8" w:color="BFBFBF"/>
              <w:bottom w:val="single" w:sz="8" w:color="BFBFBF"/>
              <w:right w:val="single" w:sz="8" w:color="BFBFBF"/>
            </w:tcBorders>
            <w:shd w:val="clear" w:color="auto" w:fill="DDEFF3"/>
          </w:tcPr>
          <w:p>
            <w:pPr>
              <w:ind w:left="120"/>
              <w:spacing w:after="0" w:line="196" w:lineRule="exact"/>
              <w:rPr>
                <w:sz w:val="20"/>
                <w:szCs w:val="20"/>
                <w:color w:val="auto"/>
              </w:rPr>
            </w:pPr>
            <w:r>
              <w:rPr>
                <w:rFonts w:ascii="Arial" w:cs="Arial" w:eastAsia="Arial" w:hAnsi="Arial"/>
                <w:sz w:val="18"/>
                <w:szCs w:val="18"/>
                <w:color w:val="auto"/>
              </w:rPr>
              <w:t>Thomas F. O’Neill</w:t>
            </w:r>
          </w:p>
        </w:tc>
        <w:tc>
          <w:tcPr>
            <w:tcW w:w="1460" w:type="dxa"/>
            <w:vAlign w:val="bottom"/>
            <w:tcBorders>
              <w:bottom w:val="single" w:sz="8" w:color="BFBFBF"/>
              <w:right w:val="single" w:sz="8" w:color="BFBFBF"/>
            </w:tcBorders>
            <w:gridSpan w:val="2"/>
            <w:shd w:val="clear" w:color="auto" w:fill="DDEFF3"/>
          </w:tcPr>
          <w:p>
            <w:pPr>
              <w:ind w:left="700"/>
              <w:spacing w:after="0" w:line="196" w:lineRule="exact"/>
              <w:rPr>
                <w:sz w:val="20"/>
                <w:szCs w:val="20"/>
                <w:color w:val="auto"/>
              </w:rPr>
            </w:pPr>
            <w:r>
              <w:rPr>
                <w:rFonts w:ascii="Arial" w:cs="Arial" w:eastAsia="Arial" w:hAnsi="Arial"/>
                <w:sz w:val="18"/>
                <w:szCs w:val="18"/>
                <w:color w:val="auto"/>
              </w:rPr>
              <w:t>66</w:t>
            </w:r>
          </w:p>
        </w:tc>
        <w:tc>
          <w:tcPr>
            <w:tcW w:w="700" w:type="dxa"/>
            <w:vAlign w:val="bottom"/>
            <w:tcBorders>
              <w:bottom w:val="single" w:sz="8" w:color="BFBFBF"/>
            </w:tcBorders>
            <w:shd w:val="clear" w:color="auto" w:fill="DDEFF3"/>
          </w:tcPr>
          <w:p>
            <w:pPr>
              <w:spacing w:after="0"/>
              <w:rPr>
                <w:sz w:val="17"/>
                <w:szCs w:val="17"/>
                <w:color w:val="auto"/>
              </w:rPr>
            </w:pPr>
          </w:p>
        </w:tc>
        <w:tc>
          <w:tcPr>
            <w:tcW w:w="3320" w:type="dxa"/>
            <w:vAlign w:val="bottom"/>
            <w:tcBorders>
              <w:bottom w:val="single" w:sz="8" w:color="BFBFBF"/>
              <w:right w:val="single" w:sz="8" w:color="BFBFBF"/>
            </w:tcBorders>
            <w:shd w:val="clear" w:color="auto" w:fill="DDEFF3"/>
          </w:tcPr>
          <w:p>
            <w:pPr>
              <w:ind w:left="40"/>
              <w:spacing w:after="0" w:line="196" w:lineRule="exact"/>
              <w:rPr>
                <w:sz w:val="20"/>
                <w:szCs w:val="20"/>
                <w:color w:val="auto"/>
              </w:rPr>
            </w:pPr>
            <w:r>
              <w:rPr>
                <w:rFonts w:ascii="Arial" w:cs="Arial" w:eastAsia="Arial" w:hAnsi="Arial"/>
                <w:sz w:val="18"/>
                <w:szCs w:val="18"/>
                <w:color w:val="auto"/>
              </w:rPr>
              <w:t>Non-Industry</w:t>
            </w:r>
          </w:p>
        </w:tc>
        <w:tc>
          <w:tcPr>
            <w:tcW w:w="2440" w:type="dxa"/>
            <w:vAlign w:val="bottom"/>
            <w:tcBorders>
              <w:bottom w:val="single" w:sz="8" w:color="BFBFBF"/>
              <w:right w:val="single" w:sz="8" w:color="BFBFBF"/>
            </w:tcBorders>
            <w:gridSpan w:val="2"/>
            <w:shd w:val="clear" w:color="auto" w:fill="DDEFF3"/>
          </w:tcPr>
          <w:p>
            <w:pPr>
              <w:ind w:left="720"/>
              <w:spacing w:after="0" w:line="196" w:lineRule="exact"/>
              <w:rPr>
                <w:sz w:val="20"/>
                <w:szCs w:val="20"/>
                <w:color w:val="auto"/>
              </w:rPr>
            </w:pPr>
            <w:r>
              <w:rPr>
                <w:rFonts w:ascii="Arial" w:cs="Arial" w:eastAsia="Arial" w:hAnsi="Arial"/>
                <w:sz w:val="18"/>
                <w:szCs w:val="18"/>
                <w:color w:val="auto"/>
              </w:rPr>
              <w:t>2003</w:t>
            </w:r>
          </w:p>
        </w:tc>
      </w:tr>
      <w:tr>
        <w:trPr>
          <w:trHeight w:val="196"/>
        </w:trPr>
        <w:tc>
          <w:tcPr>
            <w:tcW w:w="35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James S. Riepe</w:t>
            </w:r>
          </w:p>
        </w:tc>
        <w:tc>
          <w:tcPr>
            <w:tcW w:w="1460" w:type="dxa"/>
            <w:vAlign w:val="bottom"/>
            <w:tcBorders>
              <w:bottom w:val="single" w:sz="8" w:color="BFBFBF"/>
              <w:right w:val="single" w:sz="8" w:color="BFBFBF"/>
            </w:tcBorders>
            <w:gridSpan w:val="2"/>
          </w:tcPr>
          <w:p>
            <w:pPr>
              <w:ind w:left="700"/>
              <w:spacing w:after="0" w:line="196" w:lineRule="exact"/>
              <w:rPr>
                <w:sz w:val="20"/>
                <w:szCs w:val="20"/>
                <w:color w:val="auto"/>
              </w:rPr>
            </w:pPr>
            <w:r>
              <w:rPr>
                <w:rFonts w:ascii="Arial" w:cs="Arial" w:eastAsia="Arial" w:hAnsi="Arial"/>
                <w:sz w:val="18"/>
                <w:szCs w:val="18"/>
                <w:color w:val="auto"/>
              </w:rPr>
              <w:t>69</w:t>
            </w:r>
          </w:p>
        </w:tc>
        <w:tc>
          <w:tcPr>
            <w:tcW w:w="700" w:type="dxa"/>
            <w:vAlign w:val="bottom"/>
            <w:tcBorders>
              <w:bottom w:val="single" w:sz="8" w:color="BFBFBF"/>
            </w:tcBorders>
          </w:tcPr>
          <w:p>
            <w:pPr>
              <w:spacing w:after="0"/>
              <w:rPr>
                <w:sz w:val="17"/>
                <w:szCs w:val="17"/>
                <w:color w:val="auto"/>
              </w:rPr>
            </w:pPr>
          </w:p>
        </w:tc>
        <w:tc>
          <w:tcPr>
            <w:tcW w:w="3320" w:type="dxa"/>
            <w:vAlign w:val="bottom"/>
            <w:tcBorders>
              <w:bottom w:val="single" w:sz="8" w:color="BFBFBF"/>
              <w:right w:val="single" w:sz="8" w:color="BFBFBF"/>
            </w:tcBorders>
          </w:tcPr>
          <w:p>
            <w:pPr>
              <w:ind w:left="40"/>
              <w:spacing w:after="0" w:line="196" w:lineRule="exact"/>
              <w:rPr>
                <w:sz w:val="20"/>
                <w:szCs w:val="20"/>
                <w:color w:val="auto"/>
              </w:rPr>
            </w:pPr>
            <w:r>
              <w:rPr>
                <w:rFonts w:ascii="Arial" w:cs="Arial" w:eastAsia="Arial" w:hAnsi="Arial"/>
                <w:sz w:val="18"/>
                <w:szCs w:val="18"/>
                <w:color w:val="auto"/>
              </w:rPr>
              <w:t>Industry</w:t>
            </w:r>
          </w:p>
        </w:tc>
        <w:tc>
          <w:tcPr>
            <w:tcW w:w="2440" w:type="dxa"/>
            <w:vAlign w:val="bottom"/>
            <w:tcBorders>
              <w:bottom w:val="single" w:sz="8" w:color="BFBFBF"/>
              <w:right w:val="single" w:sz="8" w:color="BFBFBF"/>
            </w:tcBorders>
            <w:gridSpan w:val="2"/>
          </w:tcPr>
          <w:p>
            <w:pPr>
              <w:ind w:left="720"/>
              <w:spacing w:after="0" w:line="196" w:lineRule="exact"/>
              <w:rPr>
                <w:sz w:val="20"/>
                <w:szCs w:val="20"/>
                <w:color w:val="auto"/>
              </w:rPr>
            </w:pPr>
            <w:r>
              <w:rPr>
                <w:rFonts w:ascii="Arial" w:cs="Arial" w:eastAsia="Arial" w:hAnsi="Arial"/>
                <w:sz w:val="18"/>
                <w:szCs w:val="18"/>
                <w:color w:val="auto"/>
              </w:rPr>
              <w:t>2003</w:t>
            </w:r>
          </w:p>
        </w:tc>
      </w:tr>
      <w:tr>
        <w:trPr>
          <w:trHeight w:val="196"/>
        </w:trPr>
        <w:tc>
          <w:tcPr>
            <w:tcW w:w="3520" w:type="dxa"/>
            <w:vAlign w:val="bottom"/>
            <w:tcBorders>
              <w:left w:val="single" w:sz="8" w:color="BFBFBF"/>
              <w:bottom w:val="single" w:sz="8" w:color="BFBFBF"/>
              <w:right w:val="single" w:sz="8" w:color="BFBFBF"/>
            </w:tcBorders>
            <w:shd w:val="clear" w:color="auto" w:fill="DDEFF3"/>
          </w:tcPr>
          <w:p>
            <w:pPr>
              <w:ind w:left="120"/>
              <w:spacing w:after="0" w:line="196" w:lineRule="exact"/>
              <w:rPr>
                <w:sz w:val="20"/>
                <w:szCs w:val="20"/>
                <w:color w:val="auto"/>
              </w:rPr>
            </w:pPr>
            <w:r>
              <w:rPr>
                <w:rFonts w:ascii="Arial" w:cs="Arial" w:eastAsia="Arial" w:hAnsi="Arial"/>
                <w:sz w:val="18"/>
                <w:szCs w:val="18"/>
                <w:color w:val="auto"/>
              </w:rPr>
              <w:t>Michael R. Splinter</w:t>
            </w:r>
          </w:p>
        </w:tc>
        <w:tc>
          <w:tcPr>
            <w:tcW w:w="1460" w:type="dxa"/>
            <w:vAlign w:val="bottom"/>
            <w:tcBorders>
              <w:bottom w:val="single" w:sz="8" w:color="BFBFBF"/>
              <w:right w:val="single" w:sz="8" w:color="BFBFBF"/>
            </w:tcBorders>
            <w:gridSpan w:val="2"/>
            <w:shd w:val="clear" w:color="auto" w:fill="DDEFF3"/>
          </w:tcPr>
          <w:p>
            <w:pPr>
              <w:ind w:left="700"/>
              <w:spacing w:after="0" w:line="196" w:lineRule="exact"/>
              <w:rPr>
                <w:sz w:val="20"/>
                <w:szCs w:val="20"/>
                <w:color w:val="auto"/>
              </w:rPr>
            </w:pPr>
            <w:r>
              <w:rPr>
                <w:rFonts w:ascii="Arial" w:cs="Arial" w:eastAsia="Arial" w:hAnsi="Arial"/>
                <w:sz w:val="18"/>
                <w:szCs w:val="18"/>
                <w:color w:val="auto"/>
              </w:rPr>
              <w:t>62</w:t>
            </w:r>
          </w:p>
        </w:tc>
        <w:tc>
          <w:tcPr>
            <w:tcW w:w="700" w:type="dxa"/>
            <w:vAlign w:val="bottom"/>
            <w:tcBorders>
              <w:bottom w:val="single" w:sz="8" w:color="BFBFBF"/>
            </w:tcBorders>
            <w:shd w:val="clear" w:color="auto" w:fill="DDEFF3"/>
          </w:tcPr>
          <w:p>
            <w:pPr>
              <w:spacing w:after="0"/>
              <w:rPr>
                <w:sz w:val="17"/>
                <w:szCs w:val="17"/>
                <w:color w:val="auto"/>
              </w:rPr>
            </w:pPr>
          </w:p>
        </w:tc>
        <w:tc>
          <w:tcPr>
            <w:tcW w:w="3320" w:type="dxa"/>
            <w:vAlign w:val="bottom"/>
            <w:tcBorders>
              <w:bottom w:val="single" w:sz="8" w:color="BFBFBF"/>
              <w:right w:val="single" w:sz="8" w:color="BFBFBF"/>
            </w:tcBorders>
            <w:shd w:val="clear" w:color="auto" w:fill="DDEFF3"/>
          </w:tcPr>
          <w:p>
            <w:pPr>
              <w:ind w:left="40"/>
              <w:spacing w:after="0" w:line="196" w:lineRule="exact"/>
              <w:rPr>
                <w:sz w:val="20"/>
                <w:szCs w:val="20"/>
                <w:color w:val="auto"/>
              </w:rPr>
            </w:pPr>
            <w:r>
              <w:rPr>
                <w:rFonts w:ascii="Arial" w:cs="Arial" w:eastAsia="Arial" w:hAnsi="Arial"/>
                <w:sz w:val="18"/>
                <w:szCs w:val="18"/>
                <w:color w:val="auto"/>
              </w:rPr>
              <w:t>Non-Industry; Issuer</w:t>
            </w:r>
          </w:p>
        </w:tc>
        <w:tc>
          <w:tcPr>
            <w:tcW w:w="2440" w:type="dxa"/>
            <w:vAlign w:val="bottom"/>
            <w:tcBorders>
              <w:bottom w:val="single" w:sz="8" w:color="BFBFBF"/>
              <w:right w:val="single" w:sz="8" w:color="BFBFBF"/>
            </w:tcBorders>
            <w:gridSpan w:val="2"/>
            <w:shd w:val="clear" w:color="auto" w:fill="DDEFF3"/>
          </w:tcPr>
          <w:p>
            <w:pPr>
              <w:ind w:left="720"/>
              <w:spacing w:after="0" w:line="196" w:lineRule="exact"/>
              <w:rPr>
                <w:sz w:val="20"/>
                <w:szCs w:val="20"/>
                <w:color w:val="auto"/>
              </w:rPr>
            </w:pPr>
            <w:r>
              <w:rPr>
                <w:rFonts w:ascii="Arial" w:cs="Arial" w:eastAsia="Arial" w:hAnsi="Arial"/>
                <w:sz w:val="18"/>
                <w:szCs w:val="18"/>
                <w:color w:val="auto"/>
              </w:rPr>
              <w:t>2008</w:t>
            </w:r>
          </w:p>
        </w:tc>
      </w:tr>
      <w:tr>
        <w:trPr>
          <w:trHeight w:val="196"/>
        </w:trPr>
        <w:tc>
          <w:tcPr>
            <w:tcW w:w="35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Lars R. Wedenborn</w:t>
            </w:r>
          </w:p>
        </w:tc>
        <w:tc>
          <w:tcPr>
            <w:tcW w:w="1460" w:type="dxa"/>
            <w:vAlign w:val="bottom"/>
            <w:tcBorders>
              <w:bottom w:val="single" w:sz="8" w:color="BFBFBF"/>
              <w:right w:val="single" w:sz="8" w:color="BFBFBF"/>
            </w:tcBorders>
            <w:gridSpan w:val="2"/>
          </w:tcPr>
          <w:p>
            <w:pPr>
              <w:ind w:left="700"/>
              <w:spacing w:after="0" w:line="196" w:lineRule="exact"/>
              <w:rPr>
                <w:sz w:val="20"/>
                <w:szCs w:val="20"/>
                <w:color w:val="auto"/>
              </w:rPr>
            </w:pPr>
            <w:r>
              <w:rPr>
                <w:rFonts w:ascii="Arial" w:cs="Arial" w:eastAsia="Arial" w:hAnsi="Arial"/>
                <w:sz w:val="18"/>
                <w:szCs w:val="18"/>
                <w:color w:val="auto"/>
              </w:rPr>
              <w:t>54</w:t>
            </w:r>
          </w:p>
        </w:tc>
        <w:tc>
          <w:tcPr>
            <w:tcW w:w="700" w:type="dxa"/>
            <w:vAlign w:val="bottom"/>
            <w:tcBorders>
              <w:bottom w:val="single" w:sz="8" w:color="BFBFBF"/>
            </w:tcBorders>
          </w:tcPr>
          <w:p>
            <w:pPr>
              <w:spacing w:after="0"/>
              <w:rPr>
                <w:sz w:val="17"/>
                <w:szCs w:val="17"/>
                <w:color w:val="auto"/>
              </w:rPr>
            </w:pPr>
          </w:p>
        </w:tc>
        <w:tc>
          <w:tcPr>
            <w:tcW w:w="3320" w:type="dxa"/>
            <w:vAlign w:val="bottom"/>
            <w:tcBorders>
              <w:bottom w:val="single" w:sz="8" w:color="BFBFBF"/>
              <w:right w:val="single" w:sz="8" w:color="BFBFBF"/>
            </w:tcBorders>
          </w:tcPr>
          <w:p>
            <w:pPr>
              <w:ind w:left="40"/>
              <w:spacing w:after="0" w:line="196" w:lineRule="exact"/>
              <w:rPr>
                <w:sz w:val="20"/>
                <w:szCs w:val="20"/>
                <w:color w:val="auto"/>
              </w:rPr>
            </w:pPr>
            <w:r>
              <w:rPr>
                <w:rFonts w:ascii="Arial" w:cs="Arial" w:eastAsia="Arial" w:hAnsi="Arial"/>
                <w:sz w:val="18"/>
                <w:szCs w:val="18"/>
                <w:color w:val="auto"/>
              </w:rPr>
              <w:t>Non-Industry</w:t>
            </w:r>
          </w:p>
        </w:tc>
        <w:tc>
          <w:tcPr>
            <w:tcW w:w="2440" w:type="dxa"/>
            <w:vAlign w:val="bottom"/>
            <w:tcBorders>
              <w:bottom w:val="single" w:sz="8" w:color="BFBFBF"/>
              <w:right w:val="single" w:sz="8" w:color="BFBFBF"/>
            </w:tcBorders>
            <w:gridSpan w:val="2"/>
          </w:tcPr>
          <w:p>
            <w:pPr>
              <w:ind w:left="720"/>
              <w:spacing w:after="0" w:line="196" w:lineRule="exact"/>
              <w:rPr>
                <w:sz w:val="20"/>
                <w:szCs w:val="20"/>
                <w:color w:val="auto"/>
              </w:rPr>
            </w:pPr>
            <w:r>
              <w:rPr>
                <w:rFonts w:ascii="Arial" w:cs="Arial" w:eastAsia="Arial" w:hAnsi="Arial"/>
                <w:sz w:val="18"/>
                <w:szCs w:val="18"/>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-1534160</wp:posOffset>
            </wp:positionV>
            <wp:extent cx="889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-1534160</wp:posOffset>
            </wp:positionV>
            <wp:extent cx="889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-1534160</wp:posOffset>
            </wp:positionV>
            <wp:extent cx="889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889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-1534160</wp:posOffset>
            </wp:positionV>
            <wp:extent cx="889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9"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NASDAQ OMX’s performance was strong in 2012 against difficult market conditions, including lower industry trading volumes in the cash equity and derivative trading markets. The chart below summarizes key NASDAQ OMX financial results for the fiscal year ended December 31, 2012 when compared with the same period in 2011. For additional information, see “Compensation Discussion and Analysis – Executive Summary – 2012 Business Highlights” on page 34.</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060" w:type="dxa"/>
            <w:vAlign w:val="bottom"/>
            <w:tcBorders>
              <w:left w:val="single" w:sz="8" w:color="BFBFBF"/>
              <w:bottom w:val="single" w:sz="8" w:color="0088A6"/>
              <w:right w:val="single" w:sz="8" w:color="BFBFBF"/>
            </w:tcBorders>
            <w:shd w:val="clear" w:color="auto" w:fill="0088A6"/>
          </w:tcPr>
          <w:p>
            <w:pPr>
              <w:spacing w:after="0"/>
              <w:rPr>
                <w:sz w:val="22"/>
                <w:szCs w:val="22"/>
                <w:color w:val="auto"/>
              </w:rPr>
            </w:pPr>
          </w:p>
        </w:tc>
        <w:tc>
          <w:tcPr>
            <w:tcW w:w="920" w:type="dxa"/>
            <w:vAlign w:val="bottom"/>
            <w:tcBorders>
              <w:bottom w:val="single" w:sz="8" w:color="0088A6"/>
            </w:tcBorders>
            <w:shd w:val="clear" w:color="auto" w:fill="0088A6"/>
          </w:tcPr>
          <w:p>
            <w:pPr>
              <w:spacing w:after="0"/>
              <w:rPr>
                <w:sz w:val="22"/>
                <w:szCs w:val="22"/>
                <w:color w:val="auto"/>
              </w:rPr>
            </w:pPr>
          </w:p>
        </w:tc>
        <w:tc>
          <w:tcPr>
            <w:tcW w:w="240" w:type="dxa"/>
            <w:vAlign w:val="bottom"/>
            <w:tcBorders>
              <w:bottom w:val="single" w:sz="8" w:color="auto"/>
            </w:tcBorders>
            <w:shd w:val="clear" w:color="auto" w:fill="0088A6"/>
          </w:tcPr>
          <w:p>
            <w:pPr>
              <w:spacing w:after="0"/>
              <w:rPr>
                <w:sz w:val="22"/>
                <w:szCs w:val="22"/>
                <w:color w:val="auto"/>
              </w:rPr>
            </w:pPr>
          </w:p>
        </w:tc>
        <w:tc>
          <w:tcPr>
            <w:tcW w:w="2820" w:type="dxa"/>
            <w:vAlign w:val="bottom"/>
            <w:tcBorders>
              <w:bottom w:val="single" w:sz="8" w:color="auto"/>
            </w:tcBorders>
            <w:gridSpan w:val="4"/>
            <w:shd w:val="clear" w:color="auto" w:fill="0088A6"/>
          </w:tcPr>
          <w:p>
            <w:pPr>
              <w:jc w:val="center"/>
              <w:ind w:left="532"/>
              <w:spacing w:after="0"/>
              <w:rPr>
                <w:sz w:val="20"/>
                <w:szCs w:val="20"/>
                <w:color w:val="auto"/>
              </w:rPr>
            </w:pPr>
            <w:r>
              <w:rPr>
                <w:rFonts w:ascii="Arial" w:cs="Arial" w:eastAsia="Arial" w:hAnsi="Arial"/>
                <w:sz w:val="18"/>
                <w:szCs w:val="18"/>
                <w:b w:val="1"/>
                <w:bCs w:val="1"/>
                <w:color w:val="FFFFFF"/>
                <w:w w:val="97"/>
              </w:rPr>
              <w:t>Year Ended December 31,</w:t>
            </w:r>
          </w:p>
        </w:tc>
        <w:tc>
          <w:tcPr>
            <w:tcW w:w="860" w:type="dxa"/>
            <w:vAlign w:val="bottom"/>
            <w:tcBorders>
              <w:bottom w:val="single" w:sz="8" w:color="auto"/>
            </w:tcBorders>
            <w:shd w:val="clear" w:color="auto" w:fill="0088A6"/>
          </w:tcPr>
          <w:p>
            <w:pPr>
              <w:spacing w:after="0"/>
              <w:rPr>
                <w:sz w:val="22"/>
                <w:szCs w:val="22"/>
                <w:color w:val="auto"/>
              </w:rPr>
            </w:pPr>
          </w:p>
        </w:tc>
        <w:tc>
          <w:tcPr>
            <w:tcW w:w="320" w:type="dxa"/>
            <w:vAlign w:val="bottom"/>
            <w:tcBorders>
              <w:bottom w:val="single" w:sz="8" w:color="0088A6"/>
              <w:right w:val="single" w:sz="8" w:color="BFBFBF"/>
            </w:tcBorders>
            <w:shd w:val="clear" w:color="auto" w:fill="0088A6"/>
          </w:tcPr>
          <w:p>
            <w:pPr>
              <w:spacing w:after="0"/>
              <w:rPr>
                <w:sz w:val="22"/>
                <w:szCs w:val="22"/>
                <w:color w:val="auto"/>
              </w:rPr>
            </w:pPr>
          </w:p>
        </w:tc>
        <w:tc>
          <w:tcPr>
            <w:tcW w:w="680" w:type="dxa"/>
            <w:vAlign w:val="bottom"/>
            <w:tcBorders>
              <w:bottom w:val="single" w:sz="8" w:color="0088A6"/>
            </w:tcBorders>
            <w:shd w:val="clear" w:color="auto" w:fill="0088A6"/>
          </w:tcPr>
          <w:p>
            <w:pPr>
              <w:spacing w:after="0"/>
              <w:rPr>
                <w:sz w:val="22"/>
                <w:szCs w:val="22"/>
                <w:color w:val="auto"/>
              </w:rPr>
            </w:pPr>
          </w:p>
        </w:tc>
        <w:tc>
          <w:tcPr>
            <w:tcW w:w="960" w:type="dxa"/>
            <w:vAlign w:val="bottom"/>
            <w:tcBorders>
              <w:bottom w:val="single" w:sz="8" w:color="0088A6"/>
            </w:tcBorders>
            <w:shd w:val="clear" w:color="auto" w:fill="0088A6"/>
          </w:tcPr>
          <w:p>
            <w:pPr>
              <w:spacing w:after="0"/>
              <w:rPr>
                <w:sz w:val="22"/>
                <w:szCs w:val="22"/>
                <w:color w:val="auto"/>
              </w:rPr>
            </w:pPr>
          </w:p>
        </w:tc>
        <w:tc>
          <w:tcPr>
            <w:tcW w:w="580" w:type="dxa"/>
            <w:vAlign w:val="bottom"/>
            <w:tcBorders>
              <w:bottom w:val="single" w:sz="8" w:color="0088A6"/>
              <w:right w:val="single" w:sz="8" w:color="BFBFBF"/>
            </w:tcBorders>
            <w:shd w:val="clear" w:color="auto" w:fill="0088A6"/>
          </w:tcPr>
          <w:p>
            <w:pPr>
              <w:spacing w:after="0"/>
              <w:rPr>
                <w:sz w:val="22"/>
                <w:szCs w:val="22"/>
                <w:color w:val="auto"/>
              </w:rPr>
            </w:pPr>
          </w:p>
        </w:tc>
      </w:tr>
      <w:tr>
        <w:trPr>
          <w:trHeight w:val="149"/>
        </w:trPr>
        <w:tc>
          <w:tcPr>
            <w:tcW w:w="4060" w:type="dxa"/>
            <w:vAlign w:val="bottom"/>
            <w:tcBorders>
              <w:left w:val="single" w:sz="8" w:color="BFBFBF"/>
              <w:right w:val="single" w:sz="8" w:color="BFBFBF"/>
            </w:tcBorders>
            <w:shd w:val="clear" w:color="auto" w:fill="0088A6"/>
          </w:tcPr>
          <w:p>
            <w:pPr>
              <w:spacing w:after="0"/>
              <w:rPr>
                <w:sz w:val="12"/>
                <w:szCs w:val="12"/>
                <w:color w:val="auto"/>
              </w:rPr>
            </w:pPr>
          </w:p>
        </w:tc>
        <w:tc>
          <w:tcPr>
            <w:tcW w:w="920" w:type="dxa"/>
            <w:vAlign w:val="bottom"/>
            <w:shd w:val="clear" w:color="auto" w:fill="0088A6"/>
          </w:tcPr>
          <w:p>
            <w:pPr>
              <w:spacing w:after="0"/>
              <w:rPr>
                <w:sz w:val="12"/>
                <w:szCs w:val="12"/>
                <w:color w:val="auto"/>
              </w:rPr>
            </w:pPr>
          </w:p>
        </w:tc>
        <w:tc>
          <w:tcPr>
            <w:tcW w:w="240" w:type="dxa"/>
            <w:vAlign w:val="bottom"/>
            <w:shd w:val="clear" w:color="auto" w:fill="0088A6"/>
          </w:tcPr>
          <w:p>
            <w:pPr>
              <w:spacing w:after="0"/>
              <w:rPr>
                <w:sz w:val="12"/>
                <w:szCs w:val="12"/>
                <w:color w:val="auto"/>
              </w:rPr>
            </w:pPr>
          </w:p>
        </w:tc>
        <w:tc>
          <w:tcPr>
            <w:tcW w:w="1060" w:type="dxa"/>
            <w:vAlign w:val="bottom"/>
            <w:shd w:val="clear" w:color="auto" w:fill="0088A6"/>
          </w:tcPr>
          <w:p>
            <w:pPr>
              <w:spacing w:after="0"/>
              <w:rPr>
                <w:sz w:val="12"/>
                <w:szCs w:val="12"/>
                <w:color w:val="auto"/>
              </w:rPr>
            </w:pPr>
          </w:p>
        </w:tc>
        <w:tc>
          <w:tcPr>
            <w:tcW w:w="340" w:type="dxa"/>
            <w:vAlign w:val="bottom"/>
            <w:tcBorders>
              <w:right w:val="single" w:sz="8" w:color="0088A6"/>
            </w:tcBorders>
            <w:shd w:val="clear" w:color="auto" w:fill="0088A6"/>
          </w:tcPr>
          <w:p>
            <w:pPr>
              <w:spacing w:after="0"/>
              <w:rPr>
                <w:sz w:val="12"/>
                <w:szCs w:val="12"/>
                <w:color w:val="auto"/>
              </w:rPr>
            </w:pPr>
          </w:p>
        </w:tc>
        <w:tc>
          <w:tcPr>
            <w:tcW w:w="960" w:type="dxa"/>
            <w:vAlign w:val="bottom"/>
            <w:shd w:val="clear" w:color="auto" w:fill="0088A6"/>
          </w:tcPr>
          <w:p>
            <w:pPr>
              <w:spacing w:after="0"/>
              <w:rPr>
                <w:sz w:val="12"/>
                <w:szCs w:val="12"/>
                <w:color w:val="auto"/>
              </w:rPr>
            </w:pPr>
          </w:p>
        </w:tc>
        <w:tc>
          <w:tcPr>
            <w:tcW w:w="460" w:type="dxa"/>
            <w:vAlign w:val="bottom"/>
            <w:shd w:val="clear" w:color="auto" w:fill="0088A6"/>
          </w:tcPr>
          <w:p>
            <w:pPr>
              <w:spacing w:after="0"/>
              <w:rPr>
                <w:sz w:val="12"/>
                <w:szCs w:val="12"/>
                <w:color w:val="auto"/>
              </w:rPr>
            </w:pPr>
          </w:p>
        </w:tc>
        <w:tc>
          <w:tcPr>
            <w:tcW w:w="860" w:type="dxa"/>
            <w:vAlign w:val="bottom"/>
            <w:shd w:val="clear" w:color="auto" w:fill="0088A6"/>
          </w:tcPr>
          <w:p>
            <w:pPr>
              <w:spacing w:after="0"/>
              <w:rPr>
                <w:sz w:val="12"/>
                <w:szCs w:val="12"/>
                <w:color w:val="auto"/>
              </w:rPr>
            </w:pPr>
          </w:p>
        </w:tc>
        <w:tc>
          <w:tcPr>
            <w:tcW w:w="320" w:type="dxa"/>
            <w:vAlign w:val="bottom"/>
            <w:tcBorders>
              <w:right w:val="single" w:sz="8" w:color="BFBFBF"/>
            </w:tcBorders>
            <w:shd w:val="clear" w:color="auto" w:fill="0088A6"/>
          </w:tcPr>
          <w:p>
            <w:pPr>
              <w:spacing w:after="0"/>
              <w:rPr>
                <w:sz w:val="12"/>
                <w:szCs w:val="12"/>
                <w:color w:val="auto"/>
              </w:rPr>
            </w:pPr>
          </w:p>
        </w:tc>
        <w:tc>
          <w:tcPr>
            <w:tcW w:w="680" w:type="dxa"/>
            <w:vAlign w:val="bottom"/>
            <w:shd w:val="clear" w:color="auto" w:fill="0088A6"/>
          </w:tcPr>
          <w:p>
            <w:pPr>
              <w:spacing w:after="0"/>
              <w:rPr>
                <w:sz w:val="12"/>
                <w:szCs w:val="12"/>
                <w:color w:val="auto"/>
              </w:rPr>
            </w:pPr>
          </w:p>
        </w:tc>
        <w:tc>
          <w:tcPr>
            <w:tcW w:w="960" w:type="dxa"/>
            <w:vAlign w:val="bottom"/>
            <w:shd w:val="clear" w:color="auto" w:fill="0088A6"/>
          </w:tcPr>
          <w:p>
            <w:pPr>
              <w:spacing w:after="0"/>
              <w:rPr>
                <w:sz w:val="12"/>
                <w:szCs w:val="12"/>
                <w:color w:val="auto"/>
              </w:rPr>
            </w:pPr>
          </w:p>
        </w:tc>
        <w:tc>
          <w:tcPr>
            <w:tcW w:w="580" w:type="dxa"/>
            <w:vAlign w:val="bottom"/>
            <w:tcBorders>
              <w:right w:val="single" w:sz="8" w:color="BFBFBF"/>
            </w:tcBorders>
            <w:shd w:val="clear" w:color="auto" w:fill="0088A6"/>
          </w:tcPr>
          <w:p>
            <w:pPr>
              <w:spacing w:after="0"/>
              <w:rPr>
                <w:sz w:val="12"/>
                <w:szCs w:val="12"/>
                <w:color w:val="auto"/>
              </w:rPr>
            </w:pPr>
          </w:p>
        </w:tc>
      </w:tr>
      <w:tr>
        <w:trPr>
          <w:trHeight w:val="191"/>
        </w:trPr>
        <w:tc>
          <w:tcPr>
            <w:tcW w:w="4060" w:type="dxa"/>
            <w:vAlign w:val="bottom"/>
            <w:tcBorders>
              <w:left w:val="single" w:sz="8" w:color="BFBFBF"/>
              <w:right w:val="single" w:sz="8" w:color="BFBFBF"/>
            </w:tcBorders>
            <w:shd w:val="clear" w:color="auto" w:fill="0088A6"/>
          </w:tcPr>
          <w:p>
            <w:pPr>
              <w:spacing w:after="0"/>
              <w:rPr>
                <w:sz w:val="16"/>
                <w:szCs w:val="16"/>
                <w:color w:val="auto"/>
              </w:rPr>
            </w:pPr>
          </w:p>
        </w:tc>
        <w:tc>
          <w:tcPr>
            <w:tcW w:w="920" w:type="dxa"/>
            <w:vAlign w:val="bottom"/>
            <w:shd w:val="clear" w:color="auto" w:fill="0088A6"/>
          </w:tcPr>
          <w:p>
            <w:pPr>
              <w:spacing w:after="0"/>
              <w:rPr>
                <w:sz w:val="16"/>
                <w:szCs w:val="16"/>
                <w:color w:val="auto"/>
              </w:rPr>
            </w:pPr>
          </w:p>
        </w:tc>
        <w:tc>
          <w:tcPr>
            <w:tcW w:w="240" w:type="dxa"/>
            <w:vAlign w:val="bottom"/>
            <w:shd w:val="clear" w:color="auto" w:fill="0088A6"/>
          </w:tcPr>
          <w:p>
            <w:pPr>
              <w:spacing w:after="0"/>
              <w:rPr>
                <w:sz w:val="16"/>
                <w:szCs w:val="16"/>
                <w:color w:val="auto"/>
              </w:rPr>
            </w:pPr>
          </w:p>
        </w:tc>
        <w:tc>
          <w:tcPr>
            <w:tcW w:w="1060" w:type="dxa"/>
            <w:vAlign w:val="bottom"/>
            <w:shd w:val="clear" w:color="auto" w:fill="0088A6"/>
          </w:tcPr>
          <w:p>
            <w:pPr>
              <w:spacing w:after="0"/>
              <w:rPr>
                <w:sz w:val="16"/>
                <w:szCs w:val="16"/>
                <w:color w:val="auto"/>
              </w:rPr>
            </w:pPr>
          </w:p>
        </w:tc>
        <w:tc>
          <w:tcPr>
            <w:tcW w:w="340" w:type="dxa"/>
            <w:vAlign w:val="bottom"/>
            <w:tcBorders>
              <w:right w:val="single" w:sz="8" w:color="0088A6"/>
            </w:tcBorders>
            <w:shd w:val="clear" w:color="auto" w:fill="0088A6"/>
          </w:tcPr>
          <w:p>
            <w:pPr>
              <w:spacing w:after="0"/>
              <w:rPr>
                <w:sz w:val="16"/>
                <w:szCs w:val="16"/>
                <w:color w:val="auto"/>
              </w:rPr>
            </w:pPr>
          </w:p>
        </w:tc>
        <w:tc>
          <w:tcPr>
            <w:tcW w:w="960" w:type="dxa"/>
            <w:vAlign w:val="bottom"/>
            <w:shd w:val="clear" w:color="auto" w:fill="0088A6"/>
          </w:tcPr>
          <w:p>
            <w:pPr>
              <w:spacing w:after="0"/>
              <w:rPr>
                <w:sz w:val="16"/>
                <w:szCs w:val="16"/>
                <w:color w:val="auto"/>
              </w:rPr>
            </w:pPr>
          </w:p>
        </w:tc>
        <w:tc>
          <w:tcPr>
            <w:tcW w:w="460" w:type="dxa"/>
            <w:vAlign w:val="bottom"/>
            <w:shd w:val="clear" w:color="auto" w:fill="0088A6"/>
          </w:tcPr>
          <w:p>
            <w:pPr>
              <w:spacing w:after="0"/>
              <w:rPr>
                <w:sz w:val="16"/>
                <w:szCs w:val="16"/>
                <w:color w:val="auto"/>
              </w:rPr>
            </w:pPr>
          </w:p>
        </w:tc>
        <w:tc>
          <w:tcPr>
            <w:tcW w:w="860" w:type="dxa"/>
            <w:vAlign w:val="bottom"/>
            <w:shd w:val="clear" w:color="auto" w:fill="0088A6"/>
          </w:tcPr>
          <w:p>
            <w:pPr>
              <w:spacing w:after="0"/>
              <w:rPr>
                <w:sz w:val="16"/>
                <w:szCs w:val="16"/>
                <w:color w:val="auto"/>
              </w:rPr>
            </w:pPr>
          </w:p>
        </w:tc>
        <w:tc>
          <w:tcPr>
            <w:tcW w:w="320" w:type="dxa"/>
            <w:vAlign w:val="bottom"/>
            <w:tcBorders>
              <w:right w:val="single" w:sz="8" w:color="BFBFBF"/>
            </w:tcBorders>
            <w:shd w:val="clear" w:color="auto" w:fill="0088A6"/>
          </w:tcPr>
          <w:p>
            <w:pPr>
              <w:spacing w:after="0"/>
              <w:rPr>
                <w:sz w:val="16"/>
                <w:szCs w:val="16"/>
                <w:color w:val="auto"/>
              </w:rPr>
            </w:pPr>
          </w:p>
        </w:tc>
        <w:tc>
          <w:tcPr>
            <w:tcW w:w="680" w:type="dxa"/>
            <w:vAlign w:val="bottom"/>
            <w:shd w:val="clear" w:color="auto" w:fill="0088A6"/>
          </w:tcPr>
          <w:p>
            <w:pPr>
              <w:spacing w:after="0"/>
              <w:rPr>
                <w:sz w:val="16"/>
                <w:szCs w:val="16"/>
                <w:color w:val="auto"/>
              </w:rPr>
            </w:pPr>
          </w:p>
        </w:tc>
        <w:tc>
          <w:tcPr>
            <w:tcW w:w="1540" w:type="dxa"/>
            <w:vAlign w:val="bottom"/>
            <w:tcBorders>
              <w:right w:val="single" w:sz="8" w:color="BFBFBF"/>
            </w:tcBorders>
            <w:gridSpan w:val="2"/>
            <w:shd w:val="clear" w:color="auto" w:fill="0088A6"/>
          </w:tcPr>
          <w:p>
            <w:pPr>
              <w:jc w:val="center"/>
              <w:ind w:right="600"/>
              <w:spacing w:after="0" w:line="190" w:lineRule="exact"/>
              <w:rPr>
                <w:sz w:val="20"/>
                <w:szCs w:val="20"/>
                <w:color w:val="auto"/>
              </w:rPr>
            </w:pPr>
            <w:r>
              <w:rPr>
                <w:rFonts w:ascii="Arial" w:cs="Arial" w:eastAsia="Arial" w:hAnsi="Arial"/>
                <w:sz w:val="18"/>
                <w:szCs w:val="18"/>
                <w:b w:val="1"/>
                <w:bCs w:val="1"/>
                <w:color w:val="FFFFFF"/>
                <w:w w:val="96"/>
              </w:rPr>
              <w:t>Percentage</w:t>
            </w:r>
          </w:p>
        </w:tc>
      </w:tr>
      <w:tr>
        <w:trPr>
          <w:trHeight w:val="221"/>
        </w:trPr>
        <w:tc>
          <w:tcPr>
            <w:tcW w:w="4060" w:type="dxa"/>
            <w:vAlign w:val="bottom"/>
            <w:tcBorders>
              <w:left w:val="single" w:sz="8" w:color="BFBFBF"/>
              <w:right w:val="single" w:sz="8" w:color="BFBFBF"/>
            </w:tcBorders>
            <w:shd w:val="clear" w:color="auto" w:fill="0088A6"/>
          </w:tcPr>
          <w:p>
            <w:pPr>
              <w:spacing w:after="0"/>
              <w:rPr>
                <w:sz w:val="19"/>
                <w:szCs w:val="19"/>
                <w:color w:val="auto"/>
              </w:rPr>
            </w:pPr>
          </w:p>
        </w:tc>
        <w:tc>
          <w:tcPr>
            <w:tcW w:w="920" w:type="dxa"/>
            <w:vAlign w:val="bottom"/>
            <w:shd w:val="clear" w:color="auto" w:fill="0088A6"/>
          </w:tcPr>
          <w:p>
            <w:pPr>
              <w:spacing w:after="0"/>
              <w:rPr>
                <w:sz w:val="19"/>
                <w:szCs w:val="19"/>
                <w:color w:val="auto"/>
              </w:rPr>
            </w:pPr>
          </w:p>
        </w:tc>
        <w:tc>
          <w:tcPr>
            <w:tcW w:w="240" w:type="dxa"/>
            <w:vAlign w:val="bottom"/>
            <w:shd w:val="clear" w:color="auto" w:fill="0088A6"/>
          </w:tcPr>
          <w:p>
            <w:pPr>
              <w:spacing w:after="0"/>
              <w:rPr>
                <w:sz w:val="19"/>
                <w:szCs w:val="19"/>
                <w:color w:val="auto"/>
              </w:rPr>
            </w:pPr>
          </w:p>
        </w:tc>
        <w:tc>
          <w:tcPr>
            <w:tcW w:w="1060" w:type="dxa"/>
            <w:vAlign w:val="bottom"/>
            <w:shd w:val="clear" w:color="auto" w:fill="0088A6"/>
          </w:tcPr>
          <w:p>
            <w:pPr>
              <w:jc w:val="right"/>
              <w:ind w:right="372"/>
              <w:spacing w:after="0"/>
              <w:rPr>
                <w:sz w:val="20"/>
                <w:szCs w:val="20"/>
                <w:color w:val="auto"/>
              </w:rPr>
            </w:pPr>
            <w:r>
              <w:rPr>
                <w:rFonts w:ascii="Arial" w:cs="Arial" w:eastAsia="Arial" w:hAnsi="Arial"/>
                <w:sz w:val="18"/>
                <w:szCs w:val="18"/>
                <w:b w:val="1"/>
                <w:bCs w:val="1"/>
                <w:color w:val="FFFFFF"/>
              </w:rPr>
              <w:t>2012</w:t>
            </w:r>
          </w:p>
        </w:tc>
        <w:tc>
          <w:tcPr>
            <w:tcW w:w="340" w:type="dxa"/>
            <w:vAlign w:val="bottom"/>
            <w:tcBorders>
              <w:right w:val="single" w:sz="8" w:color="0088A6"/>
            </w:tcBorders>
            <w:shd w:val="clear" w:color="auto" w:fill="0088A6"/>
          </w:tcPr>
          <w:p>
            <w:pPr>
              <w:spacing w:after="0"/>
              <w:rPr>
                <w:sz w:val="19"/>
                <w:szCs w:val="19"/>
                <w:color w:val="auto"/>
              </w:rPr>
            </w:pPr>
          </w:p>
        </w:tc>
        <w:tc>
          <w:tcPr>
            <w:tcW w:w="960" w:type="dxa"/>
            <w:vAlign w:val="bottom"/>
            <w:shd w:val="clear" w:color="auto" w:fill="0088A6"/>
          </w:tcPr>
          <w:p>
            <w:pPr>
              <w:spacing w:after="0"/>
              <w:rPr>
                <w:sz w:val="19"/>
                <w:szCs w:val="19"/>
                <w:color w:val="auto"/>
              </w:rPr>
            </w:pPr>
          </w:p>
        </w:tc>
        <w:tc>
          <w:tcPr>
            <w:tcW w:w="460" w:type="dxa"/>
            <w:vAlign w:val="bottom"/>
            <w:shd w:val="clear" w:color="auto" w:fill="0088A6"/>
          </w:tcPr>
          <w:p>
            <w:pPr>
              <w:spacing w:after="0"/>
              <w:rPr>
                <w:sz w:val="19"/>
                <w:szCs w:val="19"/>
                <w:color w:val="auto"/>
              </w:rPr>
            </w:pPr>
          </w:p>
        </w:tc>
        <w:tc>
          <w:tcPr>
            <w:tcW w:w="860" w:type="dxa"/>
            <w:vAlign w:val="bottom"/>
            <w:shd w:val="clear" w:color="auto" w:fill="0088A6"/>
          </w:tcPr>
          <w:p>
            <w:pPr>
              <w:jc w:val="right"/>
              <w:ind w:right="372"/>
              <w:spacing w:after="0"/>
              <w:rPr>
                <w:sz w:val="20"/>
                <w:szCs w:val="20"/>
                <w:color w:val="auto"/>
              </w:rPr>
            </w:pPr>
            <w:r>
              <w:rPr>
                <w:rFonts w:ascii="Arial" w:cs="Arial" w:eastAsia="Arial" w:hAnsi="Arial"/>
                <w:sz w:val="18"/>
                <w:szCs w:val="18"/>
                <w:b w:val="1"/>
                <w:bCs w:val="1"/>
                <w:color w:val="FFFFFF"/>
                <w:w w:val="94"/>
              </w:rPr>
              <w:t>2011</w:t>
            </w:r>
          </w:p>
        </w:tc>
        <w:tc>
          <w:tcPr>
            <w:tcW w:w="320" w:type="dxa"/>
            <w:vAlign w:val="bottom"/>
            <w:tcBorders>
              <w:right w:val="single" w:sz="8" w:color="BFBFBF"/>
            </w:tcBorders>
            <w:shd w:val="clear" w:color="auto" w:fill="0088A6"/>
          </w:tcPr>
          <w:p>
            <w:pPr>
              <w:spacing w:after="0"/>
              <w:rPr>
                <w:sz w:val="19"/>
                <w:szCs w:val="19"/>
                <w:color w:val="auto"/>
              </w:rPr>
            </w:pPr>
          </w:p>
        </w:tc>
        <w:tc>
          <w:tcPr>
            <w:tcW w:w="680" w:type="dxa"/>
            <w:vAlign w:val="bottom"/>
            <w:shd w:val="clear" w:color="auto" w:fill="0088A6"/>
          </w:tcPr>
          <w:p>
            <w:pPr>
              <w:spacing w:after="0"/>
              <w:rPr>
                <w:sz w:val="19"/>
                <w:szCs w:val="19"/>
                <w:color w:val="auto"/>
              </w:rPr>
            </w:pPr>
          </w:p>
        </w:tc>
        <w:tc>
          <w:tcPr>
            <w:tcW w:w="1540" w:type="dxa"/>
            <w:vAlign w:val="bottom"/>
            <w:tcBorders>
              <w:right w:val="single" w:sz="8" w:color="BFBFBF"/>
            </w:tcBorders>
            <w:gridSpan w:val="2"/>
            <w:shd w:val="clear" w:color="auto" w:fill="0088A6"/>
          </w:tcPr>
          <w:p>
            <w:pPr>
              <w:jc w:val="center"/>
              <w:ind w:right="580"/>
              <w:spacing w:after="0"/>
              <w:rPr>
                <w:sz w:val="20"/>
                <w:szCs w:val="20"/>
                <w:color w:val="auto"/>
              </w:rPr>
            </w:pPr>
            <w:r>
              <w:rPr>
                <w:rFonts w:ascii="Arial" w:cs="Arial" w:eastAsia="Arial" w:hAnsi="Arial"/>
                <w:sz w:val="18"/>
                <w:szCs w:val="18"/>
                <w:b w:val="1"/>
                <w:bCs w:val="1"/>
                <w:color w:val="FFFFFF"/>
                <w:w w:val="96"/>
              </w:rPr>
              <w:t>Change</w:t>
            </w:r>
          </w:p>
        </w:tc>
      </w:tr>
      <w:tr>
        <w:trPr>
          <w:trHeight w:val="135"/>
        </w:trPr>
        <w:tc>
          <w:tcPr>
            <w:tcW w:w="4060" w:type="dxa"/>
            <w:vAlign w:val="bottom"/>
            <w:tcBorders>
              <w:top w:val="single" w:sz="8" w:color="0088A6"/>
              <w:left w:val="single" w:sz="8" w:color="BFBFBF"/>
              <w:right w:val="single" w:sz="8" w:color="BFBFBF"/>
            </w:tcBorders>
            <w:shd w:val="clear" w:color="auto" w:fill="0088A6"/>
          </w:tcPr>
          <w:p>
            <w:pPr>
              <w:spacing w:after="0"/>
              <w:rPr>
                <w:sz w:val="11"/>
                <w:szCs w:val="11"/>
                <w:color w:val="auto"/>
              </w:rPr>
            </w:pPr>
          </w:p>
        </w:tc>
        <w:tc>
          <w:tcPr>
            <w:tcW w:w="920" w:type="dxa"/>
            <w:vAlign w:val="bottom"/>
            <w:tcBorders>
              <w:top w:val="single" w:sz="8" w:color="0088A6"/>
            </w:tcBorders>
            <w:shd w:val="clear" w:color="auto" w:fill="0088A6"/>
          </w:tcPr>
          <w:p>
            <w:pPr>
              <w:spacing w:after="0"/>
              <w:rPr>
                <w:sz w:val="11"/>
                <w:szCs w:val="11"/>
                <w:color w:val="auto"/>
              </w:rPr>
            </w:pPr>
          </w:p>
        </w:tc>
        <w:tc>
          <w:tcPr>
            <w:tcW w:w="240" w:type="dxa"/>
            <w:vAlign w:val="bottom"/>
            <w:tcBorders>
              <w:top w:val="single" w:sz="8" w:color="auto"/>
            </w:tcBorders>
            <w:shd w:val="clear" w:color="auto" w:fill="0088A6"/>
          </w:tcPr>
          <w:p>
            <w:pPr>
              <w:spacing w:after="0"/>
              <w:rPr>
                <w:sz w:val="11"/>
                <w:szCs w:val="11"/>
                <w:color w:val="auto"/>
              </w:rPr>
            </w:pPr>
          </w:p>
        </w:tc>
        <w:tc>
          <w:tcPr>
            <w:tcW w:w="1060" w:type="dxa"/>
            <w:vAlign w:val="bottom"/>
            <w:tcBorders>
              <w:top w:val="single" w:sz="8" w:color="auto"/>
            </w:tcBorders>
            <w:shd w:val="clear" w:color="auto" w:fill="0088A6"/>
          </w:tcPr>
          <w:p>
            <w:pPr>
              <w:spacing w:after="0"/>
              <w:rPr>
                <w:sz w:val="11"/>
                <w:szCs w:val="11"/>
                <w:color w:val="auto"/>
              </w:rPr>
            </w:pPr>
          </w:p>
        </w:tc>
        <w:tc>
          <w:tcPr>
            <w:tcW w:w="340" w:type="dxa"/>
            <w:vAlign w:val="bottom"/>
            <w:tcBorders>
              <w:top w:val="single" w:sz="8" w:color="0088A6"/>
              <w:right w:val="single" w:sz="8" w:color="0088A6"/>
            </w:tcBorders>
            <w:shd w:val="clear" w:color="auto" w:fill="0088A6"/>
          </w:tcPr>
          <w:p>
            <w:pPr>
              <w:spacing w:after="0"/>
              <w:rPr>
                <w:sz w:val="11"/>
                <w:szCs w:val="11"/>
                <w:color w:val="auto"/>
              </w:rPr>
            </w:pPr>
          </w:p>
        </w:tc>
        <w:tc>
          <w:tcPr>
            <w:tcW w:w="960" w:type="dxa"/>
            <w:vAlign w:val="bottom"/>
            <w:tcBorders>
              <w:top w:val="single" w:sz="8" w:color="0088A6"/>
            </w:tcBorders>
            <w:shd w:val="clear" w:color="auto" w:fill="0088A6"/>
          </w:tcPr>
          <w:p>
            <w:pPr>
              <w:spacing w:after="0"/>
              <w:rPr>
                <w:sz w:val="11"/>
                <w:szCs w:val="11"/>
                <w:color w:val="auto"/>
              </w:rPr>
            </w:pPr>
          </w:p>
        </w:tc>
        <w:tc>
          <w:tcPr>
            <w:tcW w:w="460" w:type="dxa"/>
            <w:vAlign w:val="bottom"/>
            <w:tcBorders>
              <w:top w:val="single" w:sz="8" w:color="auto"/>
            </w:tcBorders>
            <w:shd w:val="clear" w:color="auto" w:fill="0088A6"/>
          </w:tcPr>
          <w:p>
            <w:pPr>
              <w:spacing w:after="0"/>
              <w:rPr>
                <w:sz w:val="11"/>
                <w:szCs w:val="11"/>
                <w:color w:val="auto"/>
              </w:rPr>
            </w:pPr>
          </w:p>
        </w:tc>
        <w:tc>
          <w:tcPr>
            <w:tcW w:w="860" w:type="dxa"/>
            <w:vAlign w:val="bottom"/>
            <w:tcBorders>
              <w:top w:val="single" w:sz="8" w:color="auto"/>
            </w:tcBorders>
            <w:shd w:val="clear" w:color="auto" w:fill="0088A6"/>
          </w:tcPr>
          <w:p>
            <w:pPr>
              <w:spacing w:after="0"/>
              <w:rPr>
                <w:sz w:val="11"/>
                <w:szCs w:val="11"/>
                <w:color w:val="auto"/>
              </w:rPr>
            </w:pPr>
          </w:p>
        </w:tc>
        <w:tc>
          <w:tcPr>
            <w:tcW w:w="320" w:type="dxa"/>
            <w:vAlign w:val="bottom"/>
            <w:tcBorders>
              <w:top w:val="single" w:sz="8" w:color="0088A6"/>
              <w:right w:val="single" w:sz="8" w:color="BFBFBF"/>
            </w:tcBorders>
            <w:shd w:val="clear" w:color="auto" w:fill="0088A6"/>
          </w:tcPr>
          <w:p>
            <w:pPr>
              <w:spacing w:after="0"/>
              <w:rPr>
                <w:sz w:val="11"/>
                <w:szCs w:val="11"/>
                <w:color w:val="auto"/>
              </w:rPr>
            </w:pPr>
          </w:p>
        </w:tc>
        <w:tc>
          <w:tcPr>
            <w:tcW w:w="680" w:type="dxa"/>
            <w:vAlign w:val="bottom"/>
            <w:tcBorders>
              <w:top w:val="single" w:sz="8" w:color="0088A6"/>
            </w:tcBorders>
            <w:shd w:val="clear" w:color="auto" w:fill="0088A6"/>
          </w:tcPr>
          <w:p>
            <w:pPr>
              <w:spacing w:after="0"/>
              <w:rPr>
                <w:sz w:val="11"/>
                <w:szCs w:val="11"/>
                <w:color w:val="auto"/>
              </w:rPr>
            </w:pPr>
          </w:p>
        </w:tc>
        <w:tc>
          <w:tcPr>
            <w:tcW w:w="960" w:type="dxa"/>
            <w:vAlign w:val="bottom"/>
            <w:tcBorders>
              <w:top w:val="single" w:sz="8" w:color="auto"/>
            </w:tcBorders>
            <w:shd w:val="clear" w:color="auto" w:fill="0088A6"/>
          </w:tcPr>
          <w:p>
            <w:pPr>
              <w:spacing w:after="0"/>
              <w:rPr>
                <w:sz w:val="11"/>
                <w:szCs w:val="11"/>
                <w:color w:val="auto"/>
              </w:rPr>
            </w:pPr>
          </w:p>
        </w:tc>
        <w:tc>
          <w:tcPr>
            <w:tcW w:w="580" w:type="dxa"/>
            <w:vAlign w:val="bottom"/>
            <w:tcBorders>
              <w:top w:val="single" w:sz="8" w:color="0088A6"/>
              <w:right w:val="single" w:sz="8" w:color="BFBFBF"/>
            </w:tcBorders>
            <w:shd w:val="clear" w:color="auto" w:fill="0088A6"/>
          </w:tcPr>
          <w:p>
            <w:pPr>
              <w:spacing w:after="0"/>
              <w:rPr>
                <w:sz w:val="11"/>
                <w:szCs w:val="11"/>
                <w:color w:val="auto"/>
              </w:rPr>
            </w:pPr>
          </w:p>
        </w:tc>
      </w:tr>
      <w:tr>
        <w:trPr>
          <w:trHeight w:val="263"/>
        </w:trPr>
        <w:tc>
          <w:tcPr>
            <w:tcW w:w="4060" w:type="dxa"/>
            <w:vAlign w:val="bottom"/>
            <w:tcBorders>
              <w:left w:val="single" w:sz="8" w:color="BFBFBF"/>
              <w:right w:val="single" w:sz="8" w:color="BFBFBF"/>
            </w:tcBorders>
            <w:shd w:val="clear" w:color="auto" w:fill="0088A6"/>
          </w:tcPr>
          <w:p>
            <w:pPr>
              <w:spacing w:after="0"/>
              <w:rPr>
                <w:sz w:val="22"/>
                <w:szCs w:val="22"/>
                <w:color w:val="auto"/>
              </w:rPr>
            </w:pPr>
          </w:p>
        </w:tc>
        <w:tc>
          <w:tcPr>
            <w:tcW w:w="920" w:type="dxa"/>
            <w:vAlign w:val="bottom"/>
            <w:shd w:val="clear" w:color="auto" w:fill="0088A6"/>
          </w:tcPr>
          <w:p>
            <w:pPr>
              <w:spacing w:after="0"/>
              <w:rPr>
                <w:sz w:val="22"/>
                <w:szCs w:val="22"/>
                <w:color w:val="auto"/>
              </w:rPr>
            </w:pPr>
          </w:p>
        </w:tc>
        <w:tc>
          <w:tcPr>
            <w:tcW w:w="240" w:type="dxa"/>
            <w:vAlign w:val="bottom"/>
            <w:shd w:val="clear" w:color="auto" w:fill="0088A6"/>
          </w:tcPr>
          <w:p>
            <w:pPr>
              <w:spacing w:after="0"/>
              <w:rPr>
                <w:sz w:val="22"/>
                <w:szCs w:val="22"/>
                <w:color w:val="auto"/>
              </w:rPr>
            </w:pPr>
          </w:p>
        </w:tc>
        <w:tc>
          <w:tcPr>
            <w:tcW w:w="3680" w:type="dxa"/>
            <w:vAlign w:val="bottom"/>
            <w:gridSpan w:val="5"/>
            <w:shd w:val="clear" w:color="auto" w:fill="0088A6"/>
          </w:tcPr>
          <w:p>
            <w:pPr>
              <w:jc w:val="center"/>
              <w:ind w:right="132"/>
              <w:spacing w:after="0"/>
              <w:rPr>
                <w:sz w:val="20"/>
                <w:szCs w:val="20"/>
                <w:color w:val="auto"/>
              </w:rPr>
            </w:pPr>
            <w:r>
              <w:rPr>
                <w:rFonts w:ascii="Arial" w:cs="Arial" w:eastAsia="Arial" w:hAnsi="Arial"/>
                <w:sz w:val="18"/>
                <w:szCs w:val="18"/>
                <w:b w:val="1"/>
                <w:bCs w:val="1"/>
                <w:color w:val="FFFFFF"/>
                <w:w w:val="97"/>
              </w:rPr>
              <w:t>(in millions, except per share amounts)</w:t>
            </w:r>
          </w:p>
        </w:tc>
        <w:tc>
          <w:tcPr>
            <w:tcW w:w="320" w:type="dxa"/>
            <w:vAlign w:val="bottom"/>
            <w:tcBorders>
              <w:right w:val="single" w:sz="8" w:color="BFBFBF"/>
            </w:tcBorders>
            <w:shd w:val="clear" w:color="auto" w:fill="0088A6"/>
          </w:tcPr>
          <w:p>
            <w:pPr>
              <w:spacing w:after="0"/>
              <w:rPr>
                <w:sz w:val="22"/>
                <w:szCs w:val="22"/>
                <w:color w:val="auto"/>
              </w:rPr>
            </w:pPr>
          </w:p>
        </w:tc>
        <w:tc>
          <w:tcPr>
            <w:tcW w:w="680" w:type="dxa"/>
            <w:vAlign w:val="bottom"/>
            <w:shd w:val="clear" w:color="auto" w:fill="0088A6"/>
          </w:tcPr>
          <w:p>
            <w:pPr>
              <w:spacing w:after="0"/>
              <w:rPr>
                <w:sz w:val="22"/>
                <w:szCs w:val="22"/>
                <w:color w:val="auto"/>
              </w:rPr>
            </w:pPr>
          </w:p>
        </w:tc>
        <w:tc>
          <w:tcPr>
            <w:tcW w:w="960" w:type="dxa"/>
            <w:vAlign w:val="bottom"/>
            <w:shd w:val="clear" w:color="auto" w:fill="0088A6"/>
          </w:tcPr>
          <w:p>
            <w:pPr>
              <w:spacing w:after="0"/>
              <w:rPr>
                <w:sz w:val="22"/>
                <w:szCs w:val="22"/>
                <w:color w:val="auto"/>
              </w:rPr>
            </w:pPr>
          </w:p>
        </w:tc>
        <w:tc>
          <w:tcPr>
            <w:tcW w:w="580" w:type="dxa"/>
            <w:vAlign w:val="bottom"/>
            <w:tcBorders>
              <w:right w:val="single" w:sz="8" w:color="BFBFBF"/>
            </w:tcBorders>
            <w:shd w:val="clear" w:color="auto" w:fill="0088A6"/>
          </w:tcPr>
          <w:p>
            <w:pPr>
              <w:spacing w:after="0"/>
              <w:rPr>
                <w:sz w:val="22"/>
                <w:szCs w:val="22"/>
                <w:color w:val="auto"/>
              </w:rPr>
            </w:pPr>
          </w:p>
        </w:tc>
      </w:tr>
      <w:tr>
        <w:trPr>
          <w:trHeight w:val="206"/>
        </w:trPr>
        <w:tc>
          <w:tcPr>
            <w:tcW w:w="4060" w:type="dxa"/>
            <w:vAlign w:val="bottom"/>
            <w:tcBorders>
              <w:left w:val="single" w:sz="8" w:color="BFBFBF"/>
              <w:right w:val="single" w:sz="8" w:color="BFBFBF"/>
            </w:tcBorders>
          </w:tcPr>
          <w:p>
            <w:pPr>
              <w:ind w:left="120"/>
              <w:spacing w:after="0" w:line="206" w:lineRule="exact"/>
              <w:rPr>
                <w:sz w:val="20"/>
                <w:szCs w:val="20"/>
                <w:color w:val="auto"/>
              </w:rPr>
            </w:pPr>
            <w:r>
              <w:rPr>
                <w:rFonts w:ascii="Arial" w:cs="Arial" w:eastAsia="Arial" w:hAnsi="Arial"/>
                <w:sz w:val="18"/>
                <w:szCs w:val="18"/>
                <w:color w:val="auto"/>
              </w:rPr>
              <w:t>Revenues less transaction rebates, brokerage,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Borders>
              <w:right w:val="single" w:sz="8" w:color="BFBFBF"/>
            </w:tcBorders>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Borders>
              <w:right w:val="single" w:sz="8" w:color="BFBFBF"/>
            </w:tcBorders>
          </w:tcPr>
          <w:p>
            <w:pPr>
              <w:spacing w:after="0"/>
              <w:rPr>
                <w:sz w:val="17"/>
                <w:szCs w:val="17"/>
                <w:color w:val="auto"/>
              </w:rPr>
            </w:pPr>
          </w:p>
        </w:tc>
      </w:tr>
      <w:tr>
        <w:trPr>
          <w:trHeight w:val="199"/>
        </w:trPr>
        <w:tc>
          <w:tcPr>
            <w:tcW w:w="4060" w:type="dxa"/>
            <w:vAlign w:val="bottom"/>
            <w:tcBorders>
              <w:left w:val="single" w:sz="8" w:color="BFBFBF"/>
              <w:bottom w:val="single" w:sz="8" w:color="BFBFBF"/>
              <w:right w:val="single" w:sz="8" w:color="BFBFBF"/>
            </w:tcBorders>
          </w:tcPr>
          <w:p>
            <w:pPr>
              <w:ind w:left="120"/>
              <w:spacing w:after="0" w:line="200" w:lineRule="exact"/>
              <w:rPr>
                <w:sz w:val="20"/>
                <w:szCs w:val="20"/>
                <w:color w:val="auto"/>
              </w:rPr>
            </w:pPr>
            <w:r>
              <w:rPr>
                <w:rFonts w:ascii="Arial" w:cs="Arial" w:eastAsia="Arial" w:hAnsi="Arial"/>
                <w:sz w:val="18"/>
                <w:szCs w:val="18"/>
                <w:color w:val="auto"/>
              </w:rPr>
              <w:t>clearance and exchange fees</w:t>
            </w:r>
          </w:p>
        </w:tc>
        <w:tc>
          <w:tcPr>
            <w:tcW w:w="1160" w:type="dxa"/>
            <w:vAlign w:val="bottom"/>
            <w:tcBorders>
              <w:bottom w:val="single" w:sz="8" w:color="BFBFBF"/>
            </w:tcBorders>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BFBFBF"/>
              <w:right w:val="single" w:sz="8" w:color="BFBFBF"/>
            </w:tcBorders>
            <w:gridSpan w:val="2"/>
          </w:tcPr>
          <w:p>
            <w:pPr>
              <w:jc w:val="right"/>
              <w:ind w:right="340"/>
              <w:spacing w:after="0" w:line="200" w:lineRule="exact"/>
              <w:rPr>
                <w:sz w:val="20"/>
                <w:szCs w:val="20"/>
                <w:color w:val="auto"/>
              </w:rPr>
            </w:pPr>
            <w:r>
              <w:rPr>
                <w:rFonts w:ascii="Arial" w:cs="Arial" w:eastAsia="Arial" w:hAnsi="Arial"/>
                <w:sz w:val="18"/>
                <w:szCs w:val="18"/>
                <w:color w:val="auto"/>
              </w:rPr>
              <w:t>1,663</w:t>
            </w:r>
          </w:p>
        </w:tc>
        <w:tc>
          <w:tcPr>
            <w:tcW w:w="1420" w:type="dxa"/>
            <w:vAlign w:val="bottom"/>
            <w:tcBorders>
              <w:bottom w:val="single" w:sz="8" w:color="BFBFBF"/>
            </w:tcBorders>
            <w:gridSpan w:val="2"/>
          </w:tcPr>
          <w:p>
            <w:pPr>
              <w:jc w:val="right"/>
              <w:ind w:right="320"/>
              <w:spacing w:after="0" w:line="200"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BFBFBF"/>
              <w:right w:val="single" w:sz="8" w:color="BFBFBF"/>
            </w:tcBorders>
            <w:gridSpan w:val="2"/>
          </w:tcPr>
          <w:p>
            <w:pPr>
              <w:jc w:val="right"/>
              <w:ind w:right="320"/>
              <w:spacing w:after="0" w:line="200" w:lineRule="exact"/>
              <w:rPr>
                <w:sz w:val="20"/>
                <w:szCs w:val="20"/>
                <w:color w:val="auto"/>
              </w:rPr>
            </w:pPr>
            <w:r>
              <w:rPr>
                <w:rFonts w:ascii="Arial" w:cs="Arial" w:eastAsia="Arial" w:hAnsi="Arial"/>
                <w:sz w:val="18"/>
                <w:szCs w:val="18"/>
                <w:color w:val="auto"/>
              </w:rPr>
              <w:t>1,682</w:t>
            </w:r>
          </w:p>
        </w:tc>
        <w:tc>
          <w:tcPr>
            <w:tcW w:w="680" w:type="dxa"/>
            <w:vAlign w:val="bottom"/>
            <w:tcBorders>
              <w:bottom w:val="single" w:sz="8" w:color="BFBFBF"/>
            </w:tcBorders>
          </w:tcPr>
          <w:p>
            <w:pPr>
              <w:spacing w:after="0"/>
              <w:rPr>
                <w:sz w:val="17"/>
                <w:szCs w:val="17"/>
                <w:color w:val="auto"/>
              </w:rPr>
            </w:pPr>
          </w:p>
        </w:tc>
        <w:tc>
          <w:tcPr>
            <w:tcW w:w="1540" w:type="dxa"/>
            <w:vAlign w:val="bottom"/>
            <w:tcBorders>
              <w:bottom w:val="single" w:sz="8" w:color="BFBFBF"/>
              <w:right w:val="single" w:sz="8" w:color="BFBFBF"/>
            </w:tcBorders>
            <w:gridSpan w:val="2"/>
          </w:tcPr>
          <w:p>
            <w:pPr>
              <w:jc w:val="right"/>
              <w:ind w:right="580"/>
              <w:spacing w:after="0" w:line="200" w:lineRule="exact"/>
              <w:rPr>
                <w:sz w:val="20"/>
                <w:szCs w:val="20"/>
                <w:color w:val="auto"/>
              </w:rPr>
            </w:pPr>
            <w:r>
              <w:rPr>
                <w:rFonts w:ascii="Arial" w:cs="Arial" w:eastAsia="Arial" w:hAnsi="Arial"/>
                <w:sz w:val="18"/>
                <w:szCs w:val="18"/>
                <w:color w:val="auto"/>
              </w:rPr>
              <w:t>(1.1)%</w:t>
            </w:r>
          </w:p>
        </w:tc>
      </w:tr>
      <w:tr>
        <w:trPr>
          <w:trHeight w:val="196"/>
        </w:trPr>
        <w:tc>
          <w:tcPr>
            <w:tcW w:w="4060" w:type="dxa"/>
            <w:vAlign w:val="bottom"/>
            <w:tcBorders>
              <w:left w:val="single" w:sz="8" w:color="BFBFBF"/>
              <w:bottom w:val="single" w:sz="8" w:color="BFBFBF"/>
              <w:right w:val="single" w:sz="8" w:color="BFBFBF"/>
            </w:tcBorders>
            <w:shd w:val="clear" w:color="auto" w:fill="DDEFF3"/>
          </w:tcPr>
          <w:p>
            <w:pPr>
              <w:ind w:left="120"/>
              <w:spacing w:after="0" w:line="196" w:lineRule="exact"/>
              <w:rPr>
                <w:sz w:val="20"/>
                <w:szCs w:val="20"/>
                <w:color w:val="auto"/>
              </w:rPr>
            </w:pPr>
            <w:r>
              <w:rPr>
                <w:rFonts w:ascii="Arial" w:cs="Arial" w:eastAsia="Arial" w:hAnsi="Arial"/>
                <w:sz w:val="18"/>
                <w:szCs w:val="18"/>
                <w:color w:val="auto"/>
              </w:rPr>
              <w:t>Operating income</w:t>
            </w:r>
          </w:p>
        </w:tc>
        <w:tc>
          <w:tcPr>
            <w:tcW w:w="1160" w:type="dxa"/>
            <w:vAlign w:val="bottom"/>
            <w:tcBorders>
              <w:bottom w:val="single" w:sz="8" w:color="BFBFBF"/>
            </w:tcBorders>
            <w:gridSpan w:val="2"/>
            <w:shd w:val="clear" w:color="auto" w:fill="DDEFF3"/>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BFBFBF"/>
              <w:right w:val="single" w:sz="8" w:color="BFBFBF"/>
            </w:tcBorders>
            <w:gridSpan w:val="2"/>
            <w:shd w:val="clear" w:color="auto" w:fill="DDEFF3"/>
          </w:tcPr>
          <w:p>
            <w:pPr>
              <w:jc w:val="right"/>
              <w:ind w:right="340"/>
              <w:spacing w:after="0" w:line="196" w:lineRule="exact"/>
              <w:rPr>
                <w:sz w:val="20"/>
                <w:szCs w:val="20"/>
                <w:color w:val="auto"/>
              </w:rPr>
            </w:pPr>
            <w:r>
              <w:rPr>
                <w:rFonts w:ascii="Arial" w:cs="Arial" w:eastAsia="Arial" w:hAnsi="Arial"/>
                <w:sz w:val="18"/>
                <w:szCs w:val="18"/>
                <w:color w:val="auto"/>
              </w:rPr>
              <w:t>690</w:t>
            </w:r>
          </w:p>
        </w:tc>
        <w:tc>
          <w:tcPr>
            <w:tcW w:w="1420" w:type="dxa"/>
            <w:vAlign w:val="bottom"/>
            <w:tcBorders>
              <w:bottom w:val="single" w:sz="8" w:color="BFBFBF"/>
            </w:tcBorders>
            <w:gridSpan w:val="2"/>
            <w:shd w:val="clear" w:color="auto" w:fill="DDEFF3"/>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BFBFBF"/>
              <w:right w:val="single" w:sz="8" w:color="BFBFBF"/>
            </w:tcBorders>
            <w:gridSpan w:val="2"/>
            <w:shd w:val="clear" w:color="auto" w:fill="DDEFF3"/>
          </w:tcPr>
          <w:p>
            <w:pPr>
              <w:jc w:val="right"/>
              <w:ind w:right="320"/>
              <w:spacing w:after="0" w:line="196" w:lineRule="exact"/>
              <w:rPr>
                <w:sz w:val="20"/>
                <w:szCs w:val="20"/>
                <w:color w:val="auto"/>
              </w:rPr>
            </w:pPr>
            <w:r>
              <w:rPr>
                <w:rFonts w:ascii="Arial" w:cs="Arial" w:eastAsia="Arial" w:hAnsi="Arial"/>
                <w:sz w:val="18"/>
                <w:szCs w:val="18"/>
                <w:color w:val="auto"/>
              </w:rPr>
              <w:t>696</w:t>
            </w:r>
          </w:p>
        </w:tc>
        <w:tc>
          <w:tcPr>
            <w:tcW w:w="680" w:type="dxa"/>
            <w:vAlign w:val="bottom"/>
            <w:tcBorders>
              <w:bottom w:val="single" w:sz="8" w:color="BFBFBF"/>
            </w:tcBorders>
            <w:shd w:val="clear" w:color="auto" w:fill="DDEFF3"/>
          </w:tcPr>
          <w:p>
            <w:pPr>
              <w:spacing w:after="0"/>
              <w:rPr>
                <w:sz w:val="17"/>
                <w:szCs w:val="17"/>
                <w:color w:val="auto"/>
              </w:rPr>
            </w:pPr>
          </w:p>
        </w:tc>
        <w:tc>
          <w:tcPr>
            <w:tcW w:w="1540" w:type="dxa"/>
            <w:vAlign w:val="bottom"/>
            <w:tcBorders>
              <w:bottom w:val="single" w:sz="8" w:color="BFBFBF"/>
              <w:right w:val="single" w:sz="8" w:color="BFBFBF"/>
            </w:tcBorders>
            <w:gridSpan w:val="2"/>
            <w:shd w:val="clear" w:color="auto" w:fill="DDEFF3"/>
          </w:tcPr>
          <w:p>
            <w:pPr>
              <w:jc w:val="right"/>
              <w:ind w:right="580"/>
              <w:spacing w:after="0" w:line="196" w:lineRule="exact"/>
              <w:rPr>
                <w:sz w:val="20"/>
                <w:szCs w:val="20"/>
                <w:color w:val="auto"/>
              </w:rPr>
            </w:pPr>
            <w:r>
              <w:rPr>
                <w:rFonts w:ascii="Arial" w:cs="Arial" w:eastAsia="Arial" w:hAnsi="Arial"/>
                <w:sz w:val="18"/>
                <w:szCs w:val="18"/>
                <w:color w:val="auto"/>
              </w:rPr>
              <w:t>(0.9)%</w:t>
            </w:r>
          </w:p>
        </w:tc>
      </w:tr>
      <w:tr>
        <w:trPr>
          <w:trHeight w:val="196"/>
        </w:trPr>
        <w:tc>
          <w:tcPr>
            <w:tcW w:w="406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Diluted earnings per share</w:t>
            </w:r>
          </w:p>
        </w:tc>
        <w:tc>
          <w:tcPr>
            <w:tcW w:w="1160" w:type="dxa"/>
            <w:vAlign w:val="bottom"/>
            <w:tcBorders>
              <w:bottom w:val="single" w:sz="8" w:color="BFBFBF"/>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BFBFBF"/>
              <w:right w:val="single" w:sz="8" w:color="BFBFBF"/>
            </w:tcBorders>
            <w:gridSpan w:val="2"/>
          </w:tcPr>
          <w:p>
            <w:pPr>
              <w:jc w:val="right"/>
              <w:ind w:right="340"/>
              <w:spacing w:after="0" w:line="196" w:lineRule="exact"/>
              <w:rPr>
                <w:sz w:val="20"/>
                <w:szCs w:val="20"/>
                <w:color w:val="auto"/>
              </w:rPr>
            </w:pPr>
            <w:r>
              <w:rPr>
                <w:rFonts w:ascii="Arial" w:cs="Arial" w:eastAsia="Arial" w:hAnsi="Arial"/>
                <w:sz w:val="18"/>
                <w:szCs w:val="18"/>
                <w:color w:val="auto"/>
              </w:rPr>
              <w:t>2.04</w:t>
            </w:r>
          </w:p>
        </w:tc>
        <w:tc>
          <w:tcPr>
            <w:tcW w:w="1420" w:type="dxa"/>
            <w:vAlign w:val="bottom"/>
            <w:tcBorders>
              <w:bottom w:val="single" w:sz="8" w:color="BFBFBF"/>
            </w:tcBorders>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BFBFBF"/>
              <w:right w:val="single" w:sz="8" w:color="BFBFBF"/>
            </w:tcBorders>
            <w:gridSpan w:val="2"/>
          </w:tcPr>
          <w:p>
            <w:pPr>
              <w:jc w:val="right"/>
              <w:ind w:right="320"/>
              <w:spacing w:after="0" w:line="196" w:lineRule="exact"/>
              <w:rPr>
                <w:sz w:val="20"/>
                <w:szCs w:val="20"/>
                <w:color w:val="auto"/>
              </w:rPr>
            </w:pPr>
            <w:r>
              <w:rPr>
                <w:rFonts w:ascii="Arial" w:cs="Arial" w:eastAsia="Arial" w:hAnsi="Arial"/>
                <w:sz w:val="18"/>
                <w:szCs w:val="18"/>
                <w:color w:val="auto"/>
              </w:rPr>
              <w:t>2.15</w:t>
            </w:r>
          </w:p>
        </w:tc>
        <w:tc>
          <w:tcPr>
            <w:tcW w:w="680" w:type="dxa"/>
            <w:vAlign w:val="bottom"/>
            <w:tcBorders>
              <w:bottom w:val="single" w:sz="8" w:color="BFBFBF"/>
            </w:tcBorders>
          </w:tcPr>
          <w:p>
            <w:pPr>
              <w:spacing w:after="0"/>
              <w:rPr>
                <w:sz w:val="17"/>
                <w:szCs w:val="17"/>
                <w:color w:val="auto"/>
              </w:rPr>
            </w:pPr>
          </w:p>
        </w:tc>
        <w:tc>
          <w:tcPr>
            <w:tcW w:w="1540" w:type="dxa"/>
            <w:vAlign w:val="bottom"/>
            <w:tcBorders>
              <w:bottom w:val="single" w:sz="8" w:color="BFBFBF"/>
              <w:right w:val="single" w:sz="8" w:color="BFBFBF"/>
            </w:tcBorders>
            <w:gridSpan w:val="2"/>
          </w:tcPr>
          <w:p>
            <w:pPr>
              <w:jc w:val="right"/>
              <w:ind w:right="580"/>
              <w:spacing w:after="0" w:line="196" w:lineRule="exact"/>
              <w:rPr>
                <w:sz w:val="20"/>
                <w:szCs w:val="20"/>
                <w:color w:val="auto"/>
              </w:rPr>
            </w:pPr>
            <w:r>
              <w:rPr>
                <w:rFonts w:ascii="Arial" w:cs="Arial" w:eastAsia="Arial" w:hAnsi="Arial"/>
                <w:sz w:val="18"/>
                <w:szCs w:val="18"/>
                <w:color w:val="auto"/>
              </w:rPr>
              <w:t>(5.1)%</w:t>
            </w:r>
          </w:p>
        </w:tc>
      </w:tr>
      <w:tr>
        <w:trPr>
          <w:trHeight w:val="196"/>
        </w:trPr>
        <w:tc>
          <w:tcPr>
            <w:tcW w:w="4060" w:type="dxa"/>
            <w:vAlign w:val="bottom"/>
            <w:tcBorders>
              <w:left w:val="single" w:sz="8" w:color="BFBFBF"/>
              <w:bottom w:val="single" w:sz="8" w:color="BFBFBF"/>
              <w:right w:val="single" w:sz="8" w:color="BFBFBF"/>
            </w:tcBorders>
            <w:shd w:val="clear" w:color="auto" w:fill="DDEFF3"/>
          </w:tcPr>
          <w:p>
            <w:pPr>
              <w:ind w:left="120"/>
              <w:spacing w:after="0" w:line="196" w:lineRule="exact"/>
              <w:rPr>
                <w:sz w:val="20"/>
                <w:szCs w:val="20"/>
                <w:color w:val="auto"/>
              </w:rPr>
            </w:pPr>
            <w:r>
              <w:rPr>
                <w:rFonts w:ascii="Arial" w:cs="Arial" w:eastAsia="Arial" w:hAnsi="Arial"/>
                <w:sz w:val="18"/>
                <w:szCs w:val="18"/>
                <w:color w:val="auto"/>
              </w:rPr>
              <w:t>Stock price per share(1)</w:t>
            </w:r>
          </w:p>
        </w:tc>
        <w:tc>
          <w:tcPr>
            <w:tcW w:w="1160" w:type="dxa"/>
            <w:vAlign w:val="bottom"/>
            <w:tcBorders>
              <w:bottom w:val="single" w:sz="8" w:color="BFBFBF"/>
            </w:tcBorders>
            <w:gridSpan w:val="2"/>
            <w:shd w:val="clear" w:color="auto" w:fill="DDEFF3"/>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BFBFBF"/>
              <w:right w:val="single" w:sz="8" w:color="BFBFBF"/>
            </w:tcBorders>
            <w:gridSpan w:val="2"/>
            <w:shd w:val="clear" w:color="auto" w:fill="DDEFF3"/>
          </w:tcPr>
          <w:p>
            <w:pPr>
              <w:jc w:val="right"/>
              <w:ind w:right="340"/>
              <w:spacing w:after="0" w:line="196" w:lineRule="exact"/>
              <w:rPr>
                <w:sz w:val="20"/>
                <w:szCs w:val="20"/>
                <w:color w:val="auto"/>
              </w:rPr>
            </w:pPr>
            <w:r>
              <w:rPr>
                <w:rFonts w:ascii="Arial" w:cs="Arial" w:eastAsia="Arial" w:hAnsi="Arial"/>
                <w:sz w:val="18"/>
                <w:szCs w:val="18"/>
                <w:color w:val="auto"/>
              </w:rPr>
              <w:t>24.99</w:t>
            </w:r>
          </w:p>
        </w:tc>
        <w:tc>
          <w:tcPr>
            <w:tcW w:w="1420" w:type="dxa"/>
            <w:vAlign w:val="bottom"/>
            <w:tcBorders>
              <w:bottom w:val="single" w:sz="8" w:color="BFBFBF"/>
            </w:tcBorders>
            <w:gridSpan w:val="2"/>
            <w:shd w:val="clear" w:color="auto" w:fill="DDEFF3"/>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BFBFBF"/>
              <w:right w:val="single" w:sz="8" w:color="BFBFBF"/>
            </w:tcBorders>
            <w:gridSpan w:val="2"/>
            <w:shd w:val="clear" w:color="auto" w:fill="DDEFF3"/>
          </w:tcPr>
          <w:p>
            <w:pPr>
              <w:jc w:val="right"/>
              <w:ind w:right="320"/>
              <w:spacing w:after="0" w:line="196" w:lineRule="exact"/>
              <w:rPr>
                <w:sz w:val="20"/>
                <w:szCs w:val="20"/>
                <w:color w:val="auto"/>
              </w:rPr>
            </w:pPr>
            <w:r>
              <w:rPr>
                <w:rFonts w:ascii="Arial" w:cs="Arial" w:eastAsia="Arial" w:hAnsi="Arial"/>
                <w:sz w:val="18"/>
                <w:szCs w:val="18"/>
                <w:color w:val="auto"/>
              </w:rPr>
              <w:t>24.51</w:t>
            </w:r>
          </w:p>
        </w:tc>
        <w:tc>
          <w:tcPr>
            <w:tcW w:w="680" w:type="dxa"/>
            <w:vAlign w:val="bottom"/>
            <w:tcBorders>
              <w:bottom w:val="single" w:sz="8" w:color="BFBFBF"/>
            </w:tcBorders>
            <w:shd w:val="clear" w:color="auto" w:fill="DDEFF3"/>
          </w:tcPr>
          <w:p>
            <w:pPr>
              <w:spacing w:after="0"/>
              <w:rPr>
                <w:sz w:val="17"/>
                <w:szCs w:val="17"/>
                <w:color w:val="auto"/>
              </w:rPr>
            </w:pPr>
          </w:p>
        </w:tc>
        <w:tc>
          <w:tcPr>
            <w:tcW w:w="1540" w:type="dxa"/>
            <w:vAlign w:val="bottom"/>
            <w:tcBorders>
              <w:bottom w:val="single" w:sz="8" w:color="BFBFBF"/>
              <w:right w:val="single" w:sz="8" w:color="BFBFBF"/>
            </w:tcBorders>
            <w:gridSpan w:val="2"/>
            <w:shd w:val="clear" w:color="auto" w:fill="DDEFF3"/>
          </w:tcPr>
          <w:p>
            <w:pPr>
              <w:jc w:val="right"/>
              <w:ind w:right="580"/>
              <w:spacing w:after="0" w:line="196" w:lineRule="exact"/>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closing market price of our common stock on the last trading day of each year.</w:t>
      </w:r>
    </w:p>
    <w:p>
      <w:pPr>
        <w:spacing w:after="0" w:line="144" w:lineRule="exact"/>
        <w:rPr>
          <w:sz w:val="20"/>
          <w:szCs w:val="20"/>
          <w:color w:val="auto"/>
        </w:rPr>
      </w:pPr>
    </w:p>
    <w:p>
      <w:pPr>
        <w:ind w:left="8420"/>
        <w:spacing w:after="0"/>
        <w:tabs>
          <w:tab w:leader="none" w:pos="113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2</w:t>
      </w:r>
    </w:p>
    <w:p>
      <w:pPr>
        <w:sectPr>
          <w:pgSz w:w="11900" w:h="16838" w:orient="portrait"/>
          <w:cols w:equalWidth="0" w:num="1">
            <w:col w:w="11440"/>
          </w:cols>
          <w:pgMar w:left="240" w:top="45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HIGHLIGHTS</w:t>
      </w:r>
    </w:p>
    <w:p>
      <w:pPr>
        <w:spacing w:after="0" w:line="139"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In line with our executive compensation program’s emphasis on pay for performance, compensation awarded to the named executive officers for 2012 reflected the decrease in several of our key financial results in 2012 as compared to 2011. The following table shows each named executive officer’s total cash compensation, including salary and cash incentive awards, for 2012 as compared to 2011. Total cash compensation does not include all of the elements of compensation that comprise “Total Compensation” as reported in the Summary Compensation Table. For additional information, see “Compensation Discussion and Analysis” on page 34 and “Executive Compensation” on page 57.</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00" w:type="dxa"/>
            <w:vAlign w:val="bottom"/>
            <w:tcBorders>
              <w:left w:val="single" w:sz="8" w:color="BFBFBF"/>
              <w:right w:val="single" w:sz="8" w:color="BFBFBF"/>
            </w:tcBorders>
            <w:shd w:val="clear" w:color="auto" w:fill="0088A6"/>
          </w:tcPr>
          <w:p>
            <w:pPr>
              <w:spacing w:after="0"/>
              <w:rPr>
                <w:sz w:val="17"/>
                <w:szCs w:val="17"/>
                <w:color w:val="auto"/>
              </w:rPr>
            </w:pPr>
          </w:p>
        </w:tc>
        <w:tc>
          <w:tcPr>
            <w:tcW w:w="200" w:type="dxa"/>
            <w:vAlign w:val="bottom"/>
            <w:shd w:val="clear" w:color="auto" w:fill="0088A6"/>
          </w:tcPr>
          <w:p>
            <w:pPr>
              <w:spacing w:after="0"/>
              <w:rPr>
                <w:sz w:val="17"/>
                <w:szCs w:val="17"/>
                <w:color w:val="auto"/>
              </w:rPr>
            </w:pPr>
          </w:p>
        </w:tc>
        <w:tc>
          <w:tcPr>
            <w:tcW w:w="140" w:type="dxa"/>
            <w:vAlign w:val="bottom"/>
            <w:shd w:val="clear" w:color="auto" w:fill="0088A6"/>
          </w:tcPr>
          <w:p>
            <w:pPr>
              <w:spacing w:after="0"/>
              <w:rPr>
                <w:sz w:val="17"/>
                <w:szCs w:val="17"/>
                <w:color w:val="auto"/>
              </w:rPr>
            </w:pPr>
          </w:p>
        </w:tc>
        <w:tc>
          <w:tcPr>
            <w:tcW w:w="1460" w:type="dxa"/>
            <w:vAlign w:val="bottom"/>
            <w:tcBorders>
              <w:right w:val="single" w:sz="8" w:color="BFBFBF"/>
            </w:tcBorders>
            <w:gridSpan w:val="2"/>
            <w:shd w:val="clear" w:color="auto" w:fill="0088A6"/>
          </w:tcPr>
          <w:p>
            <w:pPr>
              <w:jc w:val="center"/>
              <w:ind w:right="500"/>
              <w:spacing w:after="0"/>
              <w:rPr>
                <w:sz w:val="20"/>
                <w:szCs w:val="20"/>
                <w:color w:val="auto"/>
              </w:rPr>
            </w:pPr>
            <w:r>
              <w:rPr>
                <w:rFonts w:ascii="Arial" w:cs="Arial" w:eastAsia="Arial" w:hAnsi="Arial"/>
                <w:sz w:val="18"/>
                <w:szCs w:val="18"/>
                <w:b w:val="1"/>
                <w:bCs w:val="1"/>
                <w:color w:val="FFFFFF"/>
                <w:w w:val="95"/>
              </w:rPr>
              <w:t>2012 Total</w:t>
            </w:r>
          </w:p>
        </w:tc>
        <w:tc>
          <w:tcPr>
            <w:tcW w:w="180" w:type="dxa"/>
            <w:vAlign w:val="bottom"/>
            <w:shd w:val="clear" w:color="auto" w:fill="0088A6"/>
          </w:tcPr>
          <w:p>
            <w:pPr>
              <w:spacing w:after="0"/>
              <w:rPr>
                <w:sz w:val="17"/>
                <w:szCs w:val="17"/>
                <w:color w:val="auto"/>
              </w:rPr>
            </w:pPr>
          </w:p>
        </w:tc>
        <w:tc>
          <w:tcPr>
            <w:tcW w:w="340" w:type="dxa"/>
            <w:vAlign w:val="bottom"/>
            <w:shd w:val="clear" w:color="auto" w:fill="0088A6"/>
          </w:tcPr>
          <w:p>
            <w:pPr>
              <w:spacing w:after="0"/>
              <w:rPr>
                <w:sz w:val="17"/>
                <w:szCs w:val="17"/>
                <w:color w:val="auto"/>
              </w:rPr>
            </w:pPr>
          </w:p>
        </w:tc>
        <w:tc>
          <w:tcPr>
            <w:tcW w:w="1040" w:type="dxa"/>
            <w:vAlign w:val="bottom"/>
            <w:shd w:val="clear" w:color="auto" w:fill="0088A6"/>
          </w:tcPr>
          <w:p>
            <w:pPr>
              <w:spacing w:after="0"/>
              <w:rPr>
                <w:sz w:val="17"/>
                <w:szCs w:val="17"/>
                <w:color w:val="auto"/>
              </w:rPr>
            </w:pPr>
          </w:p>
        </w:tc>
        <w:tc>
          <w:tcPr>
            <w:tcW w:w="360" w:type="dxa"/>
            <w:vAlign w:val="bottom"/>
            <w:tcBorders>
              <w:right w:val="single" w:sz="8" w:color="BFBFBF"/>
            </w:tcBorders>
            <w:shd w:val="clear" w:color="auto" w:fill="0088A6"/>
          </w:tcPr>
          <w:p>
            <w:pPr>
              <w:spacing w:after="0"/>
              <w:rPr>
                <w:sz w:val="17"/>
                <w:szCs w:val="17"/>
                <w:color w:val="auto"/>
              </w:rPr>
            </w:pPr>
          </w:p>
        </w:tc>
        <w:tc>
          <w:tcPr>
            <w:tcW w:w="260" w:type="dxa"/>
            <w:vAlign w:val="bottom"/>
            <w:shd w:val="clear" w:color="auto" w:fill="0088A6"/>
          </w:tcPr>
          <w:p>
            <w:pPr>
              <w:spacing w:after="0"/>
              <w:rPr>
                <w:sz w:val="17"/>
                <w:szCs w:val="17"/>
                <w:color w:val="auto"/>
              </w:rPr>
            </w:pPr>
          </w:p>
        </w:tc>
        <w:tc>
          <w:tcPr>
            <w:tcW w:w="1960" w:type="dxa"/>
            <w:vAlign w:val="bottom"/>
            <w:tcBorders>
              <w:right w:val="single" w:sz="8" w:color="BFBFBF"/>
            </w:tcBorders>
            <w:gridSpan w:val="2"/>
            <w:shd w:val="clear" w:color="auto" w:fill="0088A6"/>
          </w:tcPr>
          <w:p>
            <w:pPr>
              <w:jc w:val="center"/>
              <w:ind w:right="340"/>
              <w:spacing w:after="0"/>
              <w:rPr>
                <w:sz w:val="20"/>
                <w:szCs w:val="20"/>
                <w:color w:val="auto"/>
              </w:rPr>
            </w:pPr>
            <w:r>
              <w:rPr>
                <w:rFonts w:ascii="Arial" w:cs="Arial" w:eastAsia="Arial" w:hAnsi="Arial"/>
                <w:sz w:val="18"/>
                <w:szCs w:val="18"/>
                <w:b w:val="1"/>
                <w:bCs w:val="1"/>
                <w:color w:val="FFFFFF"/>
              </w:rPr>
              <w:t>2012 Total Cash</w:t>
            </w:r>
          </w:p>
        </w:tc>
      </w:tr>
      <w:tr>
        <w:trPr>
          <w:trHeight w:val="203"/>
        </w:trPr>
        <w:tc>
          <w:tcPr>
            <w:tcW w:w="5500" w:type="dxa"/>
            <w:vAlign w:val="bottom"/>
            <w:tcBorders>
              <w:left w:val="single" w:sz="8" w:color="BFBFBF"/>
              <w:right w:val="single" w:sz="8" w:color="BFBFBF"/>
            </w:tcBorders>
            <w:shd w:val="clear" w:color="auto" w:fill="0088A6"/>
          </w:tcPr>
          <w:p>
            <w:pPr>
              <w:spacing w:after="0"/>
              <w:rPr>
                <w:sz w:val="17"/>
                <w:szCs w:val="17"/>
                <w:color w:val="auto"/>
              </w:rPr>
            </w:pPr>
          </w:p>
        </w:tc>
        <w:tc>
          <w:tcPr>
            <w:tcW w:w="200" w:type="dxa"/>
            <w:vAlign w:val="bottom"/>
            <w:shd w:val="clear" w:color="auto" w:fill="0088A6"/>
          </w:tcPr>
          <w:p>
            <w:pPr>
              <w:spacing w:after="0"/>
              <w:rPr>
                <w:sz w:val="17"/>
                <w:szCs w:val="17"/>
                <w:color w:val="auto"/>
              </w:rPr>
            </w:pPr>
          </w:p>
        </w:tc>
        <w:tc>
          <w:tcPr>
            <w:tcW w:w="140" w:type="dxa"/>
            <w:vAlign w:val="bottom"/>
            <w:shd w:val="clear" w:color="auto" w:fill="0088A6"/>
          </w:tcPr>
          <w:p>
            <w:pPr>
              <w:spacing w:after="0"/>
              <w:rPr>
                <w:sz w:val="17"/>
                <w:szCs w:val="17"/>
                <w:color w:val="auto"/>
              </w:rPr>
            </w:pPr>
          </w:p>
        </w:tc>
        <w:tc>
          <w:tcPr>
            <w:tcW w:w="1460" w:type="dxa"/>
            <w:vAlign w:val="bottom"/>
            <w:tcBorders>
              <w:right w:val="single" w:sz="8" w:color="BFBFBF"/>
            </w:tcBorders>
            <w:gridSpan w:val="2"/>
            <w:shd w:val="clear" w:color="auto" w:fill="0088A6"/>
          </w:tcPr>
          <w:p>
            <w:pPr>
              <w:jc w:val="center"/>
              <w:ind w:right="520"/>
              <w:spacing w:after="0" w:line="202" w:lineRule="exact"/>
              <w:rPr>
                <w:sz w:val="20"/>
                <w:szCs w:val="20"/>
                <w:color w:val="auto"/>
              </w:rPr>
            </w:pPr>
            <w:r>
              <w:rPr>
                <w:rFonts w:ascii="Arial" w:cs="Arial" w:eastAsia="Arial" w:hAnsi="Arial"/>
                <w:sz w:val="18"/>
                <w:szCs w:val="18"/>
                <w:b w:val="1"/>
                <w:bCs w:val="1"/>
                <w:color w:val="FFFFFF"/>
                <w:w w:val="95"/>
              </w:rPr>
              <w:t>Cash</w:t>
            </w:r>
          </w:p>
        </w:tc>
        <w:tc>
          <w:tcPr>
            <w:tcW w:w="180" w:type="dxa"/>
            <w:vAlign w:val="bottom"/>
            <w:shd w:val="clear" w:color="auto" w:fill="0088A6"/>
          </w:tcPr>
          <w:p>
            <w:pPr>
              <w:spacing w:after="0"/>
              <w:rPr>
                <w:sz w:val="17"/>
                <w:szCs w:val="17"/>
                <w:color w:val="auto"/>
              </w:rPr>
            </w:pPr>
          </w:p>
        </w:tc>
        <w:tc>
          <w:tcPr>
            <w:tcW w:w="1740" w:type="dxa"/>
            <w:vAlign w:val="bottom"/>
            <w:tcBorders>
              <w:right w:val="single" w:sz="8" w:color="BFBFBF"/>
            </w:tcBorders>
            <w:gridSpan w:val="3"/>
            <w:shd w:val="clear" w:color="auto" w:fill="0088A6"/>
          </w:tcPr>
          <w:p>
            <w:pPr>
              <w:ind w:left="40"/>
              <w:spacing w:after="0" w:line="202" w:lineRule="exact"/>
              <w:rPr>
                <w:sz w:val="20"/>
                <w:szCs w:val="20"/>
                <w:color w:val="auto"/>
              </w:rPr>
            </w:pPr>
            <w:r>
              <w:rPr>
                <w:rFonts w:ascii="Arial" w:cs="Arial" w:eastAsia="Arial" w:hAnsi="Arial"/>
                <w:sz w:val="18"/>
                <w:szCs w:val="18"/>
                <w:b w:val="1"/>
                <w:bCs w:val="1"/>
                <w:color w:val="FFFFFF"/>
              </w:rPr>
              <w:t>2011 Total Cash</w:t>
            </w:r>
          </w:p>
        </w:tc>
        <w:tc>
          <w:tcPr>
            <w:tcW w:w="260" w:type="dxa"/>
            <w:vAlign w:val="bottom"/>
            <w:shd w:val="clear" w:color="auto" w:fill="0088A6"/>
          </w:tcPr>
          <w:p>
            <w:pPr>
              <w:spacing w:after="0"/>
              <w:rPr>
                <w:sz w:val="17"/>
                <w:szCs w:val="17"/>
                <w:color w:val="auto"/>
              </w:rPr>
            </w:pPr>
          </w:p>
        </w:tc>
        <w:tc>
          <w:tcPr>
            <w:tcW w:w="1960" w:type="dxa"/>
            <w:vAlign w:val="bottom"/>
            <w:tcBorders>
              <w:right w:val="single" w:sz="8" w:color="BFBFBF"/>
            </w:tcBorders>
            <w:gridSpan w:val="2"/>
            <w:shd w:val="clear" w:color="auto" w:fill="0088A6"/>
          </w:tcPr>
          <w:p>
            <w:pPr>
              <w:jc w:val="center"/>
              <w:ind w:right="360"/>
              <w:spacing w:after="0" w:line="202" w:lineRule="exact"/>
              <w:rPr>
                <w:sz w:val="20"/>
                <w:szCs w:val="20"/>
                <w:color w:val="auto"/>
              </w:rPr>
            </w:pPr>
            <w:r>
              <w:rPr>
                <w:rFonts w:ascii="Arial" w:cs="Arial" w:eastAsia="Arial" w:hAnsi="Arial"/>
                <w:sz w:val="18"/>
                <w:szCs w:val="18"/>
                <w:b w:val="1"/>
                <w:bCs w:val="1"/>
                <w:color w:val="FFFFFF"/>
                <w:w w:val="98"/>
              </w:rPr>
              <w:t>Compensation vs.</w:t>
            </w:r>
          </w:p>
        </w:tc>
      </w:tr>
      <w:tr>
        <w:trPr>
          <w:trHeight w:val="203"/>
        </w:trPr>
        <w:tc>
          <w:tcPr>
            <w:tcW w:w="5500" w:type="dxa"/>
            <w:vAlign w:val="bottom"/>
            <w:tcBorders>
              <w:left w:val="single" w:sz="8" w:color="BFBFBF"/>
              <w:right w:val="single" w:sz="8" w:color="BFBFBF"/>
            </w:tcBorders>
            <w:shd w:val="clear" w:color="auto" w:fill="0088A6"/>
          </w:tcPr>
          <w:p>
            <w:pPr>
              <w:spacing w:after="0"/>
              <w:rPr>
                <w:sz w:val="17"/>
                <w:szCs w:val="17"/>
                <w:color w:val="auto"/>
              </w:rPr>
            </w:pPr>
          </w:p>
        </w:tc>
        <w:tc>
          <w:tcPr>
            <w:tcW w:w="200" w:type="dxa"/>
            <w:vAlign w:val="bottom"/>
            <w:shd w:val="clear" w:color="auto" w:fill="0088A6"/>
          </w:tcPr>
          <w:p>
            <w:pPr>
              <w:spacing w:after="0"/>
              <w:rPr>
                <w:sz w:val="17"/>
                <w:szCs w:val="17"/>
                <w:color w:val="auto"/>
              </w:rPr>
            </w:pPr>
          </w:p>
        </w:tc>
        <w:tc>
          <w:tcPr>
            <w:tcW w:w="1600" w:type="dxa"/>
            <w:vAlign w:val="bottom"/>
            <w:tcBorders>
              <w:right w:val="single" w:sz="8" w:color="BFBFBF"/>
            </w:tcBorders>
            <w:gridSpan w:val="3"/>
            <w:shd w:val="clear" w:color="auto" w:fill="0088A6"/>
          </w:tcPr>
          <w:p>
            <w:pPr>
              <w:spacing w:after="0" w:line="202" w:lineRule="exact"/>
              <w:rPr>
                <w:sz w:val="20"/>
                <w:szCs w:val="20"/>
                <w:color w:val="auto"/>
              </w:rPr>
            </w:pPr>
            <w:r>
              <w:rPr>
                <w:rFonts w:ascii="Arial" w:cs="Arial" w:eastAsia="Arial" w:hAnsi="Arial"/>
                <w:sz w:val="18"/>
                <w:szCs w:val="18"/>
                <w:b w:val="1"/>
                <w:bCs w:val="1"/>
                <w:color w:val="FFFFFF"/>
              </w:rPr>
              <w:t>Compensation</w:t>
            </w:r>
          </w:p>
        </w:tc>
        <w:tc>
          <w:tcPr>
            <w:tcW w:w="180" w:type="dxa"/>
            <w:vAlign w:val="bottom"/>
            <w:shd w:val="clear" w:color="auto" w:fill="0088A6"/>
          </w:tcPr>
          <w:p>
            <w:pPr>
              <w:spacing w:after="0"/>
              <w:rPr>
                <w:sz w:val="17"/>
                <w:szCs w:val="17"/>
                <w:color w:val="auto"/>
              </w:rPr>
            </w:pPr>
          </w:p>
        </w:tc>
        <w:tc>
          <w:tcPr>
            <w:tcW w:w="1740" w:type="dxa"/>
            <w:vAlign w:val="bottom"/>
            <w:tcBorders>
              <w:right w:val="single" w:sz="8" w:color="BFBFBF"/>
            </w:tcBorders>
            <w:gridSpan w:val="3"/>
            <w:shd w:val="clear" w:color="auto" w:fill="0088A6"/>
          </w:tcPr>
          <w:p>
            <w:pPr>
              <w:ind w:left="80"/>
              <w:spacing w:after="0" w:line="202" w:lineRule="exact"/>
              <w:rPr>
                <w:sz w:val="20"/>
                <w:szCs w:val="20"/>
                <w:color w:val="auto"/>
              </w:rPr>
            </w:pPr>
            <w:r>
              <w:rPr>
                <w:rFonts w:ascii="Arial" w:cs="Arial" w:eastAsia="Arial" w:hAnsi="Arial"/>
                <w:sz w:val="18"/>
                <w:szCs w:val="18"/>
                <w:b w:val="1"/>
                <w:bCs w:val="1"/>
                <w:color w:val="FFFFFF"/>
              </w:rPr>
              <w:t>Compensation</w:t>
            </w:r>
          </w:p>
        </w:tc>
        <w:tc>
          <w:tcPr>
            <w:tcW w:w="260" w:type="dxa"/>
            <w:vAlign w:val="bottom"/>
            <w:shd w:val="clear" w:color="auto" w:fill="0088A6"/>
          </w:tcPr>
          <w:p>
            <w:pPr>
              <w:spacing w:after="0"/>
              <w:rPr>
                <w:sz w:val="17"/>
                <w:szCs w:val="17"/>
                <w:color w:val="auto"/>
              </w:rPr>
            </w:pPr>
          </w:p>
        </w:tc>
        <w:tc>
          <w:tcPr>
            <w:tcW w:w="1960" w:type="dxa"/>
            <w:vAlign w:val="bottom"/>
            <w:tcBorders>
              <w:right w:val="single" w:sz="8" w:color="BFBFBF"/>
            </w:tcBorders>
            <w:gridSpan w:val="2"/>
            <w:shd w:val="clear" w:color="auto" w:fill="0088A6"/>
          </w:tcPr>
          <w:p>
            <w:pPr>
              <w:jc w:val="center"/>
              <w:ind w:right="360"/>
              <w:spacing w:after="0" w:line="202" w:lineRule="exact"/>
              <w:rPr>
                <w:sz w:val="20"/>
                <w:szCs w:val="20"/>
                <w:color w:val="auto"/>
              </w:rPr>
            </w:pPr>
            <w:r>
              <w:rPr>
                <w:rFonts w:ascii="Arial" w:cs="Arial" w:eastAsia="Arial" w:hAnsi="Arial"/>
                <w:sz w:val="18"/>
                <w:szCs w:val="18"/>
                <w:b w:val="1"/>
                <w:bCs w:val="1"/>
                <w:color w:val="FFFFFF"/>
                <w:w w:val="96"/>
              </w:rPr>
              <w:t>2011 Total Cash</w:t>
            </w:r>
          </w:p>
        </w:tc>
      </w:tr>
      <w:tr>
        <w:trPr>
          <w:trHeight w:val="286"/>
        </w:trPr>
        <w:tc>
          <w:tcPr>
            <w:tcW w:w="5500" w:type="dxa"/>
            <w:vAlign w:val="bottom"/>
            <w:tcBorders>
              <w:left w:val="single" w:sz="8" w:color="BFBFBF"/>
              <w:bottom w:val="single" w:sz="8" w:color="auto"/>
              <w:right w:val="single" w:sz="8" w:color="BFBFBF"/>
            </w:tcBorders>
            <w:shd w:val="clear" w:color="auto" w:fill="0088A6"/>
          </w:tcPr>
          <w:p>
            <w:pPr>
              <w:ind w:left="120"/>
              <w:spacing w:after="0"/>
              <w:rPr>
                <w:sz w:val="20"/>
                <w:szCs w:val="20"/>
                <w:color w:val="auto"/>
              </w:rPr>
            </w:pPr>
            <w:r>
              <w:rPr>
                <w:rFonts w:ascii="Arial" w:cs="Arial" w:eastAsia="Arial" w:hAnsi="Arial"/>
                <w:sz w:val="18"/>
                <w:szCs w:val="18"/>
                <w:b w:val="1"/>
                <w:bCs w:val="1"/>
                <w:color w:val="FFFFFF"/>
              </w:rPr>
              <w:t>Named Executive Officer</w:t>
            </w:r>
          </w:p>
        </w:tc>
        <w:tc>
          <w:tcPr>
            <w:tcW w:w="200" w:type="dxa"/>
            <w:vAlign w:val="bottom"/>
            <w:tcBorders>
              <w:bottom w:val="single" w:sz="8" w:color="0088A6"/>
            </w:tcBorders>
            <w:shd w:val="clear" w:color="auto" w:fill="0088A6"/>
          </w:tcPr>
          <w:p>
            <w:pPr>
              <w:spacing w:after="0"/>
              <w:rPr>
                <w:sz w:val="24"/>
                <w:szCs w:val="24"/>
                <w:color w:val="auto"/>
              </w:rPr>
            </w:pPr>
          </w:p>
        </w:tc>
        <w:tc>
          <w:tcPr>
            <w:tcW w:w="140" w:type="dxa"/>
            <w:vAlign w:val="bottom"/>
            <w:tcBorders>
              <w:bottom w:val="single" w:sz="8" w:color="auto"/>
            </w:tcBorders>
            <w:shd w:val="clear" w:color="auto" w:fill="0088A6"/>
          </w:tcPr>
          <w:p>
            <w:pPr>
              <w:spacing w:after="0"/>
              <w:rPr>
                <w:sz w:val="24"/>
                <w:szCs w:val="24"/>
                <w:color w:val="auto"/>
              </w:rPr>
            </w:pPr>
          </w:p>
        </w:tc>
        <w:tc>
          <w:tcPr>
            <w:tcW w:w="1100" w:type="dxa"/>
            <w:vAlign w:val="bottom"/>
            <w:tcBorders>
              <w:bottom w:val="single" w:sz="8" w:color="auto"/>
            </w:tcBorders>
            <w:shd w:val="clear" w:color="auto" w:fill="0088A6"/>
          </w:tcPr>
          <w:p>
            <w:pPr>
              <w:jc w:val="center"/>
              <w:ind w:right="72"/>
              <w:spacing w:after="0"/>
              <w:rPr>
                <w:sz w:val="20"/>
                <w:szCs w:val="20"/>
                <w:color w:val="auto"/>
              </w:rPr>
            </w:pPr>
            <w:r>
              <w:rPr>
                <w:rFonts w:ascii="Arial" w:cs="Arial" w:eastAsia="Arial" w:hAnsi="Arial"/>
                <w:sz w:val="18"/>
                <w:szCs w:val="18"/>
                <w:b w:val="1"/>
                <w:bCs w:val="1"/>
                <w:color w:val="FFFFFF"/>
                <w:w w:val="99"/>
              </w:rPr>
              <w:t>($)</w:t>
            </w:r>
          </w:p>
        </w:tc>
        <w:tc>
          <w:tcPr>
            <w:tcW w:w="360" w:type="dxa"/>
            <w:vAlign w:val="bottom"/>
            <w:tcBorders>
              <w:bottom w:val="single" w:sz="8" w:color="0088A6"/>
              <w:right w:val="single" w:sz="8" w:color="BFBFBF"/>
            </w:tcBorders>
            <w:shd w:val="clear" w:color="auto" w:fill="0088A6"/>
          </w:tcPr>
          <w:p>
            <w:pPr>
              <w:spacing w:after="0"/>
              <w:rPr>
                <w:sz w:val="24"/>
                <w:szCs w:val="24"/>
                <w:color w:val="auto"/>
              </w:rPr>
            </w:pPr>
          </w:p>
        </w:tc>
        <w:tc>
          <w:tcPr>
            <w:tcW w:w="180" w:type="dxa"/>
            <w:vAlign w:val="bottom"/>
            <w:tcBorders>
              <w:bottom w:val="single" w:sz="8" w:color="0088A6"/>
            </w:tcBorders>
            <w:shd w:val="clear" w:color="auto" w:fill="0088A6"/>
          </w:tcPr>
          <w:p>
            <w:pPr>
              <w:spacing w:after="0"/>
              <w:rPr>
                <w:sz w:val="24"/>
                <w:szCs w:val="24"/>
                <w:color w:val="auto"/>
              </w:rPr>
            </w:pPr>
          </w:p>
        </w:tc>
        <w:tc>
          <w:tcPr>
            <w:tcW w:w="340" w:type="dxa"/>
            <w:vAlign w:val="bottom"/>
            <w:tcBorders>
              <w:bottom w:val="single" w:sz="8" w:color="auto"/>
            </w:tcBorders>
            <w:shd w:val="clear" w:color="auto" w:fill="0088A6"/>
          </w:tcPr>
          <w:p>
            <w:pPr>
              <w:spacing w:after="0"/>
              <w:rPr>
                <w:sz w:val="24"/>
                <w:szCs w:val="24"/>
                <w:color w:val="auto"/>
              </w:rPr>
            </w:pPr>
          </w:p>
        </w:tc>
        <w:tc>
          <w:tcPr>
            <w:tcW w:w="1040" w:type="dxa"/>
            <w:vAlign w:val="bottom"/>
            <w:tcBorders>
              <w:bottom w:val="single" w:sz="8" w:color="auto"/>
            </w:tcBorders>
            <w:shd w:val="clear" w:color="auto" w:fill="0088A6"/>
          </w:tcPr>
          <w:p>
            <w:pPr>
              <w:ind w:left="240"/>
              <w:spacing w:after="0"/>
              <w:rPr>
                <w:sz w:val="20"/>
                <w:szCs w:val="20"/>
                <w:color w:val="auto"/>
              </w:rPr>
            </w:pPr>
            <w:r>
              <w:rPr>
                <w:rFonts w:ascii="Arial" w:cs="Arial" w:eastAsia="Arial" w:hAnsi="Arial"/>
                <w:sz w:val="18"/>
                <w:szCs w:val="18"/>
                <w:b w:val="1"/>
                <w:bCs w:val="1"/>
                <w:color w:val="FFFFFF"/>
              </w:rPr>
              <w:t>($)</w:t>
            </w:r>
          </w:p>
        </w:tc>
        <w:tc>
          <w:tcPr>
            <w:tcW w:w="360" w:type="dxa"/>
            <w:vAlign w:val="bottom"/>
            <w:tcBorders>
              <w:bottom w:val="single" w:sz="8" w:color="0088A6"/>
              <w:right w:val="single" w:sz="8" w:color="BFBFBF"/>
            </w:tcBorders>
            <w:shd w:val="clear" w:color="auto" w:fill="0088A6"/>
          </w:tcPr>
          <w:p>
            <w:pPr>
              <w:spacing w:after="0"/>
              <w:rPr>
                <w:sz w:val="24"/>
                <w:szCs w:val="24"/>
                <w:color w:val="auto"/>
              </w:rPr>
            </w:pPr>
          </w:p>
        </w:tc>
        <w:tc>
          <w:tcPr>
            <w:tcW w:w="260" w:type="dxa"/>
            <w:vAlign w:val="bottom"/>
            <w:tcBorders>
              <w:bottom w:val="single" w:sz="8" w:color="0088A6"/>
            </w:tcBorders>
            <w:shd w:val="clear" w:color="auto" w:fill="0088A6"/>
          </w:tcPr>
          <w:p>
            <w:pPr>
              <w:spacing w:after="0"/>
              <w:rPr>
                <w:sz w:val="24"/>
                <w:szCs w:val="24"/>
                <w:color w:val="auto"/>
              </w:rPr>
            </w:pPr>
          </w:p>
        </w:tc>
        <w:tc>
          <w:tcPr>
            <w:tcW w:w="160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7"/>
              </w:rPr>
              <w:t>Compensation</w:t>
            </w:r>
          </w:p>
        </w:tc>
        <w:tc>
          <w:tcPr>
            <w:tcW w:w="360" w:type="dxa"/>
            <w:vAlign w:val="bottom"/>
            <w:tcBorders>
              <w:bottom w:val="single" w:sz="8" w:color="0088A6"/>
              <w:right w:val="single" w:sz="8" w:color="BFBFBF"/>
            </w:tcBorders>
            <w:shd w:val="clear" w:color="auto" w:fill="0088A6"/>
          </w:tcPr>
          <w:p>
            <w:pPr>
              <w:spacing w:after="0"/>
              <w:rPr>
                <w:sz w:val="24"/>
                <w:szCs w:val="24"/>
                <w:color w:val="auto"/>
              </w:rPr>
            </w:pPr>
          </w:p>
        </w:tc>
      </w:tr>
      <w:tr>
        <w:trPr>
          <w:trHeight w:val="177"/>
        </w:trPr>
        <w:tc>
          <w:tcPr>
            <w:tcW w:w="5500" w:type="dxa"/>
            <w:vAlign w:val="bottom"/>
            <w:tcBorders>
              <w:top w:val="single" w:sz="8" w:color="BFBFBF"/>
              <w:left w:val="single" w:sz="8" w:color="BFBFBF"/>
              <w:bottom w:val="single" w:sz="8" w:color="BFBFBF"/>
              <w:right w:val="single" w:sz="8" w:color="BFBFBF"/>
            </w:tcBorders>
          </w:tcPr>
          <w:p>
            <w:pPr>
              <w:ind w:left="120"/>
              <w:spacing w:after="0" w:line="176" w:lineRule="exact"/>
              <w:rPr>
                <w:sz w:val="20"/>
                <w:szCs w:val="20"/>
                <w:color w:val="auto"/>
              </w:rPr>
            </w:pPr>
            <w:r>
              <w:rPr>
                <w:rFonts w:ascii="Arial" w:cs="Arial" w:eastAsia="Arial" w:hAnsi="Arial"/>
                <w:sz w:val="18"/>
                <w:szCs w:val="18"/>
                <w:color w:val="auto"/>
              </w:rPr>
              <w:t>Robert Greifeld</w:t>
            </w:r>
          </w:p>
        </w:tc>
        <w:tc>
          <w:tcPr>
            <w:tcW w:w="340" w:type="dxa"/>
            <w:vAlign w:val="bottom"/>
            <w:tcBorders>
              <w:top w:val="single" w:sz="8" w:color="BFBFBF"/>
              <w:bottom w:val="single" w:sz="8" w:color="BFBFBF"/>
            </w:tcBorders>
            <w:gridSpan w:val="2"/>
          </w:tcPr>
          <w:p>
            <w:pPr>
              <w:ind w:left="200"/>
              <w:spacing w:after="0" w:line="17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BFBFBF"/>
              <w:bottom w:val="single" w:sz="8" w:color="BFBFBF"/>
              <w:right w:val="single" w:sz="8" w:color="BFBFBF"/>
            </w:tcBorders>
            <w:gridSpan w:val="2"/>
          </w:tcPr>
          <w:p>
            <w:pPr>
              <w:jc w:val="right"/>
              <w:ind w:right="360"/>
              <w:spacing w:after="0" w:line="176" w:lineRule="exact"/>
              <w:rPr>
                <w:sz w:val="20"/>
                <w:szCs w:val="20"/>
                <w:color w:val="auto"/>
              </w:rPr>
            </w:pPr>
            <w:r>
              <w:rPr>
                <w:rFonts w:ascii="Arial" w:cs="Arial" w:eastAsia="Arial" w:hAnsi="Arial"/>
                <w:sz w:val="18"/>
                <w:szCs w:val="18"/>
                <w:color w:val="auto"/>
              </w:rPr>
              <w:t>2,350,000</w:t>
            </w:r>
          </w:p>
        </w:tc>
        <w:tc>
          <w:tcPr>
            <w:tcW w:w="180" w:type="dxa"/>
            <w:vAlign w:val="bottom"/>
            <w:tcBorders>
              <w:top w:val="single" w:sz="8" w:color="BFBFBF"/>
              <w:bottom w:val="single" w:sz="8" w:color="BFBFBF"/>
            </w:tcBorders>
          </w:tcPr>
          <w:p>
            <w:pPr>
              <w:spacing w:after="0"/>
              <w:rPr>
                <w:sz w:val="15"/>
                <w:szCs w:val="15"/>
                <w:color w:val="auto"/>
              </w:rPr>
            </w:pPr>
          </w:p>
        </w:tc>
        <w:tc>
          <w:tcPr>
            <w:tcW w:w="340" w:type="dxa"/>
            <w:vAlign w:val="bottom"/>
            <w:tcBorders>
              <w:top w:val="single" w:sz="8" w:color="BFBFBF"/>
              <w:bottom w:val="single" w:sz="8" w:color="BFBFBF"/>
            </w:tcBorders>
          </w:tcPr>
          <w:p>
            <w:pPr>
              <w:ind w:left="20"/>
              <w:spacing w:after="0" w:line="176"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BFBFBF"/>
              <w:bottom w:val="single" w:sz="8" w:color="BFBFBF"/>
              <w:right w:val="single" w:sz="8" w:color="BFBFBF"/>
            </w:tcBorders>
            <w:gridSpan w:val="2"/>
          </w:tcPr>
          <w:p>
            <w:pPr>
              <w:ind w:left="260"/>
              <w:spacing w:after="0" w:line="176" w:lineRule="exact"/>
              <w:rPr>
                <w:sz w:val="20"/>
                <w:szCs w:val="20"/>
                <w:color w:val="auto"/>
              </w:rPr>
            </w:pPr>
            <w:r>
              <w:rPr>
                <w:rFonts w:ascii="Arial" w:cs="Arial" w:eastAsia="Arial" w:hAnsi="Arial"/>
                <w:sz w:val="18"/>
                <w:szCs w:val="18"/>
                <w:color w:val="auto"/>
              </w:rPr>
              <w:t>4,591,000</w:t>
            </w:r>
          </w:p>
        </w:tc>
        <w:tc>
          <w:tcPr>
            <w:tcW w:w="260" w:type="dxa"/>
            <w:vAlign w:val="bottom"/>
            <w:tcBorders>
              <w:top w:val="single" w:sz="8" w:color="BFBFBF"/>
              <w:bottom w:val="single" w:sz="8" w:color="BFBFBF"/>
            </w:tcBorders>
          </w:tcPr>
          <w:p>
            <w:pPr>
              <w:spacing w:after="0"/>
              <w:rPr>
                <w:sz w:val="15"/>
                <w:szCs w:val="15"/>
                <w:color w:val="auto"/>
              </w:rPr>
            </w:pPr>
          </w:p>
        </w:tc>
        <w:tc>
          <w:tcPr>
            <w:tcW w:w="1960" w:type="dxa"/>
            <w:vAlign w:val="bottom"/>
            <w:tcBorders>
              <w:top w:val="single" w:sz="8" w:color="BFBFBF"/>
              <w:bottom w:val="single" w:sz="8" w:color="BFBFBF"/>
              <w:right w:val="single" w:sz="8" w:color="BFBFBF"/>
            </w:tcBorders>
            <w:gridSpan w:val="2"/>
          </w:tcPr>
          <w:p>
            <w:pPr>
              <w:jc w:val="right"/>
              <w:ind w:right="120"/>
              <w:spacing w:after="0" w:line="176" w:lineRule="exact"/>
              <w:rPr>
                <w:sz w:val="20"/>
                <w:szCs w:val="20"/>
                <w:color w:val="auto"/>
              </w:rPr>
            </w:pPr>
            <w:r>
              <w:rPr>
                <w:rFonts w:ascii="Arial" w:cs="Arial" w:eastAsia="Arial" w:hAnsi="Arial"/>
                <w:sz w:val="18"/>
                <w:szCs w:val="18"/>
                <w:color w:val="auto"/>
              </w:rPr>
              <w:t>(49)%</w:t>
            </w:r>
          </w:p>
        </w:tc>
      </w:tr>
      <w:tr>
        <w:trPr>
          <w:trHeight w:val="196"/>
        </w:trPr>
        <w:tc>
          <w:tcPr>
            <w:tcW w:w="5500" w:type="dxa"/>
            <w:vAlign w:val="bottom"/>
            <w:tcBorders>
              <w:left w:val="single" w:sz="8" w:color="BFBFBF"/>
              <w:bottom w:val="single" w:sz="8" w:color="BFBFBF"/>
              <w:right w:val="single" w:sz="8" w:color="BFBFBF"/>
            </w:tcBorders>
          </w:tcPr>
          <w:p>
            <w:pPr>
              <w:ind w:left="280"/>
              <w:spacing w:after="0" w:line="196" w:lineRule="exact"/>
              <w:rPr>
                <w:sz w:val="20"/>
                <w:szCs w:val="20"/>
                <w:color w:val="auto"/>
              </w:rPr>
            </w:pPr>
            <w:r>
              <w:rPr>
                <w:rFonts w:ascii="Arial" w:cs="Arial" w:eastAsia="Arial" w:hAnsi="Arial"/>
                <w:sz w:val="18"/>
                <w:szCs w:val="18"/>
                <w:color w:val="auto"/>
              </w:rPr>
              <w:t>Chief Executive Officer</w:t>
            </w:r>
          </w:p>
        </w:tc>
        <w:tc>
          <w:tcPr>
            <w:tcW w:w="200" w:type="dxa"/>
            <w:vAlign w:val="bottom"/>
            <w:tcBorders>
              <w:bottom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1100" w:type="dxa"/>
            <w:vAlign w:val="bottom"/>
            <w:tcBorders>
              <w:bottom w:val="single" w:sz="8" w:color="BFBFBF"/>
            </w:tcBorders>
          </w:tcPr>
          <w:p>
            <w:pPr>
              <w:spacing w:after="0"/>
              <w:rPr>
                <w:sz w:val="17"/>
                <w:szCs w:val="17"/>
                <w:color w:val="auto"/>
              </w:rPr>
            </w:pPr>
          </w:p>
        </w:tc>
        <w:tc>
          <w:tcPr>
            <w:tcW w:w="360" w:type="dxa"/>
            <w:vAlign w:val="bottom"/>
            <w:tcBorders>
              <w:bottom w:val="single" w:sz="8" w:color="BFBFBF"/>
              <w:right w:val="single" w:sz="8" w:color="BFBFBF"/>
            </w:tcBorders>
          </w:tcPr>
          <w:p>
            <w:pPr>
              <w:spacing w:after="0"/>
              <w:rPr>
                <w:sz w:val="17"/>
                <w:szCs w:val="17"/>
                <w:color w:val="auto"/>
              </w:rPr>
            </w:pPr>
          </w:p>
        </w:tc>
        <w:tc>
          <w:tcPr>
            <w:tcW w:w="18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040" w:type="dxa"/>
            <w:vAlign w:val="bottom"/>
            <w:tcBorders>
              <w:bottom w:val="single" w:sz="8" w:color="BFBFBF"/>
            </w:tcBorders>
          </w:tcPr>
          <w:p>
            <w:pPr>
              <w:spacing w:after="0"/>
              <w:rPr>
                <w:sz w:val="17"/>
                <w:szCs w:val="17"/>
                <w:color w:val="auto"/>
              </w:rPr>
            </w:pPr>
          </w:p>
        </w:tc>
        <w:tc>
          <w:tcPr>
            <w:tcW w:w="360" w:type="dxa"/>
            <w:vAlign w:val="bottom"/>
            <w:tcBorders>
              <w:bottom w:val="single" w:sz="8" w:color="BFBFBF"/>
              <w:right w:val="single" w:sz="8" w:color="BFBFBF"/>
            </w:tcBorders>
          </w:tcPr>
          <w:p>
            <w:pPr>
              <w:spacing w:after="0"/>
              <w:rPr>
                <w:sz w:val="17"/>
                <w:szCs w:val="17"/>
                <w:color w:val="auto"/>
              </w:rPr>
            </w:pPr>
          </w:p>
        </w:tc>
        <w:tc>
          <w:tcPr>
            <w:tcW w:w="260" w:type="dxa"/>
            <w:vAlign w:val="bottom"/>
            <w:tcBorders>
              <w:bottom w:val="single" w:sz="8" w:color="BFBFBF"/>
            </w:tcBorders>
          </w:tcPr>
          <w:p>
            <w:pPr>
              <w:spacing w:after="0"/>
              <w:rPr>
                <w:sz w:val="17"/>
                <w:szCs w:val="17"/>
                <w:color w:val="auto"/>
              </w:rPr>
            </w:pPr>
          </w:p>
        </w:tc>
        <w:tc>
          <w:tcPr>
            <w:tcW w:w="1600" w:type="dxa"/>
            <w:vAlign w:val="bottom"/>
            <w:tcBorders>
              <w:bottom w:val="single" w:sz="8" w:color="BFBFBF"/>
            </w:tcBorders>
          </w:tcPr>
          <w:p>
            <w:pPr>
              <w:spacing w:after="0"/>
              <w:rPr>
                <w:sz w:val="17"/>
                <w:szCs w:val="17"/>
                <w:color w:val="auto"/>
              </w:rPr>
            </w:pPr>
          </w:p>
        </w:tc>
        <w:tc>
          <w:tcPr>
            <w:tcW w:w="360" w:type="dxa"/>
            <w:vAlign w:val="bottom"/>
            <w:tcBorders>
              <w:bottom w:val="single" w:sz="8" w:color="BFBFBF"/>
              <w:right w:val="single" w:sz="8" w:color="BFBFBF"/>
            </w:tcBorders>
          </w:tcPr>
          <w:p>
            <w:pPr>
              <w:spacing w:after="0"/>
              <w:rPr>
                <w:sz w:val="17"/>
                <w:szCs w:val="17"/>
                <w:color w:val="auto"/>
              </w:rPr>
            </w:pPr>
          </w:p>
        </w:tc>
      </w:tr>
      <w:tr>
        <w:trPr>
          <w:trHeight w:val="196"/>
        </w:trPr>
        <w:tc>
          <w:tcPr>
            <w:tcW w:w="5500" w:type="dxa"/>
            <w:vAlign w:val="bottom"/>
            <w:tcBorders>
              <w:left w:val="single" w:sz="8" w:color="BFBFBF"/>
              <w:bottom w:val="single" w:sz="8" w:color="BFBFBF"/>
              <w:right w:val="single" w:sz="8" w:color="BFBFBF"/>
            </w:tcBorders>
            <w:shd w:val="clear" w:color="auto" w:fill="DDEFF3"/>
          </w:tcPr>
          <w:p>
            <w:pPr>
              <w:ind w:left="120"/>
              <w:spacing w:after="0" w:line="196" w:lineRule="exact"/>
              <w:rPr>
                <w:sz w:val="20"/>
                <w:szCs w:val="20"/>
                <w:color w:val="auto"/>
              </w:rPr>
            </w:pPr>
            <w:r>
              <w:rPr>
                <w:rFonts w:ascii="Arial" w:cs="Arial" w:eastAsia="Arial" w:hAnsi="Arial"/>
                <w:sz w:val="18"/>
                <w:szCs w:val="18"/>
                <w:color w:val="auto"/>
              </w:rPr>
              <w:t>Lee Shavel</w:t>
            </w:r>
          </w:p>
        </w:tc>
        <w:tc>
          <w:tcPr>
            <w:tcW w:w="340" w:type="dxa"/>
            <w:vAlign w:val="bottom"/>
            <w:tcBorders>
              <w:bottom w:val="single" w:sz="8" w:color="BFBFBF"/>
            </w:tcBorders>
            <w:gridSpan w:val="2"/>
            <w:shd w:val="clear" w:color="auto" w:fill="DDEFF3"/>
          </w:tcPr>
          <w:p>
            <w:pPr>
              <w:ind w:left="20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shd w:val="clear" w:color="auto" w:fill="DDEFF3"/>
          </w:tcPr>
          <w:p>
            <w:pPr>
              <w:jc w:val="right"/>
              <w:spacing w:after="0" w:line="196" w:lineRule="exact"/>
              <w:rPr>
                <w:sz w:val="20"/>
                <w:szCs w:val="20"/>
                <w:color w:val="auto"/>
              </w:rPr>
            </w:pPr>
            <w:r>
              <w:rPr>
                <w:rFonts w:ascii="Arial" w:cs="Arial" w:eastAsia="Arial" w:hAnsi="Arial"/>
                <w:sz w:val="18"/>
                <w:szCs w:val="18"/>
                <w:color w:val="auto"/>
              </w:rPr>
              <w:t>1,378,625</w:t>
            </w:r>
          </w:p>
        </w:tc>
        <w:tc>
          <w:tcPr>
            <w:tcW w:w="360" w:type="dxa"/>
            <w:vAlign w:val="bottom"/>
            <w:tcBorders>
              <w:bottom w:val="single" w:sz="8" w:color="BFBFBF"/>
              <w:right w:val="single" w:sz="8" w:color="BFBFBF"/>
            </w:tcBorders>
            <w:shd w:val="clear" w:color="auto" w:fill="DDEFF3"/>
          </w:tcPr>
          <w:p>
            <w:pPr>
              <w:spacing w:after="0"/>
              <w:rPr>
                <w:sz w:val="17"/>
                <w:szCs w:val="17"/>
                <w:color w:val="auto"/>
              </w:rPr>
            </w:pPr>
          </w:p>
        </w:tc>
        <w:tc>
          <w:tcPr>
            <w:tcW w:w="180" w:type="dxa"/>
            <w:vAlign w:val="bottom"/>
            <w:tcBorders>
              <w:bottom w:val="single" w:sz="8" w:color="BFBFBF"/>
            </w:tcBorders>
            <w:shd w:val="clear" w:color="auto" w:fill="DDEFF3"/>
          </w:tcPr>
          <w:p>
            <w:pPr>
              <w:spacing w:after="0"/>
              <w:rPr>
                <w:sz w:val="17"/>
                <w:szCs w:val="17"/>
                <w:color w:val="auto"/>
              </w:rPr>
            </w:pPr>
          </w:p>
        </w:tc>
        <w:tc>
          <w:tcPr>
            <w:tcW w:w="340" w:type="dxa"/>
            <w:vAlign w:val="bottom"/>
            <w:tcBorders>
              <w:bottom w:val="single" w:sz="8" w:color="BFBFBF"/>
            </w:tcBorders>
            <w:shd w:val="clear" w:color="auto" w:fill="DDEFF3"/>
          </w:tcPr>
          <w:p>
            <w:pPr>
              <w:ind w:left="2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BFBFBF"/>
              <w:right w:val="single" w:sz="8" w:color="BFBFBF"/>
            </w:tcBorders>
            <w:gridSpan w:val="2"/>
            <w:shd w:val="clear" w:color="auto" w:fill="DDEFF3"/>
          </w:tcPr>
          <w:p>
            <w:pPr>
              <w:ind w:left="260"/>
              <w:spacing w:after="0" w:line="196" w:lineRule="exact"/>
              <w:rPr>
                <w:sz w:val="20"/>
                <w:szCs w:val="20"/>
                <w:color w:val="auto"/>
              </w:rPr>
            </w:pPr>
            <w:r>
              <w:rPr>
                <w:rFonts w:ascii="Arial" w:cs="Arial" w:eastAsia="Arial" w:hAnsi="Arial"/>
                <w:sz w:val="18"/>
                <w:szCs w:val="18"/>
                <w:color w:val="auto"/>
              </w:rPr>
              <w:t>1,790,000(1)</w:t>
            </w:r>
          </w:p>
        </w:tc>
        <w:tc>
          <w:tcPr>
            <w:tcW w:w="260" w:type="dxa"/>
            <w:vAlign w:val="bottom"/>
            <w:tcBorders>
              <w:bottom w:val="single" w:sz="8" w:color="BFBFBF"/>
            </w:tcBorders>
            <w:shd w:val="clear" w:color="auto" w:fill="DDEFF3"/>
          </w:tcPr>
          <w:p>
            <w:pPr>
              <w:spacing w:after="0"/>
              <w:rPr>
                <w:sz w:val="17"/>
                <w:szCs w:val="17"/>
                <w:color w:val="auto"/>
              </w:rPr>
            </w:pPr>
          </w:p>
        </w:tc>
        <w:tc>
          <w:tcPr>
            <w:tcW w:w="1960" w:type="dxa"/>
            <w:vAlign w:val="bottom"/>
            <w:tcBorders>
              <w:bottom w:val="single" w:sz="8" w:color="BFBFBF"/>
              <w:right w:val="single" w:sz="8" w:color="BFBFBF"/>
            </w:tcBorders>
            <w:gridSpan w:val="2"/>
            <w:shd w:val="clear" w:color="auto" w:fill="DDEFF3"/>
          </w:tcPr>
          <w:p>
            <w:pPr>
              <w:jc w:val="right"/>
              <w:ind w:right="120"/>
              <w:spacing w:after="0" w:line="196" w:lineRule="exact"/>
              <w:rPr>
                <w:sz w:val="20"/>
                <w:szCs w:val="20"/>
                <w:color w:val="auto"/>
              </w:rPr>
            </w:pPr>
            <w:r>
              <w:rPr>
                <w:rFonts w:ascii="Arial" w:cs="Arial" w:eastAsia="Arial" w:hAnsi="Arial"/>
                <w:sz w:val="18"/>
                <w:szCs w:val="18"/>
                <w:color w:val="auto"/>
              </w:rPr>
              <w:t>(23)%</w:t>
            </w:r>
          </w:p>
        </w:tc>
      </w:tr>
      <w:tr>
        <w:trPr>
          <w:trHeight w:val="199"/>
        </w:trPr>
        <w:tc>
          <w:tcPr>
            <w:tcW w:w="5500" w:type="dxa"/>
            <w:vAlign w:val="bottom"/>
            <w:tcBorders>
              <w:left w:val="single" w:sz="8" w:color="BFBFBF"/>
              <w:right w:val="single" w:sz="8" w:color="BFBFBF"/>
            </w:tcBorders>
            <w:shd w:val="clear" w:color="auto" w:fill="DDEFF3"/>
          </w:tcPr>
          <w:p>
            <w:pPr>
              <w:ind w:left="280"/>
              <w:spacing w:after="0" w:line="200" w:lineRule="exact"/>
              <w:rPr>
                <w:sz w:val="20"/>
                <w:szCs w:val="20"/>
                <w:color w:val="auto"/>
              </w:rPr>
            </w:pPr>
            <w:r>
              <w:rPr>
                <w:rFonts w:ascii="Arial" w:cs="Arial" w:eastAsia="Arial" w:hAnsi="Arial"/>
                <w:sz w:val="18"/>
                <w:szCs w:val="18"/>
                <w:color w:val="auto"/>
              </w:rPr>
              <w:t>Chief Financial Officer and Executive Vice President, Corporate</w:t>
            </w:r>
          </w:p>
        </w:tc>
        <w:tc>
          <w:tcPr>
            <w:tcW w:w="200" w:type="dxa"/>
            <w:vAlign w:val="bottom"/>
            <w:shd w:val="clear" w:color="auto" w:fill="DDEFF3"/>
          </w:tcPr>
          <w:p>
            <w:pPr>
              <w:spacing w:after="0"/>
              <w:rPr>
                <w:sz w:val="17"/>
                <w:szCs w:val="17"/>
                <w:color w:val="auto"/>
              </w:rPr>
            </w:pPr>
          </w:p>
        </w:tc>
        <w:tc>
          <w:tcPr>
            <w:tcW w:w="140" w:type="dxa"/>
            <w:vAlign w:val="bottom"/>
            <w:shd w:val="clear" w:color="auto" w:fill="DDEFF3"/>
          </w:tcPr>
          <w:p>
            <w:pPr>
              <w:spacing w:after="0"/>
              <w:rPr>
                <w:sz w:val="17"/>
                <w:szCs w:val="17"/>
                <w:color w:val="auto"/>
              </w:rPr>
            </w:pPr>
          </w:p>
        </w:tc>
        <w:tc>
          <w:tcPr>
            <w:tcW w:w="1100" w:type="dxa"/>
            <w:vAlign w:val="bottom"/>
            <w:shd w:val="clear" w:color="auto" w:fill="DDEFF3"/>
          </w:tcPr>
          <w:p>
            <w:pPr>
              <w:spacing w:after="0"/>
              <w:rPr>
                <w:sz w:val="17"/>
                <w:szCs w:val="17"/>
                <w:color w:val="auto"/>
              </w:rPr>
            </w:pPr>
          </w:p>
        </w:tc>
        <w:tc>
          <w:tcPr>
            <w:tcW w:w="360" w:type="dxa"/>
            <w:vAlign w:val="bottom"/>
            <w:tcBorders>
              <w:right w:val="single" w:sz="8" w:color="BFBFBF"/>
            </w:tcBorders>
            <w:shd w:val="clear" w:color="auto" w:fill="DDEFF3"/>
          </w:tcPr>
          <w:p>
            <w:pPr>
              <w:spacing w:after="0"/>
              <w:rPr>
                <w:sz w:val="17"/>
                <w:szCs w:val="17"/>
                <w:color w:val="auto"/>
              </w:rPr>
            </w:pPr>
          </w:p>
        </w:tc>
        <w:tc>
          <w:tcPr>
            <w:tcW w:w="180" w:type="dxa"/>
            <w:vAlign w:val="bottom"/>
            <w:shd w:val="clear" w:color="auto" w:fill="DDEFF3"/>
          </w:tcPr>
          <w:p>
            <w:pPr>
              <w:spacing w:after="0"/>
              <w:rPr>
                <w:sz w:val="17"/>
                <w:szCs w:val="17"/>
                <w:color w:val="auto"/>
              </w:rPr>
            </w:pPr>
          </w:p>
        </w:tc>
        <w:tc>
          <w:tcPr>
            <w:tcW w:w="340" w:type="dxa"/>
            <w:vAlign w:val="bottom"/>
            <w:shd w:val="clear" w:color="auto" w:fill="DDEFF3"/>
          </w:tcPr>
          <w:p>
            <w:pPr>
              <w:spacing w:after="0"/>
              <w:rPr>
                <w:sz w:val="17"/>
                <w:szCs w:val="17"/>
                <w:color w:val="auto"/>
              </w:rPr>
            </w:pPr>
          </w:p>
        </w:tc>
        <w:tc>
          <w:tcPr>
            <w:tcW w:w="1040" w:type="dxa"/>
            <w:vAlign w:val="bottom"/>
            <w:shd w:val="clear" w:color="auto" w:fill="DDEFF3"/>
          </w:tcPr>
          <w:p>
            <w:pPr>
              <w:spacing w:after="0"/>
              <w:rPr>
                <w:sz w:val="17"/>
                <w:szCs w:val="17"/>
                <w:color w:val="auto"/>
              </w:rPr>
            </w:pPr>
          </w:p>
        </w:tc>
        <w:tc>
          <w:tcPr>
            <w:tcW w:w="360" w:type="dxa"/>
            <w:vAlign w:val="bottom"/>
            <w:tcBorders>
              <w:right w:val="single" w:sz="8" w:color="BFBFBF"/>
            </w:tcBorders>
            <w:shd w:val="clear" w:color="auto" w:fill="DDEFF3"/>
          </w:tcPr>
          <w:p>
            <w:pPr>
              <w:spacing w:after="0"/>
              <w:rPr>
                <w:sz w:val="17"/>
                <w:szCs w:val="17"/>
                <w:color w:val="auto"/>
              </w:rPr>
            </w:pPr>
          </w:p>
        </w:tc>
        <w:tc>
          <w:tcPr>
            <w:tcW w:w="260" w:type="dxa"/>
            <w:vAlign w:val="bottom"/>
            <w:shd w:val="clear" w:color="auto" w:fill="DDEFF3"/>
          </w:tcPr>
          <w:p>
            <w:pPr>
              <w:spacing w:after="0"/>
              <w:rPr>
                <w:sz w:val="17"/>
                <w:szCs w:val="17"/>
                <w:color w:val="auto"/>
              </w:rPr>
            </w:pPr>
          </w:p>
        </w:tc>
        <w:tc>
          <w:tcPr>
            <w:tcW w:w="1600" w:type="dxa"/>
            <w:vAlign w:val="bottom"/>
            <w:shd w:val="clear" w:color="auto" w:fill="DDEFF3"/>
          </w:tcPr>
          <w:p>
            <w:pPr>
              <w:spacing w:after="0"/>
              <w:rPr>
                <w:sz w:val="17"/>
                <w:szCs w:val="17"/>
                <w:color w:val="auto"/>
              </w:rPr>
            </w:pPr>
          </w:p>
        </w:tc>
        <w:tc>
          <w:tcPr>
            <w:tcW w:w="360" w:type="dxa"/>
            <w:vAlign w:val="bottom"/>
            <w:tcBorders>
              <w:right w:val="single" w:sz="8" w:color="BFBFBF"/>
            </w:tcBorders>
            <w:shd w:val="clear" w:color="auto" w:fill="DDEFF3"/>
          </w:tcPr>
          <w:p>
            <w:pPr>
              <w:spacing w:after="0"/>
              <w:rPr>
                <w:sz w:val="17"/>
                <w:szCs w:val="17"/>
                <w:color w:val="auto"/>
              </w:rPr>
            </w:pPr>
          </w:p>
        </w:tc>
      </w:tr>
      <w:tr>
        <w:trPr>
          <w:trHeight w:val="199"/>
        </w:trPr>
        <w:tc>
          <w:tcPr>
            <w:tcW w:w="5500" w:type="dxa"/>
            <w:vAlign w:val="bottom"/>
            <w:tcBorders>
              <w:left w:val="single" w:sz="8" w:color="BFBFBF"/>
              <w:bottom w:val="single" w:sz="8" w:color="BFBFBF"/>
              <w:right w:val="single" w:sz="8" w:color="BFBFBF"/>
            </w:tcBorders>
            <w:shd w:val="clear" w:color="auto" w:fill="DDEFF3"/>
          </w:tcPr>
          <w:p>
            <w:pPr>
              <w:ind w:left="280"/>
              <w:spacing w:after="0" w:line="200" w:lineRule="exact"/>
              <w:rPr>
                <w:sz w:val="20"/>
                <w:szCs w:val="20"/>
                <w:color w:val="auto"/>
              </w:rPr>
            </w:pPr>
            <w:r>
              <w:rPr>
                <w:rFonts w:ascii="Arial" w:cs="Arial" w:eastAsia="Arial" w:hAnsi="Arial"/>
                <w:sz w:val="18"/>
                <w:szCs w:val="18"/>
                <w:color w:val="auto"/>
              </w:rPr>
              <w:t>Strategy</w:t>
            </w:r>
          </w:p>
        </w:tc>
        <w:tc>
          <w:tcPr>
            <w:tcW w:w="200" w:type="dxa"/>
            <w:vAlign w:val="bottom"/>
            <w:tcBorders>
              <w:bottom w:val="single" w:sz="8" w:color="BFBFBF"/>
            </w:tcBorders>
            <w:shd w:val="clear" w:color="auto" w:fill="DDEFF3"/>
          </w:tcPr>
          <w:p>
            <w:pPr>
              <w:spacing w:after="0"/>
              <w:rPr>
                <w:sz w:val="17"/>
                <w:szCs w:val="17"/>
                <w:color w:val="auto"/>
              </w:rPr>
            </w:pPr>
          </w:p>
        </w:tc>
        <w:tc>
          <w:tcPr>
            <w:tcW w:w="140" w:type="dxa"/>
            <w:vAlign w:val="bottom"/>
            <w:tcBorders>
              <w:bottom w:val="single" w:sz="8" w:color="BFBFBF"/>
            </w:tcBorders>
            <w:shd w:val="clear" w:color="auto" w:fill="DDEFF3"/>
          </w:tcPr>
          <w:p>
            <w:pPr>
              <w:spacing w:after="0"/>
              <w:rPr>
                <w:sz w:val="17"/>
                <w:szCs w:val="17"/>
                <w:color w:val="auto"/>
              </w:rPr>
            </w:pPr>
          </w:p>
        </w:tc>
        <w:tc>
          <w:tcPr>
            <w:tcW w:w="1100" w:type="dxa"/>
            <w:vAlign w:val="bottom"/>
            <w:tcBorders>
              <w:bottom w:val="single" w:sz="8" w:color="BFBFBF"/>
            </w:tcBorders>
            <w:shd w:val="clear" w:color="auto" w:fill="DDEFF3"/>
          </w:tcPr>
          <w:p>
            <w:pPr>
              <w:spacing w:after="0"/>
              <w:rPr>
                <w:sz w:val="17"/>
                <w:szCs w:val="17"/>
                <w:color w:val="auto"/>
              </w:rPr>
            </w:pPr>
          </w:p>
        </w:tc>
        <w:tc>
          <w:tcPr>
            <w:tcW w:w="360" w:type="dxa"/>
            <w:vAlign w:val="bottom"/>
            <w:tcBorders>
              <w:bottom w:val="single" w:sz="8" w:color="BFBFBF"/>
              <w:right w:val="single" w:sz="8" w:color="BFBFBF"/>
            </w:tcBorders>
            <w:shd w:val="clear" w:color="auto" w:fill="DDEFF3"/>
          </w:tcPr>
          <w:p>
            <w:pPr>
              <w:spacing w:after="0"/>
              <w:rPr>
                <w:sz w:val="17"/>
                <w:szCs w:val="17"/>
                <w:color w:val="auto"/>
              </w:rPr>
            </w:pPr>
          </w:p>
        </w:tc>
        <w:tc>
          <w:tcPr>
            <w:tcW w:w="180" w:type="dxa"/>
            <w:vAlign w:val="bottom"/>
            <w:tcBorders>
              <w:bottom w:val="single" w:sz="8" w:color="BFBFBF"/>
            </w:tcBorders>
            <w:shd w:val="clear" w:color="auto" w:fill="DDEFF3"/>
          </w:tcPr>
          <w:p>
            <w:pPr>
              <w:spacing w:after="0"/>
              <w:rPr>
                <w:sz w:val="17"/>
                <w:szCs w:val="17"/>
                <w:color w:val="auto"/>
              </w:rPr>
            </w:pPr>
          </w:p>
        </w:tc>
        <w:tc>
          <w:tcPr>
            <w:tcW w:w="340" w:type="dxa"/>
            <w:vAlign w:val="bottom"/>
            <w:tcBorders>
              <w:bottom w:val="single" w:sz="8" w:color="BFBFBF"/>
            </w:tcBorders>
            <w:shd w:val="clear" w:color="auto" w:fill="DDEFF3"/>
          </w:tcPr>
          <w:p>
            <w:pPr>
              <w:spacing w:after="0"/>
              <w:rPr>
                <w:sz w:val="17"/>
                <w:szCs w:val="17"/>
                <w:color w:val="auto"/>
              </w:rPr>
            </w:pPr>
          </w:p>
        </w:tc>
        <w:tc>
          <w:tcPr>
            <w:tcW w:w="1040" w:type="dxa"/>
            <w:vAlign w:val="bottom"/>
            <w:tcBorders>
              <w:bottom w:val="single" w:sz="8" w:color="BFBFBF"/>
            </w:tcBorders>
            <w:shd w:val="clear" w:color="auto" w:fill="DDEFF3"/>
          </w:tcPr>
          <w:p>
            <w:pPr>
              <w:spacing w:after="0"/>
              <w:rPr>
                <w:sz w:val="17"/>
                <w:szCs w:val="17"/>
                <w:color w:val="auto"/>
              </w:rPr>
            </w:pPr>
          </w:p>
        </w:tc>
        <w:tc>
          <w:tcPr>
            <w:tcW w:w="360" w:type="dxa"/>
            <w:vAlign w:val="bottom"/>
            <w:tcBorders>
              <w:bottom w:val="single" w:sz="8" w:color="BFBFBF"/>
              <w:right w:val="single" w:sz="8" w:color="BFBFBF"/>
            </w:tcBorders>
            <w:shd w:val="clear" w:color="auto" w:fill="DDEFF3"/>
          </w:tcPr>
          <w:p>
            <w:pPr>
              <w:spacing w:after="0"/>
              <w:rPr>
                <w:sz w:val="17"/>
                <w:szCs w:val="17"/>
                <w:color w:val="auto"/>
              </w:rPr>
            </w:pPr>
          </w:p>
        </w:tc>
        <w:tc>
          <w:tcPr>
            <w:tcW w:w="260" w:type="dxa"/>
            <w:vAlign w:val="bottom"/>
            <w:tcBorders>
              <w:bottom w:val="single" w:sz="8" w:color="BFBFBF"/>
            </w:tcBorders>
            <w:shd w:val="clear" w:color="auto" w:fill="DDEFF3"/>
          </w:tcPr>
          <w:p>
            <w:pPr>
              <w:spacing w:after="0"/>
              <w:rPr>
                <w:sz w:val="17"/>
                <w:szCs w:val="17"/>
                <w:color w:val="auto"/>
              </w:rPr>
            </w:pPr>
          </w:p>
        </w:tc>
        <w:tc>
          <w:tcPr>
            <w:tcW w:w="1600" w:type="dxa"/>
            <w:vAlign w:val="bottom"/>
            <w:tcBorders>
              <w:bottom w:val="single" w:sz="8" w:color="BFBFBF"/>
            </w:tcBorders>
            <w:shd w:val="clear" w:color="auto" w:fill="DDEFF3"/>
          </w:tcPr>
          <w:p>
            <w:pPr>
              <w:spacing w:after="0"/>
              <w:rPr>
                <w:sz w:val="17"/>
                <w:szCs w:val="17"/>
                <w:color w:val="auto"/>
              </w:rPr>
            </w:pPr>
          </w:p>
        </w:tc>
        <w:tc>
          <w:tcPr>
            <w:tcW w:w="360" w:type="dxa"/>
            <w:vAlign w:val="bottom"/>
            <w:tcBorders>
              <w:bottom w:val="single" w:sz="8" w:color="BFBFBF"/>
              <w:right w:val="single" w:sz="8" w:color="BFBFBF"/>
            </w:tcBorders>
            <w:shd w:val="clear" w:color="auto" w:fill="DDEFF3"/>
          </w:tcPr>
          <w:p>
            <w:pPr>
              <w:spacing w:after="0"/>
              <w:rPr>
                <w:sz w:val="17"/>
                <w:szCs w:val="17"/>
                <w:color w:val="auto"/>
              </w:rPr>
            </w:pPr>
          </w:p>
        </w:tc>
      </w:tr>
      <w:tr>
        <w:trPr>
          <w:trHeight w:val="196"/>
        </w:trPr>
        <w:tc>
          <w:tcPr>
            <w:tcW w:w="550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Anna M. Ewing</w:t>
            </w:r>
          </w:p>
        </w:tc>
        <w:tc>
          <w:tcPr>
            <w:tcW w:w="340" w:type="dxa"/>
            <w:vAlign w:val="bottom"/>
            <w:tcBorders>
              <w:bottom w:val="single" w:sz="8" w:color="BFBFBF"/>
            </w:tcBorders>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1,074,125</w:t>
            </w:r>
          </w:p>
        </w:tc>
        <w:tc>
          <w:tcPr>
            <w:tcW w:w="360" w:type="dxa"/>
            <w:vAlign w:val="bottom"/>
            <w:tcBorders>
              <w:bottom w:val="single" w:sz="8" w:color="BFBFBF"/>
              <w:right w:val="single" w:sz="8" w:color="BFBFBF"/>
            </w:tcBorders>
          </w:tcPr>
          <w:p>
            <w:pPr>
              <w:spacing w:after="0"/>
              <w:rPr>
                <w:sz w:val="17"/>
                <w:szCs w:val="17"/>
                <w:color w:val="auto"/>
              </w:rPr>
            </w:pPr>
          </w:p>
        </w:tc>
        <w:tc>
          <w:tcPr>
            <w:tcW w:w="18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ind w:left="2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BFBFBF"/>
              <w:right w:val="single" w:sz="8" w:color="BFBFBF"/>
            </w:tcBorders>
            <w:gridSpan w:val="2"/>
          </w:tcPr>
          <w:p>
            <w:pPr>
              <w:ind w:left="260"/>
              <w:spacing w:after="0" w:line="196" w:lineRule="exact"/>
              <w:rPr>
                <w:sz w:val="20"/>
                <w:szCs w:val="20"/>
                <w:color w:val="auto"/>
              </w:rPr>
            </w:pPr>
            <w:r>
              <w:rPr>
                <w:rFonts w:ascii="Arial" w:cs="Arial" w:eastAsia="Arial" w:hAnsi="Arial"/>
                <w:sz w:val="18"/>
                <w:szCs w:val="18"/>
                <w:color w:val="auto"/>
              </w:rPr>
              <w:t>1,710,500</w:t>
            </w:r>
          </w:p>
        </w:tc>
        <w:tc>
          <w:tcPr>
            <w:tcW w:w="260" w:type="dxa"/>
            <w:vAlign w:val="bottom"/>
            <w:tcBorders>
              <w:bottom w:val="single" w:sz="8" w:color="BFBFBF"/>
            </w:tcBorders>
          </w:tcPr>
          <w:p>
            <w:pPr>
              <w:spacing w:after="0"/>
              <w:rPr>
                <w:sz w:val="17"/>
                <w:szCs w:val="17"/>
                <w:color w:val="auto"/>
              </w:rPr>
            </w:pPr>
          </w:p>
        </w:tc>
        <w:tc>
          <w:tcPr>
            <w:tcW w:w="1960" w:type="dxa"/>
            <w:vAlign w:val="bottom"/>
            <w:tcBorders>
              <w:bottom w:val="single" w:sz="8" w:color="BFBFBF"/>
              <w:right w:val="single" w:sz="8" w:color="BFBFBF"/>
            </w:tcBorders>
            <w:gridSpan w:val="2"/>
          </w:tcPr>
          <w:p>
            <w:pPr>
              <w:jc w:val="right"/>
              <w:ind w:right="120"/>
              <w:spacing w:after="0" w:line="196" w:lineRule="exact"/>
              <w:rPr>
                <w:sz w:val="20"/>
                <w:szCs w:val="20"/>
                <w:color w:val="auto"/>
              </w:rPr>
            </w:pPr>
            <w:r>
              <w:rPr>
                <w:rFonts w:ascii="Arial" w:cs="Arial" w:eastAsia="Arial" w:hAnsi="Arial"/>
                <w:sz w:val="18"/>
                <w:szCs w:val="18"/>
                <w:color w:val="auto"/>
              </w:rPr>
              <w:t>(37)%</w:t>
            </w:r>
          </w:p>
        </w:tc>
      </w:tr>
      <w:tr>
        <w:trPr>
          <w:trHeight w:val="196"/>
        </w:trPr>
        <w:tc>
          <w:tcPr>
            <w:tcW w:w="5500" w:type="dxa"/>
            <w:vAlign w:val="bottom"/>
            <w:tcBorders>
              <w:left w:val="single" w:sz="8" w:color="BFBFBF"/>
              <w:bottom w:val="single" w:sz="8" w:color="BFBFBF"/>
              <w:right w:val="single" w:sz="8" w:color="BFBFBF"/>
            </w:tcBorders>
          </w:tcPr>
          <w:p>
            <w:pPr>
              <w:ind w:left="280"/>
              <w:spacing w:after="0" w:line="196" w:lineRule="exact"/>
              <w:rPr>
                <w:sz w:val="20"/>
                <w:szCs w:val="20"/>
                <w:color w:val="auto"/>
              </w:rPr>
            </w:pPr>
            <w:r>
              <w:rPr>
                <w:rFonts w:ascii="Arial" w:cs="Arial" w:eastAsia="Arial" w:hAnsi="Arial"/>
                <w:sz w:val="18"/>
                <w:szCs w:val="18"/>
                <w:color w:val="auto"/>
              </w:rPr>
              <w:t>Executive Vice President, Global Technology Solutions</w:t>
            </w:r>
          </w:p>
        </w:tc>
        <w:tc>
          <w:tcPr>
            <w:tcW w:w="200" w:type="dxa"/>
            <w:vAlign w:val="bottom"/>
            <w:tcBorders>
              <w:bottom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1100" w:type="dxa"/>
            <w:vAlign w:val="bottom"/>
            <w:tcBorders>
              <w:bottom w:val="single" w:sz="8" w:color="BFBFBF"/>
            </w:tcBorders>
          </w:tcPr>
          <w:p>
            <w:pPr>
              <w:spacing w:after="0"/>
              <w:rPr>
                <w:sz w:val="17"/>
                <w:szCs w:val="17"/>
                <w:color w:val="auto"/>
              </w:rPr>
            </w:pPr>
          </w:p>
        </w:tc>
        <w:tc>
          <w:tcPr>
            <w:tcW w:w="360" w:type="dxa"/>
            <w:vAlign w:val="bottom"/>
            <w:tcBorders>
              <w:bottom w:val="single" w:sz="8" w:color="BFBFBF"/>
              <w:right w:val="single" w:sz="8" w:color="BFBFBF"/>
            </w:tcBorders>
          </w:tcPr>
          <w:p>
            <w:pPr>
              <w:spacing w:after="0"/>
              <w:rPr>
                <w:sz w:val="17"/>
                <w:szCs w:val="17"/>
                <w:color w:val="auto"/>
              </w:rPr>
            </w:pPr>
          </w:p>
        </w:tc>
        <w:tc>
          <w:tcPr>
            <w:tcW w:w="18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040" w:type="dxa"/>
            <w:vAlign w:val="bottom"/>
            <w:tcBorders>
              <w:bottom w:val="single" w:sz="8" w:color="BFBFBF"/>
            </w:tcBorders>
          </w:tcPr>
          <w:p>
            <w:pPr>
              <w:spacing w:after="0"/>
              <w:rPr>
                <w:sz w:val="17"/>
                <w:szCs w:val="17"/>
                <w:color w:val="auto"/>
              </w:rPr>
            </w:pPr>
          </w:p>
        </w:tc>
        <w:tc>
          <w:tcPr>
            <w:tcW w:w="360" w:type="dxa"/>
            <w:vAlign w:val="bottom"/>
            <w:tcBorders>
              <w:bottom w:val="single" w:sz="8" w:color="BFBFBF"/>
              <w:right w:val="single" w:sz="8" w:color="BFBFBF"/>
            </w:tcBorders>
          </w:tcPr>
          <w:p>
            <w:pPr>
              <w:spacing w:after="0"/>
              <w:rPr>
                <w:sz w:val="17"/>
                <w:szCs w:val="17"/>
                <w:color w:val="auto"/>
              </w:rPr>
            </w:pPr>
          </w:p>
        </w:tc>
        <w:tc>
          <w:tcPr>
            <w:tcW w:w="260" w:type="dxa"/>
            <w:vAlign w:val="bottom"/>
            <w:tcBorders>
              <w:bottom w:val="single" w:sz="8" w:color="BFBFBF"/>
            </w:tcBorders>
          </w:tcPr>
          <w:p>
            <w:pPr>
              <w:spacing w:after="0"/>
              <w:rPr>
                <w:sz w:val="17"/>
                <w:szCs w:val="17"/>
                <w:color w:val="auto"/>
              </w:rPr>
            </w:pPr>
          </w:p>
        </w:tc>
        <w:tc>
          <w:tcPr>
            <w:tcW w:w="1600" w:type="dxa"/>
            <w:vAlign w:val="bottom"/>
            <w:tcBorders>
              <w:bottom w:val="single" w:sz="8" w:color="BFBFBF"/>
            </w:tcBorders>
          </w:tcPr>
          <w:p>
            <w:pPr>
              <w:spacing w:after="0"/>
              <w:rPr>
                <w:sz w:val="17"/>
                <w:szCs w:val="17"/>
                <w:color w:val="auto"/>
              </w:rPr>
            </w:pPr>
          </w:p>
        </w:tc>
        <w:tc>
          <w:tcPr>
            <w:tcW w:w="360" w:type="dxa"/>
            <w:vAlign w:val="bottom"/>
            <w:tcBorders>
              <w:bottom w:val="single" w:sz="8" w:color="BFBFBF"/>
              <w:right w:val="single" w:sz="8" w:color="BFBFBF"/>
            </w:tcBorders>
          </w:tcPr>
          <w:p>
            <w:pPr>
              <w:spacing w:after="0"/>
              <w:rPr>
                <w:sz w:val="17"/>
                <w:szCs w:val="17"/>
                <w:color w:val="auto"/>
              </w:rPr>
            </w:pPr>
          </w:p>
        </w:tc>
      </w:tr>
      <w:tr>
        <w:trPr>
          <w:trHeight w:val="196"/>
        </w:trPr>
        <w:tc>
          <w:tcPr>
            <w:tcW w:w="5500" w:type="dxa"/>
            <w:vAlign w:val="bottom"/>
            <w:tcBorders>
              <w:left w:val="single" w:sz="8" w:color="BFBFBF"/>
              <w:bottom w:val="single" w:sz="8" w:color="BFBFBF"/>
              <w:right w:val="single" w:sz="8" w:color="BFBFBF"/>
            </w:tcBorders>
            <w:shd w:val="clear" w:color="auto" w:fill="DDEFF3"/>
          </w:tcPr>
          <w:p>
            <w:pPr>
              <w:ind w:left="120"/>
              <w:spacing w:after="0" w:line="196" w:lineRule="exact"/>
              <w:rPr>
                <w:sz w:val="20"/>
                <w:szCs w:val="20"/>
                <w:color w:val="auto"/>
              </w:rPr>
            </w:pPr>
            <w:r>
              <w:rPr>
                <w:rFonts w:ascii="Arial" w:cs="Arial" w:eastAsia="Arial" w:hAnsi="Arial"/>
                <w:sz w:val="18"/>
                <w:szCs w:val="18"/>
                <w:color w:val="auto"/>
              </w:rPr>
              <w:t>Hans-Ole Jochumsen</w:t>
            </w:r>
          </w:p>
        </w:tc>
        <w:tc>
          <w:tcPr>
            <w:tcW w:w="340" w:type="dxa"/>
            <w:vAlign w:val="bottom"/>
            <w:tcBorders>
              <w:bottom w:val="single" w:sz="8" w:color="BFBFBF"/>
            </w:tcBorders>
            <w:gridSpan w:val="2"/>
            <w:shd w:val="clear" w:color="auto" w:fill="DDEFF3"/>
          </w:tcPr>
          <w:p>
            <w:pPr>
              <w:ind w:left="20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shd w:val="clear" w:color="auto" w:fill="DDEFF3"/>
          </w:tcPr>
          <w:p>
            <w:pPr>
              <w:jc w:val="right"/>
              <w:spacing w:after="0" w:line="196" w:lineRule="exact"/>
              <w:rPr>
                <w:sz w:val="20"/>
                <w:szCs w:val="20"/>
                <w:color w:val="auto"/>
              </w:rPr>
            </w:pPr>
            <w:r>
              <w:rPr>
                <w:rFonts w:ascii="Arial" w:cs="Arial" w:eastAsia="Arial" w:hAnsi="Arial"/>
                <w:sz w:val="18"/>
                <w:szCs w:val="18"/>
                <w:color w:val="auto"/>
              </w:rPr>
              <w:t>1,385,995</w:t>
            </w:r>
          </w:p>
        </w:tc>
        <w:tc>
          <w:tcPr>
            <w:tcW w:w="360" w:type="dxa"/>
            <w:vAlign w:val="bottom"/>
            <w:tcBorders>
              <w:bottom w:val="single" w:sz="8" w:color="BFBFBF"/>
              <w:right w:val="single" w:sz="8" w:color="BFBFBF"/>
            </w:tcBorders>
            <w:shd w:val="clear" w:color="auto" w:fill="DDEFF3"/>
          </w:tcPr>
          <w:p>
            <w:pPr>
              <w:spacing w:after="0"/>
              <w:rPr>
                <w:sz w:val="17"/>
                <w:szCs w:val="17"/>
                <w:color w:val="auto"/>
              </w:rPr>
            </w:pPr>
          </w:p>
        </w:tc>
        <w:tc>
          <w:tcPr>
            <w:tcW w:w="180" w:type="dxa"/>
            <w:vAlign w:val="bottom"/>
            <w:tcBorders>
              <w:bottom w:val="single" w:sz="8" w:color="BFBFBF"/>
            </w:tcBorders>
            <w:shd w:val="clear" w:color="auto" w:fill="DDEFF3"/>
          </w:tcPr>
          <w:p>
            <w:pPr>
              <w:spacing w:after="0"/>
              <w:rPr>
                <w:sz w:val="17"/>
                <w:szCs w:val="17"/>
                <w:color w:val="auto"/>
              </w:rPr>
            </w:pPr>
          </w:p>
        </w:tc>
        <w:tc>
          <w:tcPr>
            <w:tcW w:w="340" w:type="dxa"/>
            <w:vAlign w:val="bottom"/>
            <w:tcBorders>
              <w:bottom w:val="single" w:sz="8" w:color="BFBFBF"/>
            </w:tcBorders>
            <w:shd w:val="clear" w:color="auto" w:fill="DDEFF3"/>
          </w:tcPr>
          <w:p>
            <w:pPr>
              <w:ind w:left="2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BFBFBF"/>
              <w:right w:val="single" w:sz="8" w:color="BFBFBF"/>
            </w:tcBorders>
            <w:gridSpan w:val="2"/>
            <w:shd w:val="clear" w:color="auto" w:fill="DDEFF3"/>
          </w:tcPr>
          <w:p>
            <w:pPr>
              <w:ind w:left="260"/>
              <w:spacing w:after="0" w:line="196" w:lineRule="exact"/>
              <w:rPr>
                <w:sz w:val="20"/>
                <w:szCs w:val="20"/>
                <w:color w:val="auto"/>
              </w:rPr>
            </w:pPr>
            <w:r>
              <w:rPr>
                <w:rFonts w:ascii="Arial" w:cs="Arial" w:eastAsia="Arial" w:hAnsi="Arial"/>
                <w:sz w:val="18"/>
                <w:szCs w:val="18"/>
                <w:color w:val="auto"/>
              </w:rPr>
              <w:t>1,376,543</w:t>
            </w:r>
          </w:p>
        </w:tc>
        <w:tc>
          <w:tcPr>
            <w:tcW w:w="260" w:type="dxa"/>
            <w:vAlign w:val="bottom"/>
            <w:tcBorders>
              <w:bottom w:val="single" w:sz="8" w:color="BFBFBF"/>
            </w:tcBorders>
            <w:shd w:val="clear" w:color="auto" w:fill="DDEFF3"/>
          </w:tcPr>
          <w:p>
            <w:pPr>
              <w:spacing w:after="0"/>
              <w:rPr>
                <w:sz w:val="17"/>
                <w:szCs w:val="17"/>
                <w:color w:val="auto"/>
              </w:rPr>
            </w:pPr>
          </w:p>
        </w:tc>
        <w:tc>
          <w:tcPr>
            <w:tcW w:w="1960" w:type="dxa"/>
            <w:vAlign w:val="bottom"/>
            <w:tcBorders>
              <w:bottom w:val="single" w:sz="8" w:color="BFBFBF"/>
              <w:right w:val="single" w:sz="8" w:color="BFBFBF"/>
            </w:tcBorders>
            <w:gridSpan w:val="2"/>
            <w:shd w:val="clear" w:color="auto" w:fill="DDEFF3"/>
          </w:tcPr>
          <w:p>
            <w:pPr>
              <w:jc w:val="right"/>
              <w:ind w:right="120"/>
              <w:spacing w:after="0" w:line="196" w:lineRule="exact"/>
              <w:rPr>
                <w:sz w:val="20"/>
                <w:szCs w:val="20"/>
                <w:color w:val="auto"/>
              </w:rPr>
            </w:pPr>
            <w:r>
              <w:rPr>
                <w:rFonts w:ascii="Arial" w:cs="Arial" w:eastAsia="Arial" w:hAnsi="Arial"/>
                <w:sz w:val="18"/>
                <w:szCs w:val="18"/>
                <w:color w:val="auto"/>
              </w:rPr>
              <w:t>1%</w:t>
            </w:r>
          </w:p>
        </w:tc>
      </w:tr>
      <w:tr>
        <w:trPr>
          <w:trHeight w:val="196"/>
        </w:trPr>
        <w:tc>
          <w:tcPr>
            <w:tcW w:w="5500" w:type="dxa"/>
            <w:vAlign w:val="bottom"/>
            <w:tcBorders>
              <w:left w:val="single" w:sz="8" w:color="BFBFBF"/>
              <w:bottom w:val="single" w:sz="8" w:color="BFBFBF"/>
              <w:right w:val="single" w:sz="8" w:color="BFBFBF"/>
            </w:tcBorders>
            <w:shd w:val="clear" w:color="auto" w:fill="DDEFF3"/>
          </w:tcPr>
          <w:p>
            <w:pPr>
              <w:ind w:left="280"/>
              <w:spacing w:after="0" w:line="196" w:lineRule="exact"/>
              <w:rPr>
                <w:sz w:val="20"/>
                <w:szCs w:val="20"/>
                <w:color w:val="auto"/>
              </w:rPr>
            </w:pPr>
            <w:r>
              <w:rPr>
                <w:rFonts w:ascii="Arial" w:cs="Arial" w:eastAsia="Arial" w:hAnsi="Arial"/>
                <w:sz w:val="18"/>
                <w:szCs w:val="18"/>
                <w:color w:val="auto"/>
              </w:rPr>
              <w:t>Executive Vice President, Transaction Services Nordic</w:t>
            </w:r>
          </w:p>
        </w:tc>
        <w:tc>
          <w:tcPr>
            <w:tcW w:w="200" w:type="dxa"/>
            <w:vAlign w:val="bottom"/>
            <w:tcBorders>
              <w:bottom w:val="single" w:sz="8" w:color="BFBFBF"/>
            </w:tcBorders>
            <w:shd w:val="clear" w:color="auto" w:fill="DDEFF3"/>
          </w:tcPr>
          <w:p>
            <w:pPr>
              <w:spacing w:after="0"/>
              <w:rPr>
                <w:sz w:val="17"/>
                <w:szCs w:val="17"/>
                <w:color w:val="auto"/>
              </w:rPr>
            </w:pPr>
          </w:p>
        </w:tc>
        <w:tc>
          <w:tcPr>
            <w:tcW w:w="140" w:type="dxa"/>
            <w:vAlign w:val="bottom"/>
            <w:tcBorders>
              <w:bottom w:val="single" w:sz="8" w:color="BFBFBF"/>
            </w:tcBorders>
            <w:shd w:val="clear" w:color="auto" w:fill="DDEFF3"/>
          </w:tcPr>
          <w:p>
            <w:pPr>
              <w:spacing w:after="0"/>
              <w:rPr>
                <w:sz w:val="17"/>
                <w:szCs w:val="17"/>
                <w:color w:val="auto"/>
              </w:rPr>
            </w:pPr>
          </w:p>
        </w:tc>
        <w:tc>
          <w:tcPr>
            <w:tcW w:w="1100" w:type="dxa"/>
            <w:vAlign w:val="bottom"/>
            <w:tcBorders>
              <w:bottom w:val="single" w:sz="8" w:color="BFBFBF"/>
            </w:tcBorders>
            <w:shd w:val="clear" w:color="auto" w:fill="DDEFF3"/>
          </w:tcPr>
          <w:p>
            <w:pPr>
              <w:spacing w:after="0"/>
              <w:rPr>
                <w:sz w:val="17"/>
                <w:szCs w:val="17"/>
                <w:color w:val="auto"/>
              </w:rPr>
            </w:pPr>
          </w:p>
        </w:tc>
        <w:tc>
          <w:tcPr>
            <w:tcW w:w="360" w:type="dxa"/>
            <w:vAlign w:val="bottom"/>
            <w:tcBorders>
              <w:bottom w:val="single" w:sz="8" w:color="BFBFBF"/>
              <w:right w:val="single" w:sz="8" w:color="BFBFBF"/>
            </w:tcBorders>
            <w:shd w:val="clear" w:color="auto" w:fill="DDEFF3"/>
          </w:tcPr>
          <w:p>
            <w:pPr>
              <w:spacing w:after="0"/>
              <w:rPr>
                <w:sz w:val="17"/>
                <w:szCs w:val="17"/>
                <w:color w:val="auto"/>
              </w:rPr>
            </w:pPr>
          </w:p>
        </w:tc>
        <w:tc>
          <w:tcPr>
            <w:tcW w:w="180" w:type="dxa"/>
            <w:vAlign w:val="bottom"/>
            <w:tcBorders>
              <w:bottom w:val="single" w:sz="8" w:color="BFBFBF"/>
            </w:tcBorders>
            <w:shd w:val="clear" w:color="auto" w:fill="DDEFF3"/>
          </w:tcPr>
          <w:p>
            <w:pPr>
              <w:spacing w:after="0"/>
              <w:rPr>
                <w:sz w:val="17"/>
                <w:szCs w:val="17"/>
                <w:color w:val="auto"/>
              </w:rPr>
            </w:pPr>
          </w:p>
        </w:tc>
        <w:tc>
          <w:tcPr>
            <w:tcW w:w="340" w:type="dxa"/>
            <w:vAlign w:val="bottom"/>
            <w:tcBorders>
              <w:bottom w:val="single" w:sz="8" w:color="BFBFBF"/>
            </w:tcBorders>
            <w:shd w:val="clear" w:color="auto" w:fill="DDEFF3"/>
          </w:tcPr>
          <w:p>
            <w:pPr>
              <w:spacing w:after="0"/>
              <w:rPr>
                <w:sz w:val="17"/>
                <w:szCs w:val="17"/>
                <w:color w:val="auto"/>
              </w:rPr>
            </w:pPr>
          </w:p>
        </w:tc>
        <w:tc>
          <w:tcPr>
            <w:tcW w:w="1040" w:type="dxa"/>
            <w:vAlign w:val="bottom"/>
            <w:tcBorders>
              <w:bottom w:val="single" w:sz="8" w:color="BFBFBF"/>
            </w:tcBorders>
            <w:shd w:val="clear" w:color="auto" w:fill="DDEFF3"/>
          </w:tcPr>
          <w:p>
            <w:pPr>
              <w:spacing w:after="0"/>
              <w:rPr>
                <w:sz w:val="17"/>
                <w:szCs w:val="17"/>
                <w:color w:val="auto"/>
              </w:rPr>
            </w:pPr>
          </w:p>
        </w:tc>
        <w:tc>
          <w:tcPr>
            <w:tcW w:w="360" w:type="dxa"/>
            <w:vAlign w:val="bottom"/>
            <w:tcBorders>
              <w:bottom w:val="single" w:sz="8" w:color="BFBFBF"/>
              <w:right w:val="single" w:sz="8" w:color="BFBFBF"/>
            </w:tcBorders>
            <w:shd w:val="clear" w:color="auto" w:fill="DDEFF3"/>
          </w:tcPr>
          <w:p>
            <w:pPr>
              <w:spacing w:after="0"/>
              <w:rPr>
                <w:sz w:val="17"/>
                <w:szCs w:val="17"/>
                <w:color w:val="auto"/>
              </w:rPr>
            </w:pPr>
          </w:p>
        </w:tc>
        <w:tc>
          <w:tcPr>
            <w:tcW w:w="260" w:type="dxa"/>
            <w:vAlign w:val="bottom"/>
            <w:tcBorders>
              <w:bottom w:val="single" w:sz="8" w:color="BFBFBF"/>
            </w:tcBorders>
            <w:shd w:val="clear" w:color="auto" w:fill="DDEFF3"/>
          </w:tcPr>
          <w:p>
            <w:pPr>
              <w:spacing w:after="0"/>
              <w:rPr>
                <w:sz w:val="17"/>
                <w:szCs w:val="17"/>
                <w:color w:val="auto"/>
              </w:rPr>
            </w:pPr>
          </w:p>
        </w:tc>
        <w:tc>
          <w:tcPr>
            <w:tcW w:w="1600" w:type="dxa"/>
            <w:vAlign w:val="bottom"/>
            <w:tcBorders>
              <w:bottom w:val="single" w:sz="8" w:color="BFBFBF"/>
            </w:tcBorders>
            <w:shd w:val="clear" w:color="auto" w:fill="DDEFF3"/>
          </w:tcPr>
          <w:p>
            <w:pPr>
              <w:spacing w:after="0"/>
              <w:rPr>
                <w:sz w:val="17"/>
                <w:szCs w:val="17"/>
                <w:color w:val="auto"/>
              </w:rPr>
            </w:pPr>
          </w:p>
        </w:tc>
        <w:tc>
          <w:tcPr>
            <w:tcW w:w="360" w:type="dxa"/>
            <w:vAlign w:val="bottom"/>
            <w:tcBorders>
              <w:bottom w:val="single" w:sz="8" w:color="BFBFBF"/>
              <w:right w:val="single" w:sz="8" w:color="BFBFBF"/>
            </w:tcBorders>
            <w:shd w:val="clear" w:color="auto" w:fill="DDEFF3"/>
          </w:tcPr>
          <w:p>
            <w:pPr>
              <w:spacing w:after="0"/>
              <w:rPr>
                <w:sz w:val="17"/>
                <w:szCs w:val="17"/>
                <w:color w:val="auto"/>
              </w:rPr>
            </w:pPr>
          </w:p>
        </w:tc>
      </w:tr>
      <w:tr>
        <w:trPr>
          <w:trHeight w:val="196"/>
        </w:trPr>
        <w:tc>
          <w:tcPr>
            <w:tcW w:w="550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Eric W. Noll</w:t>
            </w:r>
          </w:p>
        </w:tc>
        <w:tc>
          <w:tcPr>
            <w:tcW w:w="340" w:type="dxa"/>
            <w:vAlign w:val="bottom"/>
            <w:tcBorders>
              <w:bottom w:val="single" w:sz="8" w:color="BFBFBF"/>
            </w:tcBorders>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1,188,500</w:t>
            </w:r>
          </w:p>
        </w:tc>
        <w:tc>
          <w:tcPr>
            <w:tcW w:w="360" w:type="dxa"/>
            <w:vAlign w:val="bottom"/>
            <w:tcBorders>
              <w:bottom w:val="single" w:sz="8" w:color="BFBFBF"/>
              <w:right w:val="single" w:sz="8" w:color="BFBFBF"/>
            </w:tcBorders>
          </w:tcPr>
          <w:p>
            <w:pPr>
              <w:spacing w:after="0"/>
              <w:rPr>
                <w:sz w:val="17"/>
                <w:szCs w:val="17"/>
                <w:color w:val="auto"/>
              </w:rPr>
            </w:pPr>
          </w:p>
        </w:tc>
        <w:tc>
          <w:tcPr>
            <w:tcW w:w="18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ind w:left="2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BFBFBF"/>
              <w:right w:val="single" w:sz="8" w:color="BFBFBF"/>
            </w:tcBorders>
            <w:gridSpan w:val="2"/>
          </w:tcPr>
          <w:p>
            <w:pPr>
              <w:ind w:left="260"/>
              <w:spacing w:after="0" w:line="196" w:lineRule="exact"/>
              <w:rPr>
                <w:sz w:val="20"/>
                <w:szCs w:val="20"/>
                <w:color w:val="auto"/>
              </w:rPr>
            </w:pPr>
            <w:r>
              <w:rPr>
                <w:rFonts w:ascii="Arial" w:cs="Arial" w:eastAsia="Arial" w:hAnsi="Arial"/>
                <w:sz w:val="18"/>
                <w:szCs w:val="18"/>
                <w:color w:val="auto"/>
              </w:rPr>
              <w:t>1,800,000</w:t>
            </w:r>
          </w:p>
        </w:tc>
        <w:tc>
          <w:tcPr>
            <w:tcW w:w="260" w:type="dxa"/>
            <w:vAlign w:val="bottom"/>
            <w:tcBorders>
              <w:bottom w:val="single" w:sz="8" w:color="BFBFBF"/>
            </w:tcBorders>
          </w:tcPr>
          <w:p>
            <w:pPr>
              <w:spacing w:after="0"/>
              <w:rPr>
                <w:sz w:val="17"/>
                <w:szCs w:val="17"/>
                <w:color w:val="auto"/>
              </w:rPr>
            </w:pPr>
          </w:p>
        </w:tc>
        <w:tc>
          <w:tcPr>
            <w:tcW w:w="1960" w:type="dxa"/>
            <w:vAlign w:val="bottom"/>
            <w:tcBorders>
              <w:bottom w:val="single" w:sz="8" w:color="BFBFBF"/>
              <w:right w:val="single" w:sz="8" w:color="BFBFBF"/>
            </w:tcBorders>
            <w:gridSpan w:val="2"/>
          </w:tcPr>
          <w:p>
            <w:pPr>
              <w:jc w:val="right"/>
              <w:ind w:right="120"/>
              <w:spacing w:after="0" w:line="196" w:lineRule="exact"/>
              <w:rPr>
                <w:sz w:val="20"/>
                <w:szCs w:val="20"/>
                <w:color w:val="auto"/>
              </w:rPr>
            </w:pPr>
            <w:r>
              <w:rPr>
                <w:rFonts w:ascii="Arial" w:cs="Arial" w:eastAsia="Arial" w:hAnsi="Arial"/>
                <w:sz w:val="18"/>
                <w:szCs w:val="18"/>
                <w:color w:val="auto"/>
              </w:rPr>
              <w:t>(34)%</w:t>
            </w:r>
          </w:p>
        </w:tc>
      </w:tr>
      <w:tr>
        <w:trPr>
          <w:trHeight w:val="196"/>
        </w:trPr>
        <w:tc>
          <w:tcPr>
            <w:tcW w:w="5500" w:type="dxa"/>
            <w:vAlign w:val="bottom"/>
            <w:tcBorders>
              <w:left w:val="single" w:sz="8" w:color="BFBFBF"/>
              <w:bottom w:val="single" w:sz="8" w:color="BFBFBF"/>
              <w:right w:val="single" w:sz="8" w:color="BFBFBF"/>
            </w:tcBorders>
          </w:tcPr>
          <w:p>
            <w:pPr>
              <w:ind w:left="280"/>
              <w:spacing w:after="0" w:line="196" w:lineRule="exact"/>
              <w:rPr>
                <w:sz w:val="20"/>
                <w:szCs w:val="20"/>
                <w:color w:val="auto"/>
              </w:rPr>
            </w:pPr>
            <w:r>
              <w:rPr>
                <w:rFonts w:ascii="Arial" w:cs="Arial" w:eastAsia="Arial" w:hAnsi="Arial"/>
                <w:sz w:val="18"/>
                <w:szCs w:val="18"/>
                <w:color w:val="auto"/>
              </w:rPr>
              <w:t>Executive Vice President, Transaction Services U.S. and U.K.</w:t>
            </w:r>
          </w:p>
        </w:tc>
        <w:tc>
          <w:tcPr>
            <w:tcW w:w="200" w:type="dxa"/>
            <w:vAlign w:val="bottom"/>
            <w:tcBorders>
              <w:bottom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1100" w:type="dxa"/>
            <w:vAlign w:val="bottom"/>
            <w:tcBorders>
              <w:bottom w:val="single" w:sz="8" w:color="BFBFBF"/>
            </w:tcBorders>
          </w:tcPr>
          <w:p>
            <w:pPr>
              <w:spacing w:after="0"/>
              <w:rPr>
                <w:sz w:val="17"/>
                <w:szCs w:val="17"/>
                <w:color w:val="auto"/>
              </w:rPr>
            </w:pPr>
          </w:p>
        </w:tc>
        <w:tc>
          <w:tcPr>
            <w:tcW w:w="360" w:type="dxa"/>
            <w:vAlign w:val="bottom"/>
            <w:tcBorders>
              <w:bottom w:val="single" w:sz="8" w:color="BFBFBF"/>
              <w:right w:val="single" w:sz="8" w:color="BFBFBF"/>
            </w:tcBorders>
          </w:tcPr>
          <w:p>
            <w:pPr>
              <w:spacing w:after="0"/>
              <w:rPr>
                <w:sz w:val="17"/>
                <w:szCs w:val="17"/>
                <w:color w:val="auto"/>
              </w:rPr>
            </w:pPr>
          </w:p>
        </w:tc>
        <w:tc>
          <w:tcPr>
            <w:tcW w:w="18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040" w:type="dxa"/>
            <w:vAlign w:val="bottom"/>
            <w:tcBorders>
              <w:bottom w:val="single" w:sz="8" w:color="BFBFBF"/>
            </w:tcBorders>
          </w:tcPr>
          <w:p>
            <w:pPr>
              <w:spacing w:after="0"/>
              <w:rPr>
                <w:sz w:val="17"/>
                <w:szCs w:val="17"/>
                <w:color w:val="auto"/>
              </w:rPr>
            </w:pPr>
          </w:p>
        </w:tc>
        <w:tc>
          <w:tcPr>
            <w:tcW w:w="360" w:type="dxa"/>
            <w:vAlign w:val="bottom"/>
            <w:tcBorders>
              <w:bottom w:val="single" w:sz="8" w:color="BFBFBF"/>
              <w:right w:val="single" w:sz="8" w:color="BFBFBF"/>
            </w:tcBorders>
          </w:tcPr>
          <w:p>
            <w:pPr>
              <w:spacing w:after="0"/>
              <w:rPr>
                <w:sz w:val="17"/>
                <w:szCs w:val="17"/>
                <w:color w:val="auto"/>
              </w:rPr>
            </w:pPr>
          </w:p>
        </w:tc>
        <w:tc>
          <w:tcPr>
            <w:tcW w:w="260" w:type="dxa"/>
            <w:vAlign w:val="bottom"/>
            <w:tcBorders>
              <w:bottom w:val="single" w:sz="8" w:color="BFBFBF"/>
            </w:tcBorders>
          </w:tcPr>
          <w:p>
            <w:pPr>
              <w:spacing w:after="0"/>
              <w:rPr>
                <w:sz w:val="17"/>
                <w:szCs w:val="17"/>
                <w:color w:val="auto"/>
              </w:rPr>
            </w:pPr>
          </w:p>
        </w:tc>
        <w:tc>
          <w:tcPr>
            <w:tcW w:w="1600" w:type="dxa"/>
            <w:vAlign w:val="bottom"/>
            <w:tcBorders>
              <w:bottom w:val="single" w:sz="8" w:color="BFBFBF"/>
            </w:tcBorders>
          </w:tcPr>
          <w:p>
            <w:pPr>
              <w:spacing w:after="0"/>
              <w:rPr>
                <w:sz w:val="17"/>
                <w:szCs w:val="17"/>
                <w:color w:val="auto"/>
              </w:rPr>
            </w:pPr>
          </w:p>
        </w:tc>
        <w:tc>
          <w:tcPr>
            <w:tcW w:w="360" w:type="dxa"/>
            <w:vAlign w:val="bottom"/>
            <w:tcBorders>
              <w:bottom w:val="single" w:sz="8" w:color="BFBFBF"/>
              <w:right w:val="single" w:sz="8" w:color="BFBFBF"/>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-1525905</wp:posOffset>
            </wp:positionV>
            <wp:extent cx="889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-1525905</wp:posOffset>
            </wp:positionV>
            <wp:extent cx="889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32" w:lineRule="exact"/>
        <w:rPr>
          <w:sz w:val="20"/>
          <w:szCs w:val="20"/>
          <w:color w:val="auto"/>
        </w:rPr>
      </w:pPr>
    </w:p>
    <w:p>
      <w:pPr>
        <w:ind w:left="340" w:right="500" w:hanging="332"/>
        <w:spacing w:after="0" w:line="23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Shavel began employment at NASDAQ OMX effective May 23, 2011. For comparison purposes, his 2011 total cash compensation is calculated on an annualized basis.</w:t>
      </w:r>
    </w:p>
    <w:p>
      <w:pPr>
        <w:spacing w:after="0" w:line="141" w:lineRule="exact"/>
        <w:rPr>
          <w:sz w:val="20"/>
          <w:szCs w:val="20"/>
          <w:color w:val="auto"/>
        </w:rPr>
      </w:pPr>
    </w:p>
    <w:p>
      <w:pPr>
        <w:ind w:left="8420"/>
        <w:spacing w:after="0"/>
        <w:tabs>
          <w:tab w:leader="none" w:pos="113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3</w:t>
      </w:r>
    </w:p>
    <w:p>
      <w:pPr>
        <w:sectPr>
          <w:pgSz w:w="11900" w:h="16838" w:orient="portrait"/>
          <w:cols w:equalWidth="0" w:num="1">
            <w:col w:w="11440"/>
          </w:cols>
          <w:pgMar w:left="240" w:top="459" w:right="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AND CORPORATE GOVERNANCE BEST PRACTICES</w:t>
      </w:r>
    </w:p>
    <w:p>
      <w:pPr>
        <w:spacing w:after="0" w:line="13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regularly engage with our stockholders to discuss executive compensation, corporate governance and other issues. As detailed further in this proxy statement, the following executive compensation and corporate governance best practices are key aspects of our programs.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5060" w:type="dxa"/>
            <w:vAlign w:val="bottom"/>
            <w:tcBorders>
              <w:left w:val="single" w:sz="8" w:color="BFBFBF"/>
              <w:bottom w:val="single" w:sz="8" w:color="auto"/>
              <w:right w:val="single" w:sz="8" w:color="BFBFBF"/>
            </w:tcBorders>
            <w:shd w:val="clear" w:color="auto" w:fill="0088A6"/>
          </w:tcPr>
          <w:p>
            <w:pPr>
              <w:ind w:left="120"/>
              <w:spacing w:after="0"/>
              <w:rPr>
                <w:sz w:val="20"/>
                <w:szCs w:val="20"/>
                <w:color w:val="auto"/>
              </w:rPr>
            </w:pPr>
            <w:r>
              <w:rPr>
                <w:rFonts w:ascii="Arial" w:cs="Arial" w:eastAsia="Arial" w:hAnsi="Arial"/>
                <w:sz w:val="14"/>
                <w:szCs w:val="14"/>
                <w:b w:val="1"/>
                <w:bCs w:val="1"/>
                <w:color w:val="FFFFFF"/>
              </w:rPr>
              <w:t>Executive Compensation Best Practices</w:t>
            </w:r>
          </w:p>
        </w:tc>
        <w:tc>
          <w:tcPr>
            <w:tcW w:w="320" w:type="dxa"/>
            <w:vAlign w:val="bottom"/>
            <w:tcBorders>
              <w:bottom w:val="single" w:sz="8" w:color="0088A6"/>
            </w:tcBorders>
            <w:shd w:val="clear" w:color="auto" w:fill="0088A6"/>
          </w:tcPr>
          <w:p>
            <w:pPr>
              <w:spacing w:after="0"/>
              <w:rPr>
                <w:sz w:val="18"/>
                <w:szCs w:val="18"/>
                <w:color w:val="auto"/>
              </w:rPr>
            </w:pPr>
          </w:p>
        </w:tc>
        <w:tc>
          <w:tcPr>
            <w:tcW w:w="6060" w:type="dxa"/>
            <w:vAlign w:val="bottom"/>
            <w:tcBorders>
              <w:bottom w:val="single" w:sz="8" w:color="auto"/>
              <w:right w:val="single" w:sz="8" w:color="BFBFBF"/>
            </w:tcBorders>
            <w:shd w:val="clear" w:color="auto" w:fill="0088A6"/>
          </w:tcPr>
          <w:p>
            <w:pPr>
              <w:spacing w:after="0"/>
              <w:rPr>
                <w:sz w:val="20"/>
                <w:szCs w:val="20"/>
                <w:color w:val="auto"/>
              </w:rPr>
            </w:pPr>
            <w:r>
              <w:rPr>
                <w:rFonts w:ascii="Arial" w:cs="Arial" w:eastAsia="Arial" w:hAnsi="Arial"/>
                <w:sz w:val="14"/>
                <w:szCs w:val="14"/>
                <w:b w:val="1"/>
                <w:bCs w:val="1"/>
                <w:color w:val="FFFFFF"/>
              </w:rPr>
              <w:t>Corporate Governance Best Practices</w:t>
            </w:r>
          </w:p>
        </w:tc>
      </w:tr>
      <w:tr>
        <w:trPr>
          <w:trHeight w:val="129"/>
        </w:trPr>
        <w:tc>
          <w:tcPr>
            <w:tcW w:w="5060" w:type="dxa"/>
            <w:vAlign w:val="bottom"/>
            <w:tcBorders>
              <w:top w:val="single" w:sz="8" w:color="0088A6"/>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Pay for Performance Philosophy</w:t>
            </w:r>
          </w:p>
        </w:tc>
        <w:tc>
          <w:tcPr>
            <w:tcW w:w="320" w:type="dxa"/>
            <w:vAlign w:val="bottom"/>
            <w:tcBorders>
              <w:top w:val="single" w:sz="8" w:color="0088A6"/>
              <w:bottom w:val="single" w:sz="8" w:color="BFBFBF"/>
            </w:tcBorders>
          </w:tcPr>
          <w:p>
            <w:pPr>
              <w:spacing w:after="0"/>
              <w:rPr>
                <w:sz w:val="11"/>
                <w:szCs w:val="11"/>
                <w:color w:val="auto"/>
              </w:rPr>
            </w:pPr>
          </w:p>
        </w:tc>
        <w:tc>
          <w:tcPr>
            <w:tcW w:w="6060" w:type="dxa"/>
            <w:vAlign w:val="bottom"/>
            <w:tcBorders>
              <w:top w:val="single" w:sz="8" w:color="0088A6"/>
              <w:bottom w:val="single" w:sz="8" w:color="BFBFBF"/>
              <w:right w:val="single" w:sz="8" w:color="BFBFBF"/>
            </w:tcBorders>
          </w:tcPr>
          <w:p>
            <w:pPr>
              <w:spacing w:after="0" w:line="129" w:lineRule="exact"/>
              <w:rPr>
                <w:sz w:val="20"/>
                <w:szCs w:val="20"/>
                <w:color w:val="auto"/>
              </w:rPr>
            </w:pPr>
            <w:r>
              <w:rPr>
                <w:rFonts w:ascii="Arial" w:cs="Arial" w:eastAsia="Arial" w:hAnsi="Arial"/>
                <w:sz w:val="14"/>
                <w:szCs w:val="14"/>
                <w:color w:val="auto"/>
              </w:rPr>
              <w:t>Majority Voting for Directors in Uncontested Elections</w:t>
            </w:r>
          </w:p>
        </w:tc>
      </w:tr>
      <w:tr>
        <w:trPr>
          <w:trHeight w:val="142"/>
        </w:trPr>
        <w:tc>
          <w:tcPr>
            <w:tcW w:w="506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Prohibition on Hedging and Pledging</w:t>
            </w:r>
          </w:p>
        </w:tc>
        <w:tc>
          <w:tcPr>
            <w:tcW w:w="320" w:type="dxa"/>
            <w:vAlign w:val="bottom"/>
            <w:tcBorders>
              <w:bottom w:val="single" w:sz="8" w:color="BFBFBF"/>
            </w:tcBorders>
            <w:shd w:val="clear" w:color="auto" w:fill="DDEFF3"/>
          </w:tcPr>
          <w:p>
            <w:pPr>
              <w:spacing w:after="0"/>
              <w:rPr>
                <w:sz w:val="12"/>
                <w:szCs w:val="12"/>
                <w:color w:val="auto"/>
              </w:rPr>
            </w:pPr>
          </w:p>
        </w:tc>
        <w:tc>
          <w:tcPr>
            <w:tcW w:w="6060" w:type="dxa"/>
            <w:vAlign w:val="bottom"/>
            <w:tcBorders>
              <w:bottom w:val="single" w:sz="8" w:color="BFBFBF"/>
              <w:right w:val="single" w:sz="8" w:color="BFBFBF"/>
            </w:tcBorders>
            <w:shd w:val="clear" w:color="auto" w:fill="DDEFF3"/>
          </w:tcPr>
          <w:p>
            <w:pPr>
              <w:spacing w:after="0" w:line="142" w:lineRule="exact"/>
              <w:rPr>
                <w:sz w:val="20"/>
                <w:szCs w:val="20"/>
                <w:color w:val="auto"/>
              </w:rPr>
            </w:pPr>
            <w:r>
              <w:rPr>
                <w:rFonts w:ascii="Arial" w:cs="Arial" w:eastAsia="Arial" w:hAnsi="Arial"/>
                <w:sz w:val="14"/>
                <w:szCs w:val="14"/>
                <w:color w:val="auto"/>
              </w:rPr>
              <w:t>Annual Election of Directors</w:t>
            </w:r>
          </w:p>
        </w:tc>
      </w:tr>
      <w:tr>
        <w:trPr>
          <w:trHeight w:val="142"/>
        </w:trPr>
        <w:tc>
          <w:tcPr>
            <w:tcW w:w="506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Stock Ownership Guidelines</w:t>
            </w:r>
          </w:p>
        </w:tc>
        <w:tc>
          <w:tcPr>
            <w:tcW w:w="320" w:type="dxa"/>
            <w:vAlign w:val="bottom"/>
            <w:tcBorders>
              <w:bottom w:val="single" w:sz="8" w:color="BFBFBF"/>
            </w:tcBorders>
          </w:tcPr>
          <w:p>
            <w:pPr>
              <w:spacing w:after="0"/>
              <w:rPr>
                <w:sz w:val="12"/>
                <w:szCs w:val="12"/>
                <w:color w:val="auto"/>
              </w:rPr>
            </w:pPr>
          </w:p>
        </w:tc>
        <w:tc>
          <w:tcPr>
            <w:tcW w:w="6060" w:type="dxa"/>
            <w:vAlign w:val="bottom"/>
            <w:tcBorders>
              <w:bottom w:val="single" w:sz="8" w:color="BFBFBF"/>
              <w:right w:val="single" w:sz="8" w:color="BFBFBF"/>
            </w:tcBorders>
          </w:tcPr>
          <w:p>
            <w:pPr>
              <w:spacing w:after="0" w:line="142" w:lineRule="exact"/>
              <w:rPr>
                <w:sz w:val="20"/>
                <w:szCs w:val="20"/>
                <w:color w:val="auto"/>
              </w:rPr>
            </w:pPr>
            <w:r>
              <w:rPr>
                <w:rFonts w:ascii="Arial" w:cs="Arial" w:eastAsia="Arial" w:hAnsi="Arial"/>
                <w:sz w:val="14"/>
                <w:szCs w:val="14"/>
                <w:color w:val="auto"/>
              </w:rPr>
              <w:t>Separation of Board Chairman and CEO</w:t>
            </w:r>
          </w:p>
        </w:tc>
      </w:tr>
      <w:tr>
        <w:trPr>
          <w:trHeight w:val="142"/>
        </w:trPr>
        <w:tc>
          <w:tcPr>
            <w:tcW w:w="506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Stock Holding Requirement</w:t>
            </w:r>
          </w:p>
        </w:tc>
        <w:tc>
          <w:tcPr>
            <w:tcW w:w="320" w:type="dxa"/>
            <w:vAlign w:val="bottom"/>
            <w:tcBorders>
              <w:bottom w:val="single" w:sz="8" w:color="BFBFBF"/>
            </w:tcBorders>
            <w:shd w:val="clear" w:color="auto" w:fill="DDEFF3"/>
          </w:tcPr>
          <w:p>
            <w:pPr>
              <w:spacing w:after="0"/>
              <w:rPr>
                <w:sz w:val="12"/>
                <w:szCs w:val="12"/>
                <w:color w:val="auto"/>
              </w:rPr>
            </w:pPr>
          </w:p>
        </w:tc>
        <w:tc>
          <w:tcPr>
            <w:tcW w:w="6060" w:type="dxa"/>
            <w:vAlign w:val="bottom"/>
            <w:tcBorders>
              <w:bottom w:val="single" w:sz="8" w:color="BFBFBF"/>
              <w:right w:val="single" w:sz="8" w:color="BFBFBF"/>
            </w:tcBorders>
            <w:shd w:val="clear" w:color="auto" w:fill="DDEFF3"/>
          </w:tcPr>
          <w:p>
            <w:pPr>
              <w:spacing w:after="0" w:line="142" w:lineRule="exact"/>
              <w:rPr>
                <w:sz w:val="20"/>
                <w:szCs w:val="20"/>
                <w:color w:val="auto"/>
              </w:rPr>
            </w:pPr>
            <w:r>
              <w:rPr>
                <w:rFonts w:ascii="Arial" w:cs="Arial" w:eastAsia="Arial" w:hAnsi="Arial"/>
                <w:sz w:val="14"/>
                <w:szCs w:val="14"/>
                <w:color w:val="auto"/>
              </w:rPr>
              <w:t>Majority Independent Board</w:t>
            </w:r>
          </w:p>
        </w:tc>
      </w:tr>
      <w:tr>
        <w:trPr>
          <w:trHeight w:val="142"/>
        </w:trPr>
        <w:tc>
          <w:tcPr>
            <w:tcW w:w="506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Elimination of Share Recycling Provision</w:t>
            </w:r>
          </w:p>
        </w:tc>
        <w:tc>
          <w:tcPr>
            <w:tcW w:w="320" w:type="dxa"/>
            <w:vAlign w:val="bottom"/>
            <w:tcBorders>
              <w:bottom w:val="single" w:sz="8" w:color="BFBFBF"/>
            </w:tcBorders>
          </w:tcPr>
          <w:p>
            <w:pPr>
              <w:spacing w:after="0"/>
              <w:rPr>
                <w:sz w:val="12"/>
                <w:szCs w:val="12"/>
                <w:color w:val="auto"/>
              </w:rPr>
            </w:pPr>
          </w:p>
        </w:tc>
        <w:tc>
          <w:tcPr>
            <w:tcW w:w="6060" w:type="dxa"/>
            <w:vAlign w:val="bottom"/>
            <w:tcBorders>
              <w:bottom w:val="single" w:sz="8" w:color="BFBFBF"/>
              <w:right w:val="single" w:sz="8" w:color="BFBFBF"/>
            </w:tcBorders>
          </w:tcPr>
          <w:p>
            <w:pPr>
              <w:spacing w:after="0" w:line="142" w:lineRule="exact"/>
              <w:rPr>
                <w:sz w:val="20"/>
                <w:szCs w:val="20"/>
                <w:color w:val="auto"/>
              </w:rPr>
            </w:pPr>
            <w:r>
              <w:rPr>
                <w:rFonts w:ascii="Arial" w:cs="Arial" w:eastAsia="Arial" w:hAnsi="Arial"/>
                <w:sz w:val="14"/>
                <w:szCs w:val="14"/>
                <w:color w:val="auto"/>
              </w:rPr>
              <w:t>Three Fully Independent Board Committees</w:t>
            </w:r>
          </w:p>
        </w:tc>
      </w:tr>
      <w:tr>
        <w:trPr>
          <w:trHeight w:val="142"/>
        </w:trPr>
        <w:tc>
          <w:tcPr>
            <w:tcW w:w="506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Frozen Pension Plan and SERP</w:t>
            </w:r>
          </w:p>
        </w:tc>
        <w:tc>
          <w:tcPr>
            <w:tcW w:w="320" w:type="dxa"/>
            <w:vAlign w:val="bottom"/>
            <w:tcBorders>
              <w:bottom w:val="single" w:sz="8" w:color="BFBFBF"/>
            </w:tcBorders>
            <w:shd w:val="clear" w:color="auto" w:fill="DDEFF3"/>
          </w:tcPr>
          <w:p>
            <w:pPr>
              <w:spacing w:after="0"/>
              <w:rPr>
                <w:sz w:val="12"/>
                <w:szCs w:val="12"/>
                <w:color w:val="auto"/>
              </w:rPr>
            </w:pPr>
          </w:p>
        </w:tc>
        <w:tc>
          <w:tcPr>
            <w:tcW w:w="6060" w:type="dxa"/>
            <w:vAlign w:val="bottom"/>
            <w:tcBorders>
              <w:bottom w:val="single" w:sz="8" w:color="BFBFBF"/>
              <w:right w:val="single" w:sz="8" w:color="BFBFBF"/>
            </w:tcBorders>
            <w:shd w:val="clear" w:color="auto" w:fill="DDEFF3"/>
          </w:tcPr>
          <w:p>
            <w:pPr>
              <w:spacing w:after="0" w:line="142" w:lineRule="exact"/>
              <w:rPr>
                <w:sz w:val="20"/>
                <w:szCs w:val="20"/>
                <w:color w:val="auto"/>
              </w:rPr>
            </w:pPr>
            <w:r>
              <w:rPr>
                <w:rFonts w:ascii="Arial" w:cs="Arial" w:eastAsia="Arial" w:hAnsi="Arial"/>
                <w:sz w:val="14"/>
                <w:szCs w:val="14"/>
                <w:color w:val="auto"/>
              </w:rPr>
              <w:t>Board Meets Regularly in Executive Session</w:t>
            </w:r>
          </w:p>
        </w:tc>
      </w:tr>
      <w:tr>
        <w:trPr>
          <w:trHeight w:val="141"/>
        </w:trPr>
        <w:tc>
          <w:tcPr>
            <w:tcW w:w="5060" w:type="dxa"/>
            <w:vAlign w:val="bottom"/>
            <w:tcBorders>
              <w:left w:val="single" w:sz="8" w:color="BFBFBF"/>
              <w:right w:val="single" w:sz="8" w:color="BFBFBF"/>
            </w:tcBorders>
          </w:tcPr>
          <w:p>
            <w:pPr>
              <w:ind w:left="120"/>
              <w:spacing w:after="0" w:line="141" w:lineRule="exact"/>
              <w:rPr>
                <w:sz w:val="20"/>
                <w:szCs w:val="20"/>
                <w:color w:val="auto"/>
              </w:rPr>
            </w:pPr>
            <w:r>
              <w:rPr>
                <w:rFonts w:ascii="Arial" w:cs="Arial" w:eastAsia="Arial" w:hAnsi="Arial"/>
                <w:sz w:val="14"/>
                <w:szCs w:val="14"/>
                <w:color w:val="auto"/>
              </w:rPr>
              <w:t>Limited Severance Arrangements</w:t>
            </w:r>
          </w:p>
        </w:tc>
        <w:tc>
          <w:tcPr>
            <w:tcW w:w="320" w:type="dxa"/>
            <w:vAlign w:val="bottom"/>
          </w:tcPr>
          <w:p>
            <w:pPr>
              <w:spacing w:after="0"/>
              <w:rPr>
                <w:sz w:val="12"/>
                <w:szCs w:val="12"/>
                <w:color w:val="auto"/>
              </w:rPr>
            </w:pPr>
          </w:p>
        </w:tc>
        <w:tc>
          <w:tcPr>
            <w:tcW w:w="6060" w:type="dxa"/>
            <w:vAlign w:val="bottom"/>
            <w:tcBorders>
              <w:right w:val="single" w:sz="8" w:color="BFBFBF"/>
            </w:tcBorders>
          </w:tcPr>
          <w:p>
            <w:pPr>
              <w:spacing w:after="0" w:line="141" w:lineRule="exact"/>
              <w:rPr>
                <w:sz w:val="20"/>
                <w:szCs w:val="20"/>
                <w:color w:val="auto"/>
              </w:rPr>
            </w:pPr>
            <w:r>
              <w:rPr>
                <w:rFonts w:ascii="Arial" w:cs="Arial" w:eastAsia="Arial" w:hAnsi="Arial"/>
                <w:sz w:val="14"/>
                <w:szCs w:val="14"/>
                <w:color w:val="auto"/>
              </w:rPr>
              <w:t>No Director Attended Fewer Than 75% of Board and Committee</w:t>
            </w:r>
          </w:p>
        </w:tc>
      </w:tr>
      <w:tr>
        <w:trPr>
          <w:trHeight w:val="149"/>
        </w:trPr>
        <w:tc>
          <w:tcPr>
            <w:tcW w:w="5060" w:type="dxa"/>
            <w:vAlign w:val="bottom"/>
            <w:tcBorders>
              <w:left w:val="single" w:sz="8" w:color="BFBFBF"/>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tcPr>
          <w:p>
            <w:pPr>
              <w:spacing w:after="0"/>
              <w:rPr>
                <w:sz w:val="12"/>
                <w:szCs w:val="12"/>
                <w:color w:val="auto"/>
              </w:rPr>
            </w:pPr>
          </w:p>
        </w:tc>
        <w:tc>
          <w:tcPr>
            <w:tcW w:w="6060" w:type="dxa"/>
            <w:vAlign w:val="bottom"/>
            <w:tcBorders>
              <w:bottom w:val="single" w:sz="8" w:color="BFBFBF"/>
              <w:right w:val="single" w:sz="8" w:color="BFBFBF"/>
            </w:tcBorders>
          </w:tcPr>
          <w:p>
            <w:pPr>
              <w:spacing w:after="0" w:line="149" w:lineRule="exact"/>
              <w:rPr>
                <w:sz w:val="20"/>
                <w:szCs w:val="20"/>
                <w:color w:val="auto"/>
              </w:rPr>
            </w:pPr>
            <w:r>
              <w:rPr>
                <w:rFonts w:ascii="Arial" w:cs="Arial" w:eastAsia="Arial" w:hAnsi="Arial"/>
                <w:sz w:val="14"/>
                <w:szCs w:val="14"/>
                <w:color w:val="auto"/>
              </w:rPr>
              <w:t>Meetings</w:t>
            </w:r>
          </w:p>
        </w:tc>
      </w:tr>
      <w:tr>
        <w:trPr>
          <w:trHeight w:val="142"/>
        </w:trPr>
        <w:tc>
          <w:tcPr>
            <w:tcW w:w="506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“Double Trigger” Change in Control Agreements</w:t>
            </w:r>
          </w:p>
        </w:tc>
        <w:tc>
          <w:tcPr>
            <w:tcW w:w="320" w:type="dxa"/>
            <w:vAlign w:val="bottom"/>
            <w:tcBorders>
              <w:bottom w:val="single" w:sz="8" w:color="BFBFBF"/>
            </w:tcBorders>
            <w:shd w:val="clear" w:color="auto" w:fill="DDEFF3"/>
          </w:tcPr>
          <w:p>
            <w:pPr>
              <w:spacing w:after="0"/>
              <w:rPr>
                <w:sz w:val="12"/>
                <w:szCs w:val="12"/>
                <w:color w:val="auto"/>
              </w:rPr>
            </w:pPr>
          </w:p>
        </w:tc>
        <w:tc>
          <w:tcPr>
            <w:tcW w:w="6060" w:type="dxa"/>
            <w:vAlign w:val="bottom"/>
            <w:tcBorders>
              <w:bottom w:val="single" w:sz="8" w:color="BFBFBF"/>
              <w:right w:val="single" w:sz="8" w:color="BFBFBF"/>
            </w:tcBorders>
            <w:shd w:val="clear" w:color="auto" w:fill="DDEFF3"/>
          </w:tcPr>
          <w:p>
            <w:pPr>
              <w:spacing w:after="0" w:line="142" w:lineRule="exact"/>
              <w:rPr>
                <w:sz w:val="20"/>
                <w:szCs w:val="20"/>
                <w:color w:val="auto"/>
              </w:rPr>
            </w:pPr>
            <w:r>
              <w:rPr>
                <w:rFonts w:ascii="Arial" w:cs="Arial" w:eastAsia="Arial" w:hAnsi="Arial"/>
                <w:sz w:val="14"/>
                <w:szCs w:val="14"/>
                <w:color w:val="auto"/>
              </w:rPr>
              <w:t>Annual Board and Committee Evaluations</w:t>
            </w:r>
          </w:p>
        </w:tc>
      </w:tr>
      <w:tr>
        <w:trPr>
          <w:trHeight w:val="142"/>
        </w:trPr>
        <w:tc>
          <w:tcPr>
            <w:tcW w:w="506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Elimination of Tax Gross-Up Payments on Severance Arrangements</w:t>
            </w:r>
          </w:p>
        </w:tc>
        <w:tc>
          <w:tcPr>
            <w:tcW w:w="320" w:type="dxa"/>
            <w:vAlign w:val="bottom"/>
            <w:tcBorders>
              <w:bottom w:val="single" w:sz="8" w:color="BFBFBF"/>
            </w:tcBorders>
          </w:tcPr>
          <w:p>
            <w:pPr>
              <w:spacing w:after="0"/>
              <w:rPr>
                <w:sz w:val="12"/>
                <w:szCs w:val="12"/>
                <w:color w:val="auto"/>
              </w:rPr>
            </w:pPr>
          </w:p>
        </w:tc>
        <w:tc>
          <w:tcPr>
            <w:tcW w:w="6060" w:type="dxa"/>
            <w:vAlign w:val="bottom"/>
            <w:tcBorders>
              <w:bottom w:val="single" w:sz="8" w:color="BFBFBF"/>
              <w:right w:val="single" w:sz="8" w:color="BFBFBF"/>
            </w:tcBorders>
          </w:tcPr>
          <w:p>
            <w:pPr>
              <w:spacing w:after="0" w:line="142" w:lineRule="exact"/>
              <w:rPr>
                <w:sz w:val="20"/>
                <w:szCs w:val="20"/>
                <w:color w:val="auto"/>
              </w:rPr>
            </w:pPr>
            <w:r>
              <w:rPr>
                <w:rFonts w:ascii="Arial" w:cs="Arial" w:eastAsia="Arial" w:hAnsi="Arial"/>
                <w:sz w:val="14"/>
                <w:szCs w:val="14"/>
                <w:color w:val="auto"/>
              </w:rPr>
              <w:t>Corporate Governance Guidelines</w:t>
            </w:r>
          </w:p>
        </w:tc>
      </w:tr>
      <w:tr>
        <w:trPr>
          <w:trHeight w:val="142"/>
        </w:trPr>
        <w:tc>
          <w:tcPr>
            <w:tcW w:w="506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Limited Perquisites</w:t>
            </w:r>
          </w:p>
        </w:tc>
        <w:tc>
          <w:tcPr>
            <w:tcW w:w="320" w:type="dxa"/>
            <w:vAlign w:val="bottom"/>
            <w:tcBorders>
              <w:bottom w:val="single" w:sz="8" w:color="BFBFBF"/>
            </w:tcBorders>
            <w:shd w:val="clear" w:color="auto" w:fill="DDEFF3"/>
          </w:tcPr>
          <w:p>
            <w:pPr>
              <w:spacing w:after="0"/>
              <w:rPr>
                <w:sz w:val="12"/>
                <w:szCs w:val="12"/>
                <w:color w:val="auto"/>
              </w:rPr>
            </w:pPr>
          </w:p>
        </w:tc>
        <w:tc>
          <w:tcPr>
            <w:tcW w:w="6060" w:type="dxa"/>
            <w:vAlign w:val="bottom"/>
            <w:tcBorders>
              <w:bottom w:val="single" w:sz="8" w:color="BFBFBF"/>
              <w:right w:val="single" w:sz="8" w:color="BFBFBF"/>
            </w:tcBorders>
            <w:shd w:val="clear" w:color="auto" w:fill="DDEFF3"/>
          </w:tcPr>
          <w:p>
            <w:pPr>
              <w:spacing w:after="0" w:line="142" w:lineRule="exact"/>
              <w:rPr>
                <w:sz w:val="20"/>
                <w:szCs w:val="20"/>
                <w:color w:val="auto"/>
              </w:rPr>
            </w:pPr>
            <w:r>
              <w:rPr>
                <w:rFonts w:ascii="Arial" w:cs="Arial" w:eastAsia="Arial" w:hAnsi="Arial"/>
                <w:sz w:val="14"/>
                <w:szCs w:val="14"/>
                <w:color w:val="auto"/>
              </w:rPr>
              <w:t>Global Ethics and Compliance Program and Confidential Whistleblower Process</w:t>
            </w:r>
          </w:p>
        </w:tc>
      </w:tr>
      <w:tr>
        <w:trPr>
          <w:trHeight w:val="142"/>
        </w:trPr>
        <w:tc>
          <w:tcPr>
            <w:tcW w:w="506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Incentive Recoupment Policy</w:t>
            </w:r>
          </w:p>
        </w:tc>
        <w:tc>
          <w:tcPr>
            <w:tcW w:w="320" w:type="dxa"/>
            <w:vAlign w:val="bottom"/>
            <w:tcBorders>
              <w:bottom w:val="single" w:sz="8" w:color="BFBFBF"/>
            </w:tcBorders>
          </w:tcPr>
          <w:p>
            <w:pPr>
              <w:spacing w:after="0"/>
              <w:rPr>
                <w:sz w:val="12"/>
                <w:szCs w:val="12"/>
                <w:color w:val="auto"/>
              </w:rPr>
            </w:pPr>
          </w:p>
        </w:tc>
        <w:tc>
          <w:tcPr>
            <w:tcW w:w="6060" w:type="dxa"/>
            <w:vAlign w:val="bottom"/>
            <w:tcBorders>
              <w:bottom w:val="single" w:sz="8" w:color="BFBFBF"/>
              <w:right w:val="single" w:sz="8" w:color="BFBFBF"/>
            </w:tcBorders>
          </w:tcPr>
          <w:p>
            <w:pPr>
              <w:spacing w:after="0" w:line="142" w:lineRule="exact"/>
              <w:rPr>
                <w:sz w:val="20"/>
                <w:szCs w:val="20"/>
                <w:color w:val="auto"/>
              </w:rPr>
            </w:pPr>
            <w:r>
              <w:rPr>
                <w:rFonts w:ascii="Arial" w:cs="Arial" w:eastAsia="Arial" w:hAnsi="Arial"/>
                <w:sz w:val="14"/>
                <w:szCs w:val="14"/>
                <w:color w:val="auto"/>
              </w:rPr>
              <w:t>No “Poison Pill”</w:t>
            </w:r>
          </w:p>
        </w:tc>
      </w:tr>
      <w:tr>
        <w:trPr>
          <w:trHeight w:val="142"/>
        </w:trPr>
        <w:tc>
          <w:tcPr>
            <w:tcW w:w="506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Limited Employment Agreements</w:t>
            </w:r>
          </w:p>
        </w:tc>
        <w:tc>
          <w:tcPr>
            <w:tcW w:w="320" w:type="dxa"/>
            <w:vAlign w:val="bottom"/>
            <w:tcBorders>
              <w:bottom w:val="single" w:sz="8" w:color="BFBFBF"/>
            </w:tcBorders>
            <w:shd w:val="clear" w:color="auto" w:fill="DDEFF3"/>
          </w:tcPr>
          <w:p>
            <w:pPr>
              <w:spacing w:after="0"/>
              <w:rPr>
                <w:sz w:val="12"/>
                <w:szCs w:val="12"/>
                <w:color w:val="auto"/>
              </w:rPr>
            </w:pPr>
          </w:p>
        </w:tc>
        <w:tc>
          <w:tcPr>
            <w:tcW w:w="6060" w:type="dxa"/>
            <w:vAlign w:val="bottom"/>
            <w:tcBorders>
              <w:bottom w:val="single" w:sz="8" w:color="BFBFBF"/>
              <w:right w:val="single" w:sz="8" w:color="BFBFBF"/>
            </w:tcBorders>
            <w:shd w:val="clear" w:color="auto" w:fill="DDEFF3"/>
          </w:tcPr>
          <w:p>
            <w:pPr>
              <w:spacing w:after="0" w:line="142" w:lineRule="exact"/>
              <w:rPr>
                <w:sz w:val="20"/>
                <w:szCs w:val="20"/>
                <w:color w:val="auto"/>
              </w:rPr>
            </w:pPr>
            <w:r>
              <w:rPr>
                <w:rFonts w:ascii="Arial" w:cs="Arial" w:eastAsia="Arial" w:hAnsi="Arial"/>
                <w:sz w:val="14"/>
                <w:szCs w:val="14"/>
                <w:color w:val="auto"/>
              </w:rPr>
              <w:t>Comprehensive Succession Planning Program</w:t>
            </w:r>
          </w:p>
        </w:tc>
      </w:tr>
      <w:tr>
        <w:trPr>
          <w:trHeight w:val="142"/>
        </w:trPr>
        <w:tc>
          <w:tcPr>
            <w:tcW w:w="506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Engagement of Independent Compensation Consultant</w:t>
            </w:r>
          </w:p>
        </w:tc>
        <w:tc>
          <w:tcPr>
            <w:tcW w:w="320" w:type="dxa"/>
            <w:vAlign w:val="bottom"/>
            <w:tcBorders>
              <w:bottom w:val="single" w:sz="8" w:color="BFBFBF"/>
            </w:tcBorders>
          </w:tcPr>
          <w:p>
            <w:pPr>
              <w:spacing w:after="0"/>
              <w:rPr>
                <w:sz w:val="12"/>
                <w:szCs w:val="12"/>
                <w:color w:val="auto"/>
              </w:rPr>
            </w:pPr>
          </w:p>
        </w:tc>
        <w:tc>
          <w:tcPr>
            <w:tcW w:w="6060" w:type="dxa"/>
            <w:vAlign w:val="bottom"/>
            <w:tcBorders>
              <w:bottom w:val="single" w:sz="8" w:color="BFBFBF"/>
              <w:right w:val="single" w:sz="8" w:color="BFBFBF"/>
            </w:tcBorders>
          </w:tcPr>
          <w:p>
            <w:pPr>
              <w:spacing w:after="0" w:line="142" w:lineRule="exact"/>
              <w:rPr>
                <w:sz w:val="20"/>
                <w:szCs w:val="20"/>
                <w:color w:val="auto"/>
              </w:rPr>
            </w:pPr>
            <w:r>
              <w:rPr>
                <w:rFonts w:ascii="Arial" w:cs="Arial" w:eastAsia="Arial" w:hAnsi="Arial"/>
                <w:sz w:val="14"/>
                <w:szCs w:val="14"/>
                <w:color w:val="auto"/>
              </w:rPr>
              <w:t>Strong Risk Management Program</w:t>
            </w:r>
          </w:p>
        </w:tc>
      </w:tr>
      <w:tr>
        <w:trPr>
          <w:trHeight w:val="142"/>
        </w:trPr>
        <w:tc>
          <w:tcPr>
            <w:tcW w:w="506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Extensive Risk Assessment of Compensation Program</w:t>
            </w:r>
          </w:p>
        </w:tc>
        <w:tc>
          <w:tcPr>
            <w:tcW w:w="320" w:type="dxa"/>
            <w:vAlign w:val="bottom"/>
            <w:tcBorders>
              <w:bottom w:val="single" w:sz="8" w:color="BFBFBF"/>
            </w:tcBorders>
            <w:shd w:val="clear" w:color="auto" w:fill="DDEFF3"/>
          </w:tcPr>
          <w:p>
            <w:pPr>
              <w:spacing w:after="0"/>
              <w:rPr>
                <w:sz w:val="12"/>
                <w:szCs w:val="12"/>
                <w:color w:val="auto"/>
              </w:rPr>
            </w:pPr>
          </w:p>
        </w:tc>
        <w:tc>
          <w:tcPr>
            <w:tcW w:w="6060" w:type="dxa"/>
            <w:vAlign w:val="bottom"/>
            <w:tcBorders>
              <w:bottom w:val="single" w:sz="8" w:color="BFBFBF"/>
              <w:right w:val="single" w:sz="8" w:color="BFBFBF"/>
            </w:tcBorders>
            <w:shd w:val="clear" w:color="auto" w:fill="DDEFF3"/>
          </w:tcPr>
          <w:p>
            <w:pPr>
              <w:spacing w:after="0" w:line="142" w:lineRule="exact"/>
              <w:rPr>
                <w:sz w:val="20"/>
                <w:szCs w:val="20"/>
                <w:color w:val="auto"/>
              </w:rPr>
            </w:pPr>
            <w:r>
              <w:rPr>
                <w:rFonts w:ascii="Arial" w:cs="Arial" w:eastAsia="Arial" w:hAnsi="Arial"/>
                <w:sz w:val="14"/>
                <w:szCs w:val="14"/>
                <w:color w:val="auto"/>
              </w:rPr>
              <w:t>Corporate Sustainability Program</w:t>
            </w:r>
          </w:p>
        </w:tc>
      </w:tr>
      <w:tr>
        <w:trPr>
          <w:trHeight w:val="356"/>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ind w:left="3040"/>
              <w:spacing w:after="0"/>
              <w:rPr>
                <w:sz w:val="20"/>
                <w:szCs w:val="20"/>
                <w:color w:val="auto"/>
              </w:rPr>
            </w:pPr>
            <w:r>
              <w:rPr>
                <w:rFonts w:ascii="Arial" w:cs="Arial" w:eastAsia="Arial" w:hAnsi="Arial"/>
                <w:sz w:val="18"/>
                <w:szCs w:val="18"/>
                <w:color w:val="0088A6"/>
                <w:w w:val="99"/>
              </w:rPr>
              <w:t>THE NASDAQ OMX GROUP, INC.  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-1790700</wp:posOffset>
            </wp:positionV>
            <wp:extent cx="889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-1790700</wp:posOffset>
            </wp:positionV>
            <wp:extent cx="889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-1790700</wp:posOffset>
            </wp:positionV>
            <wp:extent cx="889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205740</wp:posOffset>
            </wp:positionV>
            <wp:extent cx="1920875"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08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7C7C7C"/>
        </w:rPr>
        <w:t>THE NASDAQ OMX GROUP, INC.</w:t>
      </w:r>
    </w:p>
    <w:p>
      <w:pPr>
        <w:spacing w:after="0" w:line="5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7C7C7C"/>
        </w:rPr>
        <w:t>PROXY STATEMENT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7C7C7C"/>
        </w:rPr>
        <w:t>FOR THE ANNUAL MEETING OF STOCKHOLDERS</w:t>
      </w:r>
    </w:p>
    <w:p>
      <w:pPr>
        <w:jc w:val="center"/>
        <w:spacing w:after="0"/>
        <w:rPr>
          <w:sz w:val="20"/>
          <w:szCs w:val="20"/>
          <w:color w:val="auto"/>
        </w:rPr>
      </w:pPr>
      <w:r>
        <w:rPr>
          <w:rFonts w:ascii="Arial" w:cs="Arial" w:eastAsia="Arial" w:hAnsi="Arial"/>
          <w:sz w:val="18"/>
          <w:szCs w:val="18"/>
          <w:b w:val="1"/>
          <w:bCs w:val="1"/>
          <w:color w:val="7C7C7C"/>
        </w:rPr>
        <w:t>TO BE HELD ON MAY 22, 2013</w:t>
      </w:r>
    </w:p>
    <w:p>
      <w:pPr>
        <w:spacing w:after="0" w:line="11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are furnishing this proxy statement to the stockholders of The NASDAQ OMX Group, Inc., a Delaware corporation, in connection with the solicitation of proxies by our board of directors for use in voting at the annual meeting of stockholders to be held at the time and place and for the purposes set forth in the accompanying notice of annual meeting, and at any and all adjournments or postponements of this meeting.</w:t>
      </w:r>
    </w:p>
    <w:p>
      <w:pPr>
        <w:spacing w:after="0" w:line="9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b w:val="1"/>
          <w:bCs w:val="1"/>
          <w:color w:val="auto"/>
        </w:rPr>
        <w:t xml:space="preserve">In accordance with rules of the United States Securities and Exchange Commission (SEC), instead of mailing printed copies of our proxy materials to each stockholder of record, we are furnishing the proxy materials for the 2013 annual meeting by providing access to these documents on the Internet. A notice of Internet availability of proxy materials is being mailed to our stockholders. We first mailed or delivered this notice on or about April •, 2013. The notice of Internet availability contains instructions for accessing and reviewing our proxy materials and submitting a proxy over the Internet. Our proxy materials were made available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xml:space="preserve"> on the date that we first mailed or delivered the notice of Internet availability. The notice also will tell you how to request our proxy materials in printed form or by e-mail, at no charge. The notice contains a control number that you will need to submit a proxy for your shares.</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THE ANNUAL MEETING</w:t>
      </w:r>
    </w:p>
    <w:p>
      <w:pPr>
        <w:spacing w:after="0" w:line="14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 xml:space="preserve">When and where is the meeting? </w:t>
      </w:r>
      <w:r>
        <w:rPr>
          <w:rFonts w:ascii="Arial" w:cs="Arial" w:eastAsia="Arial" w:hAnsi="Arial"/>
          <w:sz w:val="18"/>
          <w:szCs w:val="18"/>
          <w:color w:val="auto"/>
        </w:rPr>
        <w:t>The annual meeting is scheduled to be held at NASDAQ OMX’s principal executive offices located at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Liberty Plaza, 50</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10006, on May 22, 2013, at 9:00 a.m. (E.D.T.).</w:t>
      </w:r>
    </w:p>
    <w:p>
      <w:pPr>
        <w:spacing w:after="0" w:line="7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 xml:space="preserve">What is the purpose of the meeting? </w:t>
      </w:r>
      <w:r>
        <w:rPr>
          <w:rFonts w:ascii="Arial" w:cs="Arial" w:eastAsia="Arial" w:hAnsi="Arial"/>
          <w:sz w:val="18"/>
          <w:szCs w:val="18"/>
          <w:color w:val="auto"/>
        </w:rPr>
        <w:t>At the annual meeting, NASDAQ OMX’s stockholders will be asked to consider and vote upon each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matters:</w:t>
      </w:r>
    </w:p>
    <w:p>
      <w:pPr>
        <w:spacing w:after="0" w:line="41" w:lineRule="exact"/>
        <w:rPr>
          <w:sz w:val="20"/>
          <w:szCs w:val="20"/>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11 directors for a one-year term;</w:t>
      </w:r>
    </w:p>
    <w:p>
      <w:pPr>
        <w:spacing w:after="0" w:line="63" w:lineRule="exact"/>
        <w:rPr>
          <w:rFonts w:ascii="Arial" w:cs="Arial" w:eastAsia="Arial" w:hAnsi="Arial"/>
          <w:sz w:val="18"/>
          <w:szCs w:val="18"/>
          <w:color w:val="auto"/>
        </w:rPr>
      </w:pPr>
    </w:p>
    <w:p>
      <w:pPr>
        <w:ind w:left="1140" w:right="60" w:hanging="565"/>
        <w:spacing w:after="0" w:line="23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 OMX’s independent registered public accounting firm for the fiscal year ending December 31, 2013;</w:t>
      </w:r>
    </w:p>
    <w:p>
      <w:pPr>
        <w:spacing w:after="0" w:line="60"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company’s executive compensation on an advisory basis;</w:t>
      </w:r>
    </w:p>
    <w:p>
      <w:pPr>
        <w:spacing w:after="0" w:line="63" w:lineRule="exact"/>
        <w:rPr>
          <w:rFonts w:ascii="Arial" w:cs="Arial" w:eastAsia="Arial" w:hAnsi="Arial"/>
          <w:sz w:val="18"/>
          <w:szCs w:val="18"/>
          <w:color w:val="auto"/>
        </w:rPr>
      </w:pPr>
    </w:p>
    <w:p>
      <w:pPr>
        <w:ind w:left="1140" w:right="180" w:hanging="565"/>
        <w:spacing w:after="0" w:line="23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amendment of NASDAQ OMX’s restated certificate of incorporation to remove and replace the supermajority voting requirements;</w:t>
      </w:r>
    </w:p>
    <w:p>
      <w:pPr>
        <w:spacing w:after="0" w:line="60" w:lineRule="exact"/>
        <w:rPr>
          <w:rFonts w:ascii="Arial" w:cs="Arial" w:eastAsia="Arial" w:hAnsi="Arial"/>
          <w:sz w:val="18"/>
          <w:szCs w:val="18"/>
          <w:color w:val="auto"/>
        </w:rPr>
      </w:pPr>
    </w:p>
    <w:p>
      <w:pPr>
        <w:ind w:left="1140" w:right="160" w:hanging="565"/>
        <w:spacing w:after="0" w:line="23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amendment and restatement of NASDAQ OMX’s restated certificate of incorporation to make other non-substantive changes; and</w:t>
      </w:r>
    </w:p>
    <w:p>
      <w:pPr>
        <w:spacing w:after="0" w:line="60" w:lineRule="exact"/>
        <w:rPr>
          <w:rFonts w:ascii="Arial" w:cs="Arial" w:eastAsia="Arial" w:hAnsi="Arial"/>
          <w:sz w:val="18"/>
          <w:szCs w:val="18"/>
          <w:color w:val="auto"/>
        </w:rPr>
      </w:pPr>
    </w:p>
    <w:p>
      <w:pPr>
        <w:ind w:left="1140" w:right="520" w:hanging="565"/>
        <w:spacing w:after="0" w:line="23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of the meeting.</w:t>
      </w:r>
    </w:p>
    <w:p>
      <w:pPr>
        <w:spacing w:after="0" w:line="9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 xml:space="preserve">Who is entitled to vote? </w:t>
      </w:r>
      <w:r>
        <w:rPr>
          <w:rFonts w:ascii="Arial" w:cs="Arial" w:eastAsia="Arial" w:hAnsi="Arial"/>
          <w:sz w:val="18"/>
          <w:szCs w:val="18"/>
          <w:color w:val="auto"/>
        </w:rPr>
        <w:t>Only holders of record listed on the books of NASDAQ OMX at the close of business on April 2, 2013 (record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NASDAQ OMX’s common stock, par value $0.01 per share, will be entitled to notice of, and to vote at, the annual meeting. As of the record date, there were outstanding • shares of common stock.</w:t>
      </w:r>
    </w:p>
    <w:p>
      <w:pPr>
        <w:spacing w:after="0" w:line="13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 list of holders entitled to vote at the annual meeting will be available at the annual meeting and for at least 10 days prior to the annual meeting, between the hours of 9:00 a.m. and 5:00 p.m. (E.D.T.), at our principal executive offices, One Liberty Plaza, 50</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10006. You may arrange to review this list by contacting NASDAQ OMX’s corporate secretary, Joan C. Conley, The NASDAQ OMX Group, Inc., One Liberty Plaza, 50</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10006, in writing or by email (corporatesecretary@nasdaqomx.com).</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How many votes do I have? </w:t>
      </w:r>
      <w:r>
        <w:rPr>
          <w:rFonts w:ascii="Arial" w:cs="Arial" w:eastAsia="Arial" w:hAnsi="Arial"/>
          <w:sz w:val="18"/>
          <w:szCs w:val="18"/>
          <w:color w:val="auto"/>
        </w:rPr>
        <w:t>Each share of common stock has one vote, subject to the voting limitation in our restated certificate of incorporation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generally prohibits a stockholder from voting in excess of 5% of the total voting power of NASDAQ OMX.</w:t>
      </w:r>
    </w:p>
    <w:p>
      <w:pPr>
        <w:spacing w:after="0" w:line="7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 xml:space="preserve">Is my vote confidential? </w:t>
      </w:r>
      <w:r>
        <w:rPr>
          <w:rFonts w:ascii="Arial" w:cs="Arial" w:eastAsia="Arial" w:hAnsi="Arial"/>
          <w:sz w:val="18"/>
          <w:szCs w:val="18"/>
          <w:color w:val="auto"/>
        </w:rPr>
        <w:t>Your individual vote is confidential and will not be disclosed to third parties. Proxies, ballots and voting tabulations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handled on a confidential basis to protect your voting privacy. This information will not be displayed except as required by law.</w:t>
      </w:r>
    </w:p>
    <w:p>
      <w:pPr>
        <w:spacing w:after="0" w:line="75" w:lineRule="exact"/>
        <w:rPr>
          <w:sz w:val="20"/>
          <w:szCs w:val="20"/>
          <w:color w:val="auto"/>
        </w:rPr>
      </w:pPr>
    </w:p>
    <w:p>
      <w:pPr>
        <w:ind w:right="360"/>
        <w:spacing w:after="0" w:line="284" w:lineRule="auto"/>
        <w:rPr>
          <w:sz w:val="20"/>
          <w:szCs w:val="20"/>
          <w:color w:val="auto"/>
        </w:rPr>
      </w:pPr>
      <w:r>
        <w:rPr>
          <w:rFonts w:ascii="Arial" w:cs="Arial" w:eastAsia="Arial" w:hAnsi="Arial"/>
          <w:sz w:val="16"/>
          <w:szCs w:val="16"/>
          <w:b w:val="1"/>
          <w:bCs w:val="1"/>
          <w:i w:val="1"/>
          <w:iCs w:val="1"/>
          <w:color w:val="auto"/>
        </w:rPr>
        <w:t xml:space="preserve">What constitutes a quorum? </w:t>
      </w:r>
      <w:r>
        <w:rPr>
          <w:rFonts w:ascii="Arial" w:cs="Arial" w:eastAsia="Arial" w:hAnsi="Arial"/>
          <w:sz w:val="16"/>
          <w:szCs w:val="16"/>
          <w:color w:val="auto"/>
        </w:rPr>
        <w:t>The presence of the holders of a majority (greater than 50%) of the votes entitled to be cast at the meeting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constitutes a quorum. Presence may be in person or by proxy. You will be considered part of the quorum if you submit a proxy by Internet, by telephone or by returning a signed and dated proxy card (if proxy materials are requested in printed form) or if you vote in person at the annual meeting. Abstentions and broker non-votes are counted as present and entitled to vote at the meeting for purposes of determining a quorum.</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Who counts the votes? </w:t>
      </w:r>
      <w:r>
        <w:rPr>
          <w:rFonts w:ascii="Arial" w:cs="Arial" w:eastAsia="Arial" w:hAnsi="Arial"/>
          <w:sz w:val="18"/>
          <w:szCs w:val="18"/>
          <w:color w:val="auto"/>
        </w:rPr>
        <w:t>Broadridge Financial Solutions, Inc. tabulates the votes and acts as inspector of elections.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How do I vote? </w:t>
      </w:r>
      <w:r>
        <w:rPr>
          <w:rFonts w:ascii="Arial" w:cs="Arial" w:eastAsia="Arial" w:hAnsi="Arial"/>
          <w:sz w:val="18"/>
          <w:szCs w:val="18"/>
          <w:color w:val="auto"/>
        </w:rPr>
        <w:t>You can ensure that your NASDAQ OMX shares are voted at the meeting by:</w:t>
      </w:r>
    </w:p>
    <w:p>
      <w:pPr>
        <w:spacing w:after="0" w:line="83" w:lineRule="exact"/>
        <w:rPr>
          <w:sz w:val="20"/>
          <w:szCs w:val="20"/>
          <w:color w:val="auto"/>
        </w:rPr>
      </w:pPr>
    </w:p>
    <w:p>
      <w:pPr>
        <w:ind w:left="1120" w:hanging="437"/>
        <w:spacing w:after="0"/>
        <w:tabs>
          <w:tab w:leader="none" w:pos="1120" w:val="left"/>
        </w:tabs>
        <w:numPr>
          <w:ilvl w:val="0"/>
          <w:numId w:val="9"/>
        </w:numPr>
        <w:rPr>
          <w:rFonts w:ascii="Arial" w:cs="Arial" w:eastAsia="Arial" w:hAnsi="Arial"/>
          <w:sz w:val="18"/>
          <w:szCs w:val="18"/>
          <w:color w:val="0088A6"/>
        </w:rPr>
      </w:pPr>
      <w:r>
        <w:rPr>
          <w:rFonts w:ascii="Arial" w:cs="Arial" w:eastAsia="Arial" w:hAnsi="Arial"/>
          <w:sz w:val="18"/>
          <w:szCs w:val="18"/>
          <w:color w:val="auto"/>
        </w:rPr>
        <w:t>attending the meeting and voting in person, as discussed below;</w:t>
      </w:r>
    </w:p>
    <w:p>
      <w:pPr>
        <w:spacing w:after="0" w:line="45" w:lineRule="exact"/>
        <w:rPr>
          <w:rFonts w:ascii="Arial" w:cs="Arial" w:eastAsia="Arial" w:hAnsi="Arial"/>
          <w:sz w:val="18"/>
          <w:szCs w:val="18"/>
          <w:color w:val="0088A6"/>
        </w:rPr>
      </w:pPr>
    </w:p>
    <w:p>
      <w:pPr>
        <w:ind w:left="1120" w:hanging="437"/>
        <w:spacing w:after="0"/>
        <w:tabs>
          <w:tab w:leader="none" w:pos="1120" w:val="left"/>
        </w:tabs>
        <w:numPr>
          <w:ilvl w:val="0"/>
          <w:numId w:val="9"/>
        </w:numPr>
        <w:rPr>
          <w:rFonts w:ascii="Arial" w:cs="Arial" w:eastAsia="Arial" w:hAnsi="Arial"/>
          <w:sz w:val="18"/>
          <w:szCs w:val="18"/>
          <w:color w:val="0088A6"/>
        </w:rPr>
      </w:pPr>
      <w:r>
        <w:rPr>
          <w:rFonts w:ascii="Arial" w:cs="Arial" w:eastAsia="Arial" w:hAnsi="Arial"/>
          <w:sz w:val="18"/>
          <w:szCs w:val="18"/>
          <w:color w:val="auto"/>
        </w:rPr>
        <w:t>submitting your proxy by Internet (</w:t>
      </w:r>
      <w:r>
        <w:rPr>
          <w:rFonts w:ascii="Arial" w:cs="Arial" w:eastAsia="Arial" w:hAnsi="Arial"/>
          <w:sz w:val="18"/>
          <w:szCs w:val="18"/>
          <w:i w:val="1"/>
          <w:iCs w:val="1"/>
          <w:color w:val="auto"/>
        </w:rPr>
        <w:t>www.proxyvote.com</w:t>
      </w:r>
      <w:r>
        <w:rPr>
          <w:rFonts w:ascii="Arial" w:cs="Arial" w:eastAsia="Arial" w:hAnsi="Arial"/>
          <w:sz w:val="18"/>
          <w:szCs w:val="18"/>
          <w:color w:val="auto"/>
        </w:rPr>
        <w:t>) or telephone; or</w:t>
      </w:r>
    </w:p>
    <w:p>
      <w:pPr>
        <w:spacing w:after="0" w:line="81" w:lineRule="exact"/>
        <w:rPr>
          <w:rFonts w:ascii="Arial" w:cs="Arial" w:eastAsia="Arial" w:hAnsi="Arial"/>
          <w:sz w:val="18"/>
          <w:szCs w:val="18"/>
          <w:color w:val="0088A6"/>
        </w:rPr>
      </w:pPr>
    </w:p>
    <w:p>
      <w:pPr>
        <w:ind w:left="1120" w:hanging="437"/>
        <w:spacing w:after="0"/>
        <w:tabs>
          <w:tab w:leader="none" w:pos="1120" w:val="left"/>
        </w:tabs>
        <w:numPr>
          <w:ilvl w:val="0"/>
          <w:numId w:val="9"/>
        </w:numPr>
        <w:rPr>
          <w:rFonts w:ascii="Arial" w:cs="Arial" w:eastAsia="Arial" w:hAnsi="Arial"/>
          <w:sz w:val="16"/>
          <w:szCs w:val="16"/>
          <w:color w:val="0088A6"/>
        </w:rPr>
      </w:pPr>
      <w:r>
        <w:rPr>
          <w:rFonts w:ascii="Arial" w:cs="Arial" w:eastAsia="Arial" w:hAnsi="Arial"/>
          <w:sz w:val="16"/>
          <w:szCs w:val="16"/>
          <w:color w:val="auto"/>
        </w:rPr>
        <w:t>if you request a printed copy of proxy materials, completing, signing, dating and returning the proxy card in the envelope provided.</w:t>
      </w:r>
    </w:p>
    <w:p>
      <w:pPr>
        <w:spacing w:after="0" w:line="11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Proxy Submission by Internet. </w:t>
      </w:r>
      <w:r>
        <w:rPr>
          <w:rFonts w:ascii="Arial" w:cs="Arial" w:eastAsia="Arial" w:hAnsi="Arial"/>
          <w:sz w:val="18"/>
          <w:szCs w:val="18"/>
          <w:color w:val="auto"/>
        </w:rPr>
        <w:t>You have the option to submit a proxy for your shares through the Internet. The notice of Internet availability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proxy materials contains the website address (</w:t>
      </w:r>
      <w:r>
        <w:rPr>
          <w:rFonts w:ascii="Arial" w:cs="Arial" w:eastAsia="Arial" w:hAnsi="Arial"/>
          <w:sz w:val="18"/>
          <w:szCs w:val="18"/>
          <w:i w:val="1"/>
          <w:iCs w:val="1"/>
          <w:color w:val="auto"/>
        </w:rPr>
        <w:t>www.proxyvote.com</w:t>
      </w:r>
      <w:r>
        <w:rPr>
          <w:rFonts w:ascii="Arial" w:cs="Arial" w:eastAsia="Arial" w:hAnsi="Arial"/>
          <w:sz w:val="18"/>
          <w:szCs w:val="18"/>
          <w:color w:val="auto"/>
        </w:rPr>
        <w:t>) for Internet proxy submission. Internet proxy submission is available 24 hours a day until 11:59 p.m. (E.D.T.) on May 21, 2013. You must enter your control number, which is printed in the lower right hand corner of the notice of Internet availability, and you will be given the opportunity to confirm that your instructions have been properly recorded.</w:t>
      </w:r>
    </w:p>
    <w:p>
      <w:pPr>
        <w:spacing w:after="0" w:line="90"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auto"/>
        </w:rPr>
        <w:t xml:space="preserve">Proxy Submission by Telephone. </w:t>
      </w:r>
      <w:r>
        <w:rPr>
          <w:rFonts w:ascii="Arial" w:cs="Arial" w:eastAsia="Arial" w:hAnsi="Arial"/>
          <w:sz w:val="18"/>
          <w:szCs w:val="18"/>
          <w:color w:val="auto"/>
        </w:rPr>
        <w:t>You have the option to submit a proxy for your shares by telephone. The notice of Internet availability of proxy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will have information about Internet proxy submission, but is not permitted to include a telephone number for submitting a proxy by phone, because that would enable a stockholder to submit a proxy without first accessing the proxy materials.</w:t>
      </w:r>
    </w:p>
    <w:p>
      <w:pPr>
        <w:spacing w:after="0" w:line="10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instructions for telephonic proxy submission are provided on the website where the proxy materials can be viewed. You will be provided with a telephone number for submitting your proxy at this site.</w:t>
      </w:r>
    </w:p>
    <w:p>
      <w:pPr>
        <w:spacing w:after="0" w:line="11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Alternatively, if you request paper copies of the proxy materials, your proxy card will list a toll-free telephone number that you may use to submit a proxy for your shares. Telephone proxy submission is available 24 hours a day until 11:59 p.m. (E.D.T.) on May 21, 2013. When you submit a proxy by telephone, you will be required to enter your control number. You will then receive easy-to-follow voice prompts allowing you to instruct the proxy holders how to vote your shares and to confirm that your instructions have been properly recorded. If you are located outside the United States or Canada, you should instruct the proxy holders how to vote your shares by Internet or by mail.</w:t>
      </w:r>
    </w:p>
    <w:p>
      <w:pPr>
        <w:spacing w:after="0" w:line="14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 xml:space="preserve">Proxy Submission by Mail. </w:t>
      </w:r>
      <w:r>
        <w:rPr>
          <w:rFonts w:ascii="Arial" w:cs="Arial" w:eastAsia="Arial" w:hAnsi="Arial"/>
          <w:sz w:val="18"/>
          <w:szCs w:val="18"/>
          <w:color w:val="auto"/>
        </w:rPr>
        <w:t>If you choose to submit a proxy by mail after requesting and receiving printed proxy materials, simply complete, sign</w:t>
      </w:r>
      <w:r>
        <w:rPr>
          <w:rFonts w:ascii="Arial" w:cs="Arial" w:eastAsia="Arial" w:hAnsi="Arial"/>
          <w:sz w:val="18"/>
          <w:szCs w:val="18"/>
          <w:b w:val="1"/>
          <w:bCs w:val="1"/>
          <w:color w:val="auto"/>
        </w:rPr>
        <w:t xml:space="preserve"> </w:t>
      </w:r>
      <w:r>
        <w:rPr>
          <w:rFonts w:ascii="Arial" w:cs="Arial" w:eastAsia="Arial" w:hAnsi="Arial"/>
          <w:sz w:val="18"/>
          <w:szCs w:val="18"/>
          <w:color w:val="auto"/>
        </w:rPr>
        <w:t>and date your proxy card and return it in the postage-paid envelope provided.</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b w:val="1"/>
          <w:bCs w:val="1"/>
          <w:i w:val="1"/>
          <w:iCs w:val="1"/>
          <w:color w:val="auto"/>
        </w:rPr>
        <w:t xml:space="preserve">How do I complete the proxy? </w:t>
      </w:r>
      <w:r>
        <w:rPr>
          <w:rFonts w:ascii="Arial" w:cs="Arial" w:eastAsia="Arial" w:hAnsi="Arial"/>
          <w:sz w:val="16"/>
          <w:szCs w:val="16"/>
          <w:color w:val="auto"/>
        </w:rPr>
        <w:t>The proxy provides that each stockholder may vote his or her NASDAQ OMX shares “For” or “Against”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“Abstain” for individual nominees and for each of the other proposals. Whichever method you select to transmit your instructions, the proxy holders will vote your shares as provided by those instructions. </w:t>
      </w:r>
      <w:r>
        <w:rPr>
          <w:rFonts w:ascii="Arial" w:cs="Arial" w:eastAsia="Arial" w:hAnsi="Arial"/>
          <w:sz w:val="16"/>
          <w:szCs w:val="16"/>
          <w:b w:val="1"/>
          <w:bCs w:val="1"/>
          <w:color w:val="auto"/>
        </w:rPr>
        <w:t>IF YOU PROVIDE A PROXY WITHOUT SPECIFIC VOTING INSTRUCTIONS, YOUR</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NASDAQ OMX SHARES WILL BE VOTED BY THE PROXY HOLDERS “FOR” THE ELECTION OF THE DIRECTORS NAMED IN THIS PROXY STATEMENT AND “FOR” PROPOSALS II, III, IV and V.</w:t>
      </w:r>
    </w:p>
    <w:p>
      <w:pPr>
        <w:spacing w:after="0" w:line="114"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If your NASDAQ OMX shares are held by a broker, bank or other nominee that does not have express authority to vote on a particular matter, you will receive instructions from your nominee, which you must follow to have your NASDAQ OMX shares voted. The broker, bank or other nominee may vote only the NASDAQ OMX shares that it holds for you as provided by your instructions, subject to certain exceptions described below.</w:t>
      </w:r>
    </w:p>
    <w:p>
      <w:pPr>
        <w:spacing w:after="0" w:line="6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What do I need to do to attend the annual meeting? </w:t>
      </w:r>
      <w:r>
        <w:rPr>
          <w:rFonts w:ascii="Arial" w:cs="Arial" w:eastAsia="Arial" w:hAnsi="Arial"/>
          <w:sz w:val="18"/>
          <w:szCs w:val="18"/>
          <w:color w:val="auto"/>
        </w:rPr>
        <w:t>If you are a holder of record, you should indicate that you plan to attend the meeting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submitting your proxy. For the safety and comfort of our stockholders, admission to the annual meeting will be restricted to holders of record and beneficial owners of NASDAQ OMX shares as of the close of business on April 2, 2013. You will need to provide a valid government-issued photo identification, such as a driver’s license or passport, to gain entry to the annual meeting. If you are a beneficial owner of NASDAQ OMX shares held by a bank, broker or other nominee, you also will need proof of ownership to be admitted to the meeting. A recent brokerage statement or letter from the bank, broker or other nominee are examples of proof of ownership. If you want to vote in person your NASDAQ OMX shares held by a bank, broker or other nominee, you will have to obtain a proxy, executed in your favor, from the holder of record. Directions to the annual meeting are available at </w:t>
      </w:r>
      <w:r>
        <w:rPr>
          <w:rFonts w:ascii="Arial" w:cs="Arial" w:eastAsia="Arial" w:hAnsi="Arial"/>
          <w:sz w:val="18"/>
          <w:szCs w:val="18"/>
          <w:i w:val="1"/>
          <w:iCs w:val="1"/>
          <w:color w:val="auto"/>
        </w:rPr>
        <w:t>http://ir.nasdaqomx.com/annuals.cfm</w:t>
      </w:r>
      <w:r>
        <w:rPr>
          <w:rFonts w:ascii="Arial" w:cs="Arial" w:eastAsia="Arial" w:hAnsi="Arial"/>
          <w:sz w:val="18"/>
          <w:szCs w:val="18"/>
          <w:color w:val="auto"/>
        </w:rPr>
        <w:t>.</w:t>
      </w:r>
    </w:p>
    <w:p>
      <w:pPr>
        <w:spacing w:after="0" w:line="100" w:lineRule="exact"/>
        <w:rPr>
          <w:sz w:val="20"/>
          <w:szCs w:val="20"/>
          <w:color w:val="auto"/>
        </w:rPr>
      </w:pPr>
    </w:p>
    <w:p>
      <w:pPr>
        <w:ind w:right="2660"/>
        <w:spacing w:after="0" w:line="262" w:lineRule="auto"/>
        <w:rPr>
          <w:sz w:val="20"/>
          <w:szCs w:val="20"/>
          <w:color w:val="auto"/>
        </w:rPr>
      </w:pPr>
      <w:r>
        <w:rPr>
          <w:rFonts w:ascii="Arial" w:cs="Arial" w:eastAsia="Arial" w:hAnsi="Arial"/>
          <w:sz w:val="18"/>
          <w:szCs w:val="18"/>
          <w:b w:val="1"/>
          <w:bCs w:val="1"/>
          <w:i w:val="1"/>
          <w:iCs w:val="1"/>
          <w:color w:val="auto"/>
        </w:rPr>
        <w:t xml:space="preserve">Is there a webcast of the annual meeting? </w:t>
      </w:r>
      <w:r>
        <w:rPr>
          <w:rFonts w:ascii="Arial" w:cs="Arial" w:eastAsia="Arial" w:hAnsi="Arial"/>
          <w:sz w:val="18"/>
          <w:szCs w:val="18"/>
          <w:color w:val="auto"/>
        </w:rPr>
        <w:t>We will offer a live webcast of the annual meeting on our website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http://ir.nasdaqomx.com/events.cfm</w:t>
      </w:r>
      <w:r>
        <w:rPr>
          <w:rFonts w:ascii="Arial" w:cs="Arial" w:eastAsia="Arial" w:hAnsi="Arial"/>
          <w:sz w:val="18"/>
          <w:szCs w:val="18"/>
          <w:color w:val="auto"/>
        </w:rPr>
        <w:t>.</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 xml:space="preserve">What are the board’s recommendations? </w:t>
      </w:r>
      <w:r>
        <w:rPr>
          <w:rFonts w:ascii="Arial" w:cs="Arial" w:eastAsia="Arial" w:hAnsi="Arial"/>
          <w:sz w:val="18"/>
          <w:szCs w:val="18"/>
          <w:b w:val="1"/>
          <w:bCs w:val="1"/>
          <w:color w:val="auto"/>
        </w:rPr>
        <w:t>The NASDAQ OMX board recommends that you vote “FOR” each of the nominees for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named in Proposal I and “FOR” Proposals II, III, IV and V.</w:t>
      </w:r>
    </w:p>
    <w:p>
      <w:pPr>
        <w:spacing w:after="0" w:line="7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i w:val="1"/>
          <w:iCs w:val="1"/>
          <w:color w:val="auto"/>
        </w:rPr>
        <w:t xml:space="preserve">What vote is required to elect each director? </w:t>
      </w:r>
      <w:r>
        <w:rPr>
          <w:rFonts w:ascii="Arial" w:cs="Arial" w:eastAsia="Arial" w:hAnsi="Arial"/>
          <w:sz w:val="18"/>
          <w:szCs w:val="18"/>
          <w:color w:val="auto"/>
        </w:rPr>
        <w:t>Our directors are elected by the holders of a majority of votes cast at any meeting for the election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at which a quorum is present and there is an uncontested election. Each of the 11 nominees must receive the affirmative vote of the holders of a majority of the votes cast for the election of directors to be duly elected to the board of directors in an uncontested election. Any shares not voted, for example by abstention or, if applicable, broker non-vote, will not impact the vote. Our by-laws and corporate governance guidelines require that, in an uncontested election, an incumbent director must submit an irrevocable resignation as a condition to his or her nomination for election. If an incumbent director fails to receive the requisite number of votes in an uncontested election, the irrevocable resignation becomes effective and such resignation will be considered by the nominating &amp; governance committee. This committee will recommend to the full board whether or not to accept the resignation. The board is required to act on the recommendation and to disclose publicly its decision-making process with respect to the resignation. See “Proposal I: Election of Directors” and “NASDAQ OMX’s Corporate Governance” for full details of this policy. The 2013 election of directors is an uncontested election.</w:t>
      </w:r>
    </w:p>
    <w:p>
      <w:pPr>
        <w:spacing w:after="0" w:line="14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b w:val="1"/>
          <w:bCs w:val="1"/>
          <w:i w:val="1"/>
          <w:iCs w:val="1"/>
          <w:color w:val="auto"/>
        </w:rPr>
        <w:t xml:space="preserve">What vote is required to approve the other proposals? </w:t>
      </w:r>
      <w:r>
        <w:rPr>
          <w:rFonts w:ascii="Arial" w:cs="Arial" w:eastAsia="Arial" w:hAnsi="Arial"/>
          <w:sz w:val="18"/>
          <w:szCs w:val="18"/>
          <w:color w:val="auto"/>
        </w:rPr>
        <w:t>The following proposals require an affirmative vote of the holders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votes present in person or represented by proxy at the meeting and entitled to vote on the matter. Abstentions have the effect of a vote against these proposals. Broker non-votes, if applicable, have no effect on these proposals.</w:t>
      </w:r>
    </w:p>
    <w:p>
      <w:pPr>
        <w:spacing w:after="0" w:line="54" w:lineRule="exact"/>
        <w:rPr>
          <w:sz w:val="20"/>
          <w:szCs w:val="20"/>
          <w:color w:val="auto"/>
        </w:rPr>
      </w:pPr>
    </w:p>
    <w:p>
      <w:pPr>
        <w:ind w:left="1120" w:hanging="437"/>
        <w:spacing w:after="0"/>
        <w:tabs>
          <w:tab w:leader="none" w:pos="1120" w:val="left"/>
        </w:tabs>
        <w:numPr>
          <w:ilvl w:val="0"/>
          <w:numId w:val="10"/>
        </w:numPr>
        <w:rPr>
          <w:rFonts w:ascii="Arial" w:cs="Arial" w:eastAsia="Arial" w:hAnsi="Arial"/>
          <w:sz w:val="18"/>
          <w:szCs w:val="18"/>
          <w:color w:val="0088A6"/>
        </w:rPr>
      </w:pPr>
      <w:r>
        <w:rPr>
          <w:rFonts w:ascii="Arial" w:cs="Arial" w:eastAsia="Arial" w:hAnsi="Arial"/>
          <w:sz w:val="18"/>
          <w:szCs w:val="18"/>
          <w:color w:val="auto"/>
        </w:rPr>
        <w:t>Ratification of appointment of Ernst &amp; Young LLP; and</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10"/>
        </w:numPr>
        <w:rPr>
          <w:rFonts w:ascii="Arial" w:cs="Arial" w:eastAsia="Arial" w:hAnsi="Arial"/>
          <w:sz w:val="18"/>
          <w:szCs w:val="18"/>
          <w:color w:val="0088A6"/>
        </w:rPr>
      </w:pPr>
      <w:r>
        <w:rPr>
          <w:rFonts w:ascii="Arial" w:cs="Arial" w:eastAsia="Arial" w:hAnsi="Arial"/>
          <w:sz w:val="18"/>
          <w:szCs w:val="18"/>
          <w:color w:val="auto"/>
        </w:rPr>
        <w:t>Approval of the company’s executive compensation on an advisory basis.</w:t>
      </w:r>
    </w:p>
    <w:p>
      <w:pPr>
        <w:spacing w:after="0" w:line="11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stockholder vote to approve executive compensation is an advisory vote only and, therefore, the result of that vote will not be binding on our board of directors or management compensation committee. Our board and management compensation committee will, however, consider the outcome of the vote when evaluating our executive compensation program in the future.</w:t>
      </w:r>
    </w:p>
    <w:p>
      <w:pPr>
        <w:spacing w:after="0" w:line="114"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The following proposals require the affirmative vote of the holders of at least 66 2/3% of the total voting power of NASDAQ OMX’s outstanding shares of capital stock, voting together as a single class. Abstentions and broker non-votes have the effect of a vote against these proposals.</w:t>
      </w:r>
    </w:p>
    <w:p>
      <w:pPr>
        <w:spacing w:after="0" w:line="82" w:lineRule="exact"/>
        <w:rPr>
          <w:sz w:val="20"/>
          <w:szCs w:val="20"/>
          <w:color w:val="auto"/>
        </w:rPr>
      </w:pPr>
    </w:p>
    <w:p>
      <w:pPr>
        <w:ind w:left="1120" w:right="180" w:hanging="437"/>
        <w:spacing w:after="0" w:line="239" w:lineRule="auto"/>
        <w:tabs>
          <w:tab w:leader="none" w:pos="1120" w:val="left"/>
        </w:tabs>
        <w:numPr>
          <w:ilvl w:val="0"/>
          <w:numId w:val="11"/>
        </w:numPr>
        <w:rPr>
          <w:rFonts w:ascii="Arial" w:cs="Arial" w:eastAsia="Arial" w:hAnsi="Arial"/>
          <w:sz w:val="18"/>
          <w:szCs w:val="18"/>
          <w:color w:val="0088A6"/>
        </w:rPr>
      </w:pPr>
      <w:r>
        <w:rPr>
          <w:rFonts w:ascii="Arial" w:cs="Arial" w:eastAsia="Arial" w:hAnsi="Arial"/>
          <w:sz w:val="18"/>
          <w:szCs w:val="18"/>
          <w:color w:val="auto"/>
        </w:rPr>
        <w:t>Approval of an amendment of NASDAQ OMX’s restated certificate of incorporation to remove and replace the supermajority voting requirements; and</w:t>
      </w:r>
    </w:p>
    <w:p>
      <w:pPr>
        <w:spacing w:after="0" w:line="60" w:lineRule="exact"/>
        <w:rPr>
          <w:rFonts w:ascii="Arial" w:cs="Arial" w:eastAsia="Arial" w:hAnsi="Arial"/>
          <w:sz w:val="18"/>
          <w:szCs w:val="18"/>
          <w:color w:val="0088A6"/>
        </w:rPr>
      </w:pPr>
    </w:p>
    <w:p>
      <w:pPr>
        <w:ind w:left="1120" w:right="160" w:hanging="437"/>
        <w:spacing w:after="0" w:line="239" w:lineRule="auto"/>
        <w:tabs>
          <w:tab w:leader="none" w:pos="1120" w:val="left"/>
        </w:tabs>
        <w:numPr>
          <w:ilvl w:val="0"/>
          <w:numId w:val="11"/>
        </w:numPr>
        <w:rPr>
          <w:rFonts w:ascii="Arial" w:cs="Arial" w:eastAsia="Arial" w:hAnsi="Arial"/>
          <w:sz w:val="18"/>
          <w:szCs w:val="18"/>
          <w:color w:val="0088A6"/>
        </w:rPr>
      </w:pPr>
      <w:r>
        <w:rPr>
          <w:rFonts w:ascii="Arial" w:cs="Arial" w:eastAsia="Arial" w:hAnsi="Arial"/>
          <w:sz w:val="18"/>
          <w:szCs w:val="18"/>
          <w:color w:val="auto"/>
        </w:rPr>
        <w:t>Approval of an amendment and restatement of NASDAQ OMX’s restated certificate of incorporation to make other non-substantive changes.</w:t>
      </w:r>
    </w:p>
    <w:p>
      <w:pPr>
        <w:spacing w:after="0" w:line="11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proposed changes to NASDAQ OMX’s restated certificate of incorporation will not become effective until they are filed and effective with the SEC and the state of Delaware.</w:t>
      </w:r>
    </w:p>
    <w:p>
      <w:pPr>
        <w:spacing w:after="0" w:line="94" w:lineRule="exact"/>
        <w:rPr>
          <w:sz w:val="20"/>
          <w:szCs w:val="20"/>
          <w:color w:val="auto"/>
        </w:rPr>
      </w:pPr>
    </w:p>
    <w:p>
      <w:pPr>
        <w:ind w:right="220"/>
        <w:spacing w:after="0"/>
        <w:rPr>
          <w:sz w:val="20"/>
          <w:szCs w:val="20"/>
          <w:color w:val="auto"/>
        </w:rPr>
      </w:pPr>
      <w:r>
        <w:rPr>
          <w:rFonts w:ascii="Arial" w:cs="Arial" w:eastAsia="Arial" w:hAnsi="Arial"/>
          <w:sz w:val="18"/>
          <w:szCs w:val="18"/>
          <w:b w:val="1"/>
          <w:bCs w:val="1"/>
          <w:i w:val="1"/>
          <w:iCs w:val="1"/>
          <w:color w:val="auto"/>
        </w:rPr>
        <w:t xml:space="preserve">What is a broker non-vote? </w:t>
      </w:r>
      <w:r>
        <w:rPr>
          <w:rFonts w:ascii="Arial" w:cs="Arial" w:eastAsia="Arial" w:hAnsi="Arial"/>
          <w:sz w:val="18"/>
          <w:szCs w:val="18"/>
          <w:color w:val="auto"/>
        </w:rPr>
        <w:t>If you are a beneficial owner whose shares are held of record by a broker, you must instruct the broker how to vote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your shares. If you do not provide voting instructions, your shares will not be voted on any proposal on which the broker does not have discretionary authority to vote. This is called a “broker non-vote.” The ratification of the appointment of Ernst &amp; Young LLP as our registered independent public accounting firm is considered a “routine” matter. Accordingly, brokers may vote shares on this proposal without your instructions, and there will be no broker non-votes with respect to this proposal. The other proposals are considered “non-routine,” and brokers cannot vote shares on these proposals without your instructions.</w:t>
      </w:r>
    </w:p>
    <w:p>
      <w:pPr>
        <w:spacing w:after="0" w:line="93"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color w:val="auto"/>
        </w:rPr>
        <w:t>If you hold your shares through a broker, it is important that you cast your vote if you want it to count on all of the matters to be considered at the annual meeting other than the ratification of the appointment of our independent registered public accounting firm. Thus, if you hold your shares in street name and you do not instruct your broker how to vote on these matters, no votes will be cast on your behalf.</w:t>
      </w:r>
    </w:p>
    <w:p>
      <w:pPr>
        <w:spacing w:after="0" w:line="92"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i w:val="1"/>
          <w:iCs w:val="1"/>
          <w:color w:val="auto"/>
        </w:rPr>
        <w:t xml:space="preserve">What if other items come up at the annual meeting and I am not there to vote? </w:t>
      </w:r>
      <w:r>
        <w:rPr>
          <w:rFonts w:ascii="Arial" w:cs="Arial" w:eastAsia="Arial" w:hAnsi="Arial"/>
          <w:sz w:val="18"/>
          <w:szCs w:val="18"/>
          <w:color w:val="auto"/>
        </w:rPr>
        <w:t>We are not now aware of any matters to be presented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meeting other than those described in this proxy statement. When you provide your voting instructions by Internet or telephone, or return a signed and dated proxy card, you give the proxy holders the discretionary authority to vote on your behalf on any other matter that is properly brought before the annual meeting. If the meeting is adjourned or postponed, your NASDAQ OMX shares may be voted by the proxy holders on the new meeting date, unless you have revoked your proxy instructions before that date.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Can I change my vote? </w:t>
      </w:r>
      <w:r>
        <w:rPr>
          <w:rFonts w:ascii="Arial" w:cs="Arial" w:eastAsia="Arial" w:hAnsi="Arial"/>
          <w:sz w:val="18"/>
          <w:szCs w:val="18"/>
          <w:color w:val="auto"/>
        </w:rPr>
        <w:t>You can change your vote by revoking your proxy at any time before it is exercised in one of three ways:</w:t>
      </w:r>
    </w:p>
    <w:p>
      <w:pPr>
        <w:spacing w:after="0" w:line="83" w:lineRule="exact"/>
        <w:rPr>
          <w:sz w:val="20"/>
          <w:szCs w:val="20"/>
          <w:color w:val="auto"/>
        </w:rPr>
      </w:pPr>
    </w:p>
    <w:p>
      <w:pPr>
        <w:ind w:left="1120" w:hanging="437"/>
        <w:spacing w:after="0"/>
        <w:tabs>
          <w:tab w:leader="none" w:pos="1120" w:val="left"/>
        </w:tabs>
        <w:numPr>
          <w:ilvl w:val="0"/>
          <w:numId w:val="12"/>
        </w:numPr>
        <w:rPr>
          <w:rFonts w:ascii="Arial" w:cs="Arial" w:eastAsia="Arial" w:hAnsi="Arial"/>
          <w:sz w:val="18"/>
          <w:szCs w:val="18"/>
          <w:color w:val="0088A6"/>
        </w:rPr>
      </w:pPr>
      <w:r>
        <w:rPr>
          <w:rFonts w:ascii="Arial" w:cs="Arial" w:eastAsia="Arial" w:hAnsi="Arial"/>
          <w:sz w:val="18"/>
          <w:szCs w:val="18"/>
          <w:color w:val="auto"/>
        </w:rPr>
        <w:t>Submit a later dated proxy (including a proxy submitted through the Internet, by telephone or by proxy card);</w:t>
      </w:r>
    </w:p>
    <w:p>
      <w:pPr>
        <w:spacing w:after="0" w:line="14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20" w:right="520" w:hanging="437"/>
        <w:spacing w:after="0" w:line="299" w:lineRule="auto"/>
        <w:tabs>
          <w:tab w:leader="none" w:pos="1120" w:val="left"/>
        </w:tabs>
        <w:numPr>
          <w:ilvl w:val="0"/>
          <w:numId w:val="13"/>
        </w:numPr>
        <w:rPr>
          <w:rFonts w:ascii="Arial" w:cs="Arial" w:eastAsia="Arial" w:hAnsi="Arial"/>
          <w:sz w:val="16"/>
          <w:szCs w:val="16"/>
          <w:color w:val="0088A6"/>
        </w:rPr>
      </w:pPr>
      <w:r>
        <w:rPr>
          <w:rFonts w:ascii="Arial" w:cs="Arial" w:eastAsia="Arial" w:hAnsi="Arial"/>
          <w:sz w:val="16"/>
          <w:szCs w:val="16"/>
          <w:color w:val="auto"/>
        </w:rPr>
        <w:t>Notify NASDAQ OMX’s corporate secretary, Joan C. Conley, The NASDAQ OMX Group, Inc., One Liberty Plaza, 50</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10006, in writing or by email (corporatesecretary@nasdaqomx.com), that you are revoking your proxy; or</w:t>
      </w:r>
    </w:p>
    <w:p>
      <w:pPr>
        <w:spacing w:after="0" w:line="14" w:lineRule="exact"/>
        <w:rPr>
          <w:rFonts w:ascii="Arial" w:cs="Arial" w:eastAsia="Arial" w:hAnsi="Arial"/>
          <w:sz w:val="16"/>
          <w:szCs w:val="16"/>
          <w:color w:val="0088A6"/>
        </w:rPr>
      </w:pPr>
    </w:p>
    <w:p>
      <w:pPr>
        <w:ind w:left="1120" w:hanging="437"/>
        <w:spacing w:after="0"/>
        <w:tabs>
          <w:tab w:leader="none" w:pos="1120" w:val="left"/>
        </w:tabs>
        <w:numPr>
          <w:ilvl w:val="0"/>
          <w:numId w:val="13"/>
        </w:numPr>
        <w:rPr>
          <w:rFonts w:ascii="Arial" w:cs="Arial" w:eastAsia="Arial" w:hAnsi="Arial"/>
          <w:sz w:val="18"/>
          <w:szCs w:val="18"/>
          <w:color w:val="0088A6"/>
        </w:rPr>
      </w:pPr>
      <w:r>
        <w:rPr>
          <w:rFonts w:ascii="Arial" w:cs="Arial" w:eastAsia="Arial" w:hAnsi="Arial"/>
          <w:sz w:val="18"/>
          <w:szCs w:val="18"/>
          <w:color w:val="auto"/>
        </w:rPr>
        <w:t>Vote in person at the annual meeting.</w:t>
      </w:r>
    </w:p>
    <w:p>
      <w:pPr>
        <w:spacing w:after="0" w:line="11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you are a beneficial owner of NASDAQ OMX shares held by a bank, broker or other nominee, you will need to contact the bank, broker or other nominee to revoke your proxy.</w:t>
      </w:r>
    </w:p>
    <w:p>
      <w:pPr>
        <w:spacing w:after="0" w:line="94"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b w:val="1"/>
          <w:bCs w:val="1"/>
          <w:i w:val="1"/>
          <w:iCs w:val="1"/>
          <w:color w:val="auto"/>
        </w:rPr>
        <w:t xml:space="preserve">When will the results of the voting be available? </w:t>
      </w:r>
      <w:r>
        <w:rPr>
          <w:rFonts w:ascii="Arial" w:cs="Arial" w:eastAsia="Arial" w:hAnsi="Arial"/>
          <w:sz w:val="18"/>
          <w:szCs w:val="18"/>
          <w:color w:val="auto"/>
        </w:rPr>
        <w:t>Votes will be tabulated by Broadridge Financial Solutions, Inc., the independent inspector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elections appointed for the meeting. Preliminary results will be announced at the meeting and, thereafter, final results will be reported in a current report on Form 8-K, which is expected to be filed with the SEC within four business days after the meeting.</w:t>
      </w:r>
    </w:p>
    <w:p>
      <w:pPr>
        <w:spacing w:after="0" w:line="8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 xml:space="preserve">Who is paying the costs of this proxy solicitation? </w:t>
      </w:r>
      <w:r>
        <w:rPr>
          <w:rFonts w:ascii="Arial" w:cs="Arial" w:eastAsia="Arial" w:hAnsi="Arial"/>
          <w:sz w:val="18"/>
          <w:szCs w:val="18"/>
          <w:color w:val="auto"/>
        </w:rPr>
        <w:t>We will pay the cost of soliciting proxies. Proxies may be solicited on our behalf by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or employees (who will not receive any additional compensation for these solicitations), in person or by telephone, electronic transmission and facsimile transmission. NASDAQ OMX will, upon request, reimburse brokers, banks and other nominees for their reasonable expenses in sending proxy materials to their beneficial owners/customers and obtaining their proxies. We have hired AST Phoenix Advisors Partners to assist in soliciting proxies at a fee of $7,500 plus costs and expenses for these services. Your cooperation in promptly submitting your proxy through the Internet or by telephone, or, if proxy materials are requested by mail, by completing, signing, dating and returning the enclosed proxy card will help to avoid additional expense.</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Does NASDAQ OMX have a practice of householding? </w:t>
      </w:r>
      <w:r>
        <w:rPr>
          <w:rFonts w:ascii="Arial" w:cs="Arial" w:eastAsia="Arial" w:hAnsi="Arial"/>
          <w:sz w:val="18"/>
          <w:szCs w:val="18"/>
          <w:color w:val="auto"/>
        </w:rPr>
        <w:t>In a further effort to reduce printing and postage fees for the meeting notice, NASDAQ</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OMX has adopted a practice approved by the SEC known as “householding.” Under our practice, stockholders who have the same last name and address will receive one notice of Internet availability of proxy materials, unless one or more of these stockholders notifies us that he or she desires to continue to receive a separate copy of the proxy materials. Beneficial owners can request information about householding from their bank, broker or other nominee of record. If you would like to receive a separate copy of the proxy materials or, if you are a stockholder at a shared address to which we delivered multiple copies of proxy materials and you desire to receive one copy of proxy materials in the future, please contact the NASDAQ OMX Investor Relations Department, Attention: Edward Ditmire, One Liberty Plaza, 49</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10006, in writing or by email (investor.relations@nasdaqomx.com).</w:t>
      </w:r>
    </w:p>
    <w:p>
      <w:pPr>
        <w:spacing w:after="0" w:line="14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PROPOSAL I</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Directors</w:t>
      </w:r>
    </w:p>
    <w:p>
      <w:pPr>
        <w:spacing w:after="0" w:line="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business and affairs of NASDAQ OMX are managed under the direction of our board of directors. Our directors have diverse backgrounds and experience and represent a broad spectrum of viewpoints.</w:t>
      </w:r>
    </w:p>
    <w:p>
      <w:pPr>
        <w:spacing w:after="0" w:line="1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our restated certificate of incorporation and by-laws and based on our governance needs, the board may determine the total number of directors. Currently, the board is authorized to have 11 directors.</w:t>
      </w:r>
    </w:p>
    <w:p>
      <w:pPr>
        <w:spacing w:after="0" w:line="114"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Each of the current members of the board has been nominated by our nominating &amp; governance committee and board of directors for re-election to a one-year term. All nominees have consented to be named in this proxy statement and to serve on the NASDAQ OMX board, if elected.</w:t>
      </w:r>
    </w:p>
    <w:p>
      <w:pPr>
        <w:spacing w:after="0" w:line="6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In an uncontested election, our directors are elected by a majority of votes cast at any meeting for the election of directors at which a quorum is present. This election is an uncontested election, and therefore, each of the 11 nominees must receive the affirmative vote of a majority of the votes cast to be duly elected to the board of directors. Any shares not voted by abstention and broker non-votes will not impact the vote. Our corporate governance guidelines require that, in an uncontested election, an incumbent director must submit an irrevocable resignation as a condition to his or her nomination for election. If an incumbent director fails to receive the requisite number of votes in an uncontested election, the irrevocable resignation becomes effective and such resignation will be considered by the nominating &amp; governance committee. This committee will recommend to the full board whether or not to accept the resignation. The board is required to act on the recommendation and to disclose publicly its decision-making process with respect to the resignation. All the nominees have submitted the irrevocable resignation.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RESPONSIBILITIES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its general oversight of management, the board also performs a number of specific functions, including:</w:t>
      </w:r>
    </w:p>
    <w:p>
      <w:pPr>
        <w:spacing w:after="0" w:line="63" w:lineRule="exact"/>
        <w:rPr>
          <w:sz w:val="20"/>
          <w:szCs w:val="20"/>
          <w:color w:val="auto"/>
        </w:rPr>
      </w:pPr>
    </w:p>
    <w:p>
      <w:pPr>
        <w:ind w:left="1120" w:right="660" w:hanging="437"/>
        <w:spacing w:after="0" w:line="239" w:lineRule="auto"/>
        <w:tabs>
          <w:tab w:leader="none" w:pos="1120" w:val="left"/>
        </w:tabs>
        <w:numPr>
          <w:ilvl w:val="0"/>
          <w:numId w:val="14"/>
        </w:numPr>
        <w:rPr>
          <w:rFonts w:ascii="Arial" w:cs="Arial" w:eastAsia="Arial" w:hAnsi="Arial"/>
          <w:sz w:val="18"/>
          <w:szCs w:val="18"/>
          <w:color w:val="0088A6"/>
        </w:rPr>
      </w:pPr>
      <w:r>
        <w:rPr>
          <w:rFonts w:ascii="Arial" w:cs="Arial" w:eastAsia="Arial" w:hAnsi="Arial"/>
          <w:sz w:val="18"/>
          <w:szCs w:val="18"/>
          <w:color w:val="auto"/>
        </w:rPr>
        <w:t>Reviewing, approving and overseeing our corporate strategies and corporate actions including long-term strategic plans and evaluating the results;</w:t>
      </w:r>
    </w:p>
    <w:p>
      <w:pPr>
        <w:spacing w:after="0" w:line="60" w:lineRule="exact"/>
        <w:rPr>
          <w:rFonts w:ascii="Arial" w:cs="Arial" w:eastAsia="Arial" w:hAnsi="Arial"/>
          <w:sz w:val="18"/>
          <w:szCs w:val="18"/>
          <w:color w:val="0088A6"/>
        </w:rPr>
      </w:pPr>
    </w:p>
    <w:p>
      <w:pPr>
        <w:ind w:left="1120" w:hanging="437"/>
        <w:spacing w:after="0"/>
        <w:tabs>
          <w:tab w:leader="none" w:pos="1120" w:val="left"/>
        </w:tabs>
        <w:numPr>
          <w:ilvl w:val="0"/>
          <w:numId w:val="14"/>
        </w:numPr>
        <w:rPr>
          <w:rFonts w:ascii="Arial" w:cs="Arial" w:eastAsia="Arial" w:hAnsi="Arial"/>
          <w:sz w:val="18"/>
          <w:szCs w:val="18"/>
          <w:color w:val="0088A6"/>
        </w:rPr>
      </w:pPr>
      <w:r>
        <w:rPr>
          <w:rFonts w:ascii="Arial" w:cs="Arial" w:eastAsia="Arial" w:hAnsi="Arial"/>
          <w:sz w:val="18"/>
          <w:szCs w:val="18"/>
          <w:color w:val="auto"/>
        </w:rPr>
        <w:t>Reviewing, approving and overseeing fundamental financial information and reporting;</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14"/>
        </w:numPr>
        <w:rPr>
          <w:rFonts w:ascii="Arial" w:cs="Arial" w:eastAsia="Arial" w:hAnsi="Arial"/>
          <w:sz w:val="18"/>
          <w:szCs w:val="18"/>
          <w:color w:val="0088A6"/>
        </w:rPr>
      </w:pPr>
      <w:r>
        <w:rPr>
          <w:rFonts w:ascii="Arial" w:cs="Arial" w:eastAsia="Arial" w:hAnsi="Arial"/>
          <w:sz w:val="18"/>
          <w:szCs w:val="18"/>
          <w:color w:val="auto"/>
        </w:rPr>
        <w:t>Assessing major risks and reviewing options for their mitigation;</w:t>
      </w:r>
    </w:p>
    <w:p>
      <w:pPr>
        <w:spacing w:after="0" w:line="63" w:lineRule="exact"/>
        <w:rPr>
          <w:rFonts w:ascii="Arial" w:cs="Arial" w:eastAsia="Arial" w:hAnsi="Arial"/>
          <w:sz w:val="18"/>
          <w:szCs w:val="18"/>
          <w:color w:val="0088A6"/>
        </w:rPr>
      </w:pPr>
    </w:p>
    <w:p>
      <w:pPr>
        <w:ind w:left="1120" w:right="500" w:hanging="437"/>
        <w:spacing w:after="0" w:line="239" w:lineRule="auto"/>
        <w:tabs>
          <w:tab w:leader="none" w:pos="1120" w:val="left"/>
        </w:tabs>
        <w:numPr>
          <w:ilvl w:val="0"/>
          <w:numId w:val="14"/>
        </w:numPr>
        <w:rPr>
          <w:rFonts w:ascii="Arial" w:cs="Arial" w:eastAsia="Arial" w:hAnsi="Arial"/>
          <w:sz w:val="18"/>
          <w:szCs w:val="18"/>
          <w:color w:val="0088A6"/>
        </w:rPr>
      </w:pPr>
      <w:r>
        <w:rPr>
          <w:rFonts w:ascii="Arial" w:cs="Arial" w:eastAsia="Arial" w:hAnsi="Arial"/>
          <w:sz w:val="18"/>
          <w:szCs w:val="18"/>
          <w:color w:val="auto"/>
        </w:rPr>
        <w:t>Overseeing management’s efforts to establish and maintain the highest legal, regulatory and ethical conduct of all businesses, including conformity with applicable global laws and regulations;</w:t>
      </w:r>
    </w:p>
    <w:p>
      <w:pPr>
        <w:spacing w:after="0" w:line="60" w:lineRule="exact"/>
        <w:rPr>
          <w:rFonts w:ascii="Arial" w:cs="Arial" w:eastAsia="Arial" w:hAnsi="Arial"/>
          <w:sz w:val="18"/>
          <w:szCs w:val="18"/>
          <w:color w:val="0088A6"/>
        </w:rPr>
      </w:pPr>
    </w:p>
    <w:p>
      <w:pPr>
        <w:ind w:left="1120" w:right="580" w:hanging="437"/>
        <w:spacing w:after="0" w:line="239" w:lineRule="auto"/>
        <w:tabs>
          <w:tab w:leader="none" w:pos="1120" w:val="left"/>
        </w:tabs>
        <w:numPr>
          <w:ilvl w:val="0"/>
          <w:numId w:val="14"/>
        </w:numPr>
        <w:rPr>
          <w:rFonts w:ascii="Arial" w:cs="Arial" w:eastAsia="Arial" w:hAnsi="Arial"/>
          <w:sz w:val="18"/>
          <w:szCs w:val="18"/>
          <w:color w:val="0088A6"/>
        </w:rPr>
      </w:pPr>
      <w:r>
        <w:rPr>
          <w:rFonts w:ascii="Arial" w:cs="Arial" w:eastAsia="Arial" w:hAnsi="Arial"/>
          <w:sz w:val="18"/>
          <w:szCs w:val="18"/>
          <w:color w:val="auto"/>
        </w:rPr>
        <w:t>Selecting, evaluating and approving the compensation of the Chief Executive Officer and other senior officers and overseeing succession planning for these executives;</w:t>
      </w:r>
    </w:p>
    <w:p>
      <w:pPr>
        <w:spacing w:after="0" w:line="60" w:lineRule="exact"/>
        <w:rPr>
          <w:rFonts w:ascii="Arial" w:cs="Arial" w:eastAsia="Arial" w:hAnsi="Arial"/>
          <w:sz w:val="18"/>
          <w:szCs w:val="18"/>
          <w:color w:val="0088A6"/>
        </w:rPr>
      </w:pPr>
    </w:p>
    <w:p>
      <w:pPr>
        <w:ind w:left="1120" w:right="120" w:hanging="437"/>
        <w:spacing w:after="0" w:line="239" w:lineRule="auto"/>
        <w:tabs>
          <w:tab w:leader="none" w:pos="1120" w:val="left"/>
        </w:tabs>
        <w:numPr>
          <w:ilvl w:val="0"/>
          <w:numId w:val="14"/>
        </w:numPr>
        <w:rPr>
          <w:rFonts w:ascii="Arial" w:cs="Arial" w:eastAsia="Arial" w:hAnsi="Arial"/>
          <w:sz w:val="18"/>
          <w:szCs w:val="18"/>
          <w:color w:val="0088A6"/>
        </w:rPr>
      </w:pPr>
      <w:r>
        <w:rPr>
          <w:rFonts w:ascii="Arial" w:cs="Arial" w:eastAsia="Arial" w:hAnsi="Arial"/>
          <w:sz w:val="18"/>
          <w:szCs w:val="18"/>
          <w:color w:val="auto"/>
        </w:rPr>
        <w:t>Evaluating the overall structure and effectiveness of the board, board members and committees and overseeing effective corporate governance;</w:t>
      </w:r>
    </w:p>
    <w:p>
      <w:pPr>
        <w:spacing w:after="0" w:line="60" w:lineRule="exact"/>
        <w:rPr>
          <w:rFonts w:ascii="Arial" w:cs="Arial" w:eastAsia="Arial" w:hAnsi="Arial"/>
          <w:sz w:val="18"/>
          <w:szCs w:val="18"/>
          <w:color w:val="0088A6"/>
        </w:rPr>
      </w:pPr>
    </w:p>
    <w:p>
      <w:pPr>
        <w:ind w:left="1120" w:hanging="437"/>
        <w:spacing w:after="0"/>
        <w:tabs>
          <w:tab w:leader="none" w:pos="1120" w:val="left"/>
        </w:tabs>
        <w:numPr>
          <w:ilvl w:val="0"/>
          <w:numId w:val="14"/>
        </w:numPr>
        <w:rPr>
          <w:rFonts w:ascii="Arial" w:cs="Arial" w:eastAsia="Arial" w:hAnsi="Arial"/>
          <w:sz w:val="18"/>
          <w:szCs w:val="18"/>
          <w:color w:val="0088A6"/>
        </w:rPr>
      </w:pPr>
      <w:r>
        <w:rPr>
          <w:rFonts w:ascii="Arial" w:cs="Arial" w:eastAsia="Arial" w:hAnsi="Arial"/>
          <w:sz w:val="18"/>
          <w:szCs w:val="18"/>
          <w:color w:val="auto"/>
        </w:rPr>
        <w:t>Providing advice and counsel to senior management; and</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14"/>
        </w:numPr>
        <w:rPr>
          <w:rFonts w:ascii="Arial" w:cs="Arial" w:eastAsia="Arial" w:hAnsi="Arial"/>
          <w:sz w:val="18"/>
          <w:szCs w:val="18"/>
          <w:color w:val="0088A6"/>
        </w:rPr>
      </w:pPr>
      <w:r>
        <w:rPr>
          <w:rFonts w:ascii="Arial" w:cs="Arial" w:eastAsia="Arial" w:hAnsi="Arial"/>
          <w:sz w:val="18"/>
          <w:szCs w:val="18"/>
          <w:color w:val="auto"/>
        </w:rPr>
        <w:t>Evaluating, selecting and recommending an appropriate slate of candidates to stockholders for election as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ROLES OF CHAIRMAN AND CHIEF EXECUTIVE OFFICER</w:t>
      </w:r>
    </w:p>
    <w:p>
      <w:pPr>
        <w:spacing w:after="0" w:line="72"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NASDAQ OMX separates the roles of chairman of the board and Chief Executive Officer. NASDAQ OMX believes that this separation of roles promotes more effective communication channels for the board to express its views on management. NASDAQ OMX’s Chief Executive Officer, Robert Greifeld,</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who has over twenty years’ experience in the securities industry, is responsible for the strategic direction, day-to-day leadership and performance of NASDAQ OMX. The chairman of NASDAQ OMX’s board, Börje E. Ekholm, who brings to the board the perspective of a large stockholder, provides guidance to the Chief Executive Officer, presides over meetings and executive sessions of the board of directors and serves as the primary liaison between the Chief Executive Officer and the other directors. We believe that this separation of roles and allocation of distinct responsibilities to each role facilitates communication between senior management and the full board of directors about issues such as corporate governance, management development, succession planning, executive compensation and company performance.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CLASSIFICATIONS</w:t>
      </w:r>
    </w:p>
    <w:p>
      <w:pPr>
        <w:spacing w:after="0" w:line="72"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In accordance with SEC requirements to ensure that balanced viewpoints are represented on our board of directors, NASDAQ OMX’s by-laws require that all directors be classified as:</w:t>
      </w:r>
    </w:p>
    <w:p>
      <w:pPr>
        <w:spacing w:after="0" w:line="60" w:lineRule="exact"/>
        <w:rPr>
          <w:sz w:val="20"/>
          <w:szCs w:val="20"/>
          <w:color w:val="auto"/>
        </w:rPr>
      </w:pPr>
    </w:p>
    <w:p>
      <w:pPr>
        <w:ind w:left="1120" w:hanging="437"/>
        <w:spacing w:after="0"/>
        <w:tabs>
          <w:tab w:leader="none" w:pos="1120" w:val="left"/>
        </w:tabs>
        <w:numPr>
          <w:ilvl w:val="0"/>
          <w:numId w:val="15"/>
        </w:numPr>
        <w:rPr>
          <w:rFonts w:ascii="Arial" w:cs="Arial" w:eastAsia="Arial" w:hAnsi="Arial"/>
          <w:sz w:val="18"/>
          <w:szCs w:val="18"/>
          <w:color w:val="0088A6"/>
        </w:rPr>
      </w:pPr>
      <w:r>
        <w:rPr>
          <w:rFonts w:ascii="Arial" w:cs="Arial" w:eastAsia="Arial" w:hAnsi="Arial"/>
          <w:sz w:val="18"/>
          <w:szCs w:val="18"/>
          <w:color w:val="auto"/>
        </w:rPr>
        <w:t>Industry Directors;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15"/>
        </w:numPr>
        <w:rPr>
          <w:rFonts w:ascii="Arial" w:cs="Arial" w:eastAsia="Arial" w:hAnsi="Arial"/>
          <w:sz w:val="18"/>
          <w:szCs w:val="18"/>
          <w:color w:val="0088A6"/>
        </w:rPr>
      </w:pPr>
      <w:r>
        <w:rPr>
          <w:rFonts w:ascii="Arial" w:cs="Arial" w:eastAsia="Arial" w:hAnsi="Arial"/>
          <w:sz w:val="18"/>
          <w:szCs w:val="18"/>
          <w:color w:val="auto"/>
        </w:rPr>
        <w:t>Non-Industry Directors, which are further classified as either Issuer Directors or Public Directors; or</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15"/>
        </w:numPr>
        <w:rPr>
          <w:rFonts w:ascii="Arial" w:cs="Arial" w:eastAsia="Arial" w:hAnsi="Arial"/>
          <w:sz w:val="18"/>
          <w:szCs w:val="18"/>
          <w:color w:val="0088A6"/>
        </w:rPr>
      </w:pPr>
      <w:r>
        <w:rPr>
          <w:rFonts w:ascii="Arial" w:cs="Arial" w:eastAsia="Arial" w:hAnsi="Arial"/>
          <w:sz w:val="18"/>
          <w:szCs w:val="18"/>
          <w:color w:val="auto"/>
        </w:rPr>
        <w:t>Staff Directors.</w:t>
      </w:r>
    </w:p>
    <w:p>
      <w:pPr>
        <w:spacing w:after="0" w:line="11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The number of Non-Industry Directors shall equal or exceed the number of Industry Directors. The board shall include at least two Public Directors and at least one, but no more than two, Issuer Directors. The board shall include no more than one Staff Director, unless the board consists of ten or more directors. In that case, the board shall include no more than two Staff Directors.</w:t>
      </w:r>
    </w:p>
    <w:p>
      <w:pPr>
        <w:spacing w:after="0" w:line="114"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We establish the classification of each director based on a questionnaire with specific questions relating to the classifications. NASDAQ OMX’s corporate secretary annually certifies to the nominating &amp; governance committee the classification of each director. The following is a general description of NASDAQ OMX’s director classifications, which are detailed in our by-laws:</w:t>
      </w:r>
    </w:p>
    <w:p>
      <w:pPr>
        <w:spacing w:after="0" w:line="109" w:lineRule="exact"/>
        <w:rPr>
          <w:sz w:val="20"/>
          <w:szCs w:val="20"/>
          <w:color w:val="auto"/>
        </w:rPr>
      </w:pPr>
    </w:p>
    <w:p>
      <w:pPr>
        <w:ind w:left="1120" w:right="40" w:hanging="315"/>
        <w:spacing w:after="0" w:line="270" w:lineRule="auto"/>
        <w:tabs>
          <w:tab w:leader="none" w:pos="1120" w:val="left"/>
        </w:tabs>
        <w:numPr>
          <w:ilvl w:val="0"/>
          <w:numId w:val="16"/>
        </w:numPr>
        <w:rPr>
          <w:rFonts w:ascii="Arial" w:cs="Arial" w:eastAsia="Arial" w:hAnsi="Arial"/>
          <w:sz w:val="16"/>
          <w:szCs w:val="16"/>
          <w:color w:val="0088A6"/>
        </w:rPr>
      </w:pPr>
      <w:r>
        <w:rPr>
          <w:rFonts w:ascii="Arial" w:cs="Arial" w:eastAsia="Arial" w:hAnsi="Arial"/>
          <w:sz w:val="16"/>
          <w:szCs w:val="16"/>
          <w:i w:val="1"/>
          <w:iCs w:val="1"/>
          <w:color w:val="auto"/>
        </w:rPr>
        <w:t xml:space="preserve">Industry Director </w:t>
      </w:r>
      <w:r>
        <w:rPr>
          <w:rFonts w:ascii="Arial" w:cs="Arial" w:eastAsia="Arial" w:hAnsi="Arial"/>
          <w:sz w:val="16"/>
          <w:szCs w:val="16"/>
          <w:color w:val="auto"/>
        </w:rPr>
        <w:t>means a director who is not a Staff Director and who (i) is, or within the last year was, or has an immediate family</w:t>
      </w:r>
      <w:r>
        <w:rPr>
          <w:rFonts w:ascii="Arial" w:cs="Arial" w:eastAsia="Arial" w:hAnsi="Arial"/>
          <w:sz w:val="16"/>
          <w:szCs w:val="16"/>
          <w:i w:val="1"/>
          <w:iCs w:val="1"/>
          <w:color w:val="auto"/>
        </w:rPr>
        <w:t xml:space="preserve"> </w:t>
      </w:r>
      <w:r>
        <w:rPr>
          <w:rFonts w:ascii="Arial" w:cs="Arial" w:eastAsia="Arial" w:hAnsi="Arial"/>
          <w:sz w:val="16"/>
          <w:szCs w:val="16"/>
          <w:color w:val="auto"/>
        </w:rPr>
        <w:t>member who is, or within the last year was, a member of any of NASDAQ OMX’s self-regulatory subsidiaries; (ii) is, or within the last year was, employed by a member or a member organization of any of NASDAQ OMX’s self-regulatory subsidiaries; (iii) has an immediate family member who is, or within the last year was, an executive officer of a member or a member organization of any of NASDAQ OMX’s self-regulatory subsidiaries; (iv) has within the last year received from any member or member organization of any of NASDAQ OMX’s self-regulatory subsidiaries more than $100,000 per year in direct compensation, or received from such members or member organizations in the aggregate an amount of direct compensation that in any one year is more than 10% of the director’s annual gross compensation for such year, excluding in each case director and committee fees and pension or other forms of deferred compensation for prior service (provided such compensation is not contingent in any way on continued service); or (v) is affiliated, directly or indirectly, with a member or member organization of any of NASDAQ OMX’s self-regulatory subsidiaries;</w:t>
      </w:r>
    </w:p>
    <w:p>
      <w:pPr>
        <w:spacing w:after="0" w:line="90" w:lineRule="exact"/>
        <w:rPr>
          <w:rFonts w:ascii="Arial" w:cs="Arial" w:eastAsia="Arial" w:hAnsi="Arial"/>
          <w:sz w:val="16"/>
          <w:szCs w:val="16"/>
          <w:color w:val="0088A6"/>
        </w:rPr>
      </w:pPr>
    </w:p>
    <w:p>
      <w:pPr>
        <w:ind w:left="1120" w:right="180" w:hanging="315"/>
        <w:spacing w:after="0" w:line="260" w:lineRule="auto"/>
        <w:tabs>
          <w:tab w:leader="none" w:pos="1120" w:val="left"/>
        </w:tabs>
        <w:numPr>
          <w:ilvl w:val="0"/>
          <w:numId w:val="16"/>
        </w:numPr>
        <w:rPr>
          <w:rFonts w:ascii="Arial" w:cs="Arial" w:eastAsia="Arial" w:hAnsi="Arial"/>
          <w:sz w:val="18"/>
          <w:szCs w:val="18"/>
          <w:color w:val="0088A6"/>
        </w:rPr>
      </w:pPr>
      <w:r>
        <w:rPr>
          <w:rFonts w:ascii="Arial" w:cs="Arial" w:eastAsia="Arial" w:hAnsi="Arial"/>
          <w:sz w:val="18"/>
          <w:szCs w:val="18"/>
          <w:i w:val="1"/>
          <w:iCs w:val="1"/>
          <w:color w:val="auto"/>
        </w:rPr>
        <w:t xml:space="preserve">Non-Industry Director </w:t>
      </w:r>
      <w:r>
        <w:rPr>
          <w:rFonts w:ascii="Arial" w:cs="Arial" w:eastAsia="Arial" w:hAnsi="Arial"/>
          <w:sz w:val="18"/>
          <w:szCs w:val="18"/>
          <w:color w:val="auto"/>
        </w:rPr>
        <w:t>means a director who is not a Staff Director and who is (i) a Public Director; (ii) an Issuer Director; or (iii)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individual who would not be an Industry Director;</w:t>
      </w:r>
    </w:p>
    <w:p>
      <w:pPr>
        <w:spacing w:after="0" w:line="91" w:lineRule="exact"/>
        <w:rPr>
          <w:rFonts w:ascii="Arial" w:cs="Arial" w:eastAsia="Arial" w:hAnsi="Arial"/>
          <w:sz w:val="18"/>
          <w:szCs w:val="18"/>
          <w:color w:val="0088A6"/>
        </w:rPr>
      </w:pPr>
    </w:p>
    <w:p>
      <w:pPr>
        <w:ind w:left="1120" w:right="280" w:hanging="315"/>
        <w:spacing w:after="0" w:line="247" w:lineRule="auto"/>
        <w:tabs>
          <w:tab w:leader="none" w:pos="1120" w:val="left"/>
        </w:tabs>
        <w:numPr>
          <w:ilvl w:val="0"/>
          <w:numId w:val="16"/>
        </w:numPr>
        <w:rPr>
          <w:rFonts w:ascii="Arial" w:cs="Arial" w:eastAsia="Arial" w:hAnsi="Arial"/>
          <w:sz w:val="18"/>
          <w:szCs w:val="18"/>
          <w:color w:val="0088A6"/>
        </w:rPr>
      </w:pPr>
      <w:r>
        <w:rPr>
          <w:rFonts w:ascii="Arial" w:cs="Arial" w:eastAsia="Arial" w:hAnsi="Arial"/>
          <w:sz w:val="18"/>
          <w:szCs w:val="18"/>
          <w:i w:val="1"/>
          <w:iCs w:val="1"/>
          <w:color w:val="auto"/>
        </w:rPr>
        <w:t xml:space="preserve">Issuer Director </w:t>
      </w:r>
      <w:r>
        <w:rPr>
          <w:rFonts w:ascii="Arial" w:cs="Arial" w:eastAsia="Arial" w:hAnsi="Arial"/>
          <w:sz w:val="18"/>
          <w:szCs w:val="18"/>
          <w:color w:val="auto"/>
        </w:rPr>
        <w:t>means a director who is not a Staff Director and who is an officer or employee of an issuer of securities listed on a</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securities exchange operated by any of NASDAQ OMX’s self-regulatory subsidiaries, excluding any director who is a director of an issuer but is not also an officer or employee of the issuer;</w:t>
      </w:r>
    </w:p>
    <w:p>
      <w:pPr>
        <w:spacing w:after="0" w:line="1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20" w:right="300" w:hanging="315"/>
        <w:spacing w:after="0" w:line="247" w:lineRule="auto"/>
        <w:tabs>
          <w:tab w:leader="none" w:pos="1120" w:val="left"/>
        </w:tabs>
        <w:numPr>
          <w:ilvl w:val="0"/>
          <w:numId w:val="17"/>
        </w:numPr>
        <w:rPr>
          <w:rFonts w:ascii="Arial" w:cs="Arial" w:eastAsia="Arial" w:hAnsi="Arial"/>
          <w:sz w:val="18"/>
          <w:szCs w:val="18"/>
          <w:color w:val="0088A6"/>
        </w:rPr>
      </w:pPr>
      <w:r>
        <w:rPr>
          <w:rFonts w:ascii="Arial" w:cs="Arial" w:eastAsia="Arial" w:hAnsi="Arial"/>
          <w:sz w:val="18"/>
          <w:szCs w:val="18"/>
          <w:i w:val="1"/>
          <w:iCs w:val="1"/>
          <w:color w:val="auto"/>
        </w:rPr>
        <w:t xml:space="preserve">Public Director </w:t>
      </w:r>
      <w:r>
        <w:rPr>
          <w:rFonts w:ascii="Arial" w:cs="Arial" w:eastAsia="Arial" w:hAnsi="Arial"/>
          <w:sz w:val="18"/>
          <w:szCs w:val="18"/>
          <w:color w:val="auto"/>
        </w:rPr>
        <w:t>means a director who (i) is not an Industry Director; (ii) is not an Issuer Director; and (iii) has no material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with a member or member organization of any of NASDAQ OMX’s self-regulatory subsidiaries, NASDAQ OMX or its affiliates or FINRA; and</w:t>
      </w:r>
    </w:p>
    <w:p>
      <w:pPr>
        <w:spacing w:after="0" w:line="103" w:lineRule="exact"/>
        <w:rPr>
          <w:rFonts w:ascii="Arial" w:cs="Arial" w:eastAsia="Arial" w:hAnsi="Arial"/>
          <w:sz w:val="18"/>
          <w:szCs w:val="18"/>
          <w:color w:val="0088A6"/>
        </w:rPr>
      </w:pPr>
    </w:p>
    <w:p>
      <w:pPr>
        <w:ind w:left="1120" w:hanging="315"/>
        <w:spacing w:after="0"/>
        <w:tabs>
          <w:tab w:leader="none" w:pos="1120" w:val="left"/>
        </w:tabs>
        <w:numPr>
          <w:ilvl w:val="0"/>
          <w:numId w:val="17"/>
        </w:numPr>
        <w:rPr>
          <w:rFonts w:ascii="Arial" w:cs="Arial" w:eastAsia="Arial" w:hAnsi="Arial"/>
          <w:sz w:val="18"/>
          <w:szCs w:val="18"/>
          <w:color w:val="0088A6"/>
        </w:rPr>
      </w:pPr>
      <w:r>
        <w:rPr>
          <w:rFonts w:ascii="Arial" w:cs="Arial" w:eastAsia="Arial" w:hAnsi="Arial"/>
          <w:sz w:val="18"/>
          <w:szCs w:val="18"/>
          <w:i w:val="1"/>
          <w:iCs w:val="1"/>
          <w:color w:val="auto"/>
        </w:rPr>
        <w:t xml:space="preserve">Staff Director </w:t>
      </w:r>
      <w:r>
        <w:rPr>
          <w:rFonts w:ascii="Arial" w:cs="Arial" w:eastAsia="Arial" w:hAnsi="Arial"/>
          <w:sz w:val="18"/>
          <w:szCs w:val="18"/>
          <w:color w:val="auto"/>
        </w:rPr>
        <w:t>means an officer of NASDAQ OMX that is serving as a director.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NASDAQ OMX’s common stock is currently listed on The NASDAQ Stock Market and NASDAQ Dubai Limited (NASDAQ Dubai). The rules of The NASDAQ Stock Market require that a majority of the members of our board of directors be independent. NASDAQ Dubai requires that at least two directors be independent. In order to qualify as independent under the listing rules of The NASDAQ Stock Market, a director must satisfy a two-part test. First, the director must not fall into any of several categories that would automatically disqualify the director from being deemed independent. These categories prohibit the finding of independence for:</w:t>
      </w:r>
    </w:p>
    <w:p>
      <w:pPr>
        <w:spacing w:after="0" w:line="63" w:lineRule="exact"/>
        <w:rPr>
          <w:sz w:val="20"/>
          <w:szCs w:val="20"/>
          <w:color w:val="auto"/>
        </w:rPr>
      </w:pPr>
    </w:p>
    <w:p>
      <w:pPr>
        <w:ind w:left="1120" w:right="360" w:hanging="437"/>
        <w:spacing w:after="0" w:line="239" w:lineRule="auto"/>
        <w:tabs>
          <w:tab w:leader="none" w:pos="1120" w:val="left"/>
        </w:tabs>
        <w:numPr>
          <w:ilvl w:val="0"/>
          <w:numId w:val="18"/>
        </w:numPr>
        <w:rPr>
          <w:rFonts w:ascii="Arial" w:cs="Arial" w:eastAsia="Arial" w:hAnsi="Arial"/>
          <w:sz w:val="18"/>
          <w:szCs w:val="18"/>
          <w:color w:val="0088A6"/>
        </w:rPr>
      </w:pPr>
      <w:r>
        <w:rPr>
          <w:rFonts w:ascii="Arial" w:cs="Arial" w:eastAsia="Arial" w:hAnsi="Arial"/>
          <w:sz w:val="18"/>
          <w:szCs w:val="18"/>
          <w:color w:val="auto"/>
        </w:rPr>
        <w:t>a director who is, or at any time during the past three years was, employed by the company or by any parent or subsidiary of the company;</w:t>
      </w:r>
    </w:p>
    <w:p>
      <w:pPr>
        <w:spacing w:after="0" w:line="60" w:lineRule="exact"/>
        <w:rPr>
          <w:rFonts w:ascii="Arial" w:cs="Arial" w:eastAsia="Arial" w:hAnsi="Arial"/>
          <w:sz w:val="18"/>
          <w:szCs w:val="18"/>
          <w:color w:val="0088A6"/>
        </w:rPr>
      </w:pPr>
    </w:p>
    <w:p>
      <w:pPr>
        <w:ind w:left="1120" w:right="20" w:hanging="437"/>
        <w:spacing w:after="0" w:line="239" w:lineRule="auto"/>
        <w:tabs>
          <w:tab w:leader="none" w:pos="1120" w:val="left"/>
        </w:tabs>
        <w:numPr>
          <w:ilvl w:val="0"/>
          <w:numId w:val="18"/>
        </w:numPr>
        <w:rPr>
          <w:rFonts w:ascii="Arial" w:cs="Arial" w:eastAsia="Arial" w:hAnsi="Arial"/>
          <w:sz w:val="18"/>
          <w:szCs w:val="18"/>
          <w:color w:val="0088A6"/>
        </w:rPr>
      </w:pPr>
      <w:r>
        <w:rPr>
          <w:rFonts w:ascii="Arial" w:cs="Arial" w:eastAsia="Arial" w:hAnsi="Arial"/>
          <w:sz w:val="18"/>
          <w:szCs w:val="18"/>
          <w:color w:val="auto"/>
        </w:rPr>
        <w:t>a director who accepted, or who has a family member who accepted, certain compensation from the company in excess of $120,000 during any period of twelve consecutive months within the three years preceding the determination of independence;</w:t>
      </w:r>
    </w:p>
    <w:p>
      <w:pPr>
        <w:spacing w:after="0" w:line="60" w:lineRule="exact"/>
        <w:rPr>
          <w:rFonts w:ascii="Arial" w:cs="Arial" w:eastAsia="Arial" w:hAnsi="Arial"/>
          <w:sz w:val="18"/>
          <w:szCs w:val="18"/>
          <w:color w:val="0088A6"/>
        </w:rPr>
      </w:pPr>
    </w:p>
    <w:p>
      <w:pPr>
        <w:ind w:left="1120" w:right="100" w:hanging="437"/>
        <w:spacing w:after="0" w:line="239" w:lineRule="auto"/>
        <w:tabs>
          <w:tab w:leader="none" w:pos="1120" w:val="left"/>
        </w:tabs>
        <w:numPr>
          <w:ilvl w:val="0"/>
          <w:numId w:val="18"/>
        </w:numPr>
        <w:rPr>
          <w:rFonts w:ascii="Arial" w:cs="Arial" w:eastAsia="Arial" w:hAnsi="Arial"/>
          <w:sz w:val="18"/>
          <w:szCs w:val="18"/>
          <w:color w:val="0088A6"/>
        </w:rPr>
      </w:pPr>
      <w:r>
        <w:rPr>
          <w:rFonts w:ascii="Arial" w:cs="Arial" w:eastAsia="Arial" w:hAnsi="Arial"/>
          <w:sz w:val="18"/>
          <w:szCs w:val="18"/>
          <w:color w:val="auto"/>
        </w:rPr>
        <w:t>a director who is a family member of an individual who is, or at any time during the past three years was, employed by the company as an executive officer;</w:t>
      </w:r>
    </w:p>
    <w:p>
      <w:pPr>
        <w:spacing w:after="0" w:line="60" w:lineRule="exact"/>
        <w:rPr>
          <w:rFonts w:ascii="Arial" w:cs="Arial" w:eastAsia="Arial" w:hAnsi="Arial"/>
          <w:sz w:val="18"/>
          <w:szCs w:val="18"/>
          <w:color w:val="0088A6"/>
        </w:rPr>
      </w:pPr>
    </w:p>
    <w:p>
      <w:pPr>
        <w:ind w:left="1120" w:hanging="437"/>
        <w:spacing w:after="0" w:line="237" w:lineRule="auto"/>
        <w:tabs>
          <w:tab w:leader="none" w:pos="1120" w:val="left"/>
        </w:tabs>
        <w:numPr>
          <w:ilvl w:val="0"/>
          <w:numId w:val="18"/>
        </w:numPr>
        <w:rPr>
          <w:rFonts w:ascii="Arial" w:cs="Arial" w:eastAsia="Arial" w:hAnsi="Arial"/>
          <w:sz w:val="18"/>
          <w:szCs w:val="18"/>
          <w:color w:val="0088A6"/>
        </w:rPr>
      </w:pPr>
      <w:r>
        <w:rPr>
          <w:rFonts w:ascii="Arial" w:cs="Arial" w:eastAsia="Arial" w:hAnsi="Arial"/>
          <w:sz w:val="18"/>
          <w:szCs w:val="18"/>
          <w:color w:val="auto"/>
        </w:rPr>
        <w:t>a director who is, or has a family member who is, a partner in, or a controlling stockholder or an executive officer of, any organization to which the company made, or from which the company received, certain payments for property or services in the current or any of the past three fiscal years that exceed 5% of the recipient’s consolidated gross revenues for that year, or $200,000, whichever is more;</w:t>
      </w:r>
    </w:p>
    <w:p>
      <w:pPr>
        <w:spacing w:after="0" w:line="60" w:lineRule="exact"/>
        <w:rPr>
          <w:rFonts w:ascii="Arial" w:cs="Arial" w:eastAsia="Arial" w:hAnsi="Arial"/>
          <w:sz w:val="18"/>
          <w:szCs w:val="18"/>
          <w:color w:val="0088A6"/>
        </w:rPr>
      </w:pPr>
    </w:p>
    <w:p>
      <w:pPr>
        <w:jc w:val="both"/>
        <w:ind w:left="1120" w:right="280" w:hanging="437"/>
        <w:spacing w:after="0" w:line="238" w:lineRule="auto"/>
        <w:tabs>
          <w:tab w:leader="none" w:pos="1120" w:val="left"/>
        </w:tabs>
        <w:numPr>
          <w:ilvl w:val="0"/>
          <w:numId w:val="18"/>
        </w:numPr>
        <w:rPr>
          <w:rFonts w:ascii="Arial" w:cs="Arial" w:eastAsia="Arial" w:hAnsi="Arial"/>
          <w:sz w:val="18"/>
          <w:szCs w:val="18"/>
          <w:color w:val="0088A6"/>
        </w:rPr>
      </w:pPr>
      <w:r>
        <w:rPr>
          <w:rFonts w:ascii="Arial" w:cs="Arial" w:eastAsia="Arial" w:hAnsi="Arial"/>
          <w:sz w:val="18"/>
          <w:szCs w:val="18"/>
          <w:color w:val="auto"/>
        </w:rPr>
        <w:t>a director of the company who is, or has a family member who is, employed as an executive officer of another entity where at any time during the past three years any of the executive officers of the company serve on the compensation committee of such other entity; or</w:t>
      </w:r>
    </w:p>
    <w:p>
      <w:pPr>
        <w:spacing w:after="0" w:line="59" w:lineRule="exact"/>
        <w:rPr>
          <w:rFonts w:ascii="Arial" w:cs="Arial" w:eastAsia="Arial" w:hAnsi="Arial"/>
          <w:sz w:val="18"/>
          <w:szCs w:val="18"/>
          <w:color w:val="0088A6"/>
        </w:rPr>
      </w:pPr>
    </w:p>
    <w:p>
      <w:pPr>
        <w:ind w:left="1120" w:right="200" w:hanging="437"/>
        <w:spacing w:after="0" w:line="239" w:lineRule="auto"/>
        <w:tabs>
          <w:tab w:leader="none" w:pos="1120" w:val="left"/>
        </w:tabs>
        <w:numPr>
          <w:ilvl w:val="0"/>
          <w:numId w:val="18"/>
        </w:numPr>
        <w:rPr>
          <w:rFonts w:ascii="Arial" w:cs="Arial" w:eastAsia="Arial" w:hAnsi="Arial"/>
          <w:sz w:val="18"/>
          <w:szCs w:val="18"/>
          <w:color w:val="0088A6"/>
        </w:rPr>
      </w:pPr>
      <w:r>
        <w:rPr>
          <w:rFonts w:ascii="Arial" w:cs="Arial" w:eastAsia="Arial" w:hAnsi="Arial"/>
          <w:sz w:val="18"/>
          <w:szCs w:val="18"/>
          <w:color w:val="auto"/>
        </w:rPr>
        <w:t>a director who is, or has a family member who is, a current partner of the company’s outside auditor, or was a partner or employee of the company’s outside auditor who worked on the company’s audit at any time during any of the past three years.</w:t>
      </w:r>
    </w:p>
    <w:p>
      <w:pPr>
        <w:spacing w:after="0" w:line="114"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Second, no director qualifies as independent unless the board affirmatively determines that the director has no direct or indirect relationship with the company that would interfere with the exercise of independent judgment in carrying out the responsibilities of a director. In assessing the independence of its members, the board examined the commercial, industrial, banking, consulting, legal, accounting, charitable and familial relationships of each member. The board’s inquiry extended to both direct and indirect relationships with the company.</w:t>
      </w:r>
    </w:p>
    <w:p>
      <w:pPr>
        <w:spacing w:after="0" w:line="8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NASDAQ OMX also is listed on NASDAQ Dubai and, as a result, is subject to the NASDAQ Dubai listing rules and the Markets Rules of the Dubai Financial Services Authority. Under these rules, a director is considered independent if the board determines the director to be independent in character and judgment and to have no relationship or circumstances that are likely to affect, or could appear to affect, the director’s judgment in a manner other than in the best interests of the company.</w:t>
      </w:r>
    </w:p>
    <w:p>
      <w:pPr>
        <w:spacing w:after="0" w:line="1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Based upon detailed written submissions by each individual, the board has determined that all of our current directors are independent, other than Messrs. Greifeld and Kazim. Mr. Greifeld is deemed not to be independent because he is the Chief Executive Officer of NASDAQ OMX. Mr. Kazim is deemed not to be independent because of his affiliations with Borse Dubai Limited (Borse Dubai), Dubai Financial Market PJSC (DFM) and NASDAQ Dubai.</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DIRECTOR NOMINEES</w:t>
      </w:r>
    </w:p>
    <w:p>
      <w:pPr>
        <w:spacing w:after="0" w:line="72"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In evaluating candidates for nomination to the board, the nominating &amp; governance committee reviews the skills, qualifications, characteristics and experience desired for the board as a whole and for its individual members, with the objective of having a board that reflects diverse backgrounds and senior level experience in the areas of global business, finance, legal and regulatory, technology and marketing. Characteristics of all directors include integrity and values, high personal and professional ethics, sound business judgment, the ability and willingness to commit sufficient time to fulfill their board responsibilities and a commitment to representing the long-term interests of our stockholders.</w:t>
      </w:r>
    </w:p>
    <w:p>
      <w:pPr>
        <w:spacing w:after="0" w:line="8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evaluating the suitability of individual board nominees, the nominating &amp; governance committee takes into account many factors, including general and diverse understanding of the global economy, capital markets, finance and other disciplines relevant to the success of a large publicly-traded financial services company; a general understanding of NASDAQ OMX’s business and technology; the individual’s educational and professional background and personal accomplishments; and factors such as geographic, gender, age and ethnic diversity. The committee evaluates each individual candidate in the context of the board as a whole, with the objective of maintaining a group of directors that can further the success of NASDAQ OMX’s business, while representing the interests of stockholders, employees and the communities in which the company operates. In determining whether to recommend a board member for re-election, the nominating &amp; governance committee also considers the director’s past attendance at meetings, participation in and contributions to the activities of the board and the most recent board self-assessment. The nominating &amp; governance committee reviews all candidates in the same manner, regardless of the source of the recommendation.</w:t>
      </w:r>
    </w:p>
    <w:p>
      <w:pPr>
        <w:spacing w:after="0" w:line="96"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We are obligated by the terms of a stockholders’ agreement dated February 27, 2008 between NASDAQ OMX and Borse Dubai, as amended, to nominate and generally use best efforts to cause the election to the NASDAQ OMX board of one individual designated by Borse Dubai, subject to certain conditions. Mr. Kazim is the individual designated by Borse Dubai as its nominee.</w:t>
      </w:r>
    </w:p>
    <w:p>
      <w:pPr>
        <w:spacing w:after="0" w:line="11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Finally, we also are obligated by the terms of a stockholders’ agreement dated December 16, 2010 between NASDAQ OMX and Investor AB to nominate and generally use best efforts to cause the election to the NASDAQ OMX board of one individual designated by Investor AB, subject to certain conditions. Mr. Ekholm is the individual designated by Investor AB as its nominee.</w:t>
      </w:r>
    </w:p>
    <w:p>
      <w:pPr>
        <w:spacing w:after="0" w:line="1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Listed below are the nominees for directors. The information for each nominee includes the nominee’s principal occupation, business experience, directorships of publicly-traded companies in the past five years, age as of the date of this proxy statement and the year the nominee was first elected a director. Each nominee, if elected, will serve for a one-year term expiring at the 2014 annual meeting and until the election and qualification of his or her successor.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440" w:type="dxa"/>
            <w:vAlign w:val="bottom"/>
            <w:tcBorders>
              <w:left w:val="single" w:sz="8" w:color="BFBFBF"/>
              <w:bottom w:val="single" w:sz="8" w:color="auto"/>
              <w:right w:val="single" w:sz="8" w:color="BFBFBF"/>
            </w:tcBorders>
            <w:shd w:val="clear" w:color="auto" w:fill="0088A6"/>
          </w:tcPr>
          <w:p>
            <w:pPr>
              <w:ind w:left="120"/>
              <w:spacing w:after="0"/>
              <w:rPr>
                <w:sz w:val="20"/>
                <w:szCs w:val="20"/>
                <w:color w:val="auto"/>
              </w:rPr>
            </w:pPr>
            <w:r>
              <w:rPr>
                <w:rFonts w:ascii="Arial" w:cs="Arial" w:eastAsia="Arial" w:hAnsi="Arial"/>
                <w:sz w:val="18"/>
                <w:szCs w:val="18"/>
                <w:b w:val="1"/>
                <w:bCs w:val="1"/>
                <w:color w:val="FFFFFF"/>
              </w:rPr>
              <w:t>Name</w:t>
            </w:r>
          </w:p>
        </w:tc>
        <w:tc>
          <w:tcPr>
            <w:tcW w:w="320" w:type="dxa"/>
            <w:vAlign w:val="bottom"/>
            <w:tcBorders>
              <w:bottom w:val="single" w:sz="8" w:color="0088A6"/>
            </w:tcBorders>
            <w:shd w:val="clear" w:color="auto" w:fill="0088A6"/>
          </w:tcPr>
          <w:p>
            <w:pPr>
              <w:spacing w:after="0"/>
              <w:rPr>
                <w:sz w:val="23"/>
                <w:szCs w:val="23"/>
                <w:color w:val="auto"/>
              </w:rPr>
            </w:pPr>
          </w:p>
        </w:tc>
        <w:tc>
          <w:tcPr>
            <w:tcW w:w="920" w:type="dxa"/>
            <w:vAlign w:val="bottom"/>
            <w:tcBorders>
              <w:bottom w:val="single" w:sz="8" w:color="auto"/>
              <w:right w:val="single" w:sz="8" w:color="BFBFBF"/>
            </w:tcBorders>
            <w:shd w:val="clear" w:color="auto" w:fill="0088A6"/>
          </w:tcPr>
          <w:p>
            <w:pPr>
              <w:ind w:left="40"/>
              <w:spacing w:after="0"/>
              <w:rPr>
                <w:sz w:val="20"/>
                <w:szCs w:val="20"/>
                <w:color w:val="auto"/>
              </w:rPr>
            </w:pPr>
            <w:r>
              <w:rPr>
                <w:rFonts w:ascii="Arial" w:cs="Arial" w:eastAsia="Arial" w:hAnsi="Arial"/>
                <w:sz w:val="18"/>
                <w:szCs w:val="18"/>
                <w:b w:val="1"/>
                <w:bCs w:val="1"/>
                <w:color w:val="FFFFFF"/>
              </w:rPr>
              <w:t>Age</w:t>
            </w:r>
          </w:p>
        </w:tc>
        <w:tc>
          <w:tcPr>
            <w:tcW w:w="400" w:type="dxa"/>
            <w:vAlign w:val="bottom"/>
            <w:tcBorders>
              <w:bottom w:val="single" w:sz="8" w:color="0088A6"/>
            </w:tcBorders>
            <w:shd w:val="clear" w:color="auto" w:fill="0088A6"/>
          </w:tcPr>
          <w:p>
            <w:pPr>
              <w:spacing w:after="0"/>
              <w:rPr>
                <w:sz w:val="23"/>
                <w:szCs w:val="23"/>
                <w:color w:val="auto"/>
              </w:rPr>
            </w:pPr>
          </w:p>
        </w:tc>
        <w:tc>
          <w:tcPr>
            <w:tcW w:w="3580" w:type="dxa"/>
            <w:vAlign w:val="bottom"/>
            <w:tcBorders>
              <w:bottom w:val="single" w:sz="8" w:color="auto"/>
              <w:right w:val="single" w:sz="8" w:color="BFBFBF"/>
            </w:tcBorders>
            <w:shd w:val="clear" w:color="auto" w:fill="0088A6"/>
          </w:tcPr>
          <w:p>
            <w:pPr>
              <w:ind w:left="60"/>
              <w:spacing w:after="0"/>
              <w:rPr>
                <w:sz w:val="20"/>
                <w:szCs w:val="20"/>
                <w:color w:val="auto"/>
              </w:rPr>
            </w:pPr>
            <w:r>
              <w:rPr>
                <w:rFonts w:ascii="Arial" w:cs="Arial" w:eastAsia="Arial" w:hAnsi="Arial"/>
                <w:sz w:val="18"/>
                <w:szCs w:val="18"/>
                <w:b w:val="1"/>
                <w:bCs w:val="1"/>
                <w:color w:val="FFFFFF"/>
              </w:rPr>
              <w:t>Classification</w:t>
            </w:r>
          </w:p>
        </w:tc>
        <w:tc>
          <w:tcPr>
            <w:tcW w:w="400" w:type="dxa"/>
            <w:vAlign w:val="bottom"/>
            <w:tcBorders>
              <w:bottom w:val="single" w:sz="8" w:color="0088A6"/>
            </w:tcBorders>
            <w:shd w:val="clear" w:color="auto" w:fill="0088A6"/>
          </w:tcPr>
          <w:p>
            <w:pPr>
              <w:spacing w:after="0"/>
              <w:rPr>
                <w:sz w:val="23"/>
                <w:szCs w:val="23"/>
                <w:color w:val="auto"/>
              </w:rPr>
            </w:pPr>
          </w:p>
        </w:tc>
        <w:tc>
          <w:tcPr>
            <w:tcW w:w="1380" w:type="dxa"/>
            <w:vAlign w:val="bottom"/>
            <w:tcBorders>
              <w:bottom w:val="single" w:sz="8" w:color="auto"/>
              <w:right w:val="single" w:sz="8" w:color="BFBFBF"/>
            </w:tcBorders>
            <w:shd w:val="clear" w:color="auto" w:fill="0088A6"/>
          </w:tcPr>
          <w:p>
            <w:pPr>
              <w:ind w:left="60"/>
              <w:spacing w:after="0"/>
              <w:rPr>
                <w:sz w:val="20"/>
                <w:szCs w:val="20"/>
                <w:color w:val="auto"/>
              </w:rPr>
            </w:pPr>
            <w:r>
              <w:rPr>
                <w:rFonts w:ascii="Arial" w:cs="Arial" w:eastAsia="Arial" w:hAnsi="Arial"/>
                <w:sz w:val="18"/>
                <w:szCs w:val="18"/>
                <w:b w:val="1"/>
                <w:bCs w:val="1"/>
                <w:color w:val="FFFFFF"/>
              </w:rPr>
              <w:t>Director Since</w:t>
            </w:r>
          </w:p>
        </w:tc>
      </w:tr>
      <w:tr>
        <w:trPr>
          <w:trHeight w:val="183"/>
        </w:trPr>
        <w:tc>
          <w:tcPr>
            <w:tcW w:w="4440" w:type="dxa"/>
            <w:vAlign w:val="bottom"/>
            <w:tcBorders>
              <w:top w:val="single" w:sz="8" w:color="0088A6"/>
              <w:left w:val="single" w:sz="8" w:color="BFBFBF"/>
              <w:bottom w:val="single" w:sz="8" w:color="BFBFBF"/>
              <w:right w:val="single" w:sz="8" w:color="BFBFBF"/>
            </w:tcBorders>
          </w:tcPr>
          <w:p>
            <w:pPr>
              <w:ind w:left="120"/>
              <w:spacing w:after="0" w:line="183" w:lineRule="exact"/>
              <w:rPr>
                <w:sz w:val="20"/>
                <w:szCs w:val="20"/>
                <w:color w:val="auto"/>
              </w:rPr>
            </w:pPr>
            <w:r>
              <w:rPr>
                <w:rFonts w:ascii="Arial" w:cs="Arial" w:eastAsia="Arial" w:hAnsi="Arial"/>
                <w:sz w:val="18"/>
                <w:szCs w:val="18"/>
                <w:color w:val="auto"/>
              </w:rPr>
              <w:t>Steven D. Black</w:t>
            </w:r>
          </w:p>
        </w:tc>
        <w:tc>
          <w:tcPr>
            <w:tcW w:w="1240" w:type="dxa"/>
            <w:vAlign w:val="bottom"/>
            <w:tcBorders>
              <w:top w:val="single" w:sz="8" w:color="0088A6"/>
              <w:bottom w:val="single" w:sz="8" w:color="BFBFBF"/>
              <w:right w:val="single" w:sz="8" w:color="BFBFBF"/>
            </w:tcBorders>
            <w:gridSpan w:val="2"/>
          </w:tcPr>
          <w:p>
            <w:pPr>
              <w:ind w:left="380"/>
              <w:spacing w:after="0" w:line="183" w:lineRule="exact"/>
              <w:rPr>
                <w:sz w:val="20"/>
                <w:szCs w:val="20"/>
                <w:color w:val="auto"/>
              </w:rPr>
            </w:pPr>
            <w:r>
              <w:rPr>
                <w:rFonts w:ascii="Arial" w:cs="Arial" w:eastAsia="Arial" w:hAnsi="Arial"/>
                <w:sz w:val="18"/>
                <w:szCs w:val="18"/>
                <w:color w:val="auto"/>
              </w:rPr>
              <w:t>60</w:t>
            </w:r>
          </w:p>
        </w:tc>
        <w:tc>
          <w:tcPr>
            <w:tcW w:w="400" w:type="dxa"/>
            <w:vAlign w:val="bottom"/>
            <w:tcBorders>
              <w:top w:val="single" w:sz="8" w:color="0088A6"/>
              <w:bottom w:val="single" w:sz="8" w:color="BFBFBF"/>
            </w:tcBorders>
          </w:tcPr>
          <w:p>
            <w:pPr>
              <w:spacing w:after="0"/>
              <w:rPr>
                <w:sz w:val="15"/>
                <w:szCs w:val="15"/>
                <w:color w:val="auto"/>
              </w:rPr>
            </w:pPr>
          </w:p>
        </w:tc>
        <w:tc>
          <w:tcPr>
            <w:tcW w:w="3580" w:type="dxa"/>
            <w:vAlign w:val="bottom"/>
            <w:tcBorders>
              <w:top w:val="single" w:sz="8" w:color="0088A6"/>
              <w:bottom w:val="single" w:sz="8" w:color="BFBFBF"/>
              <w:right w:val="single" w:sz="8" w:color="BFBFBF"/>
            </w:tcBorders>
          </w:tcPr>
          <w:p>
            <w:pPr>
              <w:ind w:left="60"/>
              <w:spacing w:after="0" w:line="183" w:lineRule="exact"/>
              <w:rPr>
                <w:sz w:val="20"/>
                <w:szCs w:val="20"/>
                <w:color w:val="auto"/>
              </w:rPr>
            </w:pPr>
            <w:r>
              <w:rPr>
                <w:rFonts w:ascii="Arial" w:cs="Arial" w:eastAsia="Arial" w:hAnsi="Arial"/>
                <w:sz w:val="18"/>
                <w:szCs w:val="18"/>
                <w:color w:val="auto"/>
              </w:rPr>
              <w:t>Non-Industry; Public</w:t>
            </w:r>
          </w:p>
        </w:tc>
        <w:tc>
          <w:tcPr>
            <w:tcW w:w="1780" w:type="dxa"/>
            <w:vAlign w:val="bottom"/>
            <w:tcBorders>
              <w:top w:val="single" w:sz="8" w:color="0088A6"/>
              <w:bottom w:val="single" w:sz="8" w:color="BFBFBF"/>
              <w:right w:val="single" w:sz="8" w:color="BFBFBF"/>
            </w:tcBorders>
            <w:gridSpan w:val="2"/>
          </w:tcPr>
          <w:p>
            <w:pPr>
              <w:ind w:left="460"/>
              <w:spacing w:after="0" w:line="183" w:lineRule="exact"/>
              <w:rPr>
                <w:sz w:val="20"/>
                <w:szCs w:val="20"/>
                <w:color w:val="auto"/>
              </w:rPr>
            </w:pPr>
            <w:r>
              <w:rPr>
                <w:rFonts w:ascii="Arial" w:cs="Arial" w:eastAsia="Arial" w:hAnsi="Arial"/>
                <w:sz w:val="18"/>
                <w:szCs w:val="18"/>
                <w:color w:val="auto"/>
              </w:rPr>
              <w:t>2011</w:t>
            </w:r>
          </w:p>
        </w:tc>
      </w:tr>
      <w:tr>
        <w:trPr>
          <w:trHeight w:val="196"/>
        </w:trPr>
        <w:tc>
          <w:tcPr>
            <w:tcW w:w="4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Börje E. Ekholm</w:t>
            </w:r>
          </w:p>
        </w:tc>
        <w:tc>
          <w:tcPr>
            <w:tcW w:w="1240" w:type="dxa"/>
            <w:vAlign w:val="bottom"/>
            <w:tcBorders>
              <w:bottom w:val="single" w:sz="8" w:color="BFBFBF"/>
              <w:right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50</w:t>
            </w:r>
          </w:p>
        </w:tc>
        <w:tc>
          <w:tcPr>
            <w:tcW w:w="400" w:type="dxa"/>
            <w:vAlign w:val="bottom"/>
            <w:tcBorders>
              <w:bottom w:val="single" w:sz="8" w:color="BFBFBF"/>
            </w:tcBorders>
          </w:tcPr>
          <w:p>
            <w:pPr>
              <w:spacing w:after="0"/>
              <w:rPr>
                <w:sz w:val="17"/>
                <w:szCs w:val="17"/>
                <w:color w:val="auto"/>
              </w:rPr>
            </w:pPr>
          </w:p>
        </w:tc>
        <w:tc>
          <w:tcPr>
            <w:tcW w:w="3580" w:type="dxa"/>
            <w:vAlign w:val="bottom"/>
            <w:tcBorders>
              <w:bottom w:val="single" w:sz="8" w:color="BFBFBF"/>
              <w:right w:val="single" w:sz="8" w:color="BFBFBF"/>
            </w:tcBorders>
          </w:tcPr>
          <w:p>
            <w:pPr>
              <w:ind w:left="60"/>
              <w:spacing w:after="0" w:line="196" w:lineRule="exact"/>
              <w:rPr>
                <w:sz w:val="20"/>
                <w:szCs w:val="20"/>
                <w:color w:val="auto"/>
              </w:rPr>
            </w:pPr>
            <w:r>
              <w:rPr>
                <w:rFonts w:ascii="Arial" w:cs="Arial" w:eastAsia="Arial" w:hAnsi="Arial"/>
                <w:sz w:val="18"/>
                <w:szCs w:val="18"/>
                <w:color w:val="auto"/>
              </w:rPr>
              <w:t>Non-Industry</w:t>
            </w:r>
          </w:p>
        </w:tc>
        <w:tc>
          <w:tcPr>
            <w:tcW w:w="1780" w:type="dxa"/>
            <w:vAlign w:val="bottom"/>
            <w:tcBorders>
              <w:bottom w:val="single" w:sz="8" w:color="BFBFBF"/>
              <w:right w:val="single" w:sz="8" w:color="BFBFBF"/>
            </w:tcBorders>
            <w:gridSpan w:val="2"/>
          </w:tcPr>
          <w:p>
            <w:pPr>
              <w:ind w:left="460"/>
              <w:spacing w:after="0" w:line="196" w:lineRule="exact"/>
              <w:rPr>
                <w:sz w:val="20"/>
                <w:szCs w:val="20"/>
                <w:color w:val="auto"/>
              </w:rPr>
            </w:pPr>
            <w:r>
              <w:rPr>
                <w:rFonts w:ascii="Arial" w:cs="Arial" w:eastAsia="Arial" w:hAnsi="Arial"/>
                <w:sz w:val="18"/>
                <w:szCs w:val="18"/>
                <w:color w:val="auto"/>
              </w:rPr>
              <w:t>2011</w:t>
            </w:r>
          </w:p>
        </w:tc>
      </w:tr>
      <w:tr>
        <w:trPr>
          <w:trHeight w:val="196"/>
        </w:trPr>
        <w:tc>
          <w:tcPr>
            <w:tcW w:w="4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Robert Greifeld</w:t>
            </w:r>
          </w:p>
        </w:tc>
        <w:tc>
          <w:tcPr>
            <w:tcW w:w="1240" w:type="dxa"/>
            <w:vAlign w:val="bottom"/>
            <w:tcBorders>
              <w:bottom w:val="single" w:sz="8" w:color="BFBFBF"/>
              <w:right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55</w:t>
            </w:r>
          </w:p>
        </w:tc>
        <w:tc>
          <w:tcPr>
            <w:tcW w:w="400" w:type="dxa"/>
            <w:vAlign w:val="bottom"/>
            <w:tcBorders>
              <w:bottom w:val="single" w:sz="8" w:color="BFBFBF"/>
            </w:tcBorders>
          </w:tcPr>
          <w:p>
            <w:pPr>
              <w:spacing w:after="0"/>
              <w:rPr>
                <w:sz w:val="17"/>
                <w:szCs w:val="17"/>
                <w:color w:val="auto"/>
              </w:rPr>
            </w:pPr>
          </w:p>
        </w:tc>
        <w:tc>
          <w:tcPr>
            <w:tcW w:w="3580" w:type="dxa"/>
            <w:vAlign w:val="bottom"/>
            <w:tcBorders>
              <w:bottom w:val="single" w:sz="8" w:color="BFBFBF"/>
              <w:right w:val="single" w:sz="8" w:color="BFBFBF"/>
            </w:tcBorders>
          </w:tcPr>
          <w:p>
            <w:pPr>
              <w:ind w:left="60"/>
              <w:spacing w:after="0" w:line="196" w:lineRule="exact"/>
              <w:rPr>
                <w:sz w:val="20"/>
                <w:szCs w:val="20"/>
                <w:color w:val="auto"/>
              </w:rPr>
            </w:pPr>
            <w:r>
              <w:rPr>
                <w:rFonts w:ascii="Arial" w:cs="Arial" w:eastAsia="Arial" w:hAnsi="Arial"/>
                <w:sz w:val="18"/>
                <w:szCs w:val="18"/>
                <w:color w:val="auto"/>
              </w:rPr>
              <w:t>Staff</w:t>
            </w:r>
          </w:p>
        </w:tc>
        <w:tc>
          <w:tcPr>
            <w:tcW w:w="1780" w:type="dxa"/>
            <w:vAlign w:val="bottom"/>
            <w:tcBorders>
              <w:bottom w:val="single" w:sz="8" w:color="BFBFBF"/>
              <w:right w:val="single" w:sz="8" w:color="BFBFBF"/>
            </w:tcBorders>
            <w:gridSpan w:val="2"/>
          </w:tcPr>
          <w:p>
            <w:pPr>
              <w:ind w:left="460"/>
              <w:spacing w:after="0" w:line="196" w:lineRule="exact"/>
              <w:rPr>
                <w:sz w:val="20"/>
                <w:szCs w:val="20"/>
                <w:color w:val="auto"/>
              </w:rPr>
            </w:pPr>
            <w:r>
              <w:rPr>
                <w:rFonts w:ascii="Arial" w:cs="Arial" w:eastAsia="Arial" w:hAnsi="Arial"/>
                <w:sz w:val="18"/>
                <w:szCs w:val="18"/>
                <w:color w:val="auto"/>
              </w:rPr>
              <w:t>2003</w:t>
            </w:r>
          </w:p>
        </w:tc>
      </w:tr>
      <w:tr>
        <w:trPr>
          <w:trHeight w:val="196"/>
        </w:trPr>
        <w:tc>
          <w:tcPr>
            <w:tcW w:w="4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Glenn H. Hutchins</w:t>
            </w:r>
          </w:p>
        </w:tc>
        <w:tc>
          <w:tcPr>
            <w:tcW w:w="1240" w:type="dxa"/>
            <w:vAlign w:val="bottom"/>
            <w:tcBorders>
              <w:bottom w:val="single" w:sz="8" w:color="BFBFBF"/>
              <w:right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57</w:t>
            </w:r>
          </w:p>
        </w:tc>
        <w:tc>
          <w:tcPr>
            <w:tcW w:w="400" w:type="dxa"/>
            <w:vAlign w:val="bottom"/>
            <w:tcBorders>
              <w:bottom w:val="single" w:sz="8" w:color="BFBFBF"/>
            </w:tcBorders>
          </w:tcPr>
          <w:p>
            <w:pPr>
              <w:spacing w:after="0"/>
              <w:rPr>
                <w:sz w:val="17"/>
                <w:szCs w:val="17"/>
                <w:color w:val="auto"/>
              </w:rPr>
            </w:pPr>
          </w:p>
        </w:tc>
        <w:tc>
          <w:tcPr>
            <w:tcW w:w="3580" w:type="dxa"/>
            <w:vAlign w:val="bottom"/>
            <w:tcBorders>
              <w:bottom w:val="single" w:sz="8" w:color="BFBFBF"/>
              <w:right w:val="single" w:sz="8" w:color="BFBFBF"/>
            </w:tcBorders>
          </w:tcPr>
          <w:p>
            <w:pPr>
              <w:ind w:left="60"/>
              <w:spacing w:after="0" w:line="196" w:lineRule="exact"/>
              <w:rPr>
                <w:sz w:val="20"/>
                <w:szCs w:val="20"/>
                <w:color w:val="auto"/>
              </w:rPr>
            </w:pPr>
            <w:r>
              <w:rPr>
                <w:rFonts w:ascii="Arial" w:cs="Arial" w:eastAsia="Arial" w:hAnsi="Arial"/>
                <w:sz w:val="18"/>
                <w:szCs w:val="18"/>
                <w:color w:val="auto"/>
              </w:rPr>
              <w:t>Industry</w:t>
            </w:r>
          </w:p>
        </w:tc>
        <w:tc>
          <w:tcPr>
            <w:tcW w:w="1780" w:type="dxa"/>
            <w:vAlign w:val="bottom"/>
            <w:tcBorders>
              <w:bottom w:val="single" w:sz="8" w:color="BFBFBF"/>
              <w:right w:val="single" w:sz="8" w:color="BFBFBF"/>
            </w:tcBorders>
            <w:gridSpan w:val="2"/>
          </w:tcPr>
          <w:p>
            <w:pPr>
              <w:ind w:left="460"/>
              <w:spacing w:after="0" w:line="196" w:lineRule="exact"/>
              <w:rPr>
                <w:sz w:val="20"/>
                <w:szCs w:val="20"/>
                <w:color w:val="auto"/>
              </w:rPr>
            </w:pPr>
            <w:r>
              <w:rPr>
                <w:rFonts w:ascii="Arial" w:cs="Arial" w:eastAsia="Arial" w:hAnsi="Arial"/>
                <w:sz w:val="18"/>
                <w:szCs w:val="18"/>
                <w:color w:val="auto"/>
              </w:rPr>
              <w:t>2005</w:t>
            </w:r>
          </w:p>
        </w:tc>
      </w:tr>
      <w:tr>
        <w:trPr>
          <w:trHeight w:val="196"/>
        </w:trPr>
        <w:tc>
          <w:tcPr>
            <w:tcW w:w="4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Essa Kazim</w:t>
            </w:r>
          </w:p>
        </w:tc>
        <w:tc>
          <w:tcPr>
            <w:tcW w:w="1240" w:type="dxa"/>
            <w:vAlign w:val="bottom"/>
            <w:tcBorders>
              <w:bottom w:val="single" w:sz="8" w:color="BFBFBF"/>
              <w:right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54</w:t>
            </w:r>
          </w:p>
        </w:tc>
        <w:tc>
          <w:tcPr>
            <w:tcW w:w="400" w:type="dxa"/>
            <w:vAlign w:val="bottom"/>
            <w:tcBorders>
              <w:bottom w:val="single" w:sz="8" w:color="BFBFBF"/>
            </w:tcBorders>
          </w:tcPr>
          <w:p>
            <w:pPr>
              <w:spacing w:after="0"/>
              <w:rPr>
                <w:sz w:val="17"/>
                <w:szCs w:val="17"/>
                <w:color w:val="auto"/>
              </w:rPr>
            </w:pPr>
          </w:p>
        </w:tc>
        <w:tc>
          <w:tcPr>
            <w:tcW w:w="3580" w:type="dxa"/>
            <w:vAlign w:val="bottom"/>
            <w:tcBorders>
              <w:bottom w:val="single" w:sz="8" w:color="BFBFBF"/>
              <w:right w:val="single" w:sz="8" w:color="BFBFBF"/>
            </w:tcBorders>
          </w:tcPr>
          <w:p>
            <w:pPr>
              <w:ind w:left="60"/>
              <w:spacing w:after="0" w:line="196" w:lineRule="exact"/>
              <w:rPr>
                <w:sz w:val="20"/>
                <w:szCs w:val="20"/>
                <w:color w:val="auto"/>
              </w:rPr>
            </w:pPr>
            <w:r>
              <w:rPr>
                <w:rFonts w:ascii="Arial" w:cs="Arial" w:eastAsia="Arial" w:hAnsi="Arial"/>
                <w:sz w:val="18"/>
                <w:szCs w:val="18"/>
                <w:color w:val="auto"/>
              </w:rPr>
              <w:t>Non-Industry</w:t>
            </w:r>
          </w:p>
        </w:tc>
        <w:tc>
          <w:tcPr>
            <w:tcW w:w="1780" w:type="dxa"/>
            <w:vAlign w:val="bottom"/>
            <w:tcBorders>
              <w:bottom w:val="single" w:sz="8" w:color="BFBFBF"/>
              <w:right w:val="single" w:sz="8" w:color="BFBFBF"/>
            </w:tcBorders>
            <w:gridSpan w:val="2"/>
          </w:tcPr>
          <w:p>
            <w:pPr>
              <w:ind w:left="460"/>
              <w:spacing w:after="0" w:line="196" w:lineRule="exact"/>
              <w:rPr>
                <w:sz w:val="20"/>
                <w:szCs w:val="20"/>
                <w:color w:val="auto"/>
              </w:rPr>
            </w:pPr>
            <w:r>
              <w:rPr>
                <w:rFonts w:ascii="Arial" w:cs="Arial" w:eastAsia="Arial" w:hAnsi="Arial"/>
                <w:sz w:val="18"/>
                <w:szCs w:val="18"/>
                <w:color w:val="auto"/>
              </w:rPr>
              <w:t>2008</w:t>
            </w:r>
          </w:p>
        </w:tc>
      </w:tr>
      <w:tr>
        <w:trPr>
          <w:trHeight w:val="196"/>
        </w:trPr>
        <w:tc>
          <w:tcPr>
            <w:tcW w:w="4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John D. Markese</w:t>
            </w:r>
          </w:p>
        </w:tc>
        <w:tc>
          <w:tcPr>
            <w:tcW w:w="1240" w:type="dxa"/>
            <w:vAlign w:val="bottom"/>
            <w:tcBorders>
              <w:bottom w:val="single" w:sz="8" w:color="BFBFBF"/>
              <w:right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67</w:t>
            </w:r>
          </w:p>
        </w:tc>
        <w:tc>
          <w:tcPr>
            <w:tcW w:w="400" w:type="dxa"/>
            <w:vAlign w:val="bottom"/>
            <w:tcBorders>
              <w:bottom w:val="single" w:sz="8" w:color="BFBFBF"/>
            </w:tcBorders>
          </w:tcPr>
          <w:p>
            <w:pPr>
              <w:spacing w:after="0"/>
              <w:rPr>
                <w:sz w:val="17"/>
                <w:szCs w:val="17"/>
                <w:color w:val="auto"/>
              </w:rPr>
            </w:pPr>
          </w:p>
        </w:tc>
        <w:tc>
          <w:tcPr>
            <w:tcW w:w="3580" w:type="dxa"/>
            <w:vAlign w:val="bottom"/>
            <w:tcBorders>
              <w:bottom w:val="single" w:sz="8" w:color="BFBFBF"/>
              <w:right w:val="single" w:sz="8" w:color="BFBFBF"/>
            </w:tcBorders>
          </w:tcPr>
          <w:p>
            <w:pPr>
              <w:ind w:left="60"/>
              <w:spacing w:after="0" w:line="196" w:lineRule="exact"/>
              <w:rPr>
                <w:sz w:val="20"/>
                <w:szCs w:val="20"/>
                <w:color w:val="auto"/>
              </w:rPr>
            </w:pPr>
            <w:r>
              <w:rPr>
                <w:rFonts w:ascii="Arial" w:cs="Arial" w:eastAsia="Arial" w:hAnsi="Arial"/>
                <w:sz w:val="18"/>
                <w:szCs w:val="18"/>
                <w:color w:val="auto"/>
              </w:rPr>
              <w:t>Non-Industry; Public</w:t>
            </w:r>
          </w:p>
        </w:tc>
        <w:tc>
          <w:tcPr>
            <w:tcW w:w="1780" w:type="dxa"/>
            <w:vAlign w:val="bottom"/>
            <w:tcBorders>
              <w:bottom w:val="single" w:sz="8" w:color="BFBFBF"/>
              <w:right w:val="single" w:sz="8" w:color="BFBFBF"/>
            </w:tcBorders>
            <w:gridSpan w:val="2"/>
          </w:tcPr>
          <w:p>
            <w:pPr>
              <w:ind w:left="460"/>
              <w:spacing w:after="0" w:line="196" w:lineRule="exact"/>
              <w:rPr>
                <w:sz w:val="20"/>
                <w:szCs w:val="20"/>
                <w:color w:val="auto"/>
              </w:rPr>
            </w:pPr>
            <w:r>
              <w:rPr>
                <w:rFonts w:ascii="Arial" w:cs="Arial" w:eastAsia="Arial" w:hAnsi="Arial"/>
                <w:sz w:val="18"/>
                <w:szCs w:val="18"/>
                <w:color w:val="auto"/>
              </w:rPr>
              <w:t>1996</w:t>
            </w:r>
          </w:p>
        </w:tc>
      </w:tr>
      <w:tr>
        <w:trPr>
          <w:trHeight w:val="196"/>
        </w:trPr>
        <w:tc>
          <w:tcPr>
            <w:tcW w:w="4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Ellyn A. McColgan</w:t>
            </w:r>
          </w:p>
        </w:tc>
        <w:tc>
          <w:tcPr>
            <w:tcW w:w="1240" w:type="dxa"/>
            <w:vAlign w:val="bottom"/>
            <w:tcBorders>
              <w:bottom w:val="single" w:sz="8" w:color="BFBFBF"/>
              <w:right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59</w:t>
            </w:r>
          </w:p>
        </w:tc>
        <w:tc>
          <w:tcPr>
            <w:tcW w:w="400" w:type="dxa"/>
            <w:vAlign w:val="bottom"/>
            <w:tcBorders>
              <w:bottom w:val="single" w:sz="8" w:color="BFBFBF"/>
            </w:tcBorders>
          </w:tcPr>
          <w:p>
            <w:pPr>
              <w:spacing w:after="0"/>
              <w:rPr>
                <w:sz w:val="17"/>
                <w:szCs w:val="17"/>
                <w:color w:val="auto"/>
              </w:rPr>
            </w:pPr>
          </w:p>
        </w:tc>
        <w:tc>
          <w:tcPr>
            <w:tcW w:w="3580" w:type="dxa"/>
            <w:vAlign w:val="bottom"/>
            <w:tcBorders>
              <w:bottom w:val="single" w:sz="8" w:color="BFBFBF"/>
              <w:right w:val="single" w:sz="8" w:color="BFBFBF"/>
            </w:tcBorders>
          </w:tcPr>
          <w:p>
            <w:pPr>
              <w:ind w:left="60"/>
              <w:spacing w:after="0" w:line="196" w:lineRule="exact"/>
              <w:rPr>
                <w:sz w:val="20"/>
                <w:szCs w:val="20"/>
                <w:color w:val="auto"/>
              </w:rPr>
            </w:pPr>
            <w:r>
              <w:rPr>
                <w:rFonts w:ascii="Arial" w:cs="Arial" w:eastAsia="Arial" w:hAnsi="Arial"/>
                <w:sz w:val="18"/>
                <w:szCs w:val="18"/>
                <w:color w:val="auto"/>
              </w:rPr>
              <w:t>Non-Industry; Public</w:t>
            </w:r>
          </w:p>
        </w:tc>
        <w:tc>
          <w:tcPr>
            <w:tcW w:w="1780" w:type="dxa"/>
            <w:vAlign w:val="bottom"/>
            <w:tcBorders>
              <w:bottom w:val="single" w:sz="8" w:color="BFBFBF"/>
              <w:right w:val="single" w:sz="8" w:color="BFBFBF"/>
            </w:tcBorders>
            <w:gridSpan w:val="2"/>
          </w:tcPr>
          <w:p>
            <w:pPr>
              <w:ind w:left="460"/>
              <w:spacing w:after="0" w:line="196" w:lineRule="exact"/>
              <w:rPr>
                <w:sz w:val="20"/>
                <w:szCs w:val="20"/>
                <w:color w:val="auto"/>
              </w:rPr>
            </w:pPr>
            <w:r>
              <w:rPr>
                <w:rFonts w:ascii="Arial" w:cs="Arial" w:eastAsia="Arial" w:hAnsi="Arial"/>
                <w:sz w:val="18"/>
                <w:szCs w:val="18"/>
                <w:color w:val="auto"/>
              </w:rPr>
              <w:t>2012</w:t>
            </w:r>
          </w:p>
        </w:tc>
      </w:tr>
      <w:tr>
        <w:trPr>
          <w:trHeight w:val="196"/>
        </w:trPr>
        <w:tc>
          <w:tcPr>
            <w:tcW w:w="4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Thomas F. O’Neill</w:t>
            </w:r>
          </w:p>
        </w:tc>
        <w:tc>
          <w:tcPr>
            <w:tcW w:w="1240" w:type="dxa"/>
            <w:vAlign w:val="bottom"/>
            <w:tcBorders>
              <w:bottom w:val="single" w:sz="8" w:color="BFBFBF"/>
              <w:right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66</w:t>
            </w:r>
          </w:p>
        </w:tc>
        <w:tc>
          <w:tcPr>
            <w:tcW w:w="400" w:type="dxa"/>
            <w:vAlign w:val="bottom"/>
            <w:tcBorders>
              <w:bottom w:val="single" w:sz="8" w:color="BFBFBF"/>
            </w:tcBorders>
          </w:tcPr>
          <w:p>
            <w:pPr>
              <w:spacing w:after="0"/>
              <w:rPr>
                <w:sz w:val="17"/>
                <w:szCs w:val="17"/>
                <w:color w:val="auto"/>
              </w:rPr>
            </w:pPr>
          </w:p>
        </w:tc>
        <w:tc>
          <w:tcPr>
            <w:tcW w:w="3580" w:type="dxa"/>
            <w:vAlign w:val="bottom"/>
            <w:tcBorders>
              <w:bottom w:val="single" w:sz="8" w:color="BFBFBF"/>
              <w:right w:val="single" w:sz="8" w:color="BFBFBF"/>
            </w:tcBorders>
          </w:tcPr>
          <w:p>
            <w:pPr>
              <w:ind w:left="60"/>
              <w:spacing w:after="0" w:line="196" w:lineRule="exact"/>
              <w:rPr>
                <w:sz w:val="20"/>
                <w:szCs w:val="20"/>
                <w:color w:val="auto"/>
              </w:rPr>
            </w:pPr>
            <w:r>
              <w:rPr>
                <w:rFonts w:ascii="Arial" w:cs="Arial" w:eastAsia="Arial" w:hAnsi="Arial"/>
                <w:sz w:val="18"/>
                <w:szCs w:val="18"/>
                <w:color w:val="auto"/>
              </w:rPr>
              <w:t>Non-Industry</w:t>
            </w:r>
          </w:p>
        </w:tc>
        <w:tc>
          <w:tcPr>
            <w:tcW w:w="1780" w:type="dxa"/>
            <w:vAlign w:val="bottom"/>
            <w:tcBorders>
              <w:bottom w:val="single" w:sz="8" w:color="BFBFBF"/>
              <w:right w:val="single" w:sz="8" w:color="BFBFBF"/>
            </w:tcBorders>
            <w:gridSpan w:val="2"/>
          </w:tcPr>
          <w:p>
            <w:pPr>
              <w:ind w:left="460"/>
              <w:spacing w:after="0" w:line="196" w:lineRule="exact"/>
              <w:rPr>
                <w:sz w:val="20"/>
                <w:szCs w:val="20"/>
                <w:color w:val="auto"/>
              </w:rPr>
            </w:pPr>
            <w:r>
              <w:rPr>
                <w:rFonts w:ascii="Arial" w:cs="Arial" w:eastAsia="Arial" w:hAnsi="Arial"/>
                <w:sz w:val="18"/>
                <w:szCs w:val="18"/>
                <w:color w:val="auto"/>
              </w:rPr>
              <w:t>2003</w:t>
            </w:r>
          </w:p>
        </w:tc>
      </w:tr>
      <w:tr>
        <w:trPr>
          <w:trHeight w:val="196"/>
        </w:trPr>
        <w:tc>
          <w:tcPr>
            <w:tcW w:w="4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James S. Riepe</w:t>
            </w:r>
          </w:p>
        </w:tc>
        <w:tc>
          <w:tcPr>
            <w:tcW w:w="1240" w:type="dxa"/>
            <w:vAlign w:val="bottom"/>
            <w:tcBorders>
              <w:bottom w:val="single" w:sz="8" w:color="BFBFBF"/>
              <w:right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69</w:t>
            </w:r>
          </w:p>
        </w:tc>
        <w:tc>
          <w:tcPr>
            <w:tcW w:w="400" w:type="dxa"/>
            <w:vAlign w:val="bottom"/>
            <w:tcBorders>
              <w:bottom w:val="single" w:sz="8" w:color="BFBFBF"/>
            </w:tcBorders>
          </w:tcPr>
          <w:p>
            <w:pPr>
              <w:spacing w:after="0"/>
              <w:rPr>
                <w:sz w:val="17"/>
                <w:szCs w:val="17"/>
                <w:color w:val="auto"/>
              </w:rPr>
            </w:pPr>
          </w:p>
        </w:tc>
        <w:tc>
          <w:tcPr>
            <w:tcW w:w="3580" w:type="dxa"/>
            <w:vAlign w:val="bottom"/>
            <w:tcBorders>
              <w:bottom w:val="single" w:sz="8" w:color="BFBFBF"/>
              <w:right w:val="single" w:sz="8" w:color="BFBFBF"/>
            </w:tcBorders>
          </w:tcPr>
          <w:p>
            <w:pPr>
              <w:ind w:left="60"/>
              <w:spacing w:after="0" w:line="196" w:lineRule="exact"/>
              <w:rPr>
                <w:sz w:val="20"/>
                <w:szCs w:val="20"/>
                <w:color w:val="auto"/>
              </w:rPr>
            </w:pPr>
            <w:r>
              <w:rPr>
                <w:rFonts w:ascii="Arial" w:cs="Arial" w:eastAsia="Arial" w:hAnsi="Arial"/>
                <w:sz w:val="18"/>
                <w:szCs w:val="18"/>
                <w:color w:val="auto"/>
              </w:rPr>
              <w:t>Industry</w:t>
            </w:r>
          </w:p>
        </w:tc>
        <w:tc>
          <w:tcPr>
            <w:tcW w:w="1780" w:type="dxa"/>
            <w:vAlign w:val="bottom"/>
            <w:tcBorders>
              <w:bottom w:val="single" w:sz="8" w:color="BFBFBF"/>
              <w:right w:val="single" w:sz="8" w:color="BFBFBF"/>
            </w:tcBorders>
            <w:gridSpan w:val="2"/>
          </w:tcPr>
          <w:p>
            <w:pPr>
              <w:ind w:left="460"/>
              <w:spacing w:after="0" w:line="196" w:lineRule="exact"/>
              <w:rPr>
                <w:sz w:val="20"/>
                <w:szCs w:val="20"/>
                <w:color w:val="auto"/>
              </w:rPr>
            </w:pPr>
            <w:r>
              <w:rPr>
                <w:rFonts w:ascii="Arial" w:cs="Arial" w:eastAsia="Arial" w:hAnsi="Arial"/>
                <w:sz w:val="18"/>
                <w:szCs w:val="18"/>
                <w:color w:val="auto"/>
              </w:rPr>
              <w:t>2003</w:t>
            </w:r>
          </w:p>
        </w:tc>
      </w:tr>
      <w:tr>
        <w:trPr>
          <w:trHeight w:val="196"/>
        </w:trPr>
        <w:tc>
          <w:tcPr>
            <w:tcW w:w="4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Michael R. Splinter</w:t>
            </w:r>
          </w:p>
        </w:tc>
        <w:tc>
          <w:tcPr>
            <w:tcW w:w="1240" w:type="dxa"/>
            <w:vAlign w:val="bottom"/>
            <w:tcBorders>
              <w:bottom w:val="single" w:sz="8" w:color="BFBFBF"/>
              <w:right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62</w:t>
            </w:r>
          </w:p>
        </w:tc>
        <w:tc>
          <w:tcPr>
            <w:tcW w:w="400" w:type="dxa"/>
            <w:vAlign w:val="bottom"/>
            <w:tcBorders>
              <w:bottom w:val="single" w:sz="8" w:color="BFBFBF"/>
            </w:tcBorders>
          </w:tcPr>
          <w:p>
            <w:pPr>
              <w:spacing w:after="0"/>
              <w:rPr>
                <w:sz w:val="17"/>
                <w:szCs w:val="17"/>
                <w:color w:val="auto"/>
              </w:rPr>
            </w:pPr>
          </w:p>
        </w:tc>
        <w:tc>
          <w:tcPr>
            <w:tcW w:w="3580" w:type="dxa"/>
            <w:vAlign w:val="bottom"/>
            <w:tcBorders>
              <w:bottom w:val="single" w:sz="8" w:color="BFBFBF"/>
              <w:right w:val="single" w:sz="8" w:color="BFBFBF"/>
            </w:tcBorders>
          </w:tcPr>
          <w:p>
            <w:pPr>
              <w:ind w:left="60"/>
              <w:spacing w:after="0" w:line="196" w:lineRule="exact"/>
              <w:rPr>
                <w:sz w:val="20"/>
                <w:szCs w:val="20"/>
                <w:color w:val="auto"/>
              </w:rPr>
            </w:pPr>
            <w:r>
              <w:rPr>
                <w:rFonts w:ascii="Arial" w:cs="Arial" w:eastAsia="Arial" w:hAnsi="Arial"/>
                <w:sz w:val="18"/>
                <w:szCs w:val="18"/>
                <w:color w:val="auto"/>
              </w:rPr>
              <w:t>Non-Industry; Issuer</w:t>
            </w:r>
          </w:p>
        </w:tc>
        <w:tc>
          <w:tcPr>
            <w:tcW w:w="1780" w:type="dxa"/>
            <w:vAlign w:val="bottom"/>
            <w:tcBorders>
              <w:bottom w:val="single" w:sz="8" w:color="BFBFBF"/>
              <w:right w:val="single" w:sz="8" w:color="BFBFBF"/>
            </w:tcBorders>
            <w:gridSpan w:val="2"/>
          </w:tcPr>
          <w:p>
            <w:pPr>
              <w:ind w:left="460"/>
              <w:spacing w:after="0" w:line="196" w:lineRule="exact"/>
              <w:rPr>
                <w:sz w:val="20"/>
                <w:szCs w:val="20"/>
                <w:color w:val="auto"/>
              </w:rPr>
            </w:pPr>
            <w:r>
              <w:rPr>
                <w:rFonts w:ascii="Arial" w:cs="Arial" w:eastAsia="Arial" w:hAnsi="Arial"/>
                <w:sz w:val="18"/>
                <w:szCs w:val="18"/>
                <w:color w:val="auto"/>
              </w:rPr>
              <w:t>2008</w:t>
            </w:r>
          </w:p>
        </w:tc>
      </w:tr>
      <w:tr>
        <w:trPr>
          <w:trHeight w:val="196"/>
        </w:trPr>
        <w:tc>
          <w:tcPr>
            <w:tcW w:w="4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Lars R. Wedenborn</w:t>
            </w:r>
          </w:p>
        </w:tc>
        <w:tc>
          <w:tcPr>
            <w:tcW w:w="1240" w:type="dxa"/>
            <w:vAlign w:val="bottom"/>
            <w:tcBorders>
              <w:bottom w:val="single" w:sz="8" w:color="BFBFBF"/>
              <w:right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54</w:t>
            </w:r>
          </w:p>
        </w:tc>
        <w:tc>
          <w:tcPr>
            <w:tcW w:w="400" w:type="dxa"/>
            <w:vAlign w:val="bottom"/>
            <w:tcBorders>
              <w:bottom w:val="single" w:sz="8" w:color="BFBFBF"/>
            </w:tcBorders>
          </w:tcPr>
          <w:p>
            <w:pPr>
              <w:spacing w:after="0"/>
              <w:rPr>
                <w:sz w:val="17"/>
                <w:szCs w:val="17"/>
                <w:color w:val="auto"/>
              </w:rPr>
            </w:pPr>
          </w:p>
        </w:tc>
        <w:tc>
          <w:tcPr>
            <w:tcW w:w="3580" w:type="dxa"/>
            <w:vAlign w:val="bottom"/>
            <w:tcBorders>
              <w:bottom w:val="single" w:sz="8" w:color="BFBFBF"/>
              <w:right w:val="single" w:sz="8" w:color="BFBFBF"/>
            </w:tcBorders>
          </w:tcPr>
          <w:p>
            <w:pPr>
              <w:ind w:left="60"/>
              <w:spacing w:after="0" w:line="196" w:lineRule="exact"/>
              <w:rPr>
                <w:sz w:val="20"/>
                <w:szCs w:val="20"/>
                <w:color w:val="auto"/>
              </w:rPr>
            </w:pPr>
            <w:r>
              <w:rPr>
                <w:rFonts w:ascii="Arial" w:cs="Arial" w:eastAsia="Arial" w:hAnsi="Arial"/>
                <w:sz w:val="18"/>
                <w:szCs w:val="18"/>
                <w:color w:val="auto"/>
              </w:rPr>
              <w:t>Non-Industry</w:t>
            </w:r>
          </w:p>
        </w:tc>
        <w:tc>
          <w:tcPr>
            <w:tcW w:w="1780" w:type="dxa"/>
            <w:vAlign w:val="bottom"/>
            <w:tcBorders>
              <w:bottom w:val="single" w:sz="8" w:color="BFBFBF"/>
              <w:right w:val="single" w:sz="8" w:color="BFBFBF"/>
            </w:tcBorders>
            <w:gridSpan w:val="2"/>
          </w:tcPr>
          <w:p>
            <w:pPr>
              <w:ind w:left="460"/>
              <w:spacing w:after="0" w:line="196" w:lineRule="exact"/>
              <w:rPr>
                <w:sz w:val="20"/>
                <w:szCs w:val="20"/>
                <w:color w:val="auto"/>
              </w:rPr>
            </w:pPr>
            <w:r>
              <w:rPr>
                <w:rFonts w:ascii="Arial" w:cs="Arial" w:eastAsia="Arial" w:hAnsi="Arial"/>
                <w:sz w:val="18"/>
                <w:szCs w:val="18"/>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-1534160</wp:posOffset>
            </wp:positionV>
            <wp:extent cx="889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-1534160</wp:posOffset>
            </wp:positionV>
            <wp:extent cx="889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-1534160</wp:posOffset>
            </wp:positionV>
            <wp:extent cx="889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889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-1534160</wp:posOffset>
            </wp:positionV>
            <wp:extent cx="889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32"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13</w:t>
      </w:r>
    </w:p>
    <w:p>
      <w:pPr>
        <w:sectPr>
          <w:pgSz w:w="11900" w:h="16838" w:orient="portrait"/>
          <w:cols w:equalWidth="0" w:num="1">
            <w:col w:w="11440"/>
          </w:cols>
          <w:pgMar w:left="240" w:top="459" w:right="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NOMINEES</w:t>
      </w:r>
    </w:p>
    <w:p>
      <w:pPr>
        <w:spacing w:after="0" w:line="225" w:lineRule="exact"/>
        <w:rPr>
          <w:sz w:val="20"/>
          <w:szCs w:val="20"/>
          <w:color w:val="auto"/>
        </w:rPr>
      </w:pPr>
    </w:p>
    <w:p>
      <w:pPr>
        <w:ind w:left="3780" w:right="60"/>
        <w:spacing w:after="0" w:line="272" w:lineRule="auto"/>
        <w:rPr>
          <w:sz w:val="20"/>
          <w:szCs w:val="20"/>
          <w:color w:val="auto"/>
        </w:rPr>
      </w:pPr>
      <w:r>
        <w:rPr>
          <w:rFonts w:ascii="Arial" w:cs="Arial" w:eastAsia="Arial" w:hAnsi="Arial"/>
          <w:sz w:val="16"/>
          <w:szCs w:val="16"/>
          <w:b w:val="1"/>
          <w:bCs w:val="1"/>
          <w:color w:val="auto"/>
        </w:rPr>
        <w:t xml:space="preserve">Steven D. Black </w:t>
      </w:r>
      <w:r>
        <w:rPr>
          <w:rFonts w:ascii="Arial" w:cs="Arial" w:eastAsia="Arial" w:hAnsi="Arial"/>
          <w:sz w:val="16"/>
          <w:szCs w:val="16"/>
          <w:color w:val="auto"/>
        </w:rPr>
        <w:t>was elected to NASDAQ OMX’s board of directors in December 2011. Since</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2012, Mr. Black has been the Co-CEO of Bregal Investments, a private equity firm. He was the Vice Chairman of J.P. Morgan Chase &amp; Co. from March 2010 through February 2011 and a member of the firm’s Operating and Executive committees. Prior to that position, Mr. Black was the Executive Chairman of J.P. Morgan Investment Bank from October 2009 through March 2010. Mr. Black served as a Co-Chief Executive Officer of J.P. Morgan Investment Bank from 2004 through 2009. Mr. Black was the Deputy Co-Chief Executive Officer of J.P. Morgan Investment Bank since 2003. He also served as head of J. P. Morgan Investment Bank’s Global Equities business since 2000 following a career with Citigroup and its predecessor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-1179195</wp:posOffset>
            </wp:positionV>
            <wp:extent cx="1534795" cy="1920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34795" cy="1920875"/>
                    </a:xfrm>
                    <a:prstGeom prst="rect">
                      <a:avLst/>
                    </a:prstGeom>
                    <a:noFill/>
                  </pic:spPr>
                </pic:pic>
              </a:graphicData>
            </a:graphic>
          </wp:anchor>
        </w:drawing>
      </w:r>
    </w:p>
    <w:p>
      <w:pPr>
        <w:spacing w:after="0" w:line="147"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0088A6"/>
        </w:rPr>
        <w:t>Skills and Qualifications</w:t>
      </w:r>
    </w:p>
    <w:p>
      <w:pPr>
        <w:spacing w:after="0" w:line="81" w:lineRule="exact"/>
        <w:rPr>
          <w:sz w:val="20"/>
          <w:szCs w:val="20"/>
          <w:color w:val="auto"/>
        </w:rPr>
      </w:pPr>
    </w:p>
    <w:p>
      <w:pPr>
        <w:ind w:left="3780" w:right="20"/>
        <w:spacing w:after="0" w:line="237" w:lineRule="auto"/>
        <w:rPr>
          <w:sz w:val="20"/>
          <w:szCs w:val="20"/>
          <w:color w:val="auto"/>
        </w:rPr>
      </w:pPr>
      <w:r>
        <w:rPr>
          <w:rFonts w:ascii="Arial" w:cs="Arial" w:eastAsia="Arial" w:hAnsi="Arial"/>
          <w:sz w:val="18"/>
          <w:szCs w:val="18"/>
          <w:color w:val="auto"/>
        </w:rPr>
        <w:t>Mr. Black served in various financial and strategic roles at J.P. Morgan throughout his career and prior to that at Citigroup. Under his leadership, J.P. Morgan Chase achieved a number one ranking in top global capital raising league tables. Mr. Black’s depth of knowledge and experience in the global financial services industry brings a wealth of knowledge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780" w:right="20"/>
        <w:spacing w:after="0" w:line="239" w:lineRule="auto"/>
        <w:rPr>
          <w:sz w:val="20"/>
          <w:szCs w:val="20"/>
          <w:color w:val="auto"/>
        </w:rPr>
      </w:pPr>
      <w:r>
        <w:rPr>
          <w:rFonts w:ascii="Arial" w:cs="Arial" w:eastAsia="Arial" w:hAnsi="Arial"/>
          <w:sz w:val="18"/>
          <w:szCs w:val="18"/>
          <w:b w:val="1"/>
          <w:bCs w:val="1"/>
          <w:color w:val="auto"/>
        </w:rPr>
        <w:t xml:space="preserve">Börje E. Ekholm </w:t>
      </w:r>
      <w:r>
        <w:rPr>
          <w:rFonts w:ascii="Arial" w:cs="Arial" w:eastAsia="Arial" w:hAnsi="Arial"/>
          <w:sz w:val="18"/>
          <w:szCs w:val="18"/>
          <w:color w:val="auto"/>
        </w:rPr>
        <w:t>was elected to NASDAQ OMX’s board of directors effective February 17, 2011.</w:t>
      </w:r>
      <w:r>
        <w:rPr>
          <w:rFonts w:ascii="Arial" w:cs="Arial" w:eastAsia="Arial" w:hAnsi="Arial"/>
          <w:sz w:val="18"/>
          <w:szCs w:val="18"/>
          <w:b w:val="1"/>
          <w:bCs w:val="1"/>
          <w:color w:val="auto"/>
        </w:rPr>
        <w:t xml:space="preserve"> </w:t>
      </w:r>
      <w:r>
        <w:rPr>
          <w:rFonts w:ascii="Arial" w:cs="Arial" w:eastAsia="Arial" w:hAnsi="Arial"/>
          <w:sz w:val="18"/>
          <w:szCs w:val="18"/>
          <w:color w:val="auto"/>
        </w:rPr>
        <w:t>Mr. Ekholm is the President and Chief Executive Officer, as well as a member of the board of directors, of Investor AB, which is an industrial holding company that invests in other companies in the ordinary course of business. Prior to becoming the President and Chief Executive Officer 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-641985</wp:posOffset>
            </wp:positionV>
            <wp:extent cx="1534795" cy="1920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34795" cy="1920875"/>
                    </a:xfrm>
                    <a:prstGeom prst="rect">
                      <a:avLst/>
                    </a:prstGeom>
                    <a:noFill/>
                  </pic:spPr>
                </pic:pic>
              </a:graphicData>
            </a:graphic>
          </wp:anchor>
        </w:drawing>
      </w:r>
    </w:p>
    <w:p>
      <w:pPr>
        <w:ind w:left="3780"/>
        <w:spacing w:after="0" w:line="236" w:lineRule="auto"/>
        <w:rPr>
          <w:sz w:val="20"/>
          <w:szCs w:val="20"/>
          <w:color w:val="auto"/>
        </w:rPr>
      </w:pPr>
      <w:r>
        <w:rPr>
          <w:rFonts w:ascii="Arial" w:cs="Arial" w:eastAsia="Arial" w:hAnsi="Arial"/>
          <w:sz w:val="18"/>
          <w:szCs w:val="18"/>
          <w:color w:val="auto"/>
        </w:rPr>
        <w:t>Mr. Ekholm was a Member of the Management Group of Investor AB, where he had oversight of the new investments business. Mr. Ekholm previously served as the President of Novare Kapital AB, an early-stage venture capital company. He also served in various positions at McKinsey &amp; Co Inc. Mr. Ekholm is a member of the board and the remuneration committee of Telefonaktiebolaget LM Ericsson. In summary, as of April 11, 2013, Mr. Ekholm is a member of the boards of directors of Investor AB, of which he is the President and Chief Executive Officer, and two other public companies, NASDAQ OMX and Telefonaktiebolaget LM Ericsson.</w:t>
      </w:r>
    </w:p>
    <w:p>
      <w:pPr>
        <w:spacing w:after="0" w:line="191"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0088A6"/>
        </w:rPr>
        <w:t>Skills and Qualifications</w:t>
      </w:r>
    </w:p>
    <w:p>
      <w:pPr>
        <w:spacing w:after="0" w:line="81" w:lineRule="exact"/>
        <w:rPr>
          <w:sz w:val="20"/>
          <w:szCs w:val="20"/>
          <w:color w:val="auto"/>
        </w:rPr>
      </w:pPr>
    </w:p>
    <w:p>
      <w:pPr>
        <w:jc w:val="both"/>
        <w:ind w:left="3780" w:right="260"/>
        <w:spacing w:after="0" w:line="234" w:lineRule="auto"/>
        <w:rPr>
          <w:sz w:val="20"/>
          <w:szCs w:val="20"/>
          <w:color w:val="auto"/>
        </w:rPr>
      </w:pPr>
      <w:r>
        <w:rPr>
          <w:rFonts w:ascii="Arial" w:cs="Arial" w:eastAsia="Arial" w:hAnsi="Arial"/>
          <w:sz w:val="18"/>
          <w:szCs w:val="18"/>
          <w:color w:val="auto"/>
        </w:rPr>
        <w:t>Mr. Ekholm serves in a senior leadership role at Investor AB as President and Chief Executive Officer where he has gained invaluable experience in the financial sector. Mr. Ekholm brings an accounting background to the board from his current role at Investor AB.</w:t>
      </w:r>
    </w:p>
    <w:p>
      <w:pPr>
        <w:spacing w:after="0" w:line="2" w:lineRule="exact"/>
        <w:rPr>
          <w:sz w:val="20"/>
          <w:szCs w:val="20"/>
          <w:color w:val="auto"/>
        </w:rPr>
      </w:pPr>
    </w:p>
    <w:p>
      <w:pPr>
        <w:ind w:left="3780" w:right="100"/>
        <w:spacing w:after="0" w:line="238" w:lineRule="auto"/>
        <w:rPr>
          <w:sz w:val="20"/>
          <w:szCs w:val="20"/>
          <w:color w:val="auto"/>
        </w:rPr>
      </w:pPr>
      <w:r>
        <w:rPr>
          <w:rFonts w:ascii="Arial" w:cs="Arial" w:eastAsia="Arial" w:hAnsi="Arial"/>
          <w:sz w:val="18"/>
          <w:szCs w:val="18"/>
          <w:color w:val="auto"/>
        </w:rPr>
        <w:t>Mr. Ekholm has broad knowledge of international markets and experience in the areas of corporate strategy, finance and technology. As a nominee designated by Investor AB, Mr. Ekholm also brings to the NASDAQ OMX board the perspective of a large stockholder.</w:t>
      </w:r>
    </w:p>
    <w:p>
      <w:pPr>
        <w:spacing w:after="0" w:line="1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80" w:right="60"/>
        <w:spacing w:after="0" w:line="277" w:lineRule="auto"/>
        <w:rPr>
          <w:sz w:val="20"/>
          <w:szCs w:val="20"/>
          <w:color w:val="auto"/>
        </w:rPr>
      </w:pPr>
      <w:r>
        <w:rPr>
          <w:rFonts w:ascii="Arial" w:cs="Arial" w:eastAsia="Arial" w:hAnsi="Arial"/>
          <w:sz w:val="16"/>
          <w:szCs w:val="16"/>
          <w:b w:val="1"/>
          <w:bCs w:val="1"/>
          <w:color w:val="auto"/>
        </w:rPr>
        <w:t xml:space="preserve">Robert Greifeld </w:t>
      </w:r>
      <w:r>
        <w:rPr>
          <w:rFonts w:ascii="Arial" w:cs="Arial" w:eastAsia="Arial" w:hAnsi="Arial"/>
          <w:sz w:val="16"/>
          <w:szCs w:val="16"/>
          <w:color w:val="auto"/>
        </w:rPr>
        <w:t>was elected to the board of directors and appointed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NASDAQ OMX in May 2003. Prior to joining NASDAQ OMX, Mr. Greifeld 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 through 1999, Mr. Greifeld was the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1534795" cy="1920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34795" cy="1920875"/>
                    </a:xfrm>
                    <a:prstGeom prst="rect">
                      <a:avLst/>
                    </a:prstGeom>
                    <a:noFill/>
                  </pic:spPr>
                </pic:pic>
              </a:graphicData>
            </a:graphic>
          </wp:anchor>
        </w:drawing>
      </w:r>
    </w:p>
    <w:p>
      <w:pPr>
        <w:spacing w:after="0" w:line="141"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0088A6"/>
        </w:rPr>
        <w:t>Skills and Qualifications</w:t>
      </w:r>
    </w:p>
    <w:p>
      <w:pPr>
        <w:spacing w:after="0" w:line="81" w:lineRule="exact"/>
        <w:rPr>
          <w:sz w:val="20"/>
          <w:szCs w:val="20"/>
          <w:color w:val="auto"/>
        </w:rPr>
      </w:pPr>
    </w:p>
    <w:p>
      <w:pPr>
        <w:ind w:left="3780" w:right="40"/>
        <w:spacing w:after="0" w:line="237" w:lineRule="auto"/>
        <w:rPr>
          <w:sz w:val="20"/>
          <w:szCs w:val="20"/>
          <w:color w:val="auto"/>
        </w:rPr>
      </w:pPr>
      <w:r>
        <w:rPr>
          <w:rFonts w:ascii="Arial" w:cs="Arial" w:eastAsia="Arial" w:hAnsi="Arial"/>
          <w:sz w:val="18"/>
          <w:szCs w:val="18"/>
          <w:color w:val="auto"/>
        </w:rPr>
        <w:t>Mr. Greifeld has led NASDAQ OMX through a series of complex, innovative acquisitions that have extended its footprint across the world, spanning all asset classes. Mr. Greifeld also has broad experience in the areas of technology, finance, risk management, human resources and corporate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80"/>
        <w:spacing w:after="0" w:line="242" w:lineRule="auto"/>
        <w:rPr>
          <w:sz w:val="20"/>
          <w:szCs w:val="20"/>
          <w:color w:val="auto"/>
        </w:rPr>
      </w:pPr>
      <w:r>
        <w:rPr>
          <w:rFonts w:ascii="Arial" w:cs="Arial" w:eastAsia="Arial" w:hAnsi="Arial"/>
          <w:sz w:val="18"/>
          <w:szCs w:val="18"/>
          <w:b w:val="1"/>
          <w:bCs w:val="1"/>
          <w:color w:val="auto"/>
        </w:rPr>
        <w:t xml:space="preserve">Glenn H. Hutchins </w:t>
      </w:r>
      <w:r>
        <w:rPr>
          <w:rFonts w:ascii="Arial" w:cs="Arial" w:eastAsia="Arial" w:hAnsi="Arial"/>
          <w:sz w:val="18"/>
          <w:szCs w:val="18"/>
          <w:color w:val="auto"/>
        </w:rPr>
        <w:t>was elected to NASDAQ OMX’s board of directors in May 2005. Mr. Hutchins</w:t>
      </w:r>
      <w:r>
        <w:rPr>
          <w:rFonts w:ascii="Arial" w:cs="Arial" w:eastAsia="Arial" w:hAnsi="Arial"/>
          <w:sz w:val="18"/>
          <w:szCs w:val="18"/>
          <w:b w:val="1"/>
          <w:bCs w:val="1"/>
          <w:color w:val="auto"/>
        </w:rPr>
        <w:t xml:space="preserve"> </w:t>
      </w:r>
      <w:r>
        <w:rPr>
          <w:rFonts w:ascii="Arial" w:cs="Arial" w:eastAsia="Arial" w:hAnsi="Arial"/>
          <w:sz w:val="18"/>
          <w:szCs w:val="18"/>
          <w:color w:val="auto"/>
        </w:rPr>
        <w:t>is a Co-Founder of Silver Lake, a technology investment firm that was established in January 1999. Mr. Hutchins is the Chairman of the board of SunGard Capital Corp. and serves as a member of the Availability Services Committee and the Nominating and Governance Committee of SunGard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1534795" cy="1920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34795" cy="1920875"/>
                    </a:xfrm>
                    <a:prstGeom prst="rect">
                      <a:avLst/>
                    </a:prstGeom>
                    <a:noFill/>
                  </pic:spPr>
                </pic:pic>
              </a:graphicData>
            </a:graphic>
          </wp:anchor>
        </w:drawing>
      </w:r>
    </w:p>
    <w:p>
      <w:pPr>
        <w:spacing w:after="0" w:line="169"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0088A6"/>
        </w:rPr>
        <w:t>Skills and Qualifications</w:t>
      </w:r>
    </w:p>
    <w:p>
      <w:pPr>
        <w:spacing w:after="0" w:line="81" w:lineRule="exact"/>
        <w:rPr>
          <w:sz w:val="20"/>
          <w:szCs w:val="20"/>
          <w:color w:val="auto"/>
        </w:rPr>
      </w:pPr>
    </w:p>
    <w:p>
      <w:pPr>
        <w:jc w:val="both"/>
        <w:ind w:left="3780" w:right="20"/>
        <w:spacing w:after="0" w:line="281" w:lineRule="auto"/>
        <w:rPr>
          <w:sz w:val="20"/>
          <w:szCs w:val="20"/>
          <w:color w:val="auto"/>
        </w:rPr>
      </w:pPr>
      <w:r>
        <w:rPr>
          <w:rFonts w:ascii="Arial" w:cs="Arial" w:eastAsia="Arial" w:hAnsi="Arial"/>
          <w:sz w:val="16"/>
          <w:szCs w:val="16"/>
          <w:color w:val="auto"/>
        </w:rPr>
        <w:t>Mr. Hutchins has extensive transactional experience as a private equity investor, particularly in the area of evaluating, negotiating and structuring mergers and acquisitions. Mr. Hutchins also holds a law degree and has extensive experience in the financial, technology and public policy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534795" cy="1920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3479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80"/>
        <w:spacing w:after="0" w:line="277" w:lineRule="auto"/>
        <w:rPr>
          <w:sz w:val="20"/>
          <w:szCs w:val="20"/>
          <w:color w:val="auto"/>
        </w:rPr>
      </w:pPr>
      <w:r>
        <w:rPr>
          <w:rFonts w:ascii="Arial" w:cs="Arial" w:eastAsia="Arial" w:hAnsi="Arial"/>
          <w:sz w:val="16"/>
          <w:szCs w:val="16"/>
          <w:b w:val="1"/>
          <w:bCs w:val="1"/>
          <w:color w:val="auto"/>
        </w:rPr>
        <w:t xml:space="preserve">Essa Kazim </w:t>
      </w:r>
      <w:r>
        <w:rPr>
          <w:rFonts w:ascii="Arial" w:cs="Arial" w:eastAsia="Arial" w:hAnsi="Arial"/>
          <w:sz w:val="16"/>
          <w:szCs w:val="16"/>
          <w:color w:val="auto"/>
        </w:rPr>
        <w:t>was elected to NASDAQ OMX’s board of directors effective March 1, 2008.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2006, Mr. Kazim has been the Chairman of Borse Dubai and Managing Director and Chief Executive Officer of the Dubai Financial Market. Mr. Kazim began his career as a Senior Analyst in the Research and Statistics Department of the UAE Central Bank in 1988 and then moved to the Dubai Department of Economic Development as Director of Planning and Development in 1993. He was then appointed Director General of the DFM from 1999 through 2006.</w:t>
      </w:r>
    </w:p>
    <w:p>
      <w:pPr>
        <w:spacing w:after="0" w:line="161"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0088A6"/>
        </w:rPr>
        <w:t>Skills and Qualifications</w:t>
      </w:r>
    </w:p>
    <w:p>
      <w:pPr>
        <w:spacing w:after="0" w:line="81" w:lineRule="exact"/>
        <w:rPr>
          <w:sz w:val="20"/>
          <w:szCs w:val="20"/>
          <w:color w:val="auto"/>
        </w:rPr>
      </w:pPr>
    </w:p>
    <w:p>
      <w:pPr>
        <w:ind w:left="3780" w:right="300"/>
        <w:spacing w:after="0" w:line="236" w:lineRule="auto"/>
        <w:rPr>
          <w:sz w:val="20"/>
          <w:szCs w:val="20"/>
          <w:color w:val="auto"/>
        </w:rPr>
      </w:pPr>
      <w:r>
        <w:rPr>
          <w:rFonts w:ascii="Arial" w:cs="Arial" w:eastAsia="Arial" w:hAnsi="Arial"/>
          <w:sz w:val="18"/>
          <w:szCs w:val="18"/>
          <w:color w:val="auto"/>
        </w:rPr>
        <w:t>Through his roles at Dubai Financial Market and Borse Dubai, Mr. Kazim has experience in all aspects of the operation of stock exchanges, including regulatory compliance. He brings global experience to the board through his experience with financial markets in the Middle East. As a nominee designated by Borse Dubai, Mr. Kazim also brings to the NASDAQ OMX board the perspective of a large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1534795" cy="1920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34795" cy="192087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3780" w:right="120"/>
        <w:spacing w:after="0"/>
        <w:rPr>
          <w:sz w:val="20"/>
          <w:szCs w:val="20"/>
          <w:color w:val="auto"/>
        </w:rPr>
      </w:pPr>
      <w:r>
        <w:rPr>
          <w:rFonts w:ascii="Arial" w:cs="Arial" w:eastAsia="Arial" w:hAnsi="Arial"/>
          <w:sz w:val="18"/>
          <w:szCs w:val="18"/>
          <w:b w:val="1"/>
          <w:bCs w:val="1"/>
          <w:color w:val="auto"/>
        </w:rPr>
        <w:t xml:space="preserve">John D. Markese </w:t>
      </w:r>
      <w:r>
        <w:rPr>
          <w:rFonts w:ascii="Arial" w:cs="Arial" w:eastAsia="Arial" w:hAnsi="Arial"/>
          <w:sz w:val="18"/>
          <w:szCs w:val="18"/>
          <w:color w:val="auto"/>
        </w:rPr>
        <w:t>was elected to NASDAQ OMX’s board of directors in May 1996. Dr. Markese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on FINRA’s board of governors from 1998 to 2002. Since his retirement in October 2010, Dr. Markese has been the Vice Chairman of the American Association of Individual Investors, a not-for-profit organization providing investment education to individual investors founded in 1978. Previously, Dr. Markese was the President and Chief Executive Officer of the American Association of Individual Investors.</w:t>
      </w:r>
    </w:p>
    <w:p>
      <w:pPr>
        <w:spacing w:after="0" w:line="194"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0088A6"/>
        </w:rPr>
        <w:t>Skills and Qualifications</w:t>
      </w:r>
    </w:p>
    <w:p>
      <w:pPr>
        <w:spacing w:after="0" w:line="81" w:lineRule="exact"/>
        <w:rPr>
          <w:sz w:val="20"/>
          <w:szCs w:val="20"/>
          <w:color w:val="auto"/>
        </w:rPr>
      </w:pPr>
    </w:p>
    <w:p>
      <w:pPr>
        <w:ind w:left="3780" w:right="60"/>
        <w:spacing w:after="0" w:line="236" w:lineRule="auto"/>
        <w:rPr>
          <w:sz w:val="20"/>
          <w:szCs w:val="20"/>
          <w:color w:val="auto"/>
        </w:rPr>
      </w:pPr>
      <w:r>
        <w:rPr>
          <w:rFonts w:ascii="Arial" w:cs="Arial" w:eastAsia="Arial" w:hAnsi="Arial"/>
          <w:sz w:val="18"/>
          <w:szCs w:val="18"/>
          <w:color w:val="auto"/>
        </w:rPr>
        <w:t>As a result of his over 40 years of work in finance, Dr. Markese meets the criteria of an audit committee financial expert and serves as the chairman of the audit committee of NASDAQ OMX’s board. Dr. Markese has a doctoral degree in Finance and has taught business school classes in the areas of Corporate Finance, Financial Case Analysis, Portfolio Management and Investment Analysis. Dr. Markese also brings to the NASDAQ OMX board the perspective of the individual investor community.</w:t>
      </w:r>
    </w:p>
    <w:p>
      <w:pPr>
        <w:spacing w:after="0" w:line="15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80" w:right="120"/>
        <w:spacing w:after="0" w:line="239" w:lineRule="auto"/>
        <w:rPr>
          <w:sz w:val="20"/>
          <w:szCs w:val="20"/>
          <w:color w:val="auto"/>
        </w:rPr>
      </w:pPr>
      <w:r>
        <w:rPr>
          <w:rFonts w:ascii="Arial" w:cs="Arial" w:eastAsia="Arial" w:hAnsi="Arial"/>
          <w:sz w:val="18"/>
          <w:szCs w:val="18"/>
          <w:b w:val="1"/>
          <w:bCs w:val="1"/>
          <w:color w:val="auto"/>
        </w:rPr>
        <w:t xml:space="preserve">Ellyn A. McColgan </w:t>
      </w:r>
      <w:r>
        <w:rPr>
          <w:rFonts w:ascii="Arial" w:cs="Arial" w:eastAsia="Arial" w:hAnsi="Arial"/>
          <w:sz w:val="18"/>
          <w:szCs w:val="18"/>
          <w:color w:val="auto"/>
        </w:rPr>
        <w:t>was elected to NASDAQ OMX’s board of directors in May 2012. Since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2010, she has been an Executive Advisor at Aquiline Capital Partners, LLC, a private equity firm that invests in the financial services sector. Ms. McColgan worked as a private consultant from February 2009 through September 2010. From April 2008 through January 2009, Ms. McColgan was the President and Chief Operating Officer of the Global Wealth Management Group of Morgan Stanley. Prior to that, Ms. McColgan served in various senior management positions at Fidelity Investments from 1990 through 2007. Ms. McColgan was a director and member of the audit committee of Primerica from 2010 through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-1034415</wp:posOffset>
            </wp:positionV>
            <wp:extent cx="1534795" cy="1920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34795" cy="1920875"/>
                    </a:xfrm>
                    <a:prstGeom prst="rect">
                      <a:avLst/>
                    </a:prstGeom>
                    <a:noFill/>
                  </pic:spPr>
                </pic:pic>
              </a:graphicData>
            </a:graphic>
          </wp:anchor>
        </w:drawing>
      </w:r>
    </w:p>
    <w:p>
      <w:pPr>
        <w:spacing w:after="0" w:line="172"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0088A6"/>
        </w:rPr>
        <w:t>Skills and Qualifications</w:t>
      </w:r>
    </w:p>
    <w:p>
      <w:pPr>
        <w:spacing w:after="0" w:line="81" w:lineRule="exact"/>
        <w:rPr>
          <w:sz w:val="20"/>
          <w:szCs w:val="20"/>
          <w:color w:val="auto"/>
        </w:rPr>
      </w:pPr>
    </w:p>
    <w:p>
      <w:pPr>
        <w:ind w:left="3780" w:right="80"/>
        <w:spacing w:after="0" w:line="236" w:lineRule="auto"/>
        <w:rPr>
          <w:sz w:val="20"/>
          <w:szCs w:val="20"/>
          <w:color w:val="auto"/>
        </w:rPr>
      </w:pPr>
      <w:r>
        <w:rPr>
          <w:rFonts w:ascii="Arial" w:cs="Arial" w:eastAsia="Arial" w:hAnsi="Arial"/>
          <w:sz w:val="18"/>
          <w:szCs w:val="18"/>
          <w:color w:val="auto"/>
        </w:rPr>
        <w:t>Ms. McColgan has been a senior executive in the financial services industry for over 25 years. She is a transformational leader who built the Fidelity Brokerage Company to be the largest brokerage company in the United States as measured by client assets and client accounts, growing the business to $1.9 trillion in assets. She also has substantial experience with managing large enterprises and service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1534795" cy="1920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34795" cy="192087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ind w:left="3780" w:right="220"/>
        <w:spacing w:after="0" w:line="271" w:lineRule="auto"/>
        <w:rPr>
          <w:sz w:val="20"/>
          <w:szCs w:val="20"/>
          <w:color w:val="auto"/>
        </w:rPr>
      </w:pPr>
      <w:r>
        <w:rPr>
          <w:rFonts w:ascii="Arial" w:cs="Arial" w:eastAsia="Arial" w:hAnsi="Arial"/>
          <w:sz w:val="16"/>
          <w:szCs w:val="16"/>
          <w:b w:val="1"/>
          <w:bCs w:val="1"/>
          <w:color w:val="auto"/>
        </w:rPr>
        <w:t xml:space="preserve">Thomas F. O’Neill </w:t>
      </w:r>
      <w:r>
        <w:rPr>
          <w:rFonts w:ascii="Arial" w:cs="Arial" w:eastAsia="Arial" w:hAnsi="Arial"/>
          <w:sz w:val="16"/>
          <w:szCs w:val="16"/>
          <w:color w:val="auto"/>
        </w:rPr>
        <w:t>was elected to NASDAQ OMX’s board of directors in May 2003. Mr. O’Neill</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chairman of Ranieri Partners Financial Services Group, which acquires and manages financial services companies, since December 2010. In November 2010, Mr. O’Neill retired as a principal of Sandler O’Neill + Partners L.P., an investment bank that he co-founded in 1988.</w:t>
      </w:r>
    </w:p>
    <w:p>
      <w:pPr>
        <w:spacing w:after="0" w:line="1" w:lineRule="exact"/>
        <w:rPr>
          <w:sz w:val="20"/>
          <w:szCs w:val="20"/>
          <w:color w:val="auto"/>
        </w:rPr>
      </w:pPr>
    </w:p>
    <w:p>
      <w:pPr>
        <w:jc w:val="both"/>
        <w:ind w:left="3780" w:right="520"/>
        <w:spacing w:after="0" w:line="238" w:lineRule="auto"/>
        <w:rPr>
          <w:sz w:val="20"/>
          <w:szCs w:val="20"/>
          <w:color w:val="auto"/>
        </w:rPr>
      </w:pPr>
      <w:r>
        <w:rPr>
          <w:rFonts w:ascii="Arial" w:cs="Arial" w:eastAsia="Arial" w:hAnsi="Arial"/>
          <w:sz w:val="18"/>
          <w:szCs w:val="18"/>
          <w:color w:val="auto"/>
        </w:rPr>
        <w:t>Mr. O’Neill is also a director of BankFinancial Corporation, Misonix, Inc. and Archer-Daniels-Midland Company. Mr. O’Neill serves as chairman of the audit committee of Archer-Daniels-Midland Company and is a member of the audit committee of Misonix.</w:t>
      </w:r>
    </w:p>
    <w:p>
      <w:pPr>
        <w:spacing w:after="0" w:line="190"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0088A6"/>
        </w:rPr>
        <w:t>Skills and Qualifications</w:t>
      </w:r>
    </w:p>
    <w:p>
      <w:pPr>
        <w:spacing w:after="0" w:line="81" w:lineRule="exact"/>
        <w:rPr>
          <w:sz w:val="20"/>
          <w:szCs w:val="20"/>
          <w:color w:val="auto"/>
        </w:rPr>
      </w:pPr>
    </w:p>
    <w:p>
      <w:pPr>
        <w:ind w:left="3780" w:right="420"/>
        <w:spacing w:after="0" w:line="236" w:lineRule="auto"/>
        <w:rPr>
          <w:sz w:val="20"/>
          <w:szCs w:val="20"/>
          <w:color w:val="auto"/>
        </w:rPr>
      </w:pPr>
      <w:r>
        <w:rPr>
          <w:rFonts w:ascii="Arial" w:cs="Arial" w:eastAsia="Arial" w:hAnsi="Arial"/>
          <w:sz w:val="18"/>
          <w:szCs w:val="18"/>
          <w:color w:val="auto"/>
        </w:rPr>
        <w:t>Mr. O’Neill has worked on Wall Street since 1972, and as a founding principal of a nationally-recognized investment bank, he has broad experience in the areas of finance, mergers and acquisitions and business development. Mr. O’Neill specializes in working with financial institutions, and his substantial experience in the finance community contributes to his role as chairman of the finance committee of NASDAQ OMX’s board.</w:t>
      </w:r>
    </w:p>
    <w:p>
      <w:pPr>
        <w:spacing w:after="0" w:line="15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80" w:right="80"/>
        <w:spacing w:after="0" w:line="271" w:lineRule="auto"/>
        <w:rPr>
          <w:sz w:val="20"/>
          <w:szCs w:val="20"/>
          <w:color w:val="auto"/>
        </w:rPr>
      </w:pPr>
      <w:r>
        <w:rPr>
          <w:rFonts w:ascii="Arial" w:cs="Arial" w:eastAsia="Arial" w:hAnsi="Arial"/>
          <w:sz w:val="16"/>
          <w:szCs w:val="16"/>
          <w:b w:val="1"/>
          <w:bCs w:val="1"/>
          <w:color w:val="auto"/>
        </w:rPr>
        <w:t xml:space="preserve">James S. Riepe </w:t>
      </w:r>
      <w:r>
        <w:rPr>
          <w:rFonts w:ascii="Arial" w:cs="Arial" w:eastAsia="Arial" w:hAnsi="Arial"/>
          <w:sz w:val="16"/>
          <w:szCs w:val="16"/>
          <w:color w:val="auto"/>
        </w:rPr>
        <w:t>was elected to NASDAQ OMX’s board of directors in May 2003. Mr. Riepe is a</w:t>
      </w:r>
      <w:r>
        <w:rPr>
          <w:rFonts w:ascii="Arial" w:cs="Arial" w:eastAsia="Arial" w:hAnsi="Arial"/>
          <w:sz w:val="16"/>
          <w:szCs w:val="16"/>
          <w:b w:val="1"/>
          <w:bCs w:val="1"/>
          <w:color w:val="auto"/>
        </w:rPr>
        <w:t xml:space="preserve"> </w:t>
      </w:r>
      <w:r>
        <w:rPr>
          <w:rFonts w:ascii="Arial" w:cs="Arial" w:eastAsia="Arial" w:hAnsi="Arial"/>
          <w:sz w:val="16"/>
          <w:szCs w:val="16"/>
          <w:color w:val="auto"/>
        </w:rPr>
        <w:t>Senior Advisor at T. Rowe Price Group, Inc., an investment management firm, from which Mr. Riepe retired from active management in 2006. Previously, Mr. Riepe served as Vice Chairman of the board of directors of T. Rowe Price and Chairman of the T. Rowe Price Mutual Funds. He was a member of the firm’s management committee and was responsible for overseeing mutual fund activities, including global marketing and service operations. Mr. Riepe joined T. Rowe Price in 1982 as a Vice President and Director of the firm. Mr. Riepe served as Chairman of the board of governors of the Investment Company Institute and on FINRA’s board of governors. He also serves on the boards of directors, audit committees and compensation committees of Genworth Financial, Inc., where he is the non-executive Chairman, and LPL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-1306830</wp:posOffset>
            </wp:positionV>
            <wp:extent cx="1534795" cy="1920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34795" cy="1920875"/>
                    </a:xfrm>
                    <a:prstGeom prst="rect">
                      <a:avLst/>
                    </a:prstGeom>
                    <a:noFill/>
                  </pic:spPr>
                </pic:pic>
              </a:graphicData>
            </a:graphic>
          </wp:anchor>
        </w:drawing>
      </w:r>
    </w:p>
    <w:p>
      <w:pPr>
        <w:spacing w:after="0" w:line="148"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0088A6"/>
        </w:rPr>
        <w:t>Skills and Qualifications</w:t>
      </w:r>
    </w:p>
    <w:p>
      <w:pPr>
        <w:spacing w:after="0" w:line="81" w:lineRule="exact"/>
        <w:rPr>
          <w:sz w:val="20"/>
          <w:szCs w:val="20"/>
          <w:color w:val="auto"/>
        </w:rPr>
      </w:pPr>
    </w:p>
    <w:p>
      <w:pPr>
        <w:ind w:left="3780" w:right="540"/>
        <w:spacing w:after="0" w:line="237" w:lineRule="auto"/>
        <w:rPr>
          <w:sz w:val="20"/>
          <w:szCs w:val="20"/>
          <w:color w:val="auto"/>
        </w:rPr>
      </w:pPr>
      <w:r>
        <w:rPr>
          <w:rFonts w:ascii="Arial" w:cs="Arial" w:eastAsia="Arial" w:hAnsi="Arial"/>
          <w:sz w:val="18"/>
          <w:szCs w:val="18"/>
          <w:color w:val="auto"/>
        </w:rPr>
        <w:t>Mr. Riepe has experience in risk management as a result of his management oversight of financial, operational and investment activities and through his participation on audit, compensation and investment committees. He also has a broad knowledge of the securities business as a result of his 37 years in the asset management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1534795" cy="1920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3479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80"/>
        <w:spacing w:after="0" w:line="239" w:lineRule="auto"/>
        <w:rPr>
          <w:sz w:val="20"/>
          <w:szCs w:val="20"/>
          <w:color w:val="auto"/>
        </w:rPr>
      </w:pPr>
      <w:r>
        <w:rPr>
          <w:rFonts w:ascii="Arial" w:cs="Arial" w:eastAsia="Arial" w:hAnsi="Arial"/>
          <w:sz w:val="18"/>
          <w:szCs w:val="18"/>
          <w:b w:val="1"/>
          <w:bCs w:val="1"/>
          <w:color w:val="auto"/>
        </w:rPr>
        <w:t xml:space="preserve">Michael R. Splinter </w:t>
      </w:r>
      <w:r>
        <w:rPr>
          <w:rFonts w:ascii="Arial" w:cs="Arial" w:eastAsia="Arial" w:hAnsi="Arial"/>
          <w:sz w:val="18"/>
          <w:szCs w:val="18"/>
          <w:color w:val="auto"/>
        </w:rPr>
        <w:t>was elected to NASDAQ OMX’s board of directors effective March 1,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Splinter has served as the Chief Executive Officer, as well as a member of the Board of Directors, of Applied Materials, Inc., the global leader in nanomanufacturing technology</w:t>
      </w:r>
      <w:r>
        <w:rPr>
          <w:rFonts w:ascii="Arial" w:cs="Arial" w:eastAsia="Arial" w:hAnsi="Arial"/>
          <w:sz w:val="11"/>
          <w:szCs w:val="11"/>
          <w:color w:val="auto"/>
        </w:rPr>
        <w:t>™</w:t>
      </w:r>
      <w:r>
        <w:rPr>
          <w:rFonts w:ascii="Arial" w:cs="Arial" w:eastAsia="Arial" w:hAnsi="Arial"/>
          <w:sz w:val="18"/>
          <w:szCs w:val="18"/>
          <w:color w:val="auto"/>
        </w:rPr>
        <w:t xml:space="preserve"> solutions for the electronics industry, since April 2003 and as Chairman since 2009. He served as President of Applied Materials from April 2003 through June 2012. An engineer and technologist, Mr. Splinter is a 30-year veteran of the semiconductor industry. Prior to joining Applied Materials, Mr. Splinter was an executive at Intel Corporation.</w:t>
      </w:r>
    </w:p>
    <w:p>
      <w:pPr>
        <w:spacing w:after="0" w:line="195"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0088A6"/>
        </w:rPr>
        <w:t>Skills and Qualifications</w:t>
      </w:r>
    </w:p>
    <w:p>
      <w:pPr>
        <w:spacing w:after="0" w:line="81" w:lineRule="exact"/>
        <w:rPr>
          <w:sz w:val="20"/>
          <w:szCs w:val="20"/>
          <w:color w:val="auto"/>
        </w:rPr>
      </w:pPr>
    </w:p>
    <w:p>
      <w:pPr>
        <w:ind w:left="3780" w:right="400"/>
        <w:spacing w:after="0" w:line="237" w:lineRule="auto"/>
        <w:rPr>
          <w:sz w:val="20"/>
          <w:szCs w:val="20"/>
          <w:color w:val="auto"/>
        </w:rPr>
      </w:pPr>
      <w:r>
        <w:rPr>
          <w:rFonts w:ascii="Arial" w:cs="Arial" w:eastAsia="Arial" w:hAnsi="Arial"/>
          <w:sz w:val="18"/>
          <w:szCs w:val="18"/>
          <w:color w:val="auto"/>
        </w:rPr>
        <w:t>As the Chairman and Chief Executive Officer of Applied Materials, Mr. Splinter brings to the NASDAQ OMX board the perspective of a company listed on The NASDAQ Stock Market. Mr. Splinter also has significant experience in technology/information technology, finance, risk management and corporate strategy.</w:t>
      </w:r>
    </w:p>
    <w:p>
      <w:pPr>
        <w:spacing w:after="0" w:line="3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534795" cy="1920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3479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780" w:right="160"/>
        <w:spacing w:after="0" w:line="273" w:lineRule="auto"/>
        <w:rPr>
          <w:sz w:val="20"/>
          <w:szCs w:val="20"/>
          <w:color w:val="auto"/>
        </w:rPr>
      </w:pPr>
      <w:r>
        <w:rPr>
          <w:rFonts w:ascii="Arial" w:cs="Arial" w:eastAsia="Arial" w:hAnsi="Arial"/>
          <w:sz w:val="16"/>
          <w:szCs w:val="16"/>
          <w:b w:val="1"/>
          <w:bCs w:val="1"/>
          <w:color w:val="auto"/>
        </w:rPr>
        <w:t xml:space="preserve">Lars R. Wedenborn </w:t>
      </w:r>
      <w:r>
        <w:rPr>
          <w:rFonts w:ascii="Arial" w:cs="Arial" w:eastAsia="Arial" w:hAnsi="Arial"/>
          <w:sz w:val="16"/>
          <w:szCs w:val="16"/>
          <w:color w:val="auto"/>
        </w:rPr>
        <w:t>was elected to NASDAQ OMX’s board of directors effective March 1, 2008.</w:t>
      </w:r>
      <w:r>
        <w:rPr>
          <w:rFonts w:ascii="Arial" w:cs="Arial" w:eastAsia="Arial" w:hAnsi="Arial"/>
          <w:sz w:val="16"/>
          <w:szCs w:val="16"/>
          <w:b w:val="1"/>
          <w:bCs w:val="1"/>
          <w:color w:val="auto"/>
        </w:rPr>
        <w:t xml:space="preserve"> </w:t>
      </w:r>
      <w:r>
        <w:rPr>
          <w:rFonts w:ascii="Arial" w:cs="Arial" w:eastAsia="Arial" w:hAnsi="Arial"/>
          <w:sz w:val="16"/>
          <w:szCs w:val="16"/>
          <w:color w:val="auto"/>
        </w:rPr>
        <w:t>Mr. Wedenborn was elected Chairman of the NASDAQ OMX Nordic Ltd. board in October 2009. Previously, he was a member of the OMX board since 2007. Mr. Wedenborn has been CEO of FAM (Foundation Asset Management), which is fully owned by Wallenberg Foundations, since September 2007. Mr. Wedenborn started his career as an auditor followed by an assignment as CFO at Cabanco. During 1991 through 2000, he was Deputy Managing Director and CFO at Alfred Berg, a Scandinavian investment bank. He served with Investor AB, a Swedish holding company, as Executive Vice President and CFO from 2000 through 2007.</w:t>
      </w:r>
    </w:p>
    <w:p>
      <w:pPr>
        <w:spacing w:after="0" w:line="166"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0088A6"/>
        </w:rPr>
        <w:t>Skills and Qualifications</w:t>
      </w:r>
    </w:p>
    <w:p>
      <w:pPr>
        <w:spacing w:after="0" w:line="81" w:lineRule="exact"/>
        <w:rPr>
          <w:sz w:val="20"/>
          <w:szCs w:val="20"/>
          <w:color w:val="auto"/>
        </w:rPr>
      </w:pPr>
    </w:p>
    <w:p>
      <w:pPr>
        <w:jc w:val="both"/>
        <w:ind w:left="3780" w:right="280"/>
        <w:spacing w:after="0" w:line="238" w:lineRule="auto"/>
        <w:rPr>
          <w:sz w:val="20"/>
          <w:szCs w:val="20"/>
          <w:color w:val="auto"/>
        </w:rPr>
      </w:pPr>
      <w:r>
        <w:rPr>
          <w:rFonts w:ascii="Arial" w:cs="Arial" w:eastAsia="Arial" w:hAnsi="Arial"/>
          <w:sz w:val="18"/>
          <w:szCs w:val="18"/>
          <w:color w:val="auto"/>
        </w:rPr>
        <w:t>Mr. Wedenborn gained senior leadership experience through his work at FAM, Investor AB and Alfred Berg. He also possesses significant regulatory, finance and technology experience, and adds a global perspective to the NASDAQ OMX board.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5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0088A6"/>
        </w:rPr>
        <w:t>THE BOARD OF DIRECTORS UNANIMOUSLY RECOMMENDS A VOTE “FOR” EACH OF THE NOMINEES NAMED HEREIN FOR ELECTION AS DIRECTORS.</w:t>
      </w:r>
    </w:p>
    <w:p>
      <w:pPr>
        <w:spacing w:after="0" w:line="1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DIRECTOR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DIRECTOR COMPENSATION</w:t>
      </w:r>
    </w:p>
    <w:p>
      <w:pPr>
        <w:spacing w:after="0" w:line="7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Annual non-employee director compensation is based upon a compensation year beginning and ending in May. Staff directors do not receive compensation for serving on the board of directors. The following table shows the compensation policy for non-employee directors that is in effect from May 2012 through May 2013. The board compensation policy has been unchanged since May 2011.</w:t>
      </w:r>
    </w:p>
    <w:p>
      <w:pPr>
        <w:spacing w:after="0" w:line="191" w:lineRule="exact"/>
        <w:rPr>
          <w:sz w:val="20"/>
          <w:szCs w:val="20"/>
          <w:color w:val="auto"/>
        </w:rPr>
      </w:pPr>
    </w:p>
    <w:tbl>
      <w:tblPr>
        <w:tblLayout w:type="fixed"/>
        <w:tblInd w:w="1270" w:type="dxa"/>
        <w:tblCellMar>
          <w:top w:w="0" w:type="dxa"/>
          <w:left w:w="0" w:type="dxa"/>
          <w:bottom w:w="0" w:type="dxa"/>
          <w:right w:w="0" w:type="dxa"/>
        </w:tblCellMar>
      </w:tblPr>
      <w:tr>
        <w:trPr>
          <w:trHeight w:val="513"/>
        </w:trPr>
        <w:tc>
          <w:tcPr>
            <w:tcW w:w="6540" w:type="dxa"/>
            <w:vAlign w:val="bottom"/>
            <w:tcBorders>
              <w:left w:val="single" w:sz="8" w:color="BFBFBF"/>
              <w:right w:val="single" w:sz="8" w:color="BFBFBF"/>
            </w:tcBorders>
            <w:shd w:val="clear" w:color="auto" w:fill="0088A6"/>
          </w:tcPr>
          <w:p>
            <w:pPr>
              <w:ind w:left="120"/>
              <w:spacing w:after="0"/>
              <w:rPr>
                <w:sz w:val="20"/>
                <w:szCs w:val="20"/>
                <w:color w:val="auto"/>
              </w:rPr>
            </w:pPr>
            <w:r>
              <w:rPr>
                <w:rFonts w:ascii="Arial" w:cs="Arial" w:eastAsia="Arial" w:hAnsi="Arial"/>
                <w:sz w:val="18"/>
                <w:szCs w:val="18"/>
                <w:b w:val="1"/>
                <w:bCs w:val="1"/>
                <w:color w:val="FFFFFF"/>
              </w:rPr>
              <w:t>Item</w:t>
            </w:r>
          </w:p>
        </w:tc>
        <w:tc>
          <w:tcPr>
            <w:tcW w:w="380" w:type="dxa"/>
            <w:vAlign w:val="bottom"/>
            <w:shd w:val="clear" w:color="auto" w:fill="0088A6"/>
          </w:tcPr>
          <w:p>
            <w:pPr>
              <w:spacing w:after="0"/>
              <w:rPr>
                <w:sz w:val="24"/>
                <w:szCs w:val="24"/>
                <w:color w:val="auto"/>
              </w:rPr>
            </w:pPr>
          </w:p>
        </w:tc>
        <w:tc>
          <w:tcPr>
            <w:tcW w:w="2000" w:type="dxa"/>
            <w:vAlign w:val="bottom"/>
            <w:tcBorders>
              <w:right w:val="single" w:sz="8" w:color="BFBFBF"/>
            </w:tcBorders>
            <w:gridSpan w:val="3"/>
            <w:shd w:val="clear" w:color="auto" w:fill="0088A6"/>
          </w:tcPr>
          <w:p>
            <w:pPr>
              <w:spacing w:after="0"/>
              <w:rPr>
                <w:sz w:val="20"/>
                <w:szCs w:val="20"/>
                <w:color w:val="auto"/>
              </w:rPr>
            </w:pPr>
            <w:r>
              <w:rPr>
                <w:rFonts w:ascii="Arial" w:cs="Arial" w:eastAsia="Arial" w:hAnsi="Arial"/>
                <w:sz w:val="18"/>
                <w:szCs w:val="18"/>
                <w:b w:val="1"/>
                <w:bCs w:val="1"/>
                <w:color w:val="FFFFFF"/>
              </w:rPr>
              <w:t>May 2012 – May 2013</w:t>
            </w:r>
          </w:p>
        </w:tc>
      </w:tr>
      <w:tr>
        <w:trPr>
          <w:trHeight w:val="186"/>
        </w:trPr>
        <w:tc>
          <w:tcPr>
            <w:tcW w:w="6540" w:type="dxa"/>
            <w:vAlign w:val="bottom"/>
            <w:tcBorders>
              <w:top w:val="single" w:sz="8" w:color="auto"/>
              <w:left w:val="single" w:sz="8" w:color="BFBFBF"/>
              <w:right w:val="single" w:sz="8" w:color="BFBFBF"/>
            </w:tcBorders>
          </w:tcPr>
          <w:p>
            <w:pPr>
              <w:ind w:left="120"/>
              <w:spacing w:after="0" w:line="186" w:lineRule="exact"/>
              <w:rPr>
                <w:sz w:val="20"/>
                <w:szCs w:val="20"/>
                <w:color w:val="auto"/>
              </w:rPr>
            </w:pPr>
            <w:r>
              <w:rPr>
                <w:rFonts w:ascii="Arial" w:cs="Arial" w:eastAsia="Arial" w:hAnsi="Arial"/>
                <w:sz w:val="18"/>
                <w:szCs w:val="18"/>
                <w:color w:val="auto"/>
              </w:rPr>
              <w:t>Annual retainer for board members (other than the chairman and deputy</w:t>
            </w:r>
          </w:p>
        </w:tc>
        <w:tc>
          <w:tcPr>
            <w:tcW w:w="380" w:type="dxa"/>
            <w:vAlign w:val="bottom"/>
            <w:tcBorders>
              <w:top w:val="single" w:sz="8" w:color="0088A6"/>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0088A6"/>
              <w:right w:val="single" w:sz="8" w:color="BFBFBF"/>
            </w:tcBorders>
          </w:tcPr>
          <w:p>
            <w:pPr>
              <w:spacing w:after="0"/>
              <w:rPr>
                <w:sz w:val="16"/>
                <w:szCs w:val="16"/>
                <w:color w:val="auto"/>
              </w:rPr>
            </w:pPr>
          </w:p>
        </w:tc>
      </w:tr>
      <w:tr>
        <w:trPr>
          <w:trHeight w:val="199"/>
        </w:trPr>
        <w:tc>
          <w:tcPr>
            <w:tcW w:w="6540" w:type="dxa"/>
            <w:vAlign w:val="bottom"/>
            <w:tcBorders>
              <w:left w:val="single" w:sz="8" w:color="BFBFBF"/>
              <w:bottom w:val="single" w:sz="8" w:color="BFBFBF"/>
              <w:right w:val="single" w:sz="8" w:color="BFBFBF"/>
            </w:tcBorders>
          </w:tcPr>
          <w:p>
            <w:pPr>
              <w:ind w:left="120"/>
              <w:spacing w:after="0" w:line="200" w:lineRule="exact"/>
              <w:rPr>
                <w:sz w:val="20"/>
                <w:szCs w:val="20"/>
                <w:color w:val="auto"/>
              </w:rPr>
            </w:pPr>
            <w:r>
              <w:rPr>
                <w:rFonts w:ascii="Arial" w:cs="Arial" w:eastAsia="Arial" w:hAnsi="Arial"/>
                <w:sz w:val="18"/>
                <w:szCs w:val="18"/>
                <w:color w:val="auto"/>
              </w:rPr>
              <w:t>chairman)</w:t>
            </w:r>
          </w:p>
        </w:tc>
        <w:tc>
          <w:tcPr>
            <w:tcW w:w="1000" w:type="dxa"/>
            <w:vAlign w:val="bottom"/>
            <w:tcBorders>
              <w:bottom w:val="single" w:sz="8" w:color="BFBFBF"/>
            </w:tcBorders>
            <w:gridSpan w:val="2"/>
          </w:tcPr>
          <w:p>
            <w:pPr>
              <w:ind w:left="380"/>
              <w:spacing w:after="0" w:line="200"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BFBFBF"/>
              <w:right w:val="single" w:sz="8" w:color="BFBFBF"/>
            </w:tcBorders>
            <w:gridSpan w:val="2"/>
          </w:tcPr>
          <w:p>
            <w:pPr>
              <w:jc w:val="right"/>
              <w:ind w:right="240"/>
              <w:spacing w:after="0" w:line="200" w:lineRule="exact"/>
              <w:rPr>
                <w:sz w:val="20"/>
                <w:szCs w:val="20"/>
                <w:color w:val="auto"/>
              </w:rPr>
            </w:pPr>
            <w:r>
              <w:rPr>
                <w:rFonts w:ascii="Arial" w:cs="Arial" w:eastAsia="Arial" w:hAnsi="Arial"/>
                <w:sz w:val="18"/>
                <w:szCs w:val="18"/>
                <w:color w:val="auto"/>
              </w:rPr>
              <w:t>80,000</w:t>
            </w:r>
          </w:p>
        </w:tc>
      </w:tr>
      <w:tr>
        <w:trPr>
          <w:trHeight w:val="196"/>
        </w:trPr>
        <w:tc>
          <w:tcPr>
            <w:tcW w:w="65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Annual retainer for board chairman</w:t>
            </w:r>
          </w:p>
        </w:tc>
        <w:tc>
          <w:tcPr>
            <w:tcW w:w="1000" w:type="dxa"/>
            <w:vAlign w:val="bottom"/>
            <w:tcBorders>
              <w:bottom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155,000</w:t>
            </w:r>
          </w:p>
        </w:tc>
        <w:tc>
          <w:tcPr>
            <w:tcW w:w="240" w:type="dxa"/>
            <w:vAlign w:val="bottom"/>
            <w:tcBorders>
              <w:bottom w:val="single" w:sz="8" w:color="BFBFBF"/>
              <w:right w:val="single" w:sz="8" w:color="BFBFBF"/>
            </w:tcBorders>
          </w:tcPr>
          <w:p>
            <w:pPr>
              <w:spacing w:after="0"/>
              <w:rPr>
                <w:sz w:val="17"/>
                <w:szCs w:val="17"/>
                <w:color w:val="auto"/>
              </w:rPr>
            </w:pPr>
          </w:p>
        </w:tc>
      </w:tr>
      <w:tr>
        <w:trPr>
          <w:trHeight w:val="196"/>
        </w:trPr>
        <w:tc>
          <w:tcPr>
            <w:tcW w:w="65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Annual retainer for board deputy chairman(1)</w:t>
            </w:r>
          </w:p>
        </w:tc>
        <w:tc>
          <w:tcPr>
            <w:tcW w:w="1000" w:type="dxa"/>
            <w:vAlign w:val="bottom"/>
            <w:tcBorders>
              <w:bottom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100,000</w:t>
            </w:r>
          </w:p>
        </w:tc>
        <w:tc>
          <w:tcPr>
            <w:tcW w:w="240" w:type="dxa"/>
            <w:vAlign w:val="bottom"/>
            <w:tcBorders>
              <w:bottom w:val="single" w:sz="8" w:color="BFBFBF"/>
              <w:right w:val="single" w:sz="8" w:color="BFBFBF"/>
            </w:tcBorders>
          </w:tcPr>
          <w:p>
            <w:pPr>
              <w:spacing w:after="0"/>
              <w:rPr>
                <w:sz w:val="17"/>
                <w:szCs w:val="17"/>
                <w:color w:val="auto"/>
              </w:rPr>
            </w:pPr>
          </w:p>
        </w:tc>
      </w:tr>
      <w:tr>
        <w:trPr>
          <w:trHeight w:val="196"/>
        </w:trPr>
        <w:tc>
          <w:tcPr>
            <w:tcW w:w="65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Annual equity award for all board members (grant date market value)</w:t>
            </w:r>
          </w:p>
        </w:tc>
        <w:tc>
          <w:tcPr>
            <w:tcW w:w="1000" w:type="dxa"/>
            <w:vAlign w:val="bottom"/>
            <w:tcBorders>
              <w:bottom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115,000</w:t>
            </w:r>
          </w:p>
        </w:tc>
        <w:tc>
          <w:tcPr>
            <w:tcW w:w="240" w:type="dxa"/>
            <w:vAlign w:val="bottom"/>
            <w:tcBorders>
              <w:bottom w:val="single" w:sz="8" w:color="BFBFBF"/>
              <w:right w:val="single" w:sz="8" w:color="BFBFBF"/>
            </w:tcBorders>
          </w:tcPr>
          <w:p>
            <w:pPr>
              <w:spacing w:after="0"/>
              <w:rPr>
                <w:sz w:val="17"/>
                <w:szCs w:val="17"/>
                <w:color w:val="auto"/>
              </w:rPr>
            </w:pPr>
          </w:p>
        </w:tc>
      </w:tr>
      <w:tr>
        <w:trPr>
          <w:trHeight w:val="199"/>
        </w:trPr>
        <w:tc>
          <w:tcPr>
            <w:tcW w:w="6540" w:type="dxa"/>
            <w:vAlign w:val="bottom"/>
            <w:tcBorders>
              <w:left w:val="single" w:sz="8" w:color="BFBFBF"/>
              <w:right w:val="single" w:sz="8" w:color="BFBFBF"/>
            </w:tcBorders>
          </w:tcPr>
          <w:p>
            <w:pPr>
              <w:ind w:left="120"/>
              <w:spacing w:after="0" w:line="200" w:lineRule="exact"/>
              <w:rPr>
                <w:sz w:val="20"/>
                <w:szCs w:val="20"/>
                <w:color w:val="auto"/>
              </w:rPr>
            </w:pPr>
            <w:r>
              <w:rPr>
                <w:rFonts w:ascii="Arial" w:cs="Arial" w:eastAsia="Arial" w:hAnsi="Arial"/>
                <w:sz w:val="18"/>
                <w:szCs w:val="18"/>
                <w:color w:val="auto"/>
              </w:rPr>
              <w:t>Annual committee chair compensation (other than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Borders>
              <w:right w:val="single" w:sz="8" w:color="BFBFBF"/>
            </w:tcBorders>
          </w:tcPr>
          <w:p>
            <w:pPr>
              <w:spacing w:after="0"/>
              <w:rPr>
                <w:sz w:val="17"/>
                <w:szCs w:val="17"/>
                <w:color w:val="auto"/>
              </w:rPr>
            </w:pPr>
          </w:p>
        </w:tc>
      </w:tr>
      <w:tr>
        <w:trPr>
          <w:trHeight w:val="199"/>
        </w:trPr>
        <w:tc>
          <w:tcPr>
            <w:tcW w:w="6540" w:type="dxa"/>
            <w:vAlign w:val="bottom"/>
            <w:tcBorders>
              <w:left w:val="single" w:sz="8" w:color="BFBFBF"/>
              <w:bottom w:val="single" w:sz="8" w:color="BFBFBF"/>
              <w:right w:val="single" w:sz="8" w:color="BFBFBF"/>
            </w:tcBorders>
          </w:tcPr>
          <w:p>
            <w:pPr>
              <w:ind w:left="120"/>
              <w:spacing w:after="0" w:line="200" w:lineRule="exact"/>
              <w:rPr>
                <w:sz w:val="20"/>
                <w:szCs w:val="20"/>
                <w:color w:val="auto"/>
              </w:rPr>
            </w:pPr>
            <w:r>
              <w:rPr>
                <w:rFonts w:ascii="Arial" w:cs="Arial" w:eastAsia="Arial" w:hAnsi="Arial"/>
                <w:sz w:val="18"/>
                <w:szCs w:val="18"/>
                <w:color w:val="auto"/>
              </w:rPr>
              <w:t>audit, executive and management compensation)(2)</w:t>
            </w:r>
          </w:p>
        </w:tc>
        <w:tc>
          <w:tcPr>
            <w:tcW w:w="1000" w:type="dxa"/>
            <w:vAlign w:val="bottom"/>
            <w:tcBorders>
              <w:bottom w:val="single" w:sz="8" w:color="BFBFBF"/>
            </w:tcBorders>
            <w:gridSpan w:val="2"/>
          </w:tcPr>
          <w:p>
            <w:pPr>
              <w:ind w:left="380"/>
              <w:spacing w:after="0" w:line="200"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BFBFBF"/>
              <w:right w:val="single" w:sz="8" w:color="BFBFBF"/>
            </w:tcBorders>
            <w:gridSpan w:val="2"/>
          </w:tcPr>
          <w:p>
            <w:pPr>
              <w:jc w:val="right"/>
              <w:ind w:right="240"/>
              <w:spacing w:after="0" w:line="200" w:lineRule="exact"/>
              <w:rPr>
                <w:sz w:val="20"/>
                <w:szCs w:val="20"/>
                <w:color w:val="auto"/>
              </w:rPr>
            </w:pPr>
            <w:r>
              <w:rPr>
                <w:rFonts w:ascii="Arial" w:cs="Arial" w:eastAsia="Arial" w:hAnsi="Arial"/>
                <w:sz w:val="18"/>
                <w:szCs w:val="18"/>
                <w:color w:val="auto"/>
              </w:rPr>
              <w:t>15,000</w:t>
            </w:r>
          </w:p>
        </w:tc>
      </w:tr>
      <w:tr>
        <w:trPr>
          <w:trHeight w:val="196"/>
        </w:trPr>
        <w:tc>
          <w:tcPr>
            <w:tcW w:w="65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Annual audit committee chair compensation</w:t>
            </w:r>
          </w:p>
        </w:tc>
        <w:tc>
          <w:tcPr>
            <w:tcW w:w="1000" w:type="dxa"/>
            <w:vAlign w:val="bottom"/>
            <w:tcBorders>
              <w:bottom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BFBFBF"/>
              <w:right w:val="single" w:sz="8" w:color="BFBFBF"/>
            </w:tcBorders>
            <w:gridSpan w:val="2"/>
          </w:tcPr>
          <w:p>
            <w:pPr>
              <w:jc w:val="right"/>
              <w:ind w:right="240"/>
              <w:spacing w:after="0" w:line="196" w:lineRule="exact"/>
              <w:rPr>
                <w:sz w:val="20"/>
                <w:szCs w:val="20"/>
                <w:color w:val="auto"/>
              </w:rPr>
            </w:pPr>
            <w:r>
              <w:rPr>
                <w:rFonts w:ascii="Arial" w:cs="Arial" w:eastAsia="Arial" w:hAnsi="Arial"/>
                <w:sz w:val="18"/>
                <w:szCs w:val="18"/>
                <w:color w:val="auto"/>
              </w:rPr>
              <w:t>25,000</w:t>
            </w:r>
          </w:p>
        </w:tc>
      </w:tr>
      <w:tr>
        <w:trPr>
          <w:trHeight w:val="196"/>
        </w:trPr>
        <w:tc>
          <w:tcPr>
            <w:tcW w:w="65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Annual audit committee member compensation</w:t>
            </w:r>
          </w:p>
        </w:tc>
        <w:tc>
          <w:tcPr>
            <w:tcW w:w="1000" w:type="dxa"/>
            <w:vAlign w:val="bottom"/>
            <w:tcBorders>
              <w:bottom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5,000</w:t>
            </w:r>
          </w:p>
        </w:tc>
        <w:tc>
          <w:tcPr>
            <w:tcW w:w="240" w:type="dxa"/>
            <w:vAlign w:val="bottom"/>
            <w:tcBorders>
              <w:bottom w:val="single" w:sz="8" w:color="BFBFBF"/>
              <w:right w:val="single" w:sz="8" w:color="BFBFBF"/>
            </w:tcBorders>
          </w:tcPr>
          <w:p>
            <w:pPr>
              <w:spacing w:after="0"/>
              <w:rPr>
                <w:sz w:val="17"/>
                <w:szCs w:val="17"/>
                <w:color w:val="auto"/>
              </w:rPr>
            </w:pPr>
          </w:p>
        </w:tc>
      </w:tr>
      <w:tr>
        <w:trPr>
          <w:trHeight w:val="196"/>
        </w:trPr>
        <w:tc>
          <w:tcPr>
            <w:tcW w:w="65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Annual management compensation committee chair compensation</w:t>
            </w:r>
          </w:p>
        </w:tc>
        <w:tc>
          <w:tcPr>
            <w:tcW w:w="1000" w:type="dxa"/>
            <w:vAlign w:val="bottom"/>
            <w:tcBorders>
              <w:bottom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BFBFBF"/>
              <w:right w:val="single" w:sz="8" w:color="BFBFBF"/>
            </w:tcBorders>
            <w:gridSpan w:val="2"/>
          </w:tcPr>
          <w:p>
            <w:pPr>
              <w:jc w:val="right"/>
              <w:ind w:right="240"/>
              <w:spacing w:after="0" w:line="196" w:lineRule="exact"/>
              <w:rPr>
                <w:sz w:val="20"/>
                <w:szCs w:val="20"/>
                <w:color w:val="auto"/>
              </w:rPr>
            </w:pPr>
            <w:r>
              <w:rPr>
                <w:rFonts w:ascii="Arial" w:cs="Arial" w:eastAsia="Arial" w:hAnsi="Arial"/>
                <w:sz w:val="18"/>
                <w:szCs w:val="18"/>
                <w:color w:val="auto"/>
              </w:rPr>
              <w:t>25,000</w:t>
            </w:r>
          </w:p>
        </w:tc>
      </w:tr>
      <w:tr>
        <w:trPr>
          <w:trHeight w:val="196"/>
        </w:trPr>
        <w:tc>
          <w:tcPr>
            <w:tcW w:w="65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Annual management compensation committee member compensation</w:t>
            </w:r>
          </w:p>
        </w:tc>
        <w:tc>
          <w:tcPr>
            <w:tcW w:w="1000" w:type="dxa"/>
            <w:vAlign w:val="bottom"/>
            <w:tcBorders>
              <w:bottom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5,000</w:t>
            </w:r>
          </w:p>
        </w:tc>
        <w:tc>
          <w:tcPr>
            <w:tcW w:w="240" w:type="dxa"/>
            <w:vAlign w:val="bottom"/>
            <w:tcBorders>
              <w:bottom w:val="single" w:sz="8" w:color="BFBFBF"/>
              <w:right w:val="single" w:sz="8" w:color="BFBFBF"/>
            </w:tcBorders>
          </w:tcPr>
          <w:p>
            <w:pPr>
              <w:spacing w:after="0"/>
              <w:rPr>
                <w:sz w:val="17"/>
                <w:szCs w:val="17"/>
                <w:color w:val="auto"/>
              </w:rPr>
            </w:pPr>
          </w:p>
        </w:tc>
      </w:tr>
      <w:tr>
        <w:trPr>
          <w:trHeight w:val="196"/>
        </w:trPr>
        <w:tc>
          <w:tcPr>
            <w:tcW w:w="65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Board meeting attendance fee (per meeting)</w:t>
            </w:r>
          </w:p>
        </w:tc>
        <w:tc>
          <w:tcPr>
            <w:tcW w:w="1000" w:type="dxa"/>
            <w:vAlign w:val="bottom"/>
            <w:tcBorders>
              <w:bottom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1,500</w:t>
            </w:r>
          </w:p>
        </w:tc>
        <w:tc>
          <w:tcPr>
            <w:tcW w:w="240" w:type="dxa"/>
            <w:vAlign w:val="bottom"/>
            <w:tcBorders>
              <w:bottom w:val="single" w:sz="8" w:color="BFBFBF"/>
              <w:right w:val="single" w:sz="8" w:color="BFBFBF"/>
            </w:tcBorders>
          </w:tcPr>
          <w:p>
            <w:pPr>
              <w:spacing w:after="0"/>
              <w:rPr>
                <w:sz w:val="17"/>
                <w:szCs w:val="17"/>
                <w:color w:val="auto"/>
              </w:rPr>
            </w:pPr>
          </w:p>
        </w:tc>
      </w:tr>
      <w:tr>
        <w:trPr>
          <w:trHeight w:val="196"/>
        </w:trPr>
        <w:tc>
          <w:tcPr>
            <w:tcW w:w="65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Committee meeting attendance fee (per meeting)</w:t>
            </w:r>
          </w:p>
        </w:tc>
        <w:tc>
          <w:tcPr>
            <w:tcW w:w="1000" w:type="dxa"/>
            <w:vAlign w:val="bottom"/>
            <w:tcBorders>
              <w:bottom w:val="single" w:sz="8" w:color="BFBFBF"/>
            </w:tcBorders>
            <w:gridSpan w:val="2"/>
          </w:tcPr>
          <w:p>
            <w:pPr>
              <w:ind w:left="38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1,500</w:t>
            </w:r>
          </w:p>
        </w:tc>
        <w:tc>
          <w:tcPr>
            <w:tcW w:w="240" w:type="dxa"/>
            <w:vAlign w:val="bottom"/>
            <w:tcBorders>
              <w:bottom w:val="single" w:sz="8" w:color="BFBFBF"/>
              <w:right w:val="single" w:sz="8" w:color="BFBFBF"/>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-1791970</wp:posOffset>
            </wp:positionV>
            <wp:extent cx="889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-1791970</wp:posOffset>
            </wp:positionV>
            <wp:extent cx="889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27"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did not appoint a deputy chairman for the compensation year beginning in May 2012.</w:t>
      </w: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 committee chair does not receive any compensation for this chairmanship.</w:t>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non-employee director may elect to receive the annual retainer in cash (payable in equal quarterly installments), equity or a combination of one-half in cash and one-half in equity. The annual equity award and any equity elected as part of the annual retainer are awarded automatically on the date of the annual meeting of stockholders immediately following election and appointment to the board. Equity vests in full one year from the date of grant. Equity paid to board members consists of restricted stock. The amount of equity to be awarded is calculated based on the closing market price of our common stock on the date of grant. Unvested equity is forfeited in certain circumstances upon termination of the director’s service on the board of directors.</w:t>
      </w:r>
    </w:p>
    <w:p>
      <w:pPr>
        <w:spacing w:after="0" w:line="11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payments to committee chairs and members of the audit and management compensation committees are made in cash in a lump sum in conjunction with our annual meeting of stockholders. Board and committee meeting fees are paid in arrears on a quarterly basis. Non-employee directors do not receive retirement, health or life insurance benefits. NASDAQ OMX provides each non-employee director with director and officer liability insurance coverage, as well as accidental death and dismemberment and travel insurance for and only when traveling on behalf of NASDAQ OMX.</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72"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Under our corporate governance guidelines, non-employee directors must maintain a minimum ownership level of three times the annual cash retainer in NASDAQ OMX common stock. All shares owned outright</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and unvested restricted stock units are taken into consideration in determining compliance with these stock ownership guidelines. Exceptions to this policy may be necessary or appropriate in individual situations, and the board of directors may approve such exceptions from time to time. New directors have until four years after their initial election to the board to obtain the minimum ownership level. All of the directors who were required to be in compliance with the guidelines on December 31, 2012 were in compliance with the guidelines as of that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7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table below summarizes the compensation paid by NASDAQ OMX to our current and former non-employee directors for services rendered during the fiscal year ended December 31, 2012.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Director Compensation Table</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388"/>
        </w:trPr>
        <w:tc>
          <w:tcPr>
            <w:tcW w:w="3300" w:type="dxa"/>
            <w:vAlign w:val="bottom"/>
            <w:tcBorders>
              <w:left w:val="single" w:sz="8" w:color="BFBFBF"/>
              <w:right w:val="single" w:sz="8" w:color="BFBFBF"/>
            </w:tcBorders>
            <w:shd w:val="clear" w:color="auto" w:fill="0088A6"/>
          </w:tcPr>
          <w:p>
            <w:pPr>
              <w:spacing w:after="0"/>
              <w:rPr>
                <w:sz w:val="24"/>
                <w:szCs w:val="24"/>
                <w:color w:val="auto"/>
              </w:rPr>
            </w:pPr>
          </w:p>
        </w:tc>
        <w:tc>
          <w:tcPr>
            <w:tcW w:w="140" w:type="dxa"/>
            <w:vAlign w:val="bottom"/>
            <w:shd w:val="clear" w:color="auto" w:fill="0088A6"/>
          </w:tcPr>
          <w:p>
            <w:pPr>
              <w:spacing w:after="0"/>
              <w:rPr>
                <w:sz w:val="24"/>
                <w:szCs w:val="24"/>
                <w:color w:val="auto"/>
              </w:rPr>
            </w:pPr>
          </w:p>
        </w:tc>
        <w:tc>
          <w:tcPr>
            <w:tcW w:w="440" w:type="dxa"/>
            <w:vAlign w:val="bottom"/>
            <w:shd w:val="clear" w:color="auto" w:fill="0088A6"/>
          </w:tcPr>
          <w:p>
            <w:pPr>
              <w:spacing w:after="0"/>
              <w:rPr>
                <w:sz w:val="24"/>
                <w:szCs w:val="24"/>
                <w:color w:val="auto"/>
              </w:rPr>
            </w:pPr>
          </w:p>
        </w:tc>
        <w:tc>
          <w:tcPr>
            <w:tcW w:w="540" w:type="dxa"/>
            <w:vAlign w:val="bottom"/>
            <w:shd w:val="clear" w:color="auto" w:fill="0088A6"/>
          </w:tcPr>
          <w:p>
            <w:pPr>
              <w:spacing w:after="0"/>
              <w:rPr>
                <w:sz w:val="24"/>
                <w:szCs w:val="24"/>
                <w:color w:val="auto"/>
              </w:rPr>
            </w:pPr>
          </w:p>
        </w:tc>
        <w:tc>
          <w:tcPr>
            <w:tcW w:w="340" w:type="dxa"/>
            <w:vAlign w:val="bottom"/>
            <w:tcBorders>
              <w:right w:val="single" w:sz="8" w:color="BFBFBF"/>
            </w:tcBorders>
            <w:shd w:val="clear" w:color="auto" w:fill="0088A6"/>
          </w:tcPr>
          <w:p>
            <w:pPr>
              <w:spacing w:after="0"/>
              <w:rPr>
                <w:sz w:val="24"/>
                <w:szCs w:val="24"/>
                <w:color w:val="auto"/>
              </w:rPr>
            </w:pPr>
          </w:p>
        </w:tc>
        <w:tc>
          <w:tcPr>
            <w:tcW w:w="140" w:type="dxa"/>
            <w:vAlign w:val="bottom"/>
            <w:shd w:val="clear" w:color="auto" w:fill="0088A6"/>
          </w:tcPr>
          <w:p>
            <w:pPr>
              <w:spacing w:after="0"/>
              <w:rPr>
                <w:sz w:val="24"/>
                <w:szCs w:val="24"/>
                <w:color w:val="auto"/>
              </w:rPr>
            </w:pPr>
          </w:p>
        </w:tc>
        <w:tc>
          <w:tcPr>
            <w:tcW w:w="240" w:type="dxa"/>
            <w:vAlign w:val="bottom"/>
            <w:shd w:val="clear" w:color="auto" w:fill="0088A6"/>
          </w:tcPr>
          <w:p>
            <w:pPr>
              <w:spacing w:after="0"/>
              <w:rPr>
                <w:sz w:val="24"/>
                <w:szCs w:val="24"/>
                <w:color w:val="auto"/>
              </w:rPr>
            </w:pPr>
          </w:p>
        </w:tc>
        <w:tc>
          <w:tcPr>
            <w:tcW w:w="640" w:type="dxa"/>
            <w:vAlign w:val="bottom"/>
            <w:shd w:val="clear" w:color="auto" w:fill="0088A6"/>
          </w:tcPr>
          <w:p>
            <w:pPr>
              <w:spacing w:after="0"/>
              <w:rPr>
                <w:sz w:val="24"/>
                <w:szCs w:val="24"/>
                <w:color w:val="auto"/>
              </w:rPr>
            </w:pPr>
          </w:p>
        </w:tc>
        <w:tc>
          <w:tcPr>
            <w:tcW w:w="260" w:type="dxa"/>
            <w:vAlign w:val="bottom"/>
            <w:tcBorders>
              <w:right w:val="single" w:sz="8" w:color="BFBFBF"/>
            </w:tcBorders>
            <w:shd w:val="clear" w:color="auto" w:fill="0088A6"/>
          </w:tcPr>
          <w:p>
            <w:pPr>
              <w:spacing w:after="0"/>
              <w:rPr>
                <w:sz w:val="24"/>
                <w:szCs w:val="24"/>
                <w:color w:val="auto"/>
              </w:rPr>
            </w:pPr>
          </w:p>
        </w:tc>
        <w:tc>
          <w:tcPr>
            <w:tcW w:w="120" w:type="dxa"/>
            <w:vAlign w:val="bottom"/>
            <w:shd w:val="clear" w:color="auto" w:fill="0088A6"/>
          </w:tcPr>
          <w:p>
            <w:pPr>
              <w:spacing w:after="0"/>
              <w:rPr>
                <w:sz w:val="24"/>
                <w:szCs w:val="24"/>
                <w:color w:val="auto"/>
              </w:rPr>
            </w:pPr>
          </w:p>
        </w:tc>
        <w:tc>
          <w:tcPr>
            <w:tcW w:w="600" w:type="dxa"/>
            <w:vAlign w:val="bottom"/>
            <w:tcBorders>
              <w:right w:val="single" w:sz="8" w:color="BFBFBF"/>
            </w:tcBorders>
            <w:shd w:val="clear" w:color="auto" w:fill="0088A6"/>
          </w:tcPr>
          <w:p>
            <w:pPr>
              <w:spacing w:after="0"/>
              <w:rPr>
                <w:sz w:val="24"/>
                <w:szCs w:val="24"/>
                <w:color w:val="auto"/>
              </w:rPr>
            </w:pPr>
          </w:p>
        </w:tc>
        <w:tc>
          <w:tcPr>
            <w:tcW w:w="120" w:type="dxa"/>
            <w:vAlign w:val="bottom"/>
            <w:shd w:val="clear" w:color="auto" w:fill="0088A6"/>
          </w:tcPr>
          <w:p>
            <w:pPr>
              <w:spacing w:after="0"/>
              <w:rPr>
                <w:sz w:val="24"/>
                <w:szCs w:val="24"/>
                <w:color w:val="auto"/>
              </w:rPr>
            </w:pPr>
          </w:p>
        </w:tc>
        <w:tc>
          <w:tcPr>
            <w:tcW w:w="1040" w:type="dxa"/>
            <w:vAlign w:val="bottom"/>
            <w:tcBorders>
              <w:right w:val="single" w:sz="8" w:color="BFBFBF"/>
            </w:tcBorders>
            <w:shd w:val="clear" w:color="auto" w:fill="0088A6"/>
          </w:tcPr>
          <w:p>
            <w:pPr>
              <w:spacing w:after="0"/>
              <w:rPr>
                <w:sz w:val="24"/>
                <w:szCs w:val="24"/>
                <w:color w:val="auto"/>
              </w:rPr>
            </w:pPr>
          </w:p>
        </w:tc>
        <w:tc>
          <w:tcPr>
            <w:tcW w:w="140" w:type="dxa"/>
            <w:vAlign w:val="bottom"/>
            <w:shd w:val="clear" w:color="auto" w:fill="0088A6"/>
          </w:tcPr>
          <w:p>
            <w:pPr>
              <w:spacing w:after="0"/>
              <w:rPr>
                <w:sz w:val="24"/>
                <w:szCs w:val="24"/>
                <w:color w:val="auto"/>
              </w:rPr>
            </w:pPr>
          </w:p>
        </w:tc>
        <w:tc>
          <w:tcPr>
            <w:tcW w:w="1040" w:type="dxa"/>
            <w:vAlign w:val="bottom"/>
            <w:tcBorders>
              <w:right w:val="single" w:sz="8" w:color="BFBFBF"/>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7"/>
              </w:rPr>
              <w:t>Change</w:t>
            </w:r>
          </w:p>
        </w:tc>
        <w:tc>
          <w:tcPr>
            <w:tcW w:w="140" w:type="dxa"/>
            <w:vAlign w:val="bottom"/>
            <w:shd w:val="clear" w:color="auto" w:fill="0088A6"/>
          </w:tcPr>
          <w:p>
            <w:pPr>
              <w:spacing w:after="0"/>
              <w:rPr>
                <w:sz w:val="24"/>
                <w:szCs w:val="24"/>
                <w:color w:val="auto"/>
              </w:rPr>
            </w:pPr>
          </w:p>
        </w:tc>
        <w:tc>
          <w:tcPr>
            <w:tcW w:w="1040" w:type="dxa"/>
            <w:vAlign w:val="bottom"/>
            <w:tcBorders>
              <w:right w:val="single" w:sz="8" w:color="BFBFBF"/>
            </w:tcBorders>
            <w:shd w:val="clear" w:color="auto" w:fill="0088A6"/>
          </w:tcPr>
          <w:p>
            <w:pPr>
              <w:spacing w:after="0"/>
              <w:rPr>
                <w:sz w:val="24"/>
                <w:szCs w:val="24"/>
                <w:color w:val="auto"/>
              </w:rPr>
            </w:pPr>
          </w:p>
        </w:tc>
        <w:tc>
          <w:tcPr>
            <w:tcW w:w="120" w:type="dxa"/>
            <w:vAlign w:val="bottom"/>
            <w:shd w:val="clear" w:color="auto" w:fill="0088A6"/>
          </w:tcPr>
          <w:p>
            <w:pPr>
              <w:spacing w:after="0"/>
              <w:rPr>
                <w:sz w:val="24"/>
                <w:szCs w:val="24"/>
                <w:color w:val="auto"/>
              </w:rPr>
            </w:pPr>
          </w:p>
        </w:tc>
        <w:tc>
          <w:tcPr>
            <w:tcW w:w="140" w:type="dxa"/>
            <w:vAlign w:val="bottom"/>
            <w:shd w:val="clear" w:color="auto" w:fill="0088A6"/>
          </w:tcPr>
          <w:p>
            <w:pPr>
              <w:spacing w:after="0"/>
              <w:rPr>
                <w:sz w:val="24"/>
                <w:szCs w:val="24"/>
                <w:color w:val="auto"/>
              </w:rPr>
            </w:pPr>
          </w:p>
        </w:tc>
        <w:tc>
          <w:tcPr>
            <w:tcW w:w="600" w:type="dxa"/>
            <w:vAlign w:val="bottom"/>
            <w:shd w:val="clear" w:color="auto" w:fill="0088A6"/>
          </w:tcPr>
          <w:p>
            <w:pPr>
              <w:spacing w:after="0"/>
              <w:rPr>
                <w:sz w:val="24"/>
                <w:szCs w:val="24"/>
                <w:color w:val="auto"/>
              </w:rPr>
            </w:pPr>
          </w:p>
        </w:tc>
        <w:tc>
          <w:tcPr>
            <w:tcW w:w="300" w:type="dxa"/>
            <w:vAlign w:val="bottom"/>
            <w:tcBorders>
              <w:right w:val="single" w:sz="8" w:color="BFBFBF"/>
            </w:tcBorders>
            <w:shd w:val="clear" w:color="auto" w:fill="0088A6"/>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00" w:type="dxa"/>
            <w:vAlign w:val="bottom"/>
            <w:tcBorders>
              <w:left w:val="single" w:sz="8" w:color="BFBFBF"/>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440" w:type="dxa"/>
            <w:vAlign w:val="bottom"/>
            <w:shd w:val="clear" w:color="auto" w:fill="0088A6"/>
          </w:tcPr>
          <w:p>
            <w:pPr>
              <w:spacing w:after="0"/>
              <w:rPr>
                <w:sz w:val="12"/>
                <w:szCs w:val="12"/>
                <w:color w:val="auto"/>
              </w:rPr>
            </w:pPr>
          </w:p>
        </w:tc>
        <w:tc>
          <w:tcPr>
            <w:tcW w:w="540" w:type="dxa"/>
            <w:vAlign w:val="bottom"/>
            <w:shd w:val="clear" w:color="auto" w:fill="0088A6"/>
          </w:tcPr>
          <w:p>
            <w:pPr>
              <w:spacing w:after="0"/>
              <w:rPr>
                <w:sz w:val="12"/>
                <w:szCs w:val="12"/>
                <w:color w:val="auto"/>
              </w:rPr>
            </w:pPr>
          </w:p>
        </w:tc>
        <w:tc>
          <w:tcPr>
            <w:tcW w:w="34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24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26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8"/>
              </w:rPr>
              <w:t>in Pension</w:t>
            </w: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600" w:type="dxa"/>
            <w:vAlign w:val="bottom"/>
            <w:shd w:val="clear" w:color="auto" w:fill="0088A6"/>
          </w:tcPr>
          <w:p>
            <w:pPr>
              <w:spacing w:after="0"/>
              <w:rPr>
                <w:sz w:val="12"/>
                <w:szCs w:val="12"/>
                <w:color w:val="auto"/>
              </w:rPr>
            </w:pPr>
          </w:p>
        </w:tc>
        <w:tc>
          <w:tcPr>
            <w:tcW w:w="3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Borders>
              <w:left w:val="single" w:sz="8" w:color="BFBFBF"/>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440" w:type="dxa"/>
            <w:vAlign w:val="bottom"/>
            <w:shd w:val="clear" w:color="auto" w:fill="0088A6"/>
          </w:tcPr>
          <w:p>
            <w:pPr>
              <w:spacing w:after="0"/>
              <w:rPr>
                <w:sz w:val="12"/>
                <w:szCs w:val="12"/>
                <w:color w:val="auto"/>
              </w:rPr>
            </w:pPr>
          </w:p>
        </w:tc>
        <w:tc>
          <w:tcPr>
            <w:tcW w:w="540" w:type="dxa"/>
            <w:vAlign w:val="bottom"/>
            <w:shd w:val="clear" w:color="auto" w:fill="0088A6"/>
          </w:tcPr>
          <w:p>
            <w:pPr>
              <w:spacing w:after="0"/>
              <w:rPr>
                <w:sz w:val="12"/>
                <w:szCs w:val="12"/>
                <w:color w:val="auto"/>
              </w:rPr>
            </w:pPr>
          </w:p>
        </w:tc>
        <w:tc>
          <w:tcPr>
            <w:tcW w:w="34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24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26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3"/>
              </w:rPr>
              <w:t>Value and</w:t>
            </w: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600" w:type="dxa"/>
            <w:vAlign w:val="bottom"/>
            <w:shd w:val="clear" w:color="auto" w:fill="0088A6"/>
          </w:tcPr>
          <w:p>
            <w:pPr>
              <w:spacing w:after="0"/>
              <w:rPr>
                <w:sz w:val="12"/>
                <w:szCs w:val="12"/>
                <w:color w:val="auto"/>
              </w:rPr>
            </w:pPr>
          </w:p>
        </w:tc>
        <w:tc>
          <w:tcPr>
            <w:tcW w:w="3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Borders>
              <w:left w:val="single" w:sz="8" w:color="BFBFBF"/>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440" w:type="dxa"/>
            <w:vAlign w:val="bottom"/>
            <w:shd w:val="clear" w:color="auto" w:fill="0088A6"/>
          </w:tcPr>
          <w:p>
            <w:pPr>
              <w:spacing w:after="0"/>
              <w:rPr>
                <w:sz w:val="12"/>
                <w:szCs w:val="12"/>
                <w:color w:val="auto"/>
              </w:rPr>
            </w:pPr>
          </w:p>
        </w:tc>
        <w:tc>
          <w:tcPr>
            <w:tcW w:w="540" w:type="dxa"/>
            <w:vAlign w:val="bottom"/>
            <w:shd w:val="clear" w:color="auto" w:fill="0088A6"/>
          </w:tcPr>
          <w:p>
            <w:pPr>
              <w:spacing w:after="0"/>
              <w:rPr>
                <w:sz w:val="12"/>
                <w:szCs w:val="12"/>
                <w:color w:val="auto"/>
              </w:rPr>
            </w:pPr>
          </w:p>
        </w:tc>
        <w:tc>
          <w:tcPr>
            <w:tcW w:w="34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24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26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6"/>
              </w:rPr>
              <w:t>Nonqualified</w:t>
            </w: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600" w:type="dxa"/>
            <w:vAlign w:val="bottom"/>
            <w:shd w:val="clear" w:color="auto" w:fill="0088A6"/>
          </w:tcPr>
          <w:p>
            <w:pPr>
              <w:spacing w:after="0"/>
              <w:rPr>
                <w:sz w:val="12"/>
                <w:szCs w:val="12"/>
                <w:color w:val="auto"/>
              </w:rPr>
            </w:pPr>
          </w:p>
        </w:tc>
        <w:tc>
          <w:tcPr>
            <w:tcW w:w="3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Borders>
              <w:left w:val="single" w:sz="8" w:color="BFBFBF"/>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440" w:type="dxa"/>
            <w:vAlign w:val="bottom"/>
            <w:shd w:val="clear" w:color="auto" w:fill="0088A6"/>
          </w:tcPr>
          <w:p>
            <w:pPr>
              <w:spacing w:after="0"/>
              <w:rPr>
                <w:sz w:val="12"/>
                <w:szCs w:val="12"/>
                <w:color w:val="auto"/>
              </w:rPr>
            </w:pPr>
          </w:p>
        </w:tc>
        <w:tc>
          <w:tcPr>
            <w:tcW w:w="540" w:type="dxa"/>
            <w:vAlign w:val="bottom"/>
            <w:shd w:val="clear" w:color="auto" w:fill="0088A6"/>
          </w:tcPr>
          <w:p>
            <w:pPr>
              <w:spacing w:after="0"/>
              <w:rPr>
                <w:sz w:val="12"/>
                <w:szCs w:val="12"/>
                <w:color w:val="auto"/>
              </w:rPr>
            </w:pPr>
          </w:p>
        </w:tc>
        <w:tc>
          <w:tcPr>
            <w:tcW w:w="34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24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26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6"/>
              </w:rPr>
              <w:t>Non-Equity</w:t>
            </w: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3"/>
              </w:rPr>
              <w:t>Deferred</w:t>
            </w: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600" w:type="dxa"/>
            <w:vAlign w:val="bottom"/>
            <w:shd w:val="clear" w:color="auto" w:fill="0088A6"/>
          </w:tcPr>
          <w:p>
            <w:pPr>
              <w:spacing w:after="0"/>
              <w:rPr>
                <w:sz w:val="12"/>
                <w:szCs w:val="12"/>
                <w:color w:val="auto"/>
              </w:rPr>
            </w:pPr>
          </w:p>
        </w:tc>
        <w:tc>
          <w:tcPr>
            <w:tcW w:w="3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Borders>
              <w:left w:val="single" w:sz="8" w:color="BFBFBF"/>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320" w:type="dxa"/>
            <w:vAlign w:val="bottom"/>
            <w:tcBorders>
              <w:right w:val="single" w:sz="8" w:color="BFBFBF"/>
            </w:tcBorders>
            <w:gridSpan w:val="3"/>
            <w:shd w:val="clear" w:color="auto" w:fill="0088A6"/>
          </w:tcPr>
          <w:p>
            <w:pPr>
              <w:jc w:val="right"/>
              <w:ind w:right="420"/>
              <w:spacing w:after="0" w:line="149" w:lineRule="exact"/>
              <w:rPr>
                <w:sz w:val="20"/>
                <w:szCs w:val="20"/>
                <w:color w:val="auto"/>
              </w:rPr>
            </w:pPr>
            <w:r>
              <w:rPr>
                <w:rFonts w:ascii="Arial" w:cs="Arial" w:eastAsia="Arial" w:hAnsi="Arial"/>
                <w:sz w:val="14"/>
                <w:szCs w:val="14"/>
                <w:b w:val="1"/>
                <w:bCs w:val="1"/>
                <w:color w:val="FFFFFF"/>
              </w:rPr>
              <w:t>Fees Earned</w:t>
            </w:r>
          </w:p>
        </w:tc>
        <w:tc>
          <w:tcPr>
            <w:tcW w:w="140" w:type="dxa"/>
            <w:vAlign w:val="bottom"/>
            <w:shd w:val="clear" w:color="auto" w:fill="0088A6"/>
          </w:tcPr>
          <w:p>
            <w:pPr>
              <w:spacing w:after="0"/>
              <w:rPr>
                <w:sz w:val="12"/>
                <w:szCs w:val="12"/>
                <w:color w:val="auto"/>
              </w:rPr>
            </w:pPr>
          </w:p>
        </w:tc>
        <w:tc>
          <w:tcPr>
            <w:tcW w:w="24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260" w:type="dxa"/>
            <w:vAlign w:val="bottom"/>
            <w:tcBorders>
              <w:right w:val="single" w:sz="8" w:color="BFBFBF"/>
            </w:tcBorders>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ind w:left="60"/>
              <w:spacing w:after="0" w:line="149" w:lineRule="exact"/>
              <w:rPr>
                <w:sz w:val="20"/>
                <w:szCs w:val="20"/>
                <w:color w:val="auto"/>
              </w:rPr>
            </w:pPr>
            <w:r>
              <w:rPr>
                <w:rFonts w:ascii="Arial" w:cs="Arial" w:eastAsia="Arial" w:hAnsi="Arial"/>
                <w:sz w:val="14"/>
                <w:szCs w:val="14"/>
                <w:b w:val="1"/>
                <w:bCs w:val="1"/>
                <w:color w:val="FFFFFF"/>
              </w:rPr>
              <w:t>Option</w:t>
            </w:r>
          </w:p>
        </w:tc>
        <w:tc>
          <w:tcPr>
            <w:tcW w:w="12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5"/>
              </w:rPr>
              <w:t>Incentive Plan</w:t>
            </w: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8"/>
              </w:rPr>
              <w:t>All Other</w:t>
            </w:r>
          </w:p>
        </w:tc>
        <w:tc>
          <w:tcPr>
            <w:tcW w:w="12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600" w:type="dxa"/>
            <w:vAlign w:val="bottom"/>
            <w:shd w:val="clear" w:color="auto" w:fill="0088A6"/>
          </w:tcPr>
          <w:p>
            <w:pPr>
              <w:spacing w:after="0"/>
              <w:rPr>
                <w:sz w:val="12"/>
                <w:szCs w:val="12"/>
                <w:color w:val="auto"/>
              </w:rPr>
            </w:pPr>
          </w:p>
        </w:tc>
        <w:tc>
          <w:tcPr>
            <w:tcW w:w="3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Borders>
              <w:left w:val="single" w:sz="8" w:color="BFBFBF"/>
              <w:right w:val="single" w:sz="8" w:color="BFBFBF"/>
            </w:tcBorders>
            <w:vMerge w:val="restart"/>
            <w:shd w:val="clear" w:color="auto" w:fill="0088A6"/>
          </w:tcPr>
          <w:p>
            <w:pPr>
              <w:ind w:left="120"/>
              <w:spacing w:after="0"/>
              <w:rPr>
                <w:sz w:val="20"/>
                <w:szCs w:val="20"/>
                <w:color w:val="auto"/>
              </w:rPr>
            </w:pPr>
            <w:r>
              <w:rPr>
                <w:rFonts w:ascii="Arial" w:cs="Arial" w:eastAsia="Arial" w:hAnsi="Arial"/>
                <w:sz w:val="14"/>
                <w:szCs w:val="14"/>
                <w:b w:val="1"/>
                <w:bCs w:val="1"/>
                <w:color w:val="FFFFFF"/>
              </w:rPr>
              <w:t>Name(1)</w:t>
            </w:r>
          </w:p>
        </w:tc>
        <w:tc>
          <w:tcPr>
            <w:tcW w:w="140" w:type="dxa"/>
            <w:vAlign w:val="bottom"/>
            <w:shd w:val="clear" w:color="auto" w:fill="0088A6"/>
          </w:tcPr>
          <w:p>
            <w:pPr>
              <w:spacing w:after="0"/>
              <w:rPr>
                <w:sz w:val="12"/>
                <w:szCs w:val="12"/>
                <w:color w:val="auto"/>
              </w:rPr>
            </w:pPr>
          </w:p>
        </w:tc>
        <w:tc>
          <w:tcPr>
            <w:tcW w:w="1320" w:type="dxa"/>
            <w:vAlign w:val="bottom"/>
            <w:tcBorders>
              <w:right w:val="single" w:sz="8" w:color="BFBFBF"/>
            </w:tcBorders>
            <w:gridSpan w:val="3"/>
            <w:shd w:val="clear" w:color="auto" w:fill="0088A6"/>
          </w:tcPr>
          <w:p>
            <w:pPr>
              <w:spacing w:after="0" w:line="149" w:lineRule="exact"/>
              <w:rPr>
                <w:sz w:val="20"/>
                <w:szCs w:val="20"/>
                <w:color w:val="auto"/>
              </w:rPr>
            </w:pPr>
            <w:r>
              <w:rPr>
                <w:rFonts w:ascii="Arial" w:cs="Arial" w:eastAsia="Arial" w:hAnsi="Arial"/>
                <w:sz w:val="14"/>
                <w:szCs w:val="14"/>
                <w:b w:val="1"/>
                <w:bCs w:val="1"/>
                <w:color w:val="FFFFFF"/>
              </w:rPr>
              <w:t>or Paid in Cash</w:t>
            </w:r>
          </w:p>
        </w:tc>
        <w:tc>
          <w:tcPr>
            <w:tcW w:w="140" w:type="dxa"/>
            <w:vAlign w:val="bottom"/>
            <w:shd w:val="clear" w:color="auto" w:fill="0088A6"/>
          </w:tcPr>
          <w:p>
            <w:pPr>
              <w:spacing w:after="0"/>
              <w:rPr>
                <w:sz w:val="12"/>
                <w:szCs w:val="12"/>
                <w:color w:val="auto"/>
              </w:rPr>
            </w:pPr>
          </w:p>
        </w:tc>
        <w:tc>
          <w:tcPr>
            <w:tcW w:w="1140" w:type="dxa"/>
            <w:vAlign w:val="bottom"/>
            <w:tcBorders>
              <w:right w:val="single" w:sz="8" w:color="BFBFBF"/>
            </w:tcBorders>
            <w:gridSpan w:val="3"/>
            <w:shd w:val="clear" w:color="auto" w:fill="0088A6"/>
          </w:tcPr>
          <w:p>
            <w:pPr>
              <w:spacing w:after="0" w:line="149" w:lineRule="exact"/>
              <w:rPr>
                <w:sz w:val="20"/>
                <w:szCs w:val="20"/>
                <w:color w:val="auto"/>
              </w:rPr>
            </w:pPr>
            <w:r>
              <w:rPr>
                <w:rFonts w:ascii="Arial" w:cs="Arial" w:eastAsia="Arial" w:hAnsi="Arial"/>
                <w:sz w:val="14"/>
                <w:szCs w:val="14"/>
                <w:b w:val="1"/>
                <w:bCs w:val="1"/>
                <w:color w:val="FFFFFF"/>
              </w:rPr>
              <w:t>Stock Awards</w:t>
            </w:r>
          </w:p>
        </w:tc>
        <w:tc>
          <w:tcPr>
            <w:tcW w:w="12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ind w:left="40"/>
              <w:spacing w:after="0" w:line="149" w:lineRule="exact"/>
              <w:rPr>
                <w:sz w:val="20"/>
                <w:szCs w:val="20"/>
                <w:color w:val="auto"/>
              </w:rPr>
            </w:pPr>
            <w:r>
              <w:rPr>
                <w:rFonts w:ascii="Arial" w:cs="Arial" w:eastAsia="Arial" w:hAnsi="Arial"/>
                <w:sz w:val="14"/>
                <w:szCs w:val="14"/>
                <w:b w:val="1"/>
                <w:bCs w:val="1"/>
                <w:color w:val="FFFFFF"/>
              </w:rPr>
              <w:t>Awards</w:t>
            </w:r>
          </w:p>
        </w:tc>
        <w:tc>
          <w:tcPr>
            <w:tcW w:w="12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6"/>
              </w:rPr>
              <w:t>Earnings</w:t>
            </w: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2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900" w:type="dxa"/>
            <w:vAlign w:val="bottom"/>
            <w:tcBorders>
              <w:right w:val="single" w:sz="8" w:color="BFBFBF"/>
            </w:tcBorders>
            <w:gridSpan w:val="2"/>
            <w:shd w:val="clear" w:color="auto" w:fill="0088A6"/>
          </w:tcPr>
          <w:p>
            <w:pPr>
              <w:ind w:left="80"/>
              <w:spacing w:after="0" w:line="149"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5"/>
        </w:trPr>
        <w:tc>
          <w:tcPr>
            <w:tcW w:w="3300" w:type="dxa"/>
            <w:vAlign w:val="bottom"/>
            <w:tcBorders>
              <w:left w:val="single" w:sz="8" w:color="BFBFBF"/>
              <w:bottom w:val="single" w:sz="8" w:color="auto"/>
              <w:right w:val="single" w:sz="8" w:color="BFBFBF"/>
            </w:tcBorders>
            <w:vMerge w:val="continue"/>
            <w:shd w:val="clear" w:color="auto" w:fill="0088A6"/>
          </w:tcPr>
          <w:p>
            <w:pPr>
              <w:spacing w:after="0"/>
              <w:rPr>
                <w:sz w:val="17"/>
                <w:szCs w:val="17"/>
                <w:color w:val="auto"/>
              </w:rPr>
            </w:pPr>
          </w:p>
        </w:tc>
        <w:tc>
          <w:tcPr>
            <w:tcW w:w="140" w:type="dxa"/>
            <w:vAlign w:val="bottom"/>
            <w:tcBorders>
              <w:bottom w:val="single" w:sz="8" w:color="0088A6"/>
            </w:tcBorders>
            <w:shd w:val="clear" w:color="auto" w:fill="0088A6"/>
          </w:tcPr>
          <w:p>
            <w:pPr>
              <w:spacing w:after="0"/>
              <w:rPr>
                <w:sz w:val="17"/>
                <w:szCs w:val="17"/>
                <w:color w:val="auto"/>
              </w:rPr>
            </w:pPr>
          </w:p>
        </w:tc>
        <w:tc>
          <w:tcPr>
            <w:tcW w:w="440" w:type="dxa"/>
            <w:vAlign w:val="bottom"/>
            <w:tcBorders>
              <w:bottom w:val="single" w:sz="8" w:color="auto"/>
            </w:tcBorders>
            <w:shd w:val="clear" w:color="auto" w:fill="0088A6"/>
          </w:tcPr>
          <w:p>
            <w:pPr>
              <w:jc w:val="right"/>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auto"/>
            </w:tcBorders>
            <w:shd w:val="clear" w:color="auto" w:fill="0088A6"/>
          </w:tcPr>
          <w:p>
            <w:pPr>
              <w:jc w:val="right"/>
              <w:ind w:right="252"/>
              <w:spacing w:after="0"/>
              <w:rPr>
                <w:sz w:val="20"/>
                <w:szCs w:val="20"/>
                <w:color w:val="auto"/>
              </w:rPr>
            </w:pPr>
            <w:r>
              <w:rPr>
                <w:rFonts w:ascii="Arial" w:cs="Arial" w:eastAsia="Arial" w:hAnsi="Arial"/>
                <w:sz w:val="14"/>
                <w:szCs w:val="14"/>
                <w:b w:val="1"/>
                <w:bCs w:val="1"/>
                <w:color w:val="FFFFFF"/>
                <w:w w:val="91"/>
              </w:rPr>
              <w:t>)(2)</w:t>
            </w:r>
          </w:p>
        </w:tc>
        <w:tc>
          <w:tcPr>
            <w:tcW w:w="340" w:type="dxa"/>
            <w:vAlign w:val="bottom"/>
            <w:tcBorders>
              <w:bottom w:val="single" w:sz="8" w:color="0088A6"/>
              <w:right w:val="single" w:sz="8" w:color="BFBFBF"/>
            </w:tcBorders>
            <w:shd w:val="clear" w:color="auto" w:fill="0088A6"/>
          </w:tcPr>
          <w:p>
            <w:pPr>
              <w:spacing w:after="0"/>
              <w:rPr>
                <w:sz w:val="17"/>
                <w:szCs w:val="17"/>
                <w:color w:val="auto"/>
              </w:rPr>
            </w:pPr>
          </w:p>
        </w:tc>
        <w:tc>
          <w:tcPr>
            <w:tcW w:w="140" w:type="dxa"/>
            <w:vAlign w:val="bottom"/>
            <w:tcBorders>
              <w:bottom w:val="single" w:sz="8" w:color="0088A6"/>
            </w:tcBorders>
            <w:shd w:val="clear" w:color="auto" w:fill="0088A6"/>
          </w:tcPr>
          <w:p>
            <w:pPr>
              <w:spacing w:after="0"/>
              <w:rPr>
                <w:sz w:val="17"/>
                <w:szCs w:val="17"/>
                <w:color w:val="auto"/>
              </w:rPr>
            </w:pPr>
          </w:p>
        </w:tc>
        <w:tc>
          <w:tcPr>
            <w:tcW w:w="240" w:type="dxa"/>
            <w:vAlign w:val="bottom"/>
            <w:tcBorders>
              <w:bottom w:val="single" w:sz="8" w:color="auto"/>
            </w:tcBorders>
            <w:shd w:val="clear" w:color="auto" w:fill="0088A6"/>
          </w:tcPr>
          <w:p>
            <w:pPr>
              <w:ind w:left="120"/>
              <w:spacing w:after="0"/>
              <w:rPr>
                <w:sz w:val="20"/>
                <w:szCs w:val="20"/>
                <w:color w:val="auto"/>
              </w:rPr>
            </w:pPr>
            <w:r>
              <w:rPr>
                <w:rFonts w:ascii="Arial" w:cs="Arial" w:eastAsia="Arial" w:hAnsi="Arial"/>
                <w:sz w:val="14"/>
                <w:szCs w:val="14"/>
                <w:b w:val="1"/>
                <w:bCs w:val="1"/>
                <w:color w:val="FFFFFF"/>
                <w:w w:val="79"/>
              </w:rPr>
              <w:t>($</w:t>
            </w:r>
          </w:p>
        </w:tc>
        <w:tc>
          <w:tcPr>
            <w:tcW w:w="640" w:type="dxa"/>
            <w:vAlign w:val="bottom"/>
            <w:tcBorders>
              <w:bottom w:val="single" w:sz="8" w:color="auto"/>
            </w:tcBorders>
            <w:shd w:val="clear" w:color="auto" w:fill="0088A6"/>
          </w:tcPr>
          <w:p>
            <w:pPr>
              <w:spacing w:after="0"/>
              <w:rPr>
                <w:sz w:val="20"/>
                <w:szCs w:val="20"/>
                <w:color w:val="auto"/>
              </w:rPr>
            </w:pPr>
            <w:r>
              <w:rPr>
                <w:rFonts w:ascii="Arial" w:cs="Arial" w:eastAsia="Arial" w:hAnsi="Arial"/>
                <w:sz w:val="14"/>
                <w:szCs w:val="14"/>
                <w:b w:val="1"/>
                <w:bCs w:val="1"/>
                <w:color w:val="FFFFFF"/>
              </w:rPr>
              <w:t>)(3)(4)(5)</w:t>
            </w:r>
          </w:p>
        </w:tc>
        <w:tc>
          <w:tcPr>
            <w:tcW w:w="260" w:type="dxa"/>
            <w:vAlign w:val="bottom"/>
            <w:tcBorders>
              <w:bottom w:val="single" w:sz="8" w:color="0088A6"/>
              <w:right w:val="single" w:sz="8" w:color="BFBFBF"/>
            </w:tcBorders>
            <w:shd w:val="clear" w:color="auto" w:fill="0088A6"/>
          </w:tcPr>
          <w:p>
            <w:pPr>
              <w:spacing w:after="0"/>
              <w:rPr>
                <w:sz w:val="17"/>
                <w:szCs w:val="17"/>
                <w:color w:val="auto"/>
              </w:rPr>
            </w:pPr>
          </w:p>
        </w:tc>
        <w:tc>
          <w:tcPr>
            <w:tcW w:w="120" w:type="dxa"/>
            <w:vAlign w:val="bottom"/>
            <w:tcBorders>
              <w:bottom w:val="single" w:sz="8" w:color="0088A6"/>
            </w:tcBorders>
            <w:shd w:val="clear" w:color="auto" w:fill="0088A6"/>
          </w:tcPr>
          <w:p>
            <w:pPr>
              <w:spacing w:after="0"/>
              <w:rPr>
                <w:sz w:val="17"/>
                <w:szCs w:val="17"/>
                <w:color w:val="auto"/>
              </w:rPr>
            </w:pPr>
          </w:p>
        </w:tc>
        <w:tc>
          <w:tcPr>
            <w:tcW w:w="600" w:type="dxa"/>
            <w:vAlign w:val="bottom"/>
            <w:tcBorders>
              <w:bottom w:val="single" w:sz="8" w:color="auto"/>
              <w:right w:val="single" w:sz="8" w:color="BFBFBF"/>
            </w:tcBorders>
            <w:shd w:val="clear" w:color="auto" w:fill="0088A6"/>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0088A6"/>
            </w:tcBorders>
            <w:shd w:val="clear" w:color="auto" w:fill="0088A6"/>
          </w:tcPr>
          <w:p>
            <w:pPr>
              <w:spacing w:after="0"/>
              <w:rPr>
                <w:sz w:val="17"/>
                <w:szCs w:val="17"/>
                <w:color w:val="auto"/>
              </w:rPr>
            </w:pPr>
          </w:p>
        </w:tc>
        <w:tc>
          <w:tcPr>
            <w:tcW w:w="1040" w:type="dxa"/>
            <w:vAlign w:val="bottom"/>
            <w:tcBorders>
              <w:bottom w:val="single" w:sz="8" w:color="auto"/>
              <w:right w:val="single" w:sz="8" w:color="BFBFBF"/>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3"/>
              </w:rPr>
              <w:t>($)</w:t>
            </w:r>
          </w:p>
        </w:tc>
        <w:tc>
          <w:tcPr>
            <w:tcW w:w="140" w:type="dxa"/>
            <w:vAlign w:val="bottom"/>
            <w:tcBorders>
              <w:bottom w:val="single" w:sz="8" w:color="0088A6"/>
            </w:tcBorders>
            <w:shd w:val="clear" w:color="auto" w:fill="0088A6"/>
          </w:tcPr>
          <w:p>
            <w:pPr>
              <w:spacing w:after="0"/>
              <w:rPr>
                <w:sz w:val="17"/>
                <w:szCs w:val="17"/>
                <w:color w:val="auto"/>
              </w:rPr>
            </w:pPr>
          </w:p>
        </w:tc>
        <w:tc>
          <w:tcPr>
            <w:tcW w:w="1040" w:type="dxa"/>
            <w:vAlign w:val="bottom"/>
            <w:tcBorders>
              <w:bottom w:val="single" w:sz="8" w:color="auto"/>
              <w:right w:val="single" w:sz="8" w:color="BFBFBF"/>
            </w:tcBorders>
            <w:shd w:val="clear" w:color="auto" w:fill="0088A6"/>
          </w:tcPr>
          <w:p>
            <w:pPr>
              <w:jc w:val="center"/>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0088A6"/>
            </w:tcBorders>
            <w:shd w:val="clear" w:color="auto" w:fill="0088A6"/>
          </w:tcPr>
          <w:p>
            <w:pPr>
              <w:spacing w:after="0"/>
              <w:rPr>
                <w:sz w:val="17"/>
                <w:szCs w:val="17"/>
                <w:color w:val="auto"/>
              </w:rPr>
            </w:pPr>
          </w:p>
        </w:tc>
        <w:tc>
          <w:tcPr>
            <w:tcW w:w="1040" w:type="dxa"/>
            <w:vAlign w:val="bottom"/>
            <w:tcBorders>
              <w:bottom w:val="single" w:sz="8" w:color="auto"/>
              <w:right w:val="single" w:sz="8" w:color="BFBFBF"/>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9"/>
              </w:rPr>
              <w:t>($)(6)</w:t>
            </w:r>
          </w:p>
        </w:tc>
        <w:tc>
          <w:tcPr>
            <w:tcW w:w="120" w:type="dxa"/>
            <w:vAlign w:val="bottom"/>
            <w:tcBorders>
              <w:bottom w:val="single" w:sz="8" w:color="0088A6"/>
            </w:tcBorders>
            <w:shd w:val="clear" w:color="auto" w:fill="0088A6"/>
          </w:tcPr>
          <w:p>
            <w:pPr>
              <w:spacing w:after="0"/>
              <w:rPr>
                <w:sz w:val="17"/>
                <w:szCs w:val="17"/>
                <w:color w:val="auto"/>
              </w:rPr>
            </w:pPr>
          </w:p>
        </w:tc>
        <w:tc>
          <w:tcPr>
            <w:tcW w:w="140" w:type="dxa"/>
            <w:vAlign w:val="bottom"/>
            <w:tcBorders>
              <w:bottom w:val="single" w:sz="8" w:color="auto"/>
            </w:tcBorders>
            <w:shd w:val="clear" w:color="auto" w:fill="0088A6"/>
          </w:tcPr>
          <w:p>
            <w:pPr>
              <w:spacing w:after="0"/>
              <w:rPr>
                <w:sz w:val="17"/>
                <w:szCs w:val="17"/>
                <w:color w:val="auto"/>
              </w:rPr>
            </w:pPr>
          </w:p>
        </w:tc>
        <w:tc>
          <w:tcPr>
            <w:tcW w:w="600" w:type="dxa"/>
            <w:vAlign w:val="bottom"/>
            <w:tcBorders>
              <w:bottom w:val="single" w:sz="8" w:color="auto"/>
            </w:tcBorders>
            <w:shd w:val="clear" w:color="auto" w:fill="0088A6"/>
          </w:tcPr>
          <w:p>
            <w:pPr>
              <w:jc w:val="right"/>
              <w:ind w:right="212"/>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0088A6"/>
              <w:right w:val="single" w:sz="8" w:color="BFBFBF"/>
            </w:tcBorders>
            <w:shd w:val="clear" w:color="auto" w:fill="0088A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00" w:type="dxa"/>
            <w:vAlign w:val="bottom"/>
            <w:tcBorders>
              <w:top w:val="single" w:sz="8" w:color="BFBFBF"/>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Urban Bäckström(7)</w:t>
            </w:r>
          </w:p>
        </w:tc>
        <w:tc>
          <w:tcPr>
            <w:tcW w:w="580" w:type="dxa"/>
            <w:vAlign w:val="bottom"/>
            <w:tcBorders>
              <w:top w:val="single" w:sz="8" w:color="BFBFBF"/>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BFBFBF"/>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57,500</w:t>
            </w:r>
          </w:p>
        </w:tc>
        <w:tc>
          <w:tcPr>
            <w:tcW w:w="340" w:type="dxa"/>
            <w:vAlign w:val="bottom"/>
            <w:tcBorders>
              <w:top w:val="single" w:sz="8" w:color="BFBFBF"/>
              <w:bottom w:val="single" w:sz="8" w:color="BFBFBF"/>
              <w:right w:val="single" w:sz="8" w:color="BFBFBF"/>
            </w:tcBorders>
          </w:tcPr>
          <w:p>
            <w:pPr>
              <w:spacing w:after="0"/>
              <w:rPr>
                <w:sz w:val="11"/>
                <w:szCs w:val="11"/>
                <w:color w:val="auto"/>
              </w:rPr>
            </w:pPr>
          </w:p>
        </w:tc>
        <w:tc>
          <w:tcPr>
            <w:tcW w:w="140" w:type="dxa"/>
            <w:vAlign w:val="bottom"/>
            <w:tcBorders>
              <w:top w:val="single" w:sz="8" w:color="BFBFBF"/>
              <w:bottom w:val="single" w:sz="8" w:color="BFBFBF"/>
            </w:tcBorders>
          </w:tcPr>
          <w:p>
            <w:pPr>
              <w:spacing w:after="0"/>
              <w:rPr>
                <w:sz w:val="11"/>
                <w:szCs w:val="11"/>
                <w:color w:val="auto"/>
              </w:rPr>
            </w:pPr>
          </w:p>
        </w:tc>
        <w:tc>
          <w:tcPr>
            <w:tcW w:w="240" w:type="dxa"/>
            <w:vAlign w:val="bottom"/>
            <w:tcBorders>
              <w:top w:val="single" w:sz="8" w:color="BFBFBF"/>
              <w:bottom w:val="single" w:sz="8" w:color="BFBFBF"/>
            </w:tcBorders>
          </w:tcPr>
          <w:p>
            <w:pPr>
              <w:spacing w:after="0"/>
              <w:rPr>
                <w:sz w:val="11"/>
                <w:szCs w:val="11"/>
                <w:color w:val="auto"/>
              </w:rPr>
            </w:pPr>
          </w:p>
        </w:tc>
        <w:tc>
          <w:tcPr>
            <w:tcW w:w="900" w:type="dxa"/>
            <w:vAlign w:val="bottom"/>
            <w:tcBorders>
              <w:top w:val="single" w:sz="8" w:color="BFBFBF"/>
              <w:bottom w:val="single" w:sz="8" w:color="BFBFBF"/>
              <w:right w:val="single" w:sz="8" w:color="BFBFBF"/>
            </w:tcBorders>
            <w:gridSpan w:val="2"/>
          </w:tcPr>
          <w:p>
            <w:pPr>
              <w:ind w:left="520"/>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BFBFBF"/>
              <w:bottom w:val="single" w:sz="8" w:color="BFBFBF"/>
            </w:tcBorders>
          </w:tcPr>
          <w:p>
            <w:pPr>
              <w:spacing w:after="0"/>
              <w:rPr>
                <w:sz w:val="11"/>
                <w:szCs w:val="11"/>
                <w:color w:val="auto"/>
              </w:rPr>
            </w:pPr>
          </w:p>
        </w:tc>
        <w:tc>
          <w:tcPr>
            <w:tcW w:w="600" w:type="dxa"/>
            <w:vAlign w:val="bottom"/>
            <w:tcBorders>
              <w:top w:val="single" w:sz="8" w:color="BFBFBF"/>
              <w:bottom w:val="single" w:sz="8" w:color="BFBFBF"/>
              <w:right w:val="single" w:sz="8" w:color="BFBFBF"/>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BFBFBF"/>
              <w:bottom w:val="single" w:sz="8" w:color="BFBFBF"/>
            </w:tcBorders>
          </w:tcPr>
          <w:p>
            <w:pPr>
              <w:spacing w:after="0"/>
              <w:rPr>
                <w:sz w:val="11"/>
                <w:szCs w:val="11"/>
                <w:color w:val="auto"/>
              </w:rPr>
            </w:pPr>
          </w:p>
        </w:tc>
        <w:tc>
          <w:tcPr>
            <w:tcW w:w="1040" w:type="dxa"/>
            <w:vAlign w:val="bottom"/>
            <w:tcBorders>
              <w:top w:val="single" w:sz="8" w:color="BFBFBF"/>
              <w:bottom w:val="single" w:sz="8" w:color="BFBFBF"/>
              <w:right w:val="single" w:sz="8" w:color="BFBFBF"/>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BFBFBF"/>
              <w:bottom w:val="single" w:sz="8" w:color="BFBFBF"/>
            </w:tcBorders>
          </w:tcPr>
          <w:p>
            <w:pPr>
              <w:spacing w:after="0"/>
              <w:rPr>
                <w:sz w:val="11"/>
                <w:szCs w:val="11"/>
                <w:color w:val="auto"/>
              </w:rPr>
            </w:pPr>
          </w:p>
        </w:tc>
        <w:tc>
          <w:tcPr>
            <w:tcW w:w="1040" w:type="dxa"/>
            <w:vAlign w:val="bottom"/>
            <w:tcBorders>
              <w:top w:val="single" w:sz="8" w:color="BFBFBF"/>
              <w:bottom w:val="single" w:sz="8" w:color="BFBFBF"/>
              <w:right w:val="single" w:sz="8" w:color="BFBFBF"/>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BFBFBF"/>
              <w:bottom w:val="single" w:sz="8" w:color="BFBFBF"/>
            </w:tcBorders>
          </w:tcPr>
          <w:p>
            <w:pPr>
              <w:spacing w:after="0"/>
              <w:rPr>
                <w:sz w:val="11"/>
                <w:szCs w:val="11"/>
                <w:color w:val="auto"/>
              </w:rPr>
            </w:pPr>
          </w:p>
        </w:tc>
        <w:tc>
          <w:tcPr>
            <w:tcW w:w="1040" w:type="dxa"/>
            <w:vAlign w:val="bottom"/>
            <w:tcBorders>
              <w:top w:val="single" w:sz="8" w:color="BFBFBF"/>
              <w:bottom w:val="single" w:sz="8" w:color="BFBFBF"/>
              <w:right w:val="single" w:sz="8" w:color="BFBFBF"/>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BFBFBF"/>
              <w:bottom w:val="single" w:sz="8" w:color="BFBFBF"/>
            </w:tcBorders>
            <w:gridSpan w:val="2"/>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BFBFBF"/>
              <w:bottom w:val="single" w:sz="8" w:color="BFBFBF"/>
              <w:right w:val="single" w:sz="8" w:color="BFBFBF"/>
            </w:tcBorders>
            <w:gridSpan w:val="2"/>
          </w:tcPr>
          <w:p>
            <w:pPr>
              <w:jc w:val="right"/>
              <w:ind w:right="300"/>
              <w:spacing w:after="0" w:line="129" w:lineRule="exact"/>
              <w:rPr>
                <w:sz w:val="20"/>
                <w:szCs w:val="20"/>
                <w:color w:val="auto"/>
              </w:rPr>
            </w:pPr>
            <w:r>
              <w:rPr>
                <w:rFonts w:ascii="Arial" w:cs="Arial" w:eastAsia="Arial" w:hAnsi="Arial"/>
                <w:sz w:val="14"/>
                <w:szCs w:val="14"/>
                <w:color w:val="auto"/>
              </w:rPr>
              <w:t>57,500</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H. Furlong Baldwin(7)</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12,000</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right w:val="single" w:sz="8" w:color="BFBFBF"/>
            </w:tcBorders>
            <w:gridSpan w:val="2"/>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Steven D. Black</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141,167</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tcBorders>
          </w:tcPr>
          <w:p>
            <w:pPr>
              <w:ind w:left="160"/>
              <w:spacing w:after="0" w:line="142" w:lineRule="exact"/>
              <w:rPr>
                <w:sz w:val="20"/>
                <w:szCs w:val="20"/>
                <w:color w:val="auto"/>
              </w:rPr>
            </w:pPr>
            <w:r>
              <w:rPr>
                <w:rFonts w:ascii="Arial" w:cs="Arial" w:eastAsia="Arial" w:hAnsi="Arial"/>
                <w:sz w:val="14"/>
                <w:szCs w:val="14"/>
                <w:color w:val="auto"/>
                <w:w w:val="90"/>
              </w:rPr>
              <w:t>115,015</w:t>
            </w:r>
          </w:p>
        </w:tc>
        <w:tc>
          <w:tcPr>
            <w:tcW w:w="260" w:type="dxa"/>
            <w:vAlign w:val="bottom"/>
            <w:tcBorders>
              <w:bottom w:val="single" w:sz="8" w:color="BFBFBF"/>
              <w:right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256,182</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Michael Casey(7)</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62,500</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right w:val="single" w:sz="8" w:color="BFBFBF"/>
            </w:tcBorders>
            <w:gridSpan w:val="2"/>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62,500</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Börje E. Ekholm</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128,266</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tcBorders>
          </w:tcPr>
          <w:p>
            <w:pPr>
              <w:ind w:left="160"/>
              <w:spacing w:after="0" w:line="142" w:lineRule="exact"/>
              <w:rPr>
                <w:sz w:val="20"/>
                <w:szCs w:val="20"/>
                <w:color w:val="auto"/>
              </w:rPr>
            </w:pPr>
            <w:r>
              <w:rPr>
                <w:rFonts w:ascii="Arial" w:cs="Arial" w:eastAsia="Arial" w:hAnsi="Arial"/>
                <w:sz w:val="14"/>
                <w:szCs w:val="14"/>
                <w:color w:val="auto"/>
                <w:w w:val="90"/>
              </w:rPr>
              <w:t>195,032</w:t>
            </w:r>
          </w:p>
        </w:tc>
        <w:tc>
          <w:tcPr>
            <w:tcW w:w="260" w:type="dxa"/>
            <w:vAlign w:val="bottom"/>
            <w:tcBorders>
              <w:bottom w:val="single" w:sz="8" w:color="BFBFBF"/>
              <w:right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323,298</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Lon Gorman(7)</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41,500</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right w:val="single" w:sz="8" w:color="BFBFBF"/>
            </w:tcBorders>
            <w:gridSpan w:val="2"/>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41,500</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Glenn H. Hutchins</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51,500</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tcBorders>
          </w:tcPr>
          <w:p>
            <w:pPr>
              <w:ind w:left="160"/>
              <w:spacing w:after="0" w:line="142" w:lineRule="exact"/>
              <w:rPr>
                <w:sz w:val="20"/>
                <w:szCs w:val="20"/>
                <w:color w:val="auto"/>
              </w:rPr>
            </w:pPr>
            <w:r>
              <w:rPr>
                <w:rFonts w:ascii="Arial" w:cs="Arial" w:eastAsia="Arial" w:hAnsi="Arial"/>
                <w:sz w:val="14"/>
                <w:szCs w:val="14"/>
                <w:color w:val="auto"/>
                <w:w w:val="90"/>
              </w:rPr>
              <w:t>195,032</w:t>
            </w:r>
          </w:p>
        </w:tc>
        <w:tc>
          <w:tcPr>
            <w:tcW w:w="260" w:type="dxa"/>
            <w:vAlign w:val="bottom"/>
            <w:tcBorders>
              <w:bottom w:val="single" w:sz="8" w:color="BFBFBF"/>
              <w:right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246,532</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Birgitta Kantola(7)</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BFBFBF"/>
              <w:right w:val="single" w:sz="8" w:color="BFBFBF"/>
            </w:tcBorders>
            <w:gridSpan w:val="2"/>
          </w:tcPr>
          <w:p>
            <w:pPr>
              <w:jc w:val="right"/>
              <w:ind w:right="180"/>
              <w:spacing w:after="0" w:line="142" w:lineRule="exact"/>
              <w:rPr>
                <w:sz w:val="20"/>
                <w:szCs w:val="20"/>
                <w:color w:val="auto"/>
              </w:rPr>
            </w:pPr>
            <w:r>
              <w:rPr>
                <w:rFonts w:ascii="Arial" w:cs="Arial" w:eastAsia="Arial" w:hAnsi="Arial"/>
                <w:sz w:val="14"/>
                <w:szCs w:val="14"/>
                <w:color w:val="auto"/>
              </w:rPr>
              <w:t>62,718(8)</w:t>
            </w: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right w:val="single" w:sz="8" w:color="BFBFBF"/>
            </w:tcBorders>
            <w:gridSpan w:val="2"/>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62,718</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Essa Kazim</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137,000</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tcBorders>
          </w:tcPr>
          <w:p>
            <w:pPr>
              <w:ind w:left="160"/>
              <w:spacing w:after="0" w:line="142" w:lineRule="exact"/>
              <w:rPr>
                <w:sz w:val="20"/>
                <w:szCs w:val="20"/>
                <w:color w:val="auto"/>
              </w:rPr>
            </w:pPr>
            <w:r>
              <w:rPr>
                <w:rFonts w:ascii="Arial" w:cs="Arial" w:eastAsia="Arial" w:hAnsi="Arial"/>
                <w:sz w:val="14"/>
                <w:szCs w:val="14"/>
                <w:color w:val="auto"/>
                <w:w w:val="90"/>
              </w:rPr>
              <w:t>115,015</w:t>
            </w:r>
          </w:p>
        </w:tc>
        <w:tc>
          <w:tcPr>
            <w:tcW w:w="260" w:type="dxa"/>
            <w:vAlign w:val="bottom"/>
            <w:tcBorders>
              <w:bottom w:val="single" w:sz="8" w:color="BFBFBF"/>
              <w:right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252,015</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John D. Markese</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BFBFBF"/>
              <w:right w:val="single" w:sz="8" w:color="BFBFBF"/>
            </w:tcBorders>
            <w:gridSpan w:val="2"/>
          </w:tcPr>
          <w:p>
            <w:pPr>
              <w:jc w:val="right"/>
              <w:ind w:right="180"/>
              <w:spacing w:after="0" w:line="142" w:lineRule="exact"/>
              <w:rPr>
                <w:sz w:val="20"/>
                <w:szCs w:val="20"/>
                <w:color w:val="auto"/>
              </w:rPr>
            </w:pPr>
            <w:r>
              <w:rPr>
                <w:rFonts w:ascii="Arial" w:cs="Arial" w:eastAsia="Arial" w:hAnsi="Arial"/>
                <w:sz w:val="14"/>
                <w:szCs w:val="14"/>
                <w:color w:val="auto"/>
              </w:rPr>
              <w:t>230,750(9)</w:t>
            </w: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tcBorders>
          </w:tcPr>
          <w:p>
            <w:pPr>
              <w:ind w:left="160"/>
              <w:spacing w:after="0" w:line="142" w:lineRule="exact"/>
              <w:rPr>
                <w:sz w:val="20"/>
                <w:szCs w:val="20"/>
                <w:color w:val="auto"/>
              </w:rPr>
            </w:pPr>
            <w:r>
              <w:rPr>
                <w:rFonts w:ascii="Arial" w:cs="Arial" w:eastAsia="Arial" w:hAnsi="Arial"/>
                <w:sz w:val="14"/>
                <w:szCs w:val="14"/>
                <w:color w:val="auto"/>
                <w:w w:val="90"/>
              </w:rPr>
              <w:t>115,015</w:t>
            </w:r>
          </w:p>
        </w:tc>
        <w:tc>
          <w:tcPr>
            <w:tcW w:w="260" w:type="dxa"/>
            <w:vAlign w:val="bottom"/>
            <w:tcBorders>
              <w:bottom w:val="single" w:sz="8" w:color="BFBFBF"/>
              <w:right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345,765</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Ellyn A. McColgan</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64,398</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tcBorders>
          </w:tcPr>
          <w:p>
            <w:pPr>
              <w:ind w:left="160"/>
              <w:spacing w:after="0" w:line="142" w:lineRule="exact"/>
              <w:rPr>
                <w:sz w:val="20"/>
                <w:szCs w:val="20"/>
                <w:color w:val="auto"/>
              </w:rPr>
            </w:pPr>
            <w:r>
              <w:rPr>
                <w:rFonts w:ascii="Arial" w:cs="Arial" w:eastAsia="Arial" w:hAnsi="Arial"/>
                <w:sz w:val="14"/>
                <w:szCs w:val="14"/>
                <w:color w:val="auto"/>
                <w:w w:val="90"/>
              </w:rPr>
              <w:t>195,032</w:t>
            </w:r>
          </w:p>
        </w:tc>
        <w:tc>
          <w:tcPr>
            <w:tcW w:w="260" w:type="dxa"/>
            <w:vAlign w:val="bottom"/>
            <w:tcBorders>
              <w:bottom w:val="single" w:sz="8" w:color="BFBFBF"/>
              <w:right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259,430</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Hans Munk Nielsen(7)</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55,000</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right w:val="single" w:sz="8" w:color="BFBFBF"/>
            </w:tcBorders>
            <w:gridSpan w:val="2"/>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55,000</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Thomas F. O’Neill</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146,000</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tcBorders>
          </w:tcPr>
          <w:p>
            <w:pPr>
              <w:ind w:left="160"/>
              <w:spacing w:after="0" w:line="142" w:lineRule="exact"/>
              <w:rPr>
                <w:sz w:val="20"/>
                <w:szCs w:val="20"/>
                <w:color w:val="auto"/>
              </w:rPr>
            </w:pPr>
            <w:r>
              <w:rPr>
                <w:rFonts w:ascii="Arial" w:cs="Arial" w:eastAsia="Arial" w:hAnsi="Arial"/>
                <w:sz w:val="14"/>
                <w:szCs w:val="14"/>
                <w:color w:val="auto"/>
                <w:w w:val="90"/>
              </w:rPr>
              <w:t>115,015</w:t>
            </w:r>
          </w:p>
        </w:tc>
        <w:tc>
          <w:tcPr>
            <w:tcW w:w="260" w:type="dxa"/>
            <w:vAlign w:val="bottom"/>
            <w:tcBorders>
              <w:bottom w:val="single" w:sz="8" w:color="BFBFBF"/>
              <w:right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261,015</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James S. Riepe</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128,000</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tcBorders>
          </w:tcPr>
          <w:p>
            <w:pPr>
              <w:ind w:left="160"/>
              <w:spacing w:after="0" w:line="142" w:lineRule="exact"/>
              <w:rPr>
                <w:sz w:val="20"/>
                <w:szCs w:val="20"/>
                <w:color w:val="auto"/>
              </w:rPr>
            </w:pPr>
            <w:r>
              <w:rPr>
                <w:rFonts w:ascii="Arial" w:cs="Arial" w:eastAsia="Arial" w:hAnsi="Arial"/>
                <w:sz w:val="14"/>
                <w:szCs w:val="14"/>
                <w:color w:val="auto"/>
                <w:w w:val="90"/>
              </w:rPr>
              <w:t>115,015</w:t>
            </w:r>
          </w:p>
        </w:tc>
        <w:tc>
          <w:tcPr>
            <w:tcW w:w="260" w:type="dxa"/>
            <w:vAlign w:val="bottom"/>
            <w:tcBorders>
              <w:bottom w:val="single" w:sz="8" w:color="BFBFBF"/>
              <w:right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243,015</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Michael R. Splinter</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79,000</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tcBorders>
          </w:tcPr>
          <w:p>
            <w:pPr>
              <w:ind w:left="160"/>
              <w:spacing w:after="0" w:line="142" w:lineRule="exact"/>
              <w:rPr>
                <w:sz w:val="20"/>
                <w:szCs w:val="20"/>
                <w:color w:val="auto"/>
              </w:rPr>
            </w:pPr>
            <w:r>
              <w:rPr>
                <w:rFonts w:ascii="Arial" w:cs="Arial" w:eastAsia="Arial" w:hAnsi="Arial"/>
                <w:sz w:val="14"/>
                <w:szCs w:val="14"/>
                <w:color w:val="auto"/>
                <w:w w:val="90"/>
              </w:rPr>
              <w:t>195,032</w:t>
            </w:r>
          </w:p>
        </w:tc>
        <w:tc>
          <w:tcPr>
            <w:tcW w:w="260" w:type="dxa"/>
            <w:vAlign w:val="bottom"/>
            <w:tcBorders>
              <w:bottom w:val="single" w:sz="8" w:color="BFBFBF"/>
              <w:right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274,032</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Lars R. Wedenborn</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99,801(10)</w:t>
            </w: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ind w:left="160"/>
              <w:spacing w:after="0" w:line="142" w:lineRule="exact"/>
              <w:rPr>
                <w:sz w:val="20"/>
                <w:szCs w:val="20"/>
                <w:color w:val="auto"/>
              </w:rPr>
            </w:pPr>
            <w:r>
              <w:rPr>
                <w:rFonts w:ascii="Arial" w:cs="Arial" w:eastAsia="Arial" w:hAnsi="Arial"/>
                <w:sz w:val="14"/>
                <w:szCs w:val="14"/>
                <w:color w:val="auto"/>
              </w:rPr>
              <w:t>195,032</w:t>
            </w: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294,833</w:t>
            </w:r>
          </w:p>
        </w:tc>
        <w:tc>
          <w:tcPr>
            <w:tcW w:w="0" w:type="dxa"/>
            <w:vAlign w:val="bottom"/>
          </w:tcPr>
          <w:p>
            <w:pPr>
              <w:spacing w:after="0"/>
              <w:rPr>
                <w:sz w:val="1"/>
                <w:szCs w:val="1"/>
                <w:color w:val="auto"/>
              </w:rPr>
            </w:pPr>
          </w:p>
        </w:tc>
      </w:tr>
      <w:tr>
        <w:trPr>
          <w:trHeight w:val="142"/>
        </w:trPr>
        <w:tc>
          <w:tcPr>
            <w:tcW w:w="33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Deborah L. Wince-Smith(7)</w:t>
            </w:r>
          </w:p>
        </w:tc>
        <w:tc>
          <w:tcPr>
            <w:tcW w:w="580" w:type="dxa"/>
            <w:vAlign w:val="bottom"/>
            <w:tcBorders>
              <w:bottom w:val="single" w:sz="8" w:color="BFBFB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28,500</w:t>
            </w:r>
          </w:p>
        </w:tc>
        <w:tc>
          <w:tcPr>
            <w:tcW w:w="34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right w:val="single" w:sz="8" w:color="BFBFBF"/>
            </w:tcBorders>
            <w:gridSpan w:val="2"/>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BFBFBF"/>
            </w:tcBorders>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300"/>
              <w:spacing w:after="0" w:line="142" w:lineRule="exact"/>
              <w:rPr>
                <w:sz w:val="20"/>
                <w:szCs w:val="20"/>
                <w:color w:val="auto"/>
              </w:rPr>
            </w:pPr>
            <w:r>
              <w:rPr>
                <w:rFonts w:ascii="Arial" w:cs="Arial" w:eastAsia="Arial" w:hAnsi="Arial"/>
                <w:sz w:val="14"/>
                <w:szCs w:val="14"/>
                <w:color w:val="auto"/>
              </w:rPr>
              <w:t>28,500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-1774825</wp:posOffset>
            </wp:positionV>
            <wp:extent cx="889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-1774825</wp:posOffset>
            </wp:positionV>
            <wp:extent cx="889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5022215</wp:posOffset>
            </wp:positionH>
            <wp:positionV relativeFrom="paragraph">
              <wp:posOffset>-1774825</wp:posOffset>
            </wp:positionV>
            <wp:extent cx="889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-1774825</wp:posOffset>
            </wp:positionV>
            <wp:extent cx="889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-1774825</wp:posOffset>
            </wp:positionV>
            <wp:extent cx="889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-1774825</wp:posOffset>
            </wp:positionV>
            <wp:extent cx="889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22466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34" w:lineRule="exact"/>
        <w:rPr>
          <w:sz w:val="20"/>
          <w:szCs w:val="20"/>
          <w:color w:val="auto"/>
        </w:rPr>
      </w:pPr>
    </w:p>
    <w:p>
      <w:pPr>
        <w:ind w:left="580" w:right="200" w:hanging="572"/>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Robert Greifeld, our Chief Executive Officer, is not included in this table as he is an employee of NASDAQ OMX and thus receives no compensation for his service as a director. For information on the compensation received by Mr. Greifeld as an employee of the company, see “Compensation Discussion and Analysis” and “Executive Compensation.”</w:t>
      </w:r>
    </w:p>
    <w:p>
      <w:pPr>
        <w:spacing w:after="0" w:line="59" w:lineRule="exact"/>
        <w:rPr>
          <w:rFonts w:ascii="Arial" w:cs="Arial" w:eastAsia="Arial" w:hAnsi="Arial"/>
          <w:sz w:val="18"/>
          <w:szCs w:val="18"/>
          <w:color w:val="auto"/>
        </w:rPr>
      </w:pPr>
    </w:p>
    <w:p>
      <w:pPr>
        <w:ind w:left="580" w:right="140" w:hanging="572"/>
        <w:spacing w:after="0" w:line="23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differences in fees earned or paid in cash reported in this column largely reflect differences in each individual director’s election to receive the annual retainer in cash, restricted stock or a combination of cash and restricted stock. This election is made at the beginning of the board compensation year in May and applies throughout the year. In addition, the difference in fees earned or paid also reflects committee service and meeting attendance.</w:t>
      </w:r>
    </w:p>
    <w:p>
      <w:pPr>
        <w:spacing w:after="0" w:line="60" w:lineRule="exact"/>
        <w:rPr>
          <w:rFonts w:ascii="Arial" w:cs="Arial" w:eastAsia="Arial" w:hAnsi="Arial"/>
          <w:sz w:val="18"/>
          <w:szCs w:val="18"/>
          <w:color w:val="auto"/>
        </w:rPr>
      </w:pPr>
    </w:p>
    <w:p>
      <w:pPr>
        <w:ind w:left="580" w:right="40" w:hanging="572"/>
        <w:spacing w:after="0" w:line="273"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amounts reported in this column reflect the grant date fair value of the stock awards computed in accordance with Financial Accounting Standards Board (FASB) Accounting Standards Codification (ASC) Topic 718, “Stock Compensation” (FASB ASC Topic 718). The assumptions used in the calculation of these amounts are included in footnote 12 to the company’s audited financial statements for the fiscal year ended December 31, 2012 included in our Form 10-K. The differences in the amounts reported among non-employee directors reflect differences in each individual director’s election to receive a portion of the annual retainer in cash or restricted stock.</w:t>
      </w:r>
    </w:p>
    <w:p>
      <w:pPr>
        <w:spacing w:after="0" w:line="115"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21</w:t>
      </w:r>
    </w:p>
    <w:p>
      <w:pPr>
        <w:sectPr>
          <w:pgSz w:w="11900" w:h="16838" w:orient="portrait"/>
          <w:cols w:equalWidth="0" w:num="1">
            <w:col w:w="11440"/>
          </w:cols>
          <w:pgMar w:left="240" w:top="459" w:right="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160" w:hanging="572"/>
        <w:spacing w:after="0" w:line="236"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stock awards, which were awarded on May 22, 2012, represent the annual equity award and any portion of the annual retainer that the director elected to receive in equity. Each non-employee director received the annual equity award, which consisted of 5,153 units of restricted stock with a grant date fair value of $115,015. Messrs. Ekholm, Hutchins, Splinter and Wedenborn and Ms. McColgan elected to receive all of their annual retainers in equity, so they each received an additional 3,585 units of restricted stock with a grant date fair value of $80,017 for a total grant date fair value of $195,032.</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aggregate number of unvested and vested shares and units of restricted stock held by each non-employee director as of December 31,</w:t>
      </w:r>
    </w:p>
    <w:p>
      <w:pPr>
        <w:spacing w:after="0" w:line="1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2012 is summarized in the following table:</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580" w:type="dxa"/>
            <w:vAlign w:val="bottom"/>
            <w:tcBorders>
              <w:left w:val="single" w:sz="8" w:color="BFBFBF"/>
            </w:tcBorders>
            <w:shd w:val="clear" w:color="auto" w:fill="0088A6"/>
          </w:tcPr>
          <w:p>
            <w:pPr>
              <w:spacing w:after="0"/>
              <w:rPr>
                <w:sz w:val="24"/>
                <w:szCs w:val="24"/>
                <w:color w:val="auto"/>
              </w:rPr>
            </w:pPr>
          </w:p>
        </w:tc>
        <w:tc>
          <w:tcPr>
            <w:tcW w:w="4240" w:type="dxa"/>
            <w:vAlign w:val="bottom"/>
            <w:tcBorders>
              <w:right w:val="single" w:sz="8" w:color="BFBFBF"/>
            </w:tcBorders>
            <w:shd w:val="clear" w:color="auto" w:fill="0088A6"/>
          </w:tcPr>
          <w:p>
            <w:pPr>
              <w:spacing w:after="0"/>
              <w:rPr>
                <w:sz w:val="24"/>
                <w:szCs w:val="24"/>
                <w:color w:val="auto"/>
              </w:rPr>
            </w:pPr>
          </w:p>
        </w:tc>
        <w:tc>
          <w:tcPr>
            <w:tcW w:w="840" w:type="dxa"/>
            <w:vAlign w:val="bottom"/>
            <w:shd w:val="clear" w:color="auto" w:fill="0088A6"/>
          </w:tcPr>
          <w:p>
            <w:pPr>
              <w:spacing w:after="0"/>
              <w:rPr>
                <w:sz w:val="24"/>
                <w:szCs w:val="24"/>
                <w:color w:val="auto"/>
              </w:rPr>
            </w:pPr>
          </w:p>
        </w:tc>
        <w:tc>
          <w:tcPr>
            <w:tcW w:w="2520" w:type="dxa"/>
            <w:vAlign w:val="bottom"/>
            <w:tcBorders>
              <w:right w:val="single" w:sz="8" w:color="BFBFBF"/>
            </w:tcBorders>
            <w:gridSpan w:val="2"/>
            <w:shd w:val="clear" w:color="auto" w:fill="0088A6"/>
          </w:tcPr>
          <w:p>
            <w:pPr>
              <w:jc w:val="center"/>
              <w:ind w:right="780"/>
              <w:spacing w:after="0"/>
              <w:rPr>
                <w:sz w:val="20"/>
                <w:szCs w:val="20"/>
                <w:color w:val="auto"/>
              </w:rPr>
            </w:pPr>
            <w:r>
              <w:rPr>
                <w:rFonts w:ascii="Arial" w:cs="Arial" w:eastAsia="Arial" w:hAnsi="Arial"/>
                <w:sz w:val="18"/>
                <w:szCs w:val="18"/>
                <w:b w:val="1"/>
                <w:bCs w:val="1"/>
                <w:color w:val="FFFFFF"/>
                <w:w w:val="96"/>
              </w:rPr>
              <w:t>Number of Unvested</w:t>
            </w:r>
          </w:p>
        </w:tc>
        <w:tc>
          <w:tcPr>
            <w:tcW w:w="840" w:type="dxa"/>
            <w:vAlign w:val="bottom"/>
            <w:shd w:val="clear" w:color="auto" w:fill="0088A6"/>
          </w:tcPr>
          <w:p>
            <w:pPr>
              <w:spacing w:after="0"/>
              <w:rPr>
                <w:sz w:val="24"/>
                <w:szCs w:val="24"/>
                <w:color w:val="auto"/>
              </w:rPr>
            </w:pPr>
          </w:p>
        </w:tc>
        <w:tc>
          <w:tcPr>
            <w:tcW w:w="2420" w:type="dxa"/>
            <w:vAlign w:val="bottom"/>
            <w:tcBorders>
              <w:right w:val="single" w:sz="8" w:color="BFBFBF"/>
            </w:tcBorders>
            <w:gridSpan w:val="3"/>
            <w:shd w:val="clear" w:color="auto" w:fill="0088A6"/>
          </w:tcPr>
          <w:p>
            <w:pPr>
              <w:jc w:val="center"/>
              <w:ind w:right="900"/>
              <w:spacing w:after="0"/>
              <w:rPr>
                <w:sz w:val="20"/>
                <w:szCs w:val="20"/>
                <w:color w:val="auto"/>
              </w:rPr>
            </w:pPr>
            <w:r>
              <w:rPr>
                <w:rFonts w:ascii="Arial" w:cs="Arial" w:eastAsia="Arial" w:hAnsi="Arial"/>
                <w:sz w:val="18"/>
                <w:szCs w:val="18"/>
                <w:b w:val="1"/>
                <w:bCs w:val="1"/>
                <w:color w:val="FFFFFF"/>
                <w:w w:val="96"/>
              </w:rPr>
              <w:t>Number of Vested</w:t>
            </w:r>
          </w:p>
        </w:tc>
        <w:tc>
          <w:tcPr>
            <w:tcW w:w="0" w:type="dxa"/>
            <w:vAlign w:val="bottom"/>
          </w:tcPr>
          <w:p>
            <w:pPr>
              <w:spacing w:after="0"/>
              <w:rPr>
                <w:sz w:val="1"/>
                <w:szCs w:val="1"/>
                <w:color w:val="auto"/>
              </w:rPr>
            </w:pPr>
          </w:p>
        </w:tc>
      </w:tr>
      <w:tr>
        <w:trPr>
          <w:trHeight w:val="203"/>
        </w:trPr>
        <w:tc>
          <w:tcPr>
            <w:tcW w:w="4820" w:type="dxa"/>
            <w:vAlign w:val="bottom"/>
            <w:tcBorders>
              <w:left w:val="single" w:sz="8" w:color="BFBFBF"/>
              <w:right w:val="single" w:sz="8" w:color="BFBFBF"/>
            </w:tcBorders>
            <w:gridSpan w:val="2"/>
            <w:vMerge w:val="restart"/>
            <w:shd w:val="clear" w:color="auto" w:fill="0088A6"/>
          </w:tcPr>
          <w:p>
            <w:pPr>
              <w:ind w:left="120"/>
              <w:spacing w:after="0"/>
              <w:rPr>
                <w:sz w:val="20"/>
                <w:szCs w:val="20"/>
                <w:color w:val="auto"/>
              </w:rPr>
            </w:pPr>
            <w:r>
              <w:rPr>
                <w:rFonts w:ascii="Arial" w:cs="Arial" w:eastAsia="Arial" w:hAnsi="Arial"/>
                <w:sz w:val="18"/>
                <w:szCs w:val="18"/>
                <w:b w:val="1"/>
                <w:bCs w:val="1"/>
                <w:color w:val="FFFFFF"/>
              </w:rPr>
              <w:t>Director</w:t>
            </w:r>
          </w:p>
        </w:tc>
        <w:tc>
          <w:tcPr>
            <w:tcW w:w="840" w:type="dxa"/>
            <w:vAlign w:val="bottom"/>
            <w:shd w:val="clear" w:color="auto" w:fill="0088A6"/>
          </w:tcPr>
          <w:p>
            <w:pPr>
              <w:spacing w:after="0"/>
              <w:rPr>
                <w:sz w:val="17"/>
                <w:szCs w:val="17"/>
                <w:color w:val="auto"/>
              </w:rPr>
            </w:pPr>
          </w:p>
        </w:tc>
        <w:tc>
          <w:tcPr>
            <w:tcW w:w="2520" w:type="dxa"/>
            <w:vAlign w:val="bottom"/>
            <w:tcBorders>
              <w:right w:val="single" w:sz="8" w:color="BFBFBF"/>
            </w:tcBorders>
            <w:gridSpan w:val="2"/>
            <w:shd w:val="clear" w:color="auto" w:fill="0088A6"/>
          </w:tcPr>
          <w:p>
            <w:pPr>
              <w:jc w:val="center"/>
              <w:ind w:right="780"/>
              <w:spacing w:after="0" w:line="202" w:lineRule="exact"/>
              <w:rPr>
                <w:sz w:val="20"/>
                <w:szCs w:val="20"/>
                <w:color w:val="auto"/>
              </w:rPr>
            </w:pPr>
            <w:r>
              <w:rPr>
                <w:rFonts w:ascii="Arial" w:cs="Arial" w:eastAsia="Arial" w:hAnsi="Arial"/>
                <w:sz w:val="18"/>
                <w:szCs w:val="18"/>
                <w:b w:val="1"/>
                <w:bCs w:val="1"/>
                <w:color w:val="FFFFFF"/>
                <w:w w:val="97"/>
              </w:rPr>
              <w:t>Restricted Shares</w:t>
            </w:r>
          </w:p>
        </w:tc>
        <w:tc>
          <w:tcPr>
            <w:tcW w:w="840" w:type="dxa"/>
            <w:vAlign w:val="bottom"/>
            <w:shd w:val="clear" w:color="auto" w:fill="0088A6"/>
          </w:tcPr>
          <w:p>
            <w:pPr>
              <w:spacing w:after="0"/>
              <w:rPr>
                <w:sz w:val="17"/>
                <w:szCs w:val="17"/>
                <w:color w:val="auto"/>
              </w:rPr>
            </w:pPr>
          </w:p>
        </w:tc>
        <w:tc>
          <w:tcPr>
            <w:tcW w:w="2420" w:type="dxa"/>
            <w:vAlign w:val="bottom"/>
            <w:tcBorders>
              <w:right w:val="single" w:sz="8" w:color="BFBFBF"/>
            </w:tcBorders>
            <w:gridSpan w:val="3"/>
            <w:shd w:val="clear" w:color="auto" w:fill="0088A6"/>
          </w:tcPr>
          <w:p>
            <w:pPr>
              <w:jc w:val="center"/>
              <w:ind w:right="900"/>
              <w:spacing w:after="0" w:line="202" w:lineRule="exact"/>
              <w:rPr>
                <w:sz w:val="20"/>
                <w:szCs w:val="20"/>
                <w:color w:val="auto"/>
              </w:rPr>
            </w:pPr>
            <w:r>
              <w:rPr>
                <w:rFonts w:ascii="Arial" w:cs="Arial" w:eastAsia="Arial" w:hAnsi="Arial"/>
                <w:sz w:val="18"/>
                <w:szCs w:val="18"/>
                <w:b w:val="1"/>
                <w:bCs w:val="1"/>
                <w:color w:val="FFFFFF"/>
                <w:w w:val="96"/>
              </w:rPr>
              <w:t>Restricted Shares</w:t>
            </w:r>
          </w:p>
        </w:tc>
        <w:tc>
          <w:tcPr>
            <w:tcW w:w="0" w:type="dxa"/>
            <w:vAlign w:val="bottom"/>
          </w:tcPr>
          <w:p>
            <w:pPr>
              <w:spacing w:after="0"/>
              <w:rPr>
                <w:sz w:val="1"/>
                <w:szCs w:val="1"/>
                <w:color w:val="auto"/>
              </w:rPr>
            </w:pPr>
          </w:p>
        </w:tc>
      </w:tr>
      <w:tr>
        <w:trPr>
          <w:trHeight w:val="261"/>
        </w:trPr>
        <w:tc>
          <w:tcPr>
            <w:tcW w:w="4820" w:type="dxa"/>
            <w:vAlign w:val="bottom"/>
            <w:tcBorders>
              <w:left w:val="single" w:sz="8" w:color="BFBFBF"/>
              <w:bottom w:val="single" w:sz="8" w:color="auto"/>
              <w:right w:val="single" w:sz="8" w:color="BFBFBF"/>
            </w:tcBorders>
            <w:gridSpan w:val="2"/>
            <w:vMerge w:val="continue"/>
            <w:shd w:val="clear" w:color="auto" w:fill="0088A6"/>
          </w:tcPr>
          <w:p>
            <w:pPr>
              <w:spacing w:after="0"/>
              <w:rPr>
                <w:sz w:val="22"/>
                <w:szCs w:val="22"/>
                <w:color w:val="auto"/>
              </w:rPr>
            </w:pPr>
          </w:p>
        </w:tc>
        <w:tc>
          <w:tcPr>
            <w:tcW w:w="840" w:type="dxa"/>
            <w:vAlign w:val="bottom"/>
            <w:tcBorders>
              <w:bottom w:val="single" w:sz="8" w:color="0088A6"/>
            </w:tcBorders>
            <w:shd w:val="clear" w:color="auto" w:fill="0088A6"/>
          </w:tcPr>
          <w:p>
            <w:pPr>
              <w:spacing w:after="0"/>
              <w:rPr>
                <w:sz w:val="22"/>
                <w:szCs w:val="22"/>
                <w:color w:val="auto"/>
              </w:rPr>
            </w:pPr>
          </w:p>
        </w:tc>
        <w:tc>
          <w:tcPr>
            <w:tcW w:w="174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7"/>
              </w:rPr>
              <w:t>and Units</w:t>
            </w:r>
          </w:p>
        </w:tc>
        <w:tc>
          <w:tcPr>
            <w:tcW w:w="780" w:type="dxa"/>
            <w:vAlign w:val="bottom"/>
            <w:tcBorders>
              <w:bottom w:val="single" w:sz="8" w:color="0088A6"/>
              <w:right w:val="single" w:sz="8" w:color="BFBFBF"/>
            </w:tcBorders>
            <w:shd w:val="clear" w:color="auto" w:fill="0088A6"/>
          </w:tcPr>
          <w:p>
            <w:pPr>
              <w:spacing w:after="0"/>
              <w:rPr>
                <w:sz w:val="22"/>
                <w:szCs w:val="22"/>
                <w:color w:val="auto"/>
              </w:rPr>
            </w:pPr>
          </w:p>
        </w:tc>
        <w:tc>
          <w:tcPr>
            <w:tcW w:w="840" w:type="dxa"/>
            <w:vAlign w:val="bottom"/>
            <w:tcBorders>
              <w:bottom w:val="single" w:sz="8" w:color="0088A6"/>
            </w:tcBorders>
            <w:shd w:val="clear" w:color="auto" w:fill="0088A6"/>
          </w:tcPr>
          <w:p>
            <w:pPr>
              <w:spacing w:after="0"/>
              <w:rPr>
                <w:sz w:val="22"/>
                <w:szCs w:val="22"/>
                <w:color w:val="auto"/>
              </w:rPr>
            </w:pPr>
          </w:p>
        </w:tc>
        <w:tc>
          <w:tcPr>
            <w:tcW w:w="1500" w:type="dxa"/>
            <w:vAlign w:val="bottom"/>
            <w:tcBorders>
              <w:bottom w:val="single" w:sz="8" w:color="auto"/>
            </w:tcBorders>
            <w:gridSpan w:val="2"/>
            <w:shd w:val="clear" w:color="auto" w:fill="0088A6"/>
          </w:tcPr>
          <w:p>
            <w:pPr>
              <w:jc w:val="center"/>
              <w:spacing w:after="0"/>
              <w:rPr>
                <w:sz w:val="20"/>
                <w:szCs w:val="20"/>
                <w:color w:val="auto"/>
              </w:rPr>
            </w:pPr>
            <w:r>
              <w:rPr>
                <w:rFonts w:ascii="Arial" w:cs="Arial" w:eastAsia="Arial" w:hAnsi="Arial"/>
                <w:sz w:val="18"/>
                <w:szCs w:val="18"/>
                <w:b w:val="1"/>
                <w:bCs w:val="1"/>
                <w:color w:val="FFFFFF"/>
                <w:w w:val="97"/>
              </w:rPr>
              <w:t>and Units</w:t>
            </w:r>
          </w:p>
        </w:tc>
        <w:tc>
          <w:tcPr>
            <w:tcW w:w="920" w:type="dxa"/>
            <w:vAlign w:val="bottom"/>
            <w:tcBorders>
              <w:bottom w:val="single" w:sz="8" w:color="0088A6"/>
              <w:right w:val="single" w:sz="8" w:color="BFBFBF"/>
            </w:tcBorders>
            <w:shd w:val="clear" w:color="auto" w:fill="0088A6"/>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820" w:type="dxa"/>
            <w:vAlign w:val="bottom"/>
            <w:tcBorders>
              <w:left w:val="single" w:sz="8" w:color="BFBFBF"/>
              <w:bottom w:val="single" w:sz="8" w:color="BFBFBF"/>
              <w:right w:val="single" w:sz="8" w:color="BFBFBF"/>
            </w:tcBorders>
            <w:gridSpan w:val="2"/>
          </w:tcPr>
          <w:p>
            <w:pPr>
              <w:ind w:left="120"/>
              <w:spacing w:after="0" w:line="183" w:lineRule="exact"/>
              <w:rPr>
                <w:sz w:val="20"/>
                <w:szCs w:val="20"/>
                <w:color w:val="auto"/>
              </w:rPr>
            </w:pPr>
            <w:r>
              <w:rPr>
                <w:rFonts w:ascii="Arial" w:cs="Arial" w:eastAsia="Arial" w:hAnsi="Arial"/>
                <w:sz w:val="18"/>
                <w:szCs w:val="18"/>
                <w:color w:val="auto"/>
              </w:rPr>
              <w:t>Urban Bäckström</w:t>
            </w:r>
          </w:p>
        </w:tc>
        <w:tc>
          <w:tcPr>
            <w:tcW w:w="840" w:type="dxa"/>
            <w:vAlign w:val="bottom"/>
            <w:tcBorders>
              <w:bottom w:val="single" w:sz="8" w:color="BFBFBF"/>
            </w:tcBorders>
          </w:tcPr>
          <w:p>
            <w:pPr>
              <w:spacing w:after="0"/>
              <w:rPr>
                <w:sz w:val="15"/>
                <w:szCs w:val="15"/>
                <w:color w:val="auto"/>
              </w:rPr>
            </w:pPr>
          </w:p>
        </w:tc>
        <w:tc>
          <w:tcPr>
            <w:tcW w:w="2520" w:type="dxa"/>
            <w:vAlign w:val="bottom"/>
            <w:tcBorders>
              <w:bottom w:val="single" w:sz="8" w:color="BFBFBF"/>
              <w:right w:val="single" w:sz="8" w:color="BFBFBF"/>
            </w:tcBorders>
            <w:gridSpan w:val="2"/>
          </w:tcPr>
          <w:p>
            <w:pPr>
              <w:jc w:val="right"/>
              <w:ind w:right="1180"/>
              <w:spacing w:after="0" w:line="18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spacing w:after="0"/>
              <w:rPr>
                <w:sz w:val="15"/>
                <w:szCs w:val="15"/>
                <w:color w:val="auto"/>
              </w:rPr>
            </w:pPr>
          </w:p>
        </w:tc>
        <w:tc>
          <w:tcPr>
            <w:tcW w:w="1500" w:type="dxa"/>
            <w:vAlign w:val="bottom"/>
            <w:tcBorders>
              <w:bottom w:val="single" w:sz="8" w:color="BFBFBF"/>
            </w:tcBorders>
            <w:gridSpan w:val="2"/>
          </w:tcPr>
          <w:p>
            <w:pPr>
              <w:jc w:val="right"/>
              <w:spacing w:after="0" w:line="183" w:lineRule="exact"/>
              <w:rPr>
                <w:sz w:val="20"/>
                <w:szCs w:val="20"/>
                <w:color w:val="auto"/>
              </w:rPr>
            </w:pPr>
            <w:r>
              <w:rPr>
                <w:rFonts w:ascii="Arial" w:cs="Arial" w:eastAsia="Arial" w:hAnsi="Arial"/>
                <w:sz w:val="18"/>
                <w:szCs w:val="18"/>
                <w:color w:val="auto"/>
              </w:rPr>
              <w:t>18,029</w:t>
            </w:r>
          </w:p>
        </w:tc>
        <w:tc>
          <w:tcPr>
            <w:tcW w:w="920" w:type="dxa"/>
            <w:vAlign w:val="bottom"/>
            <w:tcBorders>
              <w:bottom w:val="single" w:sz="8" w:color="BFBFBF"/>
              <w:right w:val="single" w:sz="8" w:color="BFBFB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H. Furlong Baldwin</w:t>
            </w:r>
          </w:p>
        </w:tc>
        <w:tc>
          <w:tcPr>
            <w:tcW w:w="840" w:type="dxa"/>
            <w:vAlign w:val="bottom"/>
            <w:tcBorders>
              <w:bottom w:val="single" w:sz="8" w:color="BFBFBF"/>
            </w:tcBorders>
          </w:tcPr>
          <w:p>
            <w:pPr>
              <w:spacing w:after="0"/>
              <w:rPr>
                <w:sz w:val="17"/>
                <w:szCs w:val="17"/>
                <w:color w:val="auto"/>
              </w:rPr>
            </w:pPr>
          </w:p>
        </w:tc>
        <w:tc>
          <w:tcPr>
            <w:tcW w:w="2520" w:type="dxa"/>
            <w:vAlign w:val="bottom"/>
            <w:tcBorders>
              <w:bottom w:val="single" w:sz="8" w:color="BFBFBF"/>
              <w:right w:val="single" w:sz="8" w:color="BFBFBF"/>
            </w:tcBorders>
            <w:gridSpan w:val="2"/>
          </w:tcPr>
          <w:p>
            <w:pPr>
              <w:jc w:val="right"/>
              <w:ind w:right="118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55,697</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Steven D. Black</w:t>
            </w:r>
          </w:p>
        </w:tc>
        <w:tc>
          <w:tcPr>
            <w:tcW w:w="258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5,153</w:t>
            </w:r>
          </w:p>
        </w:tc>
        <w:tc>
          <w:tcPr>
            <w:tcW w:w="780" w:type="dxa"/>
            <w:vAlign w:val="bottom"/>
            <w:tcBorders>
              <w:bottom w:val="single" w:sz="8" w:color="BFBFBF"/>
              <w:right w:val="single" w:sz="8" w:color="BFBFBF"/>
            </w:tcBorders>
          </w:tcPr>
          <w:p>
            <w:pPr>
              <w:spacing w:after="0"/>
              <w:rPr>
                <w:sz w:val="17"/>
                <w:szCs w:val="17"/>
                <w:color w:val="auto"/>
              </w:rPr>
            </w:pPr>
          </w:p>
        </w:tc>
        <w:tc>
          <w:tcPr>
            <w:tcW w:w="840" w:type="dxa"/>
            <w:vAlign w:val="bottom"/>
            <w:tcBorders>
              <w:bottom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10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Michael Casey</w:t>
            </w:r>
          </w:p>
        </w:tc>
        <w:tc>
          <w:tcPr>
            <w:tcW w:w="840" w:type="dxa"/>
            <w:vAlign w:val="bottom"/>
            <w:tcBorders>
              <w:bottom w:val="single" w:sz="8" w:color="BFBFBF"/>
            </w:tcBorders>
          </w:tcPr>
          <w:p>
            <w:pPr>
              <w:spacing w:after="0"/>
              <w:rPr>
                <w:sz w:val="17"/>
                <w:szCs w:val="17"/>
                <w:color w:val="auto"/>
              </w:rPr>
            </w:pPr>
          </w:p>
        </w:tc>
        <w:tc>
          <w:tcPr>
            <w:tcW w:w="2520" w:type="dxa"/>
            <w:vAlign w:val="bottom"/>
            <w:tcBorders>
              <w:bottom w:val="single" w:sz="8" w:color="BFBFBF"/>
              <w:right w:val="single" w:sz="8" w:color="BFBFBF"/>
            </w:tcBorders>
            <w:gridSpan w:val="2"/>
          </w:tcPr>
          <w:p>
            <w:pPr>
              <w:jc w:val="right"/>
              <w:ind w:right="118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36,664</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Börje E. Ekholm</w:t>
            </w:r>
          </w:p>
        </w:tc>
        <w:tc>
          <w:tcPr>
            <w:tcW w:w="258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8,738</w:t>
            </w:r>
          </w:p>
        </w:tc>
        <w:tc>
          <w:tcPr>
            <w:tcW w:w="780" w:type="dxa"/>
            <w:vAlign w:val="bottom"/>
            <w:tcBorders>
              <w:bottom w:val="single" w:sz="8" w:color="BFBFBF"/>
              <w:right w:val="single" w:sz="8" w:color="BFBFBF"/>
            </w:tcBorders>
          </w:tcPr>
          <w:p>
            <w:pPr>
              <w:spacing w:after="0"/>
              <w:rPr>
                <w:sz w:val="17"/>
                <w:szCs w:val="17"/>
                <w:color w:val="auto"/>
              </w:rPr>
            </w:pP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7,999</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Lon Gorman</w:t>
            </w:r>
          </w:p>
        </w:tc>
        <w:tc>
          <w:tcPr>
            <w:tcW w:w="840" w:type="dxa"/>
            <w:vAlign w:val="bottom"/>
            <w:tcBorders>
              <w:bottom w:val="single" w:sz="8" w:color="BFBFBF"/>
            </w:tcBorders>
          </w:tcPr>
          <w:p>
            <w:pPr>
              <w:spacing w:after="0"/>
              <w:rPr>
                <w:sz w:val="17"/>
                <w:szCs w:val="17"/>
                <w:color w:val="auto"/>
              </w:rPr>
            </w:pPr>
          </w:p>
        </w:tc>
        <w:tc>
          <w:tcPr>
            <w:tcW w:w="2520" w:type="dxa"/>
            <w:vAlign w:val="bottom"/>
            <w:tcBorders>
              <w:bottom w:val="single" w:sz="8" w:color="BFBFBF"/>
              <w:right w:val="single" w:sz="8" w:color="BFBFBF"/>
            </w:tcBorders>
            <w:gridSpan w:val="2"/>
          </w:tcPr>
          <w:p>
            <w:pPr>
              <w:jc w:val="right"/>
              <w:ind w:right="118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10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Glenn H. Hutchins(A)</w:t>
            </w:r>
          </w:p>
        </w:tc>
        <w:tc>
          <w:tcPr>
            <w:tcW w:w="258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8,738</w:t>
            </w:r>
          </w:p>
        </w:tc>
        <w:tc>
          <w:tcPr>
            <w:tcW w:w="780" w:type="dxa"/>
            <w:vAlign w:val="bottom"/>
            <w:tcBorders>
              <w:bottom w:val="single" w:sz="8" w:color="BFBFBF"/>
              <w:right w:val="single" w:sz="8" w:color="BFBFBF"/>
            </w:tcBorders>
          </w:tcPr>
          <w:p>
            <w:pPr>
              <w:spacing w:after="0"/>
              <w:rPr>
                <w:sz w:val="17"/>
                <w:szCs w:val="17"/>
                <w:color w:val="auto"/>
              </w:rPr>
            </w:pP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24,563</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Birgitta Kantola</w:t>
            </w:r>
          </w:p>
        </w:tc>
        <w:tc>
          <w:tcPr>
            <w:tcW w:w="840" w:type="dxa"/>
            <w:vAlign w:val="bottom"/>
            <w:tcBorders>
              <w:bottom w:val="single" w:sz="8" w:color="BFBFBF"/>
            </w:tcBorders>
          </w:tcPr>
          <w:p>
            <w:pPr>
              <w:spacing w:after="0"/>
              <w:rPr>
                <w:sz w:val="17"/>
                <w:szCs w:val="17"/>
                <w:color w:val="auto"/>
              </w:rPr>
            </w:pPr>
          </w:p>
        </w:tc>
        <w:tc>
          <w:tcPr>
            <w:tcW w:w="2520" w:type="dxa"/>
            <w:vAlign w:val="bottom"/>
            <w:tcBorders>
              <w:bottom w:val="single" w:sz="8" w:color="BFBFBF"/>
              <w:right w:val="single" w:sz="8" w:color="BFBFBF"/>
            </w:tcBorders>
            <w:gridSpan w:val="2"/>
          </w:tcPr>
          <w:p>
            <w:pPr>
              <w:jc w:val="right"/>
              <w:ind w:right="118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15,151</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Essa Kazim</w:t>
            </w:r>
          </w:p>
        </w:tc>
        <w:tc>
          <w:tcPr>
            <w:tcW w:w="258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5,153</w:t>
            </w:r>
          </w:p>
        </w:tc>
        <w:tc>
          <w:tcPr>
            <w:tcW w:w="780" w:type="dxa"/>
            <w:vAlign w:val="bottom"/>
            <w:tcBorders>
              <w:bottom w:val="single" w:sz="8" w:color="BFBFBF"/>
              <w:right w:val="single" w:sz="8" w:color="BFBFBF"/>
            </w:tcBorders>
          </w:tcPr>
          <w:p>
            <w:pPr>
              <w:spacing w:after="0"/>
              <w:rPr>
                <w:sz w:val="17"/>
                <w:szCs w:val="17"/>
                <w:color w:val="auto"/>
              </w:rPr>
            </w:pP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15,151</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John D. Markese</w:t>
            </w:r>
          </w:p>
        </w:tc>
        <w:tc>
          <w:tcPr>
            <w:tcW w:w="258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5,153</w:t>
            </w:r>
          </w:p>
        </w:tc>
        <w:tc>
          <w:tcPr>
            <w:tcW w:w="780" w:type="dxa"/>
            <w:vAlign w:val="bottom"/>
            <w:tcBorders>
              <w:bottom w:val="single" w:sz="8" w:color="BFBFBF"/>
              <w:right w:val="single" w:sz="8" w:color="BFBFBF"/>
            </w:tcBorders>
          </w:tcPr>
          <w:p>
            <w:pPr>
              <w:spacing w:after="0"/>
              <w:rPr>
                <w:sz w:val="17"/>
                <w:szCs w:val="17"/>
                <w:color w:val="auto"/>
              </w:rPr>
            </w:pP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47,915</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Ellyn A. McColgan</w:t>
            </w:r>
          </w:p>
        </w:tc>
        <w:tc>
          <w:tcPr>
            <w:tcW w:w="258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8,738</w:t>
            </w:r>
          </w:p>
        </w:tc>
        <w:tc>
          <w:tcPr>
            <w:tcW w:w="780" w:type="dxa"/>
            <w:vAlign w:val="bottom"/>
            <w:tcBorders>
              <w:bottom w:val="single" w:sz="8" w:color="BFBFBF"/>
              <w:right w:val="single" w:sz="8" w:color="BFBFBF"/>
            </w:tcBorders>
          </w:tcPr>
          <w:p>
            <w:pPr>
              <w:spacing w:after="0"/>
              <w:rPr>
                <w:sz w:val="17"/>
                <w:szCs w:val="17"/>
                <w:color w:val="auto"/>
              </w:rPr>
            </w:pPr>
          </w:p>
        </w:tc>
        <w:tc>
          <w:tcPr>
            <w:tcW w:w="840" w:type="dxa"/>
            <w:vAlign w:val="bottom"/>
            <w:tcBorders>
              <w:bottom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10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Hans Munk Nielsen</w:t>
            </w:r>
          </w:p>
        </w:tc>
        <w:tc>
          <w:tcPr>
            <w:tcW w:w="840" w:type="dxa"/>
            <w:vAlign w:val="bottom"/>
            <w:tcBorders>
              <w:bottom w:val="single" w:sz="8" w:color="BFBFBF"/>
            </w:tcBorders>
          </w:tcPr>
          <w:p>
            <w:pPr>
              <w:spacing w:after="0"/>
              <w:rPr>
                <w:sz w:val="17"/>
                <w:szCs w:val="17"/>
                <w:color w:val="auto"/>
              </w:rPr>
            </w:pPr>
          </w:p>
        </w:tc>
        <w:tc>
          <w:tcPr>
            <w:tcW w:w="2520" w:type="dxa"/>
            <w:vAlign w:val="bottom"/>
            <w:tcBorders>
              <w:bottom w:val="single" w:sz="8" w:color="BFBFBF"/>
              <w:right w:val="single" w:sz="8" w:color="BFBFBF"/>
            </w:tcBorders>
            <w:gridSpan w:val="2"/>
          </w:tcPr>
          <w:p>
            <w:pPr>
              <w:jc w:val="right"/>
              <w:ind w:right="118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10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Thomas F. O’Neill</w:t>
            </w:r>
          </w:p>
        </w:tc>
        <w:tc>
          <w:tcPr>
            <w:tcW w:w="258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5,153</w:t>
            </w:r>
          </w:p>
        </w:tc>
        <w:tc>
          <w:tcPr>
            <w:tcW w:w="780" w:type="dxa"/>
            <w:vAlign w:val="bottom"/>
            <w:tcBorders>
              <w:bottom w:val="single" w:sz="8" w:color="BFBFBF"/>
              <w:right w:val="single" w:sz="8" w:color="BFBFBF"/>
            </w:tcBorders>
          </w:tcPr>
          <w:p>
            <w:pPr>
              <w:spacing w:after="0"/>
              <w:rPr>
                <w:sz w:val="17"/>
                <w:szCs w:val="17"/>
                <w:color w:val="auto"/>
              </w:rPr>
            </w:pP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8,678</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James S. Riepe</w:t>
            </w:r>
          </w:p>
        </w:tc>
        <w:tc>
          <w:tcPr>
            <w:tcW w:w="258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5,153</w:t>
            </w:r>
          </w:p>
        </w:tc>
        <w:tc>
          <w:tcPr>
            <w:tcW w:w="780" w:type="dxa"/>
            <w:vAlign w:val="bottom"/>
            <w:tcBorders>
              <w:bottom w:val="single" w:sz="8" w:color="BFBFBF"/>
              <w:right w:val="single" w:sz="8" w:color="BFBFBF"/>
            </w:tcBorders>
          </w:tcPr>
          <w:p>
            <w:pPr>
              <w:spacing w:after="0"/>
              <w:rPr>
                <w:sz w:val="17"/>
                <w:szCs w:val="17"/>
                <w:color w:val="auto"/>
              </w:rPr>
            </w:pP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22,911</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Michael R. Splinter</w:t>
            </w:r>
          </w:p>
        </w:tc>
        <w:tc>
          <w:tcPr>
            <w:tcW w:w="258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8,738</w:t>
            </w:r>
          </w:p>
        </w:tc>
        <w:tc>
          <w:tcPr>
            <w:tcW w:w="780" w:type="dxa"/>
            <w:vAlign w:val="bottom"/>
            <w:tcBorders>
              <w:bottom w:val="single" w:sz="8" w:color="BFBFBF"/>
              <w:right w:val="single" w:sz="8" w:color="BFBFBF"/>
            </w:tcBorders>
          </w:tcPr>
          <w:p>
            <w:pPr>
              <w:spacing w:after="0"/>
              <w:rPr>
                <w:sz w:val="17"/>
                <w:szCs w:val="17"/>
                <w:color w:val="auto"/>
              </w:rPr>
            </w:pP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24,494</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Lars R. Wedenborn</w:t>
            </w:r>
          </w:p>
        </w:tc>
        <w:tc>
          <w:tcPr>
            <w:tcW w:w="258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8,738</w:t>
            </w:r>
          </w:p>
        </w:tc>
        <w:tc>
          <w:tcPr>
            <w:tcW w:w="780" w:type="dxa"/>
            <w:vAlign w:val="bottom"/>
            <w:tcBorders>
              <w:bottom w:val="single" w:sz="8" w:color="BFBFBF"/>
              <w:right w:val="single" w:sz="8" w:color="BFBFBF"/>
            </w:tcBorders>
          </w:tcPr>
          <w:p>
            <w:pPr>
              <w:spacing w:after="0"/>
              <w:rPr>
                <w:sz w:val="17"/>
                <w:szCs w:val="17"/>
                <w:color w:val="auto"/>
              </w:rPr>
            </w:pP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28,867</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Deborah L. Wince-Smith</w:t>
            </w:r>
          </w:p>
        </w:tc>
        <w:tc>
          <w:tcPr>
            <w:tcW w:w="840" w:type="dxa"/>
            <w:vAlign w:val="bottom"/>
            <w:tcBorders>
              <w:bottom w:val="single" w:sz="8" w:color="BFBFBF"/>
            </w:tcBorders>
          </w:tcPr>
          <w:p>
            <w:pPr>
              <w:spacing w:after="0"/>
              <w:rPr>
                <w:sz w:val="17"/>
                <w:szCs w:val="17"/>
                <w:color w:val="auto"/>
              </w:rPr>
            </w:pPr>
          </w:p>
        </w:tc>
        <w:tc>
          <w:tcPr>
            <w:tcW w:w="2520" w:type="dxa"/>
            <w:vAlign w:val="bottom"/>
            <w:tcBorders>
              <w:bottom w:val="single" w:sz="8" w:color="BFBFBF"/>
              <w:right w:val="single" w:sz="8" w:color="BFBFBF"/>
            </w:tcBorders>
            <w:gridSpan w:val="2"/>
          </w:tcPr>
          <w:p>
            <w:pPr>
              <w:jc w:val="right"/>
              <w:ind w:right="118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tcBorders>
            <w:gridSpan w:val="2"/>
          </w:tcPr>
          <w:p>
            <w:pPr>
              <w:jc w:val="right"/>
              <w:spacing w:after="0" w:line="196" w:lineRule="exact"/>
              <w:rPr>
                <w:sz w:val="20"/>
                <w:szCs w:val="20"/>
                <w:color w:val="auto"/>
              </w:rPr>
            </w:pPr>
            <w:r>
              <w:rPr>
                <w:rFonts w:ascii="Arial" w:cs="Arial" w:eastAsia="Arial" w:hAnsi="Arial"/>
                <w:sz w:val="18"/>
                <w:szCs w:val="18"/>
                <w:color w:val="auto"/>
              </w:rPr>
              <w:t>32,497</w:t>
            </w:r>
          </w:p>
        </w:tc>
        <w:tc>
          <w:tcPr>
            <w:tcW w:w="9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-2383155</wp:posOffset>
            </wp:positionV>
            <wp:extent cx="889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-2383155</wp:posOffset>
            </wp:positionV>
            <wp:extent cx="889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0" w:lineRule="exact"/>
        <w:rPr>
          <w:sz w:val="20"/>
          <w:szCs w:val="20"/>
          <w:color w:val="auto"/>
        </w:rPr>
      </w:pPr>
    </w:p>
    <w:p>
      <w:pPr>
        <w:ind w:left="1140" w:right="80" w:hanging="565"/>
        <w:spacing w:after="0" w:line="281"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Under Mr. Hutchins’ arrangements with Silver Lake or its affiliates with respect to director compensation, 16,564 shares or proceeds therefrom are expected to be assigned to Silver Lake or its affiliates. Mr. Hutchins disclaims beneficial ownership of any NASDAQ OMX securities that may be held by Silver Lake or its affiliates, except to the extent of any pecuniary interest he may have therein.</w:t>
      </w:r>
    </w:p>
    <w:p>
      <w:pPr>
        <w:spacing w:after="0" w:line="16" w:lineRule="exact"/>
        <w:rPr>
          <w:sz w:val="20"/>
          <w:szCs w:val="20"/>
          <w:color w:val="auto"/>
        </w:rPr>
      </w:pPr>
    </w:p>
    <w:p>
      <w:pPr>
        <w:ind w:left="580" w:right="520"/>
        <w:spacing w:after="0" w:line="239" w:lineRule="auto"/>
        <w:rPr>
          <w:sz w:val="20"/>
          <w:szCs w:val="20"/>
          <w:color w:val="auto"/>
        </w:rPr>
      </w:pPr>
      <w:r>
        <w:rPr>
          <w:rFonts w:ascii="Arial" w:cs="Arial" w:eastAsia="Arial" w:hAnsi="Arial"/>
          <w:sz w:val="18"/>
          <w:szCs w:val="18"/>
          <w:color w:val="auto"/>
        </w:rPr>
        <w:t>For further information on our non-employee directors’ security ownership, see “Security Ownership of Certain Beneficial Owners and Management.”</w:t>
      </w:r>
    </w:p>
    <w:p>
      <w:pPr>
        <w:spacing w:after="0" w:line="60" w:lineRule="exact"/>
        <w:rPr>
          <w:sz w:val="20"/>
          <w:szCs w:val="20"/>
          <w:color w:val="auto"/>
        </w:rPr>
      </w:pPr>
    </w:p>
    <w:p>
      <w:pPr>
        <w:ind w:left="580" w:right="380" w:hanging="572"/>
        <w:spacing w:after="0" w:line="23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perquisites were paid to non-employee directors in the fiscal year ended December 31, 2012. Directors are reimbursed for business expenses and reasonable travel expenses for attending NASDAQ OMX board and committee meetings.</w:t>
      </w:r>
    </w:p>
    <w:p>
      <w:pPr>
        <w:spacing w:after="0" w:line="60" w:lineRule="exact"/>
        <w:rPr>
          <w:rFonts w:ascii="Arial" w:cs="Arial" w:eastAsia="Arial" w:hAnsi="Arial"/>
          <w:sz w:val="18"/>
          <w:szCs w:val="18"/>
          <w:color w:val="auto"/>
        </w:rPr>
      </w:pPr>
    </w:p>
    <w:p>
      <w:pPr>
        <w:ind w:left="580" w:right="180" w:hanging="572"/>
        <w:spacing w:after="0" w:line="299"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Messrs. Bäckström, Baldwin, Casey, Gorman and Nielsen and Mses. Kantola and Wince-Smith did not stand for reelection to the board of directors at NASDAQ OMX’s 2012 annual meeting of stockholders, and therefore, their terms as a director expired on May 22, 2012.</w:t>
      </w:r>
    </w:p>
    <w:p>
      <w:pPr>
        <w:spacing w:after="0" w:line="2" w:lineRule="exact"/>
        <w:rPr>
          <w:rFonts w:ascii="Arial" w:cs="Arial" w:eastAsia="Arial" w:hAnsi="Arial"/>
          <w:sz w:val="16"/>
          <w:szCs w:val="16"/>
          <w:color w:val="auto"/>
        </w:rPr>
      </w:pPr>
    </w:p>
    <w:p>
      <w:pPr>
        <w:ind w:left="580" w:right="60" w:hanging="572"/>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earned by Ms. Kantola include $7,718 (€6,000) for her service as chair of the surveillance committees of NASDAQ OMX Copenhagen A/S, NASDAQ OMX Helsinki Ltd and NASDAQ OMX</w:t>
      </w:r>
    </w:p>
    <w:p>
      <w:pPr>
        <w:spacing w:after="0" w:line="116"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22</w:t>
      </w:r>
    </w:p>
    <w:p>
      <w:pPr>
        <w:sectPr>
          <w:pgSz w:w="11900" w:h="16838" w:orient="portrait"/>
          <w:cols w:equalWidth="0" w:num="1">
            <w:col w:w="11440"/>
          </w:cols>
          <w:pgMar w:left="240" w:top="459" w:right="2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400"/>
        <w:spacing w:after="0" w:line="239" w:lineRule="auto"/>
        <w:rPr>
          <w:sz w:val="20"/>
          <w:szCs w:val="20"/>
          <w:color w:val="auto"/>
        </w:rPr>
      </w:pPr>
      <w:r>
        <w:rPr>
          <w:rFonts w:ascii="Arial" w:cs="Arial" w:eastAsia="Arial" w:hAnsi="Arial"/>
          <w:sz w:val="18"/>
          <w:szCs w:val="18"/>
          <w:color w:val="auto"/>
        </w:rPr>
        <w:t>Stockholm AB. This amount was converted to U.S. dollars from euros at an exchange rate of $1.2864 per euro, which was the average exchange rate for 2012.</w:t>
      </w:r>
    </w:p>
    <w:p>
      <w:pPr>
        <w:spacing w:after="0" w:line="60" w:lineRule="exact"/>
        <w:rPr>
          <w:sz w:val="20"/>
          <w:szCs w:val="20"/>
          <w:color w:val="auto"/>
        </w:rPr>
      </w:pPr>
    </w:p>
    <w:p>
      <w:pPr>
        <w:ind w:left="580" w:right="300" w:hanging="572"/>
        <w:spacing w:after="0" w:line="23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earned by Dr. Markese include $70,000 for his service as a director of our U.S. exchange subsidiaries The NASDAQ Stock Market LLC, NASDAQ OMX BX, Inc. and NASDAQ OMX PHLX LLC.</w:t>
      </w:r>
    </w:p>
    <w:p>
      <w:pPr>
        <w:spacing w:after="0" w:line="48" w:lineRule="exact"/>
        <w:rPr>
          <w:rFonts w:ascii="Arial" w:cs="Arial" w:eastAsia="Arial" w:hAnsi="Arial"/>
          <w:sz w:val="18"/>
          <w:szCs w:val="18"/>
          <w:color w:val="auto"/>
        </w:rPr>
      </w:pPr>
    </w:p>
    <w:p>
      <w:pPr>
        <w:ind w:left="580" w:right="80" w:hanging="572"/>
        <w:spacing w:after="0" w:line="332"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Fees earned by Mr. Wedenborn include $28,301 (€22,000) for his service as chairman of the board of NASDAQ OMX Nordic Ltd. This amount was converted to U.S. dollars from euros at an exchange rate of $1.2864 per euro, which was the average exchange rate for 2012.</w:t>
      </w:r>
    </w:p>
    <w:p>
      <w:pPr>
        <w:spacing w:after="0" w:line="7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NASDAQ OMX’S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7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NASDAQ OMX board held 29 meetings during the year ended December 31, 2012, and the board met in executive session without management present during 27 of those meetings. None of the current directors attended fewer than 75% of the meetings of the board and those committees on which the director served during the 2012 calendar 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7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Pursuant to NASDAQ OMX’s by-laws, the board of directors has established five standing committees. The table below shows the standing committee membership.</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860" w:type="dxa"/>
            <w:vAlign w:val="bottom"/>
            <w:tcBorders>
              <w:left w:val="single" w:sz="8" w:color="BFBFBF"/>
              <w:bottom w:val="single" w:sz="8" w:color="auto"/>
              <w:right w:val="single" w:sz="8" w:color="BFBFBF"/>
            </w:tcBorders>
            <w:shd w:val="clear" w:color="auto" w:fill="0088A6"/>
          </w:tcPr>
          <w:p>
            <w:pPr>
              <w:ind w:left="120"/>
              <w:spacing w:after="0"/>
              <w:rPr>
                <w:sz w:val="20"/>
                <w:szCs w:val="20"/>
                <w:color w:val="auto"/>
              </w:rPr>
            </w:pPr>
            <w:r>
              <w:rPr>
                <w:rFonts w:ascii="Arial" w:cs="Arial" w:eastAsia="Arial" w:hAnsi="Arial"/>
                <w:sz w:val="18"/>
                <w:szCs w:val="18"/>
                <w:b w:val="1"/>
                <w:bCs w:val="1"/>
                <w:color w:val="FFFFFF"/>
              </w:rPr>
              <w:t>Committee</w:t>
            </w:r>
          </w:p>
        </w:tc>
        <w:tc>
          <w:tcPr>
            <w:tcW w:w="100" w:type="dxa"/>
            <w:vAlign w:val="bottom"/>
            <w:tcBorders>
              <w:bottom w:val="single" w:sz="8" w:color="0088A6"/>
            </w:tcBorders>
            <w:shd w:val="clear" w:color="auto" w:fill="0088A6"/>
          </w:tcPr>
          <w:p>
            <w:pPr>
              <w:spacing w:after="0"/>
              <w:rPr>
                <w:sz w:val="23"/>
                <w:szCs w:val="23"/>
                <w:color w:val="auto"/>
              </w:rPr>
            </w:pPr>
          </w:p>
        </w:tc>
        <w:tc>
          <w:tcPr>
            <w:tcW w:w="3760" w:type="dxa"/>
            <w:vAlign w:val="bottom"/>
            <w:tcBorders>
              <w:bottom w:val="single" w:sz="8" w:color="auto"/>
              <w:right w:val="single" w:sz="8" w:color="BFBFBF"/>
            </w:tcBorders>
            <w:shd w:val="clear" w:color="auto" w:fill="0088A6"/>
          </w:tcPr>
          <w:p>
            <w:pPr>
              <w:spacing w:after="0"/>
              <w:rPr>
                <w:sz w:val="20"/>
                <w:szCs w:val="20"/>
                <w:color w:val="auto"/>
              </w:rPr>
            </w:pPr>
            <w:r>
              <w:rPr>
                <w:rFonts w:ascii="Arial" w:cs="Arial" w:eastAsia="Arial" w:hAnsi="Arial"/>
                <w:sz w:val="18"/>
                <w:szCs w:val="18"/>
                <w:b w:val="1"/>
                <w:bCs w:val="1"/>
                <w:color w:val="FFFFFF"/>
              </w:rPr>
              <w:t>Current Members</w:t>
            </w:r>
          </w:p>
        </w:tc>
        <w:tc>
          <w:tcPr>
            <w:tcW w:w="80" w:type="dxa"/>
            <w:vAlign w:val="bottom"/>
            <w:tcBorders>
              <w:bottom w:val="single" w:sz="8" w:color="0088A6"/>
            </w:tcBorders>
            <w:shd w:val="clear" w:color="auto" w:fill="0088A6"/>
          </w:tcPr>
          <w:p>
            <w:pPr>
              <w:spacing w:after="0"/>
              <w:rPr>
                <w:sz w:val="23"/>
                <w:szCs w:val="23"/>
                <w:color w:val="auto"/>
              </w:rPr>
            </w:pPr>
          </w:p>
        </w:tc>
        <w:tc>
          <w:tcPr>
            <w:tcW w:w="3640" w:type="dxa"/>
            <w:vAlign w:val="bottom"/>
            <w:tcBorders>
              <w:bottom w:val="single" w:sz="8" w:color="auto"/>
              <w:right w:val="single" w:sz="8" w:color="BFBFBF"/>
            </w:tcBorders>
            <w:shd w:val="clear" w:color="auto" w:fill="0088A6"/>
          </w:tcPr>
          <w:p>
            <w:pPr>
              <w:spacing w:after="0"/>
              <w:rPr>
                <w:sz w:val="20"/>
                <w:szCs w:val="20"/>
                <w:color w:val="auto"/>
              </w:rPr>
            </w:pPr>
            <w:r>
              <w:rPr>
                <w:rFonts w:ascii="Arial" w:cs="Arial" w:eastAsia="Arial" w:hAnsi="Arial"/>
                <w:sz w:val="18"/>
                <w:szCs w:val="18"/>
                <w:b w:val="1"/>
                <w:bCs w:val="1"/>
                <w:color w:val="FFFFFF"/>
              </w:rPr>
              <w:t>Number of Meetings in 2012</w:t>
            </w:r>
          </w:p>
        </w:tc>
        <w:tc>
          <w:tcPr>
            <w:tcW w:w="0" w:type="dxa"/>
            <w:vAlign w:val="bottom"/>
          </w:tcPr>
          <w:p>
            <w:pPr>
              <w:spacing w:after="0"/>
              <w:rPr>
                <w:sz w:val="1"/>
                <w:szCs w:val="1"/>
                <w:color w:val="auto"/>
              </w:rPr>
            </w:pPr>
          </w:p>
        </w:tc>
      </w:tr>
      <w:tr>
        <w:trPr>
          <w:trHeight w:val="186"/>
        </w:trPr>
        <w:tc>
          <w:tcPr>
            <w:tcW w:w="3860" w:type="dxa"/>
            <w:vAlign w:val="bottom"/>
            <w:tcBorders>
              <w:top w:val="single" w:sz="8" w:color="0088A6"/>
              <w:left w:val="single" w:sz="8" w:color="BFBFBF"/>
              <w:right w:val="single" w:sz="8" w:color="BFBFBF"/>
            </w:tcBorders>
          </w:tcPr>
          <w:p>
            <w:pPr>
              <w:spacing w:after="0"/>
              <w:rPr>
                <w:sz w:val="16"/>
                <w:szCs w:val="16"/>
                <w:color w:val="auto"/>
              </w:rPr>
            </w:pPr>
          </w:p>
        </w:tc>
        <w:tc>
          <w:tcPr>
            <w:tcW w:w="100" w:type="dxa"/>
            <w:vAlign w:val="bottom"/>
            <w:tcBorders>
              <w:top w:val="single" w:sz="8" w:color="0088A6"/>
            </w:tcBorders>
          </w:tcPr>
          <w:p>
            <w:pPr>
              <w:spacing w:after="0"/>
              <w:rPr>
                <w:sz w:val="16"/>
                <w:szCs w:val="16"/>
                <w:color w:val="auto"/>
              </w:rPr>
            </w:pPr>
          </w:p>
        </w:tc>
        <w:tc>
          <w:tcPr>
            <w:tcW w:w="3760" w:type="dxa"/>
            <w:vAlign w:val="bottom"/>
            <w:tcBorders>
              <w:top w:val="single" w:sz="8" w:color="0088A6"/>
              <w:right w:val="single" w:sz="8" w:color="BFBFBF"/>
            </w:tcBorders>
          </w:tcPr>
          <w:p>
            <w:pPr>
              <w:spacing w:after="0" w:line="186" w:lineRule="exact"/>
              <w:rPr>
                <w:sz w:val="20"/>
                <w:szCs w:val="20"/>
                <w:color w:val="auto"/>
              </w:rPr>
            </w:pPr>
            <w:r>
              <w:rPr>
                <w:rFonts w:ascii="Arial" w:cs="Arial" w:eastAsia="Arial" w:hAnsi="Arial"/>
                <w:sz w:val="18"/>
                <w:szCs w:val="18"/>
                <w:color w:val="auto"/>
              </w:rPr>
              <w:t>John D. Markese (Chair)</w:t>
            </w:r>
          </w:p>
        </w:tc>
        <w:tc>
          <w:tcPr>
            <w:tcW w:w="80" w:type="dxa"/>
            <w:vAlign w:val="bottom"/>
            <w:tcBorders>
              <w:top w:val="single" w:sz="8" w:color="0088A6"/>
            </w:tcBorders>
          </w:tcPr>
          <w:p>
            <w:pPr>
              <w:spacing w:after="0"/>
              <w:rPr>
                <w:sz w:val="16"/>
                <w:szCs w:val="16"/>
                <w:color w:val="auto"/>
              </w:rPr>
            </w:pPr>
          </w:p>
        </w:tc>
        <w:tc>
          <w:tcPr>
            <w:tcW w:w="3640" w:type="dxa"/>
            <w:vAlign w:val="bottom"/>
            <w:tcBorders>
              <w:top w:val="single" w:sz="8" w:color="0088A6"/>
              <w:right w:val="single" w:sz="8" w:color="BFBFB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BFBFBF"/>
              <w:right w:val="single" w:sz="8" w:color="BFBFBF"/>
            </w:tcBorders>
            <w:vMerge w:val="restart"/>
          </w:tcPr>
          <w:p>
            <w:pPr>
              <w:ind w:left="120"/>
              <w:spacing w:after="0"/>
              <w:rPr>
                <w:sz w:val="20"/>
                <w:szCs w:val="20"/>
                <w:color w:val="auto"/>
              </w:rPr>
            </w:pPr>
            <w:r>
              <w:rPr>
                <w:rFonts w:ascii="Arial" w:cs="Arial" w:eastAsia="Arial" w:hAnsi="Arial"/>
                <w:sz w:val="18"/>
                <w:szCs w:val="18"/>
                <w:color w:val="auto"/>
              </w:rPr>
              <w:t>Audit</w:t>
            </w:r>
          </w:p>
        </w:tc>
        <w:tc>
          <w:tcPr>
            <w:tcW w:w="100" w:type="dxa"/>
            <w:vAlign w:val="bottom"/>
          </w:tcPr>
          <w:p>
            <w:pPr>
              <w:spacing w:after="0"/>
              <w:rPr>
                <w:sz w:val="17"/>
                <w:szCs w:val="17"/>
                <w:color w:val="auto"/>
              </w:rPr>
            </w:pPr>
          </w:p>
        </w:tc>
        <w:tc>
          <w:tcPr>
            <w:tcW w:w="3760" w:type="dxa"/>
            <w:vAlign w:val="bottom"/>
            <w:tcBorders>
              <w:right w:val="single" w:sz="8" w:color="BFBFBF"/>
            </w:tcBorders>
          </w:tcPr>
          <w:p>
            <w:pPr>
              <w:spacing w:after="0" w:line="202" w:lineRule="exact"/>
              <w:rPr>
                <w:sz w:val="20"/>
                <w:szCs w:val="20"/>
                <w:color w:val="auto"/>
              </w:rPr>
            </w:pPr>
            <w:r>
              <w:rPr>
                <w:rFonts w:ascii="Arial" w:cs="Arial" w:eastAsia="Arial" w:hAnsi="Arial"/>
                <w:sz w:val="18"/>
                <w:szCs w:val="18"/>
                <w:color w:val="auto"/>
              </w:rPr>
              <w:t>Ellyn A. McColgan</w:t>
            </w:r>
          </w:p>
        </w:tc>
        <w:tc>
          <w:tcPr>
            <w:tcW w:w="3720" w:type="dxa"/>
            <w:vAlign w:val="bottom"/>
            <w:tcBorders>
              <w:right w:val="single" w:sz="8" w:color="BFBFBF"/>
            </w:tcBorders>
            <w:gridSpan w:val="2"/>
            <w:vMerge w:val="restart"/>
          </w:tcPr>
          <w:p>
            <w:pPr>
              <w:ind w:lef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6"/>
        </w:trPr>
        <w:tc>
          <w:tcPr>
            <w:tcW w:w="3860" w:type="dxa"/>
            <w:vAlign w:val="bottom"/>
            <w:tcBorders>
              <w:left w:val="single" w:sz="8" w:color="BFBFBF"/>
              <w:right w:val="single" w:sz="8" w:color="BFBFBF"/>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3760" w:type="dxa"/>
            <w:vAlign w:val="bottom"/>
            <w:tcBorders>
              <w:right w:val="single" w:sz="8" w:color="BFBFBF"/>
            </w:tcBorders>
            <w:vMerge w:val="restart"/>
          </w:tcPr>
          <w:p>
            <w:pPr>
              <w:spacing w:after="0" w:line="202" w:lineRule="exact"/>
              <w:rPr>
                <w:sz w:val="20"/>
                <w:szCs w:val="20"/>
                <w:color w:val="auto"/>
              </w:rPr>
            </w:pPr>
            <w:r>
              <w:rPr>
                <w:rFonts w:ascii="Arial" w:cs="Arial" w:eastAsia="Arial" w:hAnsi="Arial"/>
                <w:sz w:val="18"/>
                <w:szCs w:val="18"/>
                <w:color w:val="auto"/>
              </w:rPr>
              <w:t>James S. Riepe</w:t>
            </w:r>
          </w:p>
        </w:tc>
        <w:tc>
          <w:tcPr>
            <w:tcW w:w="3720" w:type="dxa"/>
            <w:vAlign w:val="bottom"/>
            <w:tcBorders>
              <w:right w:val="single" w:sz="8" w:color="BFBFBF"/>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860" w:type="dxa"/>
            <w:vAlign w:val="bottom"/>
            <w:tcBorders>
              <w:left w:val="single" w:sz="8" w:color="BFBFBF"/>
              <w:right w:val="single" w:sz="8" w:color="BFBFBF"/>
            </w:tcBorders>
          </w:tcPr>
          <w:p>
            <w:pPr>
              <w:spacing w:after="0"/>
              <w:rPr>
                <w:sz w:val="7"/>
                <w:szCs w:val="7"/>
                <w:color w:val="auto"/>
              </w:rPr>
            </w:pPr>
          </w:p>
        </w:tc>
        <w:tc>
          <w:tcPr>
            <w:tcW w:w="100" w:type="dxa"/>
            <w:vAlign w:val="bottom"/>
          </w:tcPr>
          <w:p>
            <w:pPr>
              <w:spacing w:after="0"/>
              <w:rPr>
                <w:sz w:val="7"/>
                <w:szCs w:val="7"/>
                <w:color w:val="auto"/>
              </w:rPr>
            </w:pPr>
          </w:p>
        </w:tc>
        <w:tc>
          <w:tcPr>
            <w:tcW w:w="3760" w:type="dxa"/>
            <w:vAlign w:val="bottom"/>
            <w:tcBorders>
              <w:right w:val="single" w:sz="8" w:color="BFBFBF"/>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tcBorders>
              <w:right w:val="single" w:sz="8" w:color="BFBFBF"/>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860" w:type="dxa"/>
            <w:vAlign w:val="bottom"/>
            <w:tcBorders>
              <w:left w:val="single" w:sz="8" w:color="BFBFBF"/>
              <w:bottom w:val="single" w:sz="8" w:color="BFBFBF"/>
              <w:right w:val="single" w:sz="8" w:color="BFBFBF"/>
            </w:tcBorders>
          </w:tcPr>
          <w:p>
            <w:pPr>
              <w:spacing w:after="0"/>
              <w:rPr>
                <w:sz w:val="18"/>
                <w:szCs w:val="18"/>
                <w:color w:val="auto"/>
              </w:rPr>
            </w:pPr>
          </w:p>
        </w:tc>
        <w:tc>
          <w:tcPr>
            <w:tcW w:w="100" w:type="dxa"/>
            <w:vAlign w:val="bottom"/>
            <w:tcBorders>
              <w:bottom w:val="single" w:sz="8" w:color="BFBFBF"/>
            </w:tcBorders>
          </w:tcPr>
          <w:p>
            <w:pPr>
              <w:spacing w:after="0"/>
              <w:rPr>
                <w:sz w:val="18"/>
                <w:szCs w:val="18"/>
                <w:color w:val="auto"/>
              </w:rPr>
            </w:pPr>
          </w:p>
        </w:tc>
        <w:tc>
          <w:tcPr>
            <w:tcW w:w="376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Lars R. Wedenborn</w:t>
            </w:r>
          </w:p>
        </w:tc>
        <w:tc>
          <w:tcPr>
            <w:tcW w:w="80" w:type="dxa"/>
            <w:vAlign w:val="bottom"/>
            <w:tcBorders>
              <w:bottom w:val="single" w:sz="8" w:color="BFBFBF"/>
            </w:tcBorders>
          </w:tcPr>
          <w:p>
            <w:pPr>
              <w:spacing w:after="0"/>
              <w:rPr>
                <w:sz w:val="18"/>
                <w:szCs w:val="18"/>
                <w:color w:val="auto"/>
              </w:rPr>
            </w:pPr>
          </w:p>
        </w:tc>
        <w:tc>
          <w:tcPr>
            <w:tcW w:w="3640" w:type="dxa"/>
            <w:vAlign w:val="bottom"/>
            <w:tcBorders>
              <w:bottom w:val="single" w:sz="8" w:color="BFBFBF"/>
              <w:right w:val="single" w:sz="8" w:color="BFBFBF"/>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60" w:type="dxa"/>
            <w:vAlign w:val="bottom"/>
            <w:tcBorders>
              <w:left w:val="single" w:sz="8" w:color="BFBFBF"/>
              <w:right w:val="single" w:sz="8" w:color="BFBFBF"/>
            </w:tcBorders>
            <w:shd w:val="clear" w:color="auto" w:fill="DDEFF3"/>
          </w:tcPr>
          <w:p>
            <w:pPr>
              <w:spacing w:after="0"/>
              <w:rPr>
                <w:sz w:val="17"/>
                <w:szCs w:val="17"/>
                <w:color w:val="auto"/>
              </w:rPr>
            </w:pPr>
          </w:p>
        </w:tc>
        <w:tc>
          <w:tcPr>
            <w:tcW w:w="100" w:type="dxa"/>
            <w:vAlign w:val="bottom"/>
            <w:shd w:val="clear" w:color="auto" w:fill="DDEFF3"/>
          </w:tcPr>
          <w:p>
            <w:pPr>
              <w:spacing w:after="0"/>
              <w:rPr>
                <w:sz w:val="17"/>
                <w:szCs w:val="17"/>
                <w:color w:val="auto"/>
              </w:rPr>
            </w:pPr>
          </w:p>
        </w:tc>
        <w:tc>
          <w:tcPr>
            <w:tcW w:w="3760" w:type="dxa"/>
            <w:vAlign w:val="bottom"/>
            <w:tcBorders>
              <w:right w:val="single" w:sz="8" w:color="BFBFBF"/>
            </w:tcBorders>
            <w:shd w:val="clear" w:color="auto" w:fill="DDEFF3"/>
          </w:tcPr>
          <w:p>
            <w:pPr>
              <w:spacing w:after="0" w:line="201" w:lineRule="exact"/>
              <w:rPr>
                <w:sz w:val="20"/>
                <w:szCs w:val="20"/>
                <w:color w:val="auto"/>
              </w:rPr>
            </w:pPr>
            <w:r>
              <w:rPr>
                <w:rFonts w:ascii="Arial" w:cs="Arial" w:eastAsia="Arial" w:hAnsi="Arial"/>
                <w:sz w:val="18"/>
                <w:szCs w:val="18"/>
                <w:color w:val="auto"/>
              </w:rPr>
              <w:t>Börje E. Ekholm</w:t>
            </w:r>
          </w:p>
        </w:tc>
        <w:tc>
          <w:tcPr>
            <w:tcW w:w="80" w:type="dxa"/>
            <w:vAlign w:val="bottom"/>
            <w:shd w:val="clear" w:color="auto" w:fill="DDEFF3"/>
          </w:tcPr>
          <w:p>
            <w:pPr>
              <w:spacing w:after="0"/>
              <w:rPr>
                <w:sz w:val="17"/>
                <w:szCs w:val="17"/>
                <w:color w:val="auto"/>
              </w:rPr>
            </w:pPr>
          </w:p>
        </w:tc>
        <w:tc>
          <w:tcPr>
            <w:tcW w:w="3640" w:type="dxa"/>
            <w:vAlign w:val="bottom"/>
            <w:tcBorders>
              <w:right w:val="single" w:sz="8" w:color="BFBFBF"/>
            </w:tcBorders>
            <w:shd w:val="clear" w:color="auto" w:fill="DDEF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BFBFBF"/>
              <w:right w:val="single" w:sz="8" w:color="BFBFBF"/>
            </w:tcBorders>
            <w:shd w:val="clear" w:color="auto" w:fill="DDEFF3"/>
          </w:tcPr>
          <w:p>
            <w:pPr>
              <w:spacing w:after="0"/>
              <w:rPr>
                <w:sz w:val="17"/>
                <w:szCs w:val="17"/>
                <w:color w:val="auto"/>
              </w:rPr>
            </w:pPr>
          </w:p>
        </w:tc>
        <w:tc>
          <w:tcPr>
            <w:tcW w:w="100" w:type="dxa"/>
            <w:vAlign w:val="bottom"/>
            <w:shd w:val="clear" w:color="auto" w:fill="DDEFF3"/>
          </w:tcPr>
          <w:p>
            <w:pPr>
              <w:spacing w:after="0"/>
              <w:rPr>
                <w:sz w:val="17"/>
                <w:szCs w:val="17"/>
                <w:color w:val="auto"/>
              </w:rPr>
            </w:pPr>
          </w:p>
        </w:tc>
        <w:tc>
          <w:tcPr>
            <w:tcW w:w="3760" w:type="dxa"/>
            <w:vAlign w:val="bottom"/>
            <w:tcBorders>
              <w:right w:val="single" w:sz="8" w:color="BFBFBF"/>
            </w:tcBorders>
            <w:shd w:val="clear" w:color="auto" w:fill="DDEFF3"/>
          </w:tcPr>
          <w:p>
            <w:pPr>
              <w:spacing w:after="0" w:line="202" w:lineRule="exact"/>
              <w:rPr>
                <w:sz w:val="20"/>
                <w:szCs w:val="20"/>
                <w:color w:val="auto"/>
              </w:rPr>
            </w:pPr>
            <w:r>
              <w:rPr>
                <w:rFonts w:ascii="Arial" w:cs="Arial" w:eastAsia="Arial" w:hAnsi="Arial"/>
                <w:sz w:val="18"/>
                <w:szCs w:val="18"/>
                <w:color w:val="auto"/>
              </w:rPr>
              <w:t>Robert Greifeld</w:t>
            </w:r>
          </w:p>
        </w:tc>
        <w:tc>
          <w:tcPr>
            <w:tcW w:w="80" w:type="dxa"/>
            <w:vAlign w:val="bottom"/>
            <w:shd w:val="clear" w:color="auto" w:fill="DDEFF3"/>
          </w:tcPr>
          <w:p>
            <w:pPr>
              <w:spacing w:after="0"/>
              <w:rPr>
                <w:sz w:val="17"/>
                <w:szCs w:val="17"/>
                <w:color w:val="auto"/>
              </w:rPr>
            </w:pPr>
          </w:p>
        </w:tc>
        <w:tc>
          <w:tcPr>
            <w:tcW w:w="3640" w:type="dxa"/>
            <w:vAlign w:val="bottom"/>
            <w:tcBorders>
              <w:right w:val="single" w:sz="8" w:color="BFBFBF"/>
            </w:tcBorders>
            <w:shd w:val="clear" w:color="auto" w:fill="DDEF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BFBFBF"/>
              <w:right w:val="single" w:sz="8" w:color="BFBFBF"/>
            </w:tcBorders>
            <w:shd w:val="clear" w:color="auto" w:fill="DDEFF3"/>
          </w:tcPr>
          <w:p>
            <w:pPr>
              <w:spacing w:after="0"/>
              <w:rPr>
                <w:sz w:val="17"/>
                <w:szCs w:val="17"/>
                <w:color w:val="auto"/>
              </w:rPr>
            </w:pPr>
          </w:p>
        </w:tc>
        <w:tc>
          <w:tcPr>
            <w:tcW w:w="100" w:type="dxa"/>
            <w:vAlign w:val="bottom"/>
            <w:shd w:val="clear" w:color="auto" w:fill="DDEFF3"/>
          </w:tcPr>
          <w:p>
            <w:pPr>
              <w:spacing w:after="0"/>
              <w:rPr>
                <w:sz w:val="17"/>
                <w:szCs w:val="17"/>
                <w:color w:val="auto"/>
              </w:rPr>
            </w:pPr>
          </w:p>
        </w:tc>
        <w:tc>
          <w:tcPr>
            <w:tcW w:w="3760" w:type="dxa"/>
            <w:vAlign w:val="bottom"/>
            <w:tcBorders>
              <w:right w:val="single" w:sz="8" w:color="BFBFBF"/>
            </w:tcBorders>
            <w:shd w:val="clear" w:color="auto" w:fill="DDEFF3"/>
          </w:tcPr>
          <w:p>
            <w:pPr>
              <w:spacing w:after="0" w:line="202" w:lineRule="exact"/>
              <w:rPr>
                <w:sz w:val="20"/>
                <w:szCs w:val="20"/>
                <w:color w:val="auto"/>
              </w:rPr>
            </w:pPr>
            <w:r>
              <w:rPr>
                <w:rFonts w:ascii="Arial" w:cs="Arial" w:eastAsia="Arial" w:hAnsi="Arial"/>
                <w:sz w:val="18"/>
                <w:szCs w:val="18"/>
                <w:color w:val="auto"/>
              </w:rPr>
              <w:t>Glenn H. Hutchins (Chair)</w:t>
            </w:r>
          </w:p>
        </w:tc>
        <w:tc>
          <w:tcPr>
            <w:tcW w:w="80" w:type="dxa"/>
            <w:vAlign w:val="bottom"/>
            <w:shd w:val="clear" w:color="auto" w:fill="DDEFF3"/>
          </w:tcPr>
          <w:p>
            <w:pPr>
              <w:spacing w:after="0"/>
              <w:rPr>
                <w:sz w:val="17"/>
                <w:szCs w:val="17"/>
                <w:color w:val="auto"/>
              </w:rPr>
            </w:pPr>
          </w:p>
        </w:tc>
        <w:tc>
          <w:tcPr>
            <w:tcW w:w="3640" w:type="dxa"/>
            <w:vAlign w:val="bottom"/>
            <w:tcBorders>
              <w:right w:val="single" w:sz="8" w:color="BFBFBF"/>
            </w:tcBorders>
            <w:shd w:val="clear" w:color="auto" w:fill="DDEF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BFBFBF"/>
              <w:right w:val="single" w:sz="8" w:color="BFBFBF"/>
            </w:tcBorders>
            <w:shd w:val="clear" w:color="auto" w:fill="DDEFF3"/>
          </w:tcPr>
          <w:p>
            <w:pPr>
              <w:ind w:left="120"/>
              <w:spacing w:after="0" w:line="202" w:lineRule="exact"/>
              <w:rPr>
                <w:sz w:val="20"/>
                <w:szCs w:val="20"/>
                <w:color w:val="auto"/>
              </w:rPr>
            </w:pPr>
            <w:r>
              <w:rPr>
                <w:rFonts w:ascii="Arial" w:cs="Arial" w:eastAsia="Arial" w:hAnsi="Arial"/>
                <w:sz w:val="18"/>
                <w:szCs w:val="18"/>
                <w:color w:val="auto"/>
              </w:rPr>
              <w:t>Executive</w:t>
            </w:r>
          </w:p>
        </w:tc>
        <w:tc>
          <w:tcPr>
            <w:tcW w:w="100" w:type="dxa"/>
            <w:vAlign w:val="bottom"/>
            <w:shd w:val="clear" w:color="auto" w:fill="DDEFF3"/>
          </w:tcPr>
          <w:p>
            <w:pPr>
              <w:spacing w:after="0"/>
              <w:rPr>
                <w:sz w:val="17"/>
                <w:szCs w:val="17"/>
                <w:color w:val="auto"/>
              </w:rPr>
            </w:pPr>
          </w:p>
        </w:tc>
        <w:tc>
          <w:tcPr>
            <w:tcW w:w="3760" w:type="dxa"/>
            <w:vAlign w:val="bottom"/>
            <w:tcBorders>
              <w:right w:val="single" w:sz="8" w:color="BFBFBF"/>
            </w:tcBorders>
            <w:shd w:val="clear" w:color="auto" w:fill="DDEFF3"/>
          </w:tcPr>
          <w:p>
            <w:pPr>
              <w:spacing w:after="0" w:line="202" w:lineRule="exact"/>
              <w:rPr>
                <w:sz w:val="20"/>
                <w:szCs w:val="20"/>
                <w:color w:val="auto"/>
              </w:rPr>
            </w:pPr>
            <w:r>
              <w:rPr>
                <w:rFonts w:ascii="Arial" w:cs="Arial" w:eastAsia="Arial" w:hAnsi="Arial"/>
                <w:sz w:val="18"/>
                <w:szCs w:val="18"/>
                <w:color w:val="auto"/>
              </w:rPr>
              <w:t>Essa Kazim</w:t>
            </w:r>
          </w:p>
        </w:tc>
        <w:tc>
          <w:tcPr>
            <w:tcW w:w="3720" w:type="dxa"/>
            <w:vAlign w:val="bottom"/>
            <w:tcBorders>
              <w:right w:val="single" w:sz="8" w:color="BFBFBF"/>
            </w:tcBorders>
            <w:gridSpan w:val="2"/>
            <w:shd w:val="clear" w:color="auto" w:fill="DDEFF3"/>
          </w:tcPr>
          <w:p>
            <w:pPr>
              <w:ind w:left="8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860" w:type="dxa"/>
            <w:vAlign w:val="bottom"/>
            <w:tcBorders>
              <w:left w:val="single" w:sz="8" w:color="BFBFBF"/>
              <w:right w:val="single" w:sz="8" w:color="BFBFBF"/>
            </w:tcBorders>
            <w:shd w:val="clear" w:color="auto" w:fill="DDEFF3"/>
          </w:tcPr>
          <w:p>
            <w:pPr>
              <w:spacing w:after="0"/>
              <w:rPr>
                <w:sz w:val="17"/>
                <w:szCs w:val="17"/>
                <w:color w:val="auto"/>
              </w:rPr>
            </w:pPr>
          </w:p>
        </w:tc>
        <w:tc>
          <w:tcPr>
            <w:tcW w:w="100" w:type="dxa"/>
            <w:vAlign w:val="bottom"/>
            <w:shd w:val="clear" w:color="auto" w:fill="DDEFF3"/>
          </w:tcPr>
          <w:p>
            <w:pPr>
              <w:spacing w:after="0"/>
              <w:rPr>
                <w:sz w:val="17"/>
                <w:szCs w:val="17"/>
                <w:color w:val="auto"/>
              </w:rPr>
            </w:pPr>
          </w:p>
        </w:tc>
        <w:tc>
          <w:tcPr>
            <w:tcW w:w="3760" w:type="dxa"/>
            <w:vAlign w:val="bottom"/>
            <w:tcBorders>
              <w:right w:val="single" w:sz="8" w:color="BFBFBF"/>
            </w:tcBorders>
            <w:shd w:val="clear" w:color="auto" w:fill="DDEFF3"/>
          </w:tcPr>
          <w:p>
            <w:pPr>
              <w:spacing w:after="0" w:line="202" w:lineRule="exact"/>
              <w:rPr>
                <w:sz w:val="20"/>
                <w:szCs w:val="20"/>
                <w:color w:val="auto"/>
              </w:rPr>
            </w:pPr>
            <w:r>
              <w:rPr>
                <w:rFonts w:ascii="Arial" w:cs="Arial" w:eastAsia="Arial" w:hAnsi="Arial"/>
                <w:sz w:val="18"/>
                <w:szCs w:val="18"/>
                <w:color w:val="auto"/>
              </w:rPr>
              <w:t>John D. Markese</w:t>
            </w:r>
          </w:p>
        </w:tc>
        <w:tc>
          <w:tcPr>
            <w:tcW w:w="80" w:type="dxa"/>
            <w:vAlign w:val="bottom"/>
            <w:shd w:val="clear" w:color="auto" w:fill="DDEFF3"/>
          </w:tcPr>
          <w:p>
            <w:pPr>
              <w:spacing w:after="0"/>
              <w:rPr>
                <w:sz w:val="17"/>
                <w:szCs w:val="17"/>
                <w:color w:val="auto"/>
              </w:rPr>
            </w:pPr>
          </w:p>
        </w:tc>
        <w:tc>
          <w:tcPr>
            <w:tcW w:w="3640" w:type="dxa"/>
            <w:vAlign w:val="bottom"/>
            <w:tcBorders>
              <w:right w:val="single" w:sz="8" w:color="BFBFBF"/>
            </w:tcBorders>
            <w:shd w:val="clear" w:color="auto" w:fill="DDEF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BFBFBF"/>
              <w:right w:val="single" w:sz="8" w:color="BFBFBF"/>
            </w:tcBorders>
            <w:shd w:val="clear" w:color="auto" w:fill="DDEFF3"/>
          </w:tcPr>
          <w:p>
            <w:pPr>
              <w:spacing w:after="0"/>
              <w:rPr>
                <w:sz w:val="17"/>
                <w:szCs w:val="17"/>
                <w:color w:val="auto"/>
              </w:rPr>
            </w:pPr>
          </w:p>
        </w:tc>
        <w:tc>
          <w:tcPr>
            <w:tcW w:w="100" w:type="dxa"/>
            <w:vAlign w:val="bottom"/>
            <w:shd w:val="clear" w:color="auto" w:fill="DDEFF3"/>
          </w:tcPr>
          <w:p>
            <w:pPr>
              <w:spacing w:after="0"/>
              <w:rPr>
                <w:sz w:val="17"/>
                <w:szCs w:val="17"/>
                <w:color w:val="auto"/>
              </w:rPr>
            </w:pPr>
          </w:p>
        </w:tc>
        <w:tc>
          <w:tcPr>
            <w:tcW w:w="3760" w:type="dxa"/>
            <w:vAlign w:val="bottom"/>
            <w:tcBorders>
              <w:right w:val="single" w:sz="8" w:color="BFBFBF"/>
            </w:tcBorders>
            <w:shd w:val="clear" w:color="auto" w:fill="DDEFF3"/>
          </w:tcPr>
          <w:p>
            <w:pPr>
              <w:spacing w:after="0" w:line="202" w:lineRule="exact"/>
              <w:rPr>
                <w:sz w:val="20"/>
                <w:szCs w:val="20"/>
                <w:color w:val="auto"/>
              </w:rPr>
            </w:pPr>
            <w:r>
              <w:rPr>
                <w:rFonts w:ascii="Arial" w:cs="Arial" w:eastAsia="Arial" w:hAnsi="Arial"/>
                <w:sz w:val="18"/>
                <w:szCs w:val="18"/>
                <w:color w:val="auto"/>
              </w:rPr>
              <w:t>Thomas F. O’Neill</w:t>
            </w:r>
          </w:p>
        </w:tc>
        <w:tc>
          <w:tcPr>
            <w:tcW w:w="80" w:type="dxa"/>
            <w:vAlign w:val="bottom"/>
            <w:shd w:val="clear" w:color="auto" w:fill="DDEFF3"/>
          </w:tcPr>
          <w:p>
            <w:pPr>
              <w:spacing w:after="0"/>
              <w:rPr>
                <w:sz w:val="17"/>
                <w:szCs w:val="17"/>
                <w:color w:val="auto"/>
              </w:rPr>
            </w:pPr>
          </w:p>
        </w:tc>
        <w:tc>
          <w:tcPr>
            <w:tcW w:w="3640" w:type="dxa"/>
            <w:vAlign w:val="bottom"/>
            <w:tcBorders>
              <w:right w:val="single" w:sz="8" w:color="BFBFBF"/>
            </w:tcBorders>
            <w:shd w:val="clear" w:color="auto" w:fill="DDEFF3"/>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tcBorders>
              <w:left w:val="single" w:sz="8" w:color="BFBFBF"/>
              <w:bottom w:val="single" w:sz="8" w:color="BFBFBF"/>
              <w:right w:val="single" w:sz="8" w:color="BFBFBF"/>
            </w:tcBorders>
            <w:shd w:val="clear" w:color="auto" w:fill="DDEFF3"/>
          </w:tcPr>
          <w:p>
            <w:pPr>
              <w:spacing w:after="0"/>
              <w:rPr>
                <w:sz w:val="18"/>
                <w:szCs w:val="18"/>
                <w:color w:val="auto"/>
              </w:rPr>
            </w:pPr>
          </w:p>
        </w:tc>
        <w:tc>
          <w:tcPr>
            <w:tcW w:w="100" w:type="dxa"/>
            <w:vAlign w:val="bottom"/>
            <w:tcBorders>
              <w:bottom w:val="single" w:sz="8" w:color="BFBFBF"/>
            </w:tcBorders>
            <w:shd w:val="clear" w:color="auto" w:fill="DDEFF3"/>
          </w:tcPr>
          <w:p>
            <w:pPr>
              <w:spacing w:after="0"/>
              <w:rPr>
                <w:sz w:val="18"/>
                <w:szCs w:val="18"/>
                <w:color w:val="auto"/>
              </w:rPr>
            </w:pPr>
          </w:p>
        </w:tc>
        <w:tc>
          <w:tcPr>
            <w:tcW w:w="3760" w:type="dxa"/>
            <w:vAlign w:val="bottom"/>
            <w:tcBorders>
              <w:bottom w:val="single" w:sz="8" w:color="BFBFBF"/>
              <w:right w:val="single" w:sz="8" w:color="BFBFBF"/>
            </w:tcBorders>
            <w:shd w:val="clear" w:color="auto" w:fill="DDEFF3"/>
          </w:tcPr>
          <w:p>
            <w:pPr>
              <w:spacing w:after="0"/>
              <w:rPr>
                <w:sz w:val="20"/>
                <w:szCs w:val="20"/>
                <w:color w:val="auto"/>
              </w:rPr>
            </w:pPr>
            <w:r>
              <w:rPr>
                <w:rFonts w:ascii="Arial" w:cs="Arial" w:eastAsia="Arial" w:hAnsi="Arial"/>
                <w:sz w:val="18"/>
                <w:szCs w:val="18"/>
                <w:color w:val="auto"/>
              </w:rPr>
              <w:t>Michael R. Splinter</w:t>
            </w:r>
          </w:p>
        </w:tc>
        <w:tc>
          <w:tcPr>
            <w:tcW w:w="80" w:type="dxa"/>
            <w:vAlign w:val="bottom"/>
            <w:tcBorders>
              <w:bottom w:val="single" w:sz="8" w:color="BFBFBF"/>
            </w:tcBorders>
            <w:shd w:val="clear" w:color="auto" w:fill="DDEFF3"/>
          </w:tcPr>
          <w:p>
            <w:pPr>
              <w:spacing w:after="0"/>
              <w:rPr>
                <w:sz w:val="18"/>
                <w:szCs w:val="18"/>
                <w:color w:val="auto"/>
              </w:rPr>
            </w:pPr>
          </w:p>
        </w:tc>
        <w:tc>
          <w:tcPr>
            <w:tcW w:w="3640" w:type="dxa"/>
            <w:vAlign w:val="bottom"/>
            <w:tcBorders>
              <w:bottom w:val="single" w:sz="8" w:color="BFBFBF"/>
              <w:right w:val="single" w:sz="8" w:color="BFBFBF"/>
            </w:tcBorders>
            <w:shd w:val="clear" w:color="auto" w:fill="DDEFF3"/>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60" w:type="dxa"/>
            <w:vAlign w:val="bottom"/>
            <w:tcBorders>
              <w:left w:val="single" w:sz="8" w:color="BFBFBF"/>
              <w:right w:val="single" w:sz="8" w:color="BFBFBF"/>
            </w:tcBorders>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right w:val="single" w:sz="8" w:color="BFBFBF"/>
            </w:tcBorders>
          </w:tcPr>
          <w:p>
            <w:pPr>
              <w:spacing w:after="0" w:line="201" w:lineRule="exact"/>
              <w:rPr>
                <w:sz w:val="20"/>
                <w:szCs w:val="20"/>
                <w:color w:val="auto"/>
              </w:rPr>
            </w:pPr>
            <w:r>
              <w:rPr>
                <w:rFonts w:ascii="Arial" w:cs="Arial" w:eastAsia="Arial" w:hAnsi="Arial"/>
                <w:sz w:val="18"/>
                <w:szCs w:val="18"/>
                <w:color w:val="auto"/>
              </w:rPr>
              <w:t>Börje E. Ekholm</w:t>
            </w:r>
          </w:p>
        </w:tc>
        <w:tc>
          <w:tcPr>
            <w:tcW w:w="80" w:type="dxa"/>
            <w:vAlign w:val="bottom"/>
          </w:tcPr>
          <w:p>
            <w:pPr>
              <w:spacing w:after="0"/>
              <w:rPr>
                <w:sz w:val="17"/>
                <w:szCs w:val="17"/>
                <w:color w:val="auto"/>
              </w:rPr>
            </w:pPr>
          </w:p>
        </w:tc>
        <w:tc>
          <w:tcPr>
            <w:tcW w:w="36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BFBFBF"/>
              <w:right w:val="single" w:sz="8" w:color="BFBFBF"/>
            </w:tcBorders>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right w:val="single" w:sz="8" w:color="BFBFBF"/>
            </w:tcBorders>
          </w:tcPr>
          <w:p>
            <w:pPr>
              <w:spacing w:after="0" w:line="202" w:lineRule="exact"/>
              <w:rPr>
                <w:sz w:val="20"/>
                <w:szCs w:val="20"/>
                <w:color w:val="auto"/>
              </w:rPr>
            </w:pPr>
            <w:r>
              <w:rPr>
                <w:rFonts w:ascii="Arial" w:cs="Arial" w:eastAsia="Arial" w:hAnsi="Arial"/>
                <w:sz w:val="18"/>
                <w:szCs w:val="18"/>
                <w:color w:val="auto"/>
              </w:rPr>
              <w:t>Robert Greifeld</w:t>
            </w:r>
          </w:p>
        </w:tc>
        <w:tc>
          <w:tcPr>
            <w:tcW w:w="80" w:type="dxa"/>
            <w:vAlign w:val="bottom"/>
          </w:tcPr>
          <w:p>
            <w:pPr>
              <w:spacing w:after="0"/>
              <w:rPr>
                <w:sz w:val="17"/>
                <w:szCs w:val="17"/>
                <w:color w:val="auto"/>
              </w:rPr>
            </w:pPr>
          </w:p>
        </w:tc>
        <w:tc>
          <w:tcPr>
            <w:tcW w:w="36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BFBFBF"/>
              <w:right w:val="single" w:sz="8" w:color="BFBFBF"/>
            </w:tcBorders>
          </w:tcPr>
          <w:p>
            <w:pPr>
              <w:ind w:left="120"/>
              <w:spacing w:after="0" w:line="202" w:lineRule="exact"/>
              <w:rPr>
                <w:sz w:val="20"/>
                <w:szCs w:val="20"/>
                <w:color w:val="auto"/>
              </w:rPr>
            </w:pPr>
            <w:r>
              <w:rPr>
                <w:rFonts w:ascii="Arial" w:cs="Arial" w:eastAsia="Arial" w:hAnsi="Arial"/>
                <w:sz w:val="18"/>
                <w:szCs w:val="18"/>
                <w:color w:val="auto"/>
              </w:rPr>
              <w:t>Finance</w:t>
            </w:r>
          </w:p>
        </w:tc>
        <w:tc>
          <w:tcPr>
            <w:tcW w:w="100" w:type="dxa"/>
            <w:vAlign w:val="bottom"/>
          </w:tcPr>
          <w:p>
            <w:pPr>
              <w:spacing w:after="0"/>
              <w:rPr>
                <w:sz w:val="17"/>
                <w:szCs w:val="17"/>
                <w:color w:val="auto"/>
              </w:rPr>
            </w:pPr>
          </w:p>
        </w:tc>
        <w:tc>
          <w:tcPr>
            <w:tcW w:w="3760" w:type="dxa"/>
            <w:vAlign w:val="bottom"/>
            <w:tcBorders>
              <w:right w:val="single" w:sz="8" w:color="BFBFBF"/>
            </w:tcBorders>
          </w:tcPr>
          <w:p>
            <w:pPr>
              <w:spacing w:after="0" w:line="202" w:lineRule="exact"/>
              <w:rPr>
                <w:sz w:val="20"/>
                <w:szCs w:val="20"/>
                <w:color w:val="auto"/>
              </w:rPr>
            </w:pPr>
            <w:r>
              <w:rPr>
                <w:rFonts w:ascii="Arial" w:cs="Arial" w:eastAsia="Arial" w:hAnsi="Arial"/>
                <w:sz w:val="18"/>
                <w:szCs w:val="18"/>
                <w:color w:val="auto"/>
              </w:rPr>
              <w:t>Essa Kazim</w:t>
            </w:r>
          </w:p>
        </w:tc>
        <w:tc>
          <w:tcPr>
            <w:tcW w:w="3720" w:type="dxa"/>
            <w:vAlign w:val="bottom"/>
            <w:tcBorders>
              <w:right w:val="single" w:sz="8" w:color="BFBFBF"/>
            </w:tcBorders>
            <w:gridSpan w:val="2"/>
          </w:tcPr>
          <w:p>
            <w:pPr>
              <w:ind w:left="8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860" w:type="dxa"/>
            <w:vAlign w:val="bottom"/>
            <w:tcBorders>
              <w:left w:val="single" w:sz="8" w:color="BFBFBF"/>
              <w:right w:val="single" w:sz="8" w:color="BFBFBF"/>
            </w:tcBorders>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right w:val="single" w:sz="8" w:color="BFBFBF"/>
            </w:tcBorders>
          </w:tcPr>
          <w:p>
            <w:pPr>
              <w:spacing w:after="0" w:line="202" w:lineRule="exact"/>
              <w:rPr>
                <w:sz w:val="20"/>
                <w:szCs w:val="20"/>
                <w:color w:val="auto"/>
              </w:rPr>
            </w:pPr>
            <w:r>
              <w:rPr>
                <w:rFonts w:ascii="Arial" w:cs="Arial" w:eastAsia="Arial" w:hAnsi="Arial"/>
                <w:sz w:val="18"/>
                <w:szCs w:val="18"/>
                <w:color w:val="auto"/>
              </w:rPr>
              <w:t>Thomas F. O’Neill (Chair)</w:t>
            </w:r>
          </w:p>
        </w:tc>
        <w:tc>
          <w:tcPr>
            <w:tcW w:w="80" w:type="dxa"/>
            <w:vAlign w:val="bottom"/>
          </w:tcPr>
          <w:p>
            <w:pPr>
              <w:spacing w:after="0"/>
              <w:rPr>
                <w:sz w:val="17"/>
                <w:szCs w:val="17"/>
                <w:color w:val="auto"/>
              </w:rPr>
            </w:pPr>
          </w:p>
        </w:tc>
        <w:tc>
          <w:tcPr>
            <w:tcW w:w="36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tcBorders>
              <w:left w:val="single" w:sz="8" w:color="BFBFBF"/>
              <w:bottom w:val="single" w:sz="8" w:color="BFBFBF"/>
              <w:right w:val="single" w:sz="8" w:color="BFBFBF"/>
            </w:tcBorders>
          </w:tcPr>
          <w:p>
            <w:pPr>
              <w:spacing w:after="0"/>
              <w:rPr>
                <w:sz w:val="18"/>
                <w:szCs w:val="18"/>
                <w:color w:val="auto"/>
              </w:rPr>
            </w:pPr>
          </w:p>
        </w:tc>
        <w:tc>
          <w:tcPr>
            <w:tcW w:w="100" w:type="dxa"/>
            <w:vAlign w:val="bottom"/>
            <w:tcBorders>
              <w:bottom w:val="single" w:sz="8" w:color="BFBFBF"/>
            </w:tcBorders>
          </w:tcPr>
          <w:p>
            <w:pPr>
              <w:spacing w:after="0"/>
              <w:rPr>
                <w:sz w:val="18"/>
                <w:szCs w:val="18"/>
                <w:color w:val="auto"/>
              </w:rPr>
            </w:pPr>
          </w:p>
        </w:tc>
        <w:tc>
          <w:tcPr>
            <w:tcW w:w="376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James S. Riepe</w:t>
            </w:r>
          </w:p>
        </w:tc>
        <w:tc>
          <w:tcPr>
            <w:tcW w:w="80" w:type="dxa"/>
            <w:vAlign w:val="bottom"/>
            <w:tcBorders>
              <w:bottom w:val="single" w:sz="8" w:color="BFBFBF"/>
            </w:tcBorders>
          </w:tcPr>
          <w:p>
            <w:pPr>
              <w:spacing w:after="0"/>
              <w:rPr>
                <w:sz w:val="18"/>
                <w:szCs w:val="18"/>
                <w:color w:val="auto"/>
              </w:rPr>
            </w:pPr>
          </w:p>
        </w:tc>
        <w:tc>
          <w:tcPr>
            <w:tcW w:w="3640" w:type="dxa"/>
            <w:vAlign w:val="bottom"/>
            <w:tcBorders>
              <w:bottom w:val="single" w:sz="8" w:color="BFBFBF"/>
              <w:right w:val="single" w:sz="8" w:color="BFBFBF"/>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60" w:type="dxa"/>
            <w:vAlign w:val="bottom"/>
            <w:tcBorders>
              <w:left w:val="single" w:sz="8" w:color="BFBFBF"/>
              <w:right w:val="single" w:sz="8" w:color="BFBFBF"/>
            </w:tcBorders>
            <w:shd w:val="clear" w:color="auto" w:fill="DDEFF3"/>
          </w:tcPr>
          <w:p>
            <w:pPr>
              <w:spacing w:after="0"/>
              <w:rPr>
                <w:sz w:val="17"/>
                <w:szCs w:val="17"/>
                <w:color w:val="auto"/>
              </w:rPr>
            </w:pPr>
          </w:p>
        </w:tc>
        <w:tc>
          <w:tcPr>
            <w:tcW w:w="100" w:type="dxa"/>
            <w:vAlign w:val="bottom"/>
            <w:shd w:val="clear" w:color="auto" w:fill="DDEFF3"/>
          </w:tcPr>
          <w:p>
            <w:pPr>
              <w:spacing w:after="0"/>
              <w:rPr>
                <w:sz w:val="17"/>
                <w:szCs w:val="17"/>
                <w:color w:val="auto"/>
              </w:rPr>
            </w:pPr>
          </w:p>
        </w:tc>
        <w:tc>
          <w:tcPr>
            <w:tcW w:w="3760" w:type="dxa"/>
            <w:vAlign w:val="bottom"/>
            <w:tcBorders>
              <w:right w:val="single" w:sz="8" w:color="BFBFBF"/>
            </w:tcBorders>
            <w:shd w:val="clear" w:color="auto" w:fill="DDEFF3"/>
          </w:tcPr>
          <w:p>
            <w:pPr>
              <w:spacing w:after="0" w:line="201" w:lineRule="exact"/>
              <w:rPr>
                <w:sz w:val="20"/>
                <w:szCs w:val="20"/>
                <w:color w:val="auto"/>
              </w:rPr>
            </w:pPr>
            <w:r>
              <w:rPr>
                <w:rFonts w:ascii="Arial" w:cs="Arial" w:eastAsia="Arial" w:hAnsi="Arial"/>
                <w:sz w:val="18"/>
                <w:szCs w:val="18"/>
                <w:color w:val="auto"/>
              </w:rPr>
              <w:t>Steven D. Black</w:t>
            </w:r>
          </w:p>
        </w:tc>
        <w:tc>
          <w:tcPr>
            <w:tcW w:w="80" w:type="dxa"/>
            <w:vAlign w:val="bottom"/>
            <w:shd w:val="clear" w:color="auto" w:fill="DDEFF3"/>
          </w:tcPr>
          <w:p>
            <w:pPr>
              <w:spacing w:after="0"/>
              <w:rPr>
                <w:sz w:val="17"/>
                <w:szCs w:val="17"/>
                <w:color w:val="auto"/>
              </w:rPr>
            </w:pPr>
          </w:p>
        </w:tc>
        <w:tc>
          <w:tcPr>
            <w:tcW w:w="3640" w:type="dxa"/>
            <w:vAlign w:val="bottom"/>
            <w:tcBorders>
              <w:right w:val="single" w:sz="8" w:color="BFBFBF"/>
            </w:tcBorders>
            <w:shd w:val="clear" w:color="auto" w:fill="DDEF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BFBFBF"/>
              <w:right w:val="single" w:sz="8" w:color="BFBFBF"/>
            </w:tcBorders>
            <w:vMerge w:val="restart"/>
            <w:shd w:val="clear" w:color="auto" w:fill="DDEFF3"/>
          </w:tcPr>
          <w:p>
            <w:pPr>
              <w:ind w:left="120"/>
              <w:spacing w:after="0"/>
              <w:rPr>
                <w:sz w:val="20"/>
                <w:szCs w:val="20"/>
                <w:color w:val="auto"/>
              </w:rPr>
            </w:pPr>
            <w:r>
              <w:rPr>
                <w:rFonts w:ascii="Arial" w:cs="Arial" w:eastAsia="Arial" w:hAnsi="Arial"/>
                <w:sz w:val="18"/>
                <w:szCs w:val="18"/>
                <w:color w:val="auto"/>
              </w:rPr>
              <w:t>Management Compensation</w:t>
            </w:r>
          </w:p>
        </w:tc>
        <w:tc>
          <w:tcPr>
            <w:tcW w:w="100" w:type="dxa"/>
            <w:vAlign w:val="bottom"/>
            <w:shd w:val="clear" w:color="auto" w:fill="DDEFF3"/>
          </w:tcPr>
          <w:p>
            <w:pPr>
              <w:spacing w:after="0"/>
              <w:rPr>
                <w:sz w:val="17"/>
                <w:szCs w:val="17"/>
                <w:color w:val="auto"/>
              </w:rPr>
            </w:pPr>
          </w:p>
        </w:tc>
        <w:tc>
          <w:tcPr>
            <w:tcW w:w="3760" w:type="dxa"/>
            <w:vAlign w:val="bottom"/>
            <w:tcBorders>
              <w:right w:val="single" w:sz="8" w:color="BFBFBF"/>
            </w:tcBorders>
            <w:shd w:val="clear" w:color="auto" w:fill="DDEFF3"/>
          </w:tcPr>
          <w:p>
            <w:pPr>
              <w:spacing w:after="0" w:line="202" w:lineRule="exact"/>
              <w:rPr>
                <w:sz w:val="20"/>
                <w:szCs w:val="20"/>
                <w:color w:val="auto"/>
              </w:rPr>
            </w:pPr>
            <w:r>
              <w:rPr>
                <w:rFonts w:ascii="Arial" w:cs="Arial" w:eastAsia="Arial" w:hAnsi="Arial"/>
                <w:sz w:val="18"/>
                <w:szCs w:val="18"/>
                <w:color w:val="auto"/>
              </w:rPr>
              <w:t>Glenn H. Hutchins</w:t>
            </w:r>
          </w:p>
        </w:tc>
        <w:tc>
          <w:tcPr>
            <w:tcW w:w="3720" w:type="dxa"/>
            <w:vAlign w:val="bottom"/>
            <w:tcBorders>
              <w:right w:val="single" w:sz="8" w:color="BFBFBF"/>
            </w:tcBorders>
            <w:gridSpan w:val="2"/>
            <w:vMerge w:val="restart"/>
            <w:shd w:val="clear" w:color="auto" w:fill="DDEFF3"/>
          </w:tcPr>
          <w:p>
            <w:pPr>
              <w:ind w:lef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6"/>
        </w:trPr>
        <w:tc>
          <w:tcPr>
            <w:tcW w:w="3860" w:type="dxa"/>
            <w:vAlign w:val="bottom"/>
            <w:tcBorders>
              <w:left w:val="single" w:sz="8" w:color="BFBFBF"/>
              <w:right w:val="single" w:sz="8" w:color="BFBFBF"/>
            </w:tcBorders>
            <w:vMerge w:val="continue"/>
            <w:shd w:val="clear" w:color="auto" w:fill="DDEFF3"/>
          </w:tcPr>
          <w:p>
            <w:pPr>
              <w:spacing w:after="0"/>
              <w:rPr>
                <w:sz w:val="10"/>
                <w:szCs w:val="10"/>
                <w:color w:val="auto"/>
              </w:rPr>
            </w:pPr>
          </w:p>
        </w:tc>
        <w:tc>
          <w:tcPr>
            <w:tcW w:w="100" w:type="dxa"/>
            <w:vAlign w:val="bottom"/>
            <w:shd w:val="clear" w:color="auto" w:fill="DDEFF3"/>
          </w:tcPr>
          <w:p>
            <w:pPr>
              <w:spacing w:after="0"/>
              <w:rPr>
                <w:sz w:val="10"/>
                <w:szCs w:val="10"/>
                <w:color w:val="auto"/>
              </w:rPr>
            </w:pPr>
          </w:p>
        </w:tc>
        <w:tc>
          <w:tcPr>
            <w:tcW w:w="3760" w:type="dxa"/>
            <w:vAlign w:val="bottom"/>
            <w:tcBorders>
              <w:right w:val="single" w:sz="8" w:color="BFBFBF"/>
            </w:tcBorders>
            <w:vMerge w:val="restart"/>
            <w:shd w:val="clear" w:color="auto" w:fill="DDEFF3"/>
          </w:tcPr>
          <w:p>
            <w:pPr>
              <w:spacing w:after="0" w:line="202" w:lineRule="exact"/>
              <w:rPr>
                <w:sz w:val="20"/>
                <w:szCs w:val="20"/>
                <w:color w:val="auto"/>
              </w:rPr>
            </w:pPr>
            <w:r>
              <w:rPr>
                <w:rFonts w:ascii="Arial" w:cs="Arial" w:eastAsia="Arial" w:hAnsi="Arial"/>
                <w:sz w:val="18"/>
                <w:szCs w:val="18"/>
                <w:color w:val="auto"/>
              </w:rPr>
              <w:t>Michael R. Splinter (Chair)</w:t>
            </w:r>
          </w:p>
        </w:tc>
        <w:tc>
          <w:tcPr>
            <w:tcW w:w="3720" w:type="dxa"/>
            <w:vAlign w:val="bottom"/>
            <w:tcBorders>
              <w:right w:val="single" w:sz="8" w:color="BFBFBF"/>
            </w:tcBorders>
            <w:gridSpan w:val="2"/>
            <w:vMerge w:val="continue"/>
            <w:shd w:val="clear" w:color="auto" w:fill="DDEFF3"/>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860" w:type="dxa"/>
            <w:vAlign w:val="bottom"/>
            <w:tcBorders>
              <w:left w:val="single" w:sz="8" w:color="BFBFBF"/>
              <w:right w:val="single" w:sz="8" w:color="BFBFBF"/>
            </w:tcBorders>
            <w:shd w:val="clear" w:color="auto" w:fill="DDEFF3"/>
          </w:tcPr>
          <w:p>
            <w:pPr>
              <w:spacing w:after="0"/>
              <w:rPr>
                <w:sz w:val="7"/>
                <w:szCs w:val="7"/>
                <w:color w:val="auto"/>
              </w:rPr>
            </w:pPr>
          </w:p>
        </w:tc>
        <w:tc>
          <w:tcPr>
            <w:tcW w:w="100" w:type="dxa"/>
            <w:vAlign w:val="bottom"/>
            <w:shd w:val="clear" w:color="auto" w:fill="DDEFF3"/>
          </w:tcPr>
          <w:p>
            <w:pPr>
              <w:spacing w:after="0"/>
              <w:rPr>
                <w:sz w:val="7"/>
                <w:szCs w:val="7"/>
                <w:color w:val="auto"/>
              </w:rPr>
            </w:pPr>
          </w:p>
        </w:tc>
        <w:tc>
          <w:tcPr>
            <w:tcW w:w="3760" w:type="dxa"/>
            <w:vAlign w:val="bottom"/>
            <w:tcBorders>
              <w:right w:val="single" w:sz="8" w:color="BFBFBF"/>
            </w:tcBorders>
            <w:vMerge w:val="continue"/>
            <w:shd w:val="clear" w:color="auto" w:fill="DDEFF3"/>
          </w:tcPr>
          <w:p>
            <w:pPr>
              <w:spacing w:after="0"/>
              <w:rPr>
                <w:sz w:val="7"/>
                <w:szCs w:val="7"/>
                <w:color w:val="auto"/>
              </w:rPr>
            </w:pPr>
          </w:p>
        </w:tc>
        <w:tc>
          <w:tcPr>
            <w:tcW w:w="80" w:type="dxa"/>
            <w:vAlign w:val="bottom"/>
            <w:shd w:val="clear" w:color="auto" w:fill="DDEFF3"/>
          </w:tcPr>
          <w:p>
            <w:pPr>
              <w:spacing w:after="0"/>
              <w:rPr>
                <w:sz w:val="7"/>
                <w:szCs w:val="7"/>
                <w:color w:val="auto"/>
              </w:rPr>
            </w:pPr>
          </w:p>
        </w:tc>
        <w:tc>
          <w:tcPr>
            <w:tcW w:w="3640" w:type="dxa"/>
            <w:vAlign w:val="bottom"/>
            <w:tcBorders>
              <w:right w:val="single" w:sz="8" w:color="BFBFBF"/>
            </w:tcBorders>
            <w:shd w:val="clear" w:color="auto" w:fill="DDEFF3"/>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860" w:type="dxa"/>
            <w:vAlign w:val="bottom"/>
            <w:tcBorders>
              <w:left w:val="single" w:sz="8" w:color="BFBFBF"/>
              <w:bottom w:val="single" w:sz="8" w:color="BFBFBF"/>
              <w:right w:val="single" w:sz="8" w:color="BFBFBF"/>
            </w:tcBorders>
            <w:shd w:val="clear" w:color="auto" w:fill="DDEFF3"/>
          </w:tcPr>
          <w:p>
            <w:pPr>
              <w:spacing w:after="0"/>
              <w:rPr>
                <w:sz w:val="18"/>
                <w:szCs w:val="18"/>
                <w:color w:val="auto"/>
              </w:rPr>
            </w:pPr>
          </w:p>
        </w:tc>
        <w:tc>
          <w:tcPr>
            <w:tcW w:w="100" w:type="dxa"/>
            <w:vAlign w:val="bottom"/>
            <w:tcBorders>
              <w:bottom w:val="single" w:sz="8" w:color="BFBFBF"/>
            </w:tcBorders>
            <w:shd w:val="clear" w:color="auto" w:fill="DDEFF3"/>
          </w:tcPr>
          <w:p>
            <w:pPr>
              <w:spacing w:after="0"/>
              <w:rPr>
                <w:sz w:val="18"/>
                <w:szCs w:val="18"/>
                <w:color w:val="auto"/>
              </w:rPr>
            </w:pPr>
          </w:p>
        </w:tc>
        <w:tc>
          <w:tcPr>
            <w:tcW w:w="3760" w:type="dxa"/>
            <w:vAlign w:val="bottom"/>
            <w:tcBorders>
              <w:bottom w:val="single" w:sz="8" w:color="BFBFBF"/>
              <w:right w:val="single" w:sz="8" w:color="BFBFBF"/>
            </w:tcBorders>
            <w:shd w:val="clear" w:color="auto" w:fill="DDEFF3"/>
          </w:tcPr>
          <w:p>
            <w:pPr>
              <w:spacing w:after="0"/>
              <w:rPr>
                <w:sz w:val="20"/>
                <w:szCs w:val="20"/>
                <w:color w:val="auto"/>
              </w:rPr>
            </w:pPr>
            <w:r>
              <w:rPr>
                <w:rFonts w:ascii="Arial" w:cs="Arial" w:eastAsia="Arial" w:hAnsi="Arial"/>
                <w:sz w:val="18"/>
                <w:szCs w:val="18"/>
                <w:color w:val="auto"/>
              </w:rPr>
              <w:t>Lars R. Wedenborn</w:t>
            </w:r>
          </w:p>
        </w:tc>
        <w:tc>
          <w:tcPr>
            <w:tcW w:w="80" w:type="dxa"/>
            <w:vAlign w:val="bottom"/>
            <w:tcBorders>
              <w:bottom w:val="single" w:sz="8" w:color="BFBFBF"/>
            </w:tcBorders>
            <w:shd w:val="clear" w:color="auto" w:fill="DDEFF3"/>
          </w:tcPr>
          <w:p>
            <w:pPr>
              <w:spacing w:after="0"/>
              <w:rPr>
                <w:sz w:val="18"/>
                <w:szCs w:val="18"/>
                <w:color w:val="auto"/>
              </w:rPr>
            </w:pPr>
          </w:p>
        </w:tc>
        <w:tc>
          <w:tcPr>
            <w:tcW w:w="3640" w:type="dxa"/>
            <w:vAlign w:val="bottom"/>
            <w:tcBorders>
              <w:bottom w:val="single" w:sz="8" w:color="BFBFBF"/>
              <w:right w:val="single" w:sz="8" w:color="BFBFBF"/>
            </w:tcBorders>
            <w:shd w:val="clear" w:color="auto" w:fill="DDEFF3"/>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60" w:type="dxa"/>
            <w:vAlign w:val="bottom"/>
            <w:tcBorders>
              <w:left w:val="single" w:sz="8" w:color="BFBFBF"/>
              <w:right w:val="single" w:sz="8" w:color="BFBFBF"/>
            </w:tcBorders>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right w:val="single" w:sz="8" w:color="BFBFBF"/>
            </w:tcBorders>
          </w:tcPr>
          <w:p>
            <w:pPr>
              <w:spacing w:after="0" w:line="201" w:lineRule="exact"/>
              <w:rPr>
                <w:sz w:val="20"/>
                <w:szCs w:val="20"/>
                <w:color w:val="auto"/>
              </w:rPr>
            </w:pPr>
            <w:r>
              <w:rPr>
                <w:rFonts w:ascii="Arial" w:cs="Arial" w:eastAsia="Arial" w:hAnsi="Arial"/>
                <w:sz w:val="18"/>
                <w:szCs w:val="18"/>
                <w:color w:val="auto"/>
              </w:rPr>
              <w:t>Steven D. Black</w:t>
            </w:r>
          </w:p>
        </w:tc>
        <w:tc>
          <w:tcPr>
            <w:tcW w:w="80" w:type="dxa"/>
            <w:vAlign w:val="bottom"/>
          </w:tcPr>
          <w:p>
            <w:pPr>
              <w:spacing w:after="0"/>
              <w:rPr>
                <w:sz w:val="17"/>
                <w:szCs w:val="17"/>
                <w:color w:val="auto"/>
              </w:rPr>
            </w:pPr>
          </w:p>
        </w:tc>
        <w:tc>
          <w:tcPr>
            <w:tcW w:w="36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BFBFBF"/>
              <w:right w:val="single" w:sz="8" w:color="BFBFBF"/>
            </w:tcBorders>
            <w:vMerge w:val="restart"/>
          </w:tcPr>
          <w:p>
            <w:pPr>
              <w:ind w:left="120"/>
              <w:spacing w:after="0"/>
              <w:rPr>
                <w:sz w:val="20"/>
                <w:szCs w:val="20"/>
                <w:color w:val="auto"/>
              </w:rPr>
            </w:pPr>
            <w:r>
              <w:rPr>
                <w:rFonts w:ascii="Arial" w:cs="Arial" w:eastAsia="Arial" w:hAnsi="Arial"/>
                <w:sz w:val="18"/>
                <w:szCs w:val="18"/>
                <w:color w:val="auto"/>
              </w:rPr>
              <w:t>Nominating &amp; Governance</w:t>
            </w:r>
          </w:p>
        </w:tc>
        <w:tc>
          <w:tcPr>
            <w:tcW w:w="100" w:type="dxa"/>
            <w:vAlign w:val="bottom"/>
          </w:tcPr>
          <w:p>
            <w:pPr>
              <w:spacing w:after="0"/>
              <w:rPr>
                <w:sz w:val="17"/>
                <w:szCs w:val="17"/>
                <w:color w:val="auto"/>
              </w:rPr>
            </w:pPr>
          </w:p>
        </w:tc>
        <w:tc>
          <w:tcPr>
            <w:tcW w:w="3760" w:type="dxa"/>
            <w:vAlign w:val="bottom"/>
            <w:tcBorders>
              <w:right w:val="single" w:sz="8" w:color="BFBFBF"/>
            </w:tcBorders>
          </w:tcPr>
          <w:p>
            <w:pPr>
              <w:spacing w:after="0" w:line="202" w:lineRule="exact"/>
              <w:rPr>
                <w:sz w:val="20"/>
                <w:szCs w:val="20"/>
                <w:color w:val="auto"/>
              </w:rPr>
            </w:pPr>
            <w:r>
              <w:rPr>
                <w:rFonts w:ascii="Arial" w:cs="Arial" w:eastAsia="Arial" w:hAnsi="Arial"/>
                <w:sz w:val="18"/>
                <w:szCs w:val="18"/>
                <w:color w:val="auto"/>
              </w:rPr>
              <w:t>Börje E. Ekholm (Chair)</w:t>
            </w:r>
          </w:p>
        </w:tc>
        <w:tc>
          <w:tcPr>
            <w:tcW w:w="3720" w:type="dxa"/>
            <w:vAlign w:val="bottom"/>
            <w:tcBorders>
              <w:right w:val="single" w:sz="8" w:color="BFBFBF"/>
            </w:tcBorders>
            <w:gridSpan w:val="2"/>
            <w:vMerge w:val="restart"/>
          </w:tcPr>
          <w:p>
            <w:pPr>
              <w:ind w:lef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6"/>
        </w:trPr>
        <w:tc>
          <w:tcPr>
            <w:tcW w:w="3860" w:type="dxa"/>
            <w:vAlign w:val="bottom"/>
            <w:tcBorders>
              <w:left w:val="single" w:sz="8" w:color="BFBFBF"/>
              <w:right w:val="single" w:sz="8" w:color="BFBFBF"/>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3760" w:type="dxa"/>
            <w:vAlign w:val="bottom"/>
            <w:tcBorders>
              <w:right w:val="single" w:sz="8" w:color="BFBFBF"/>
            </w:tcBorders>
            <w:vMerge w:val="restart"/>
          </w:tcPr>
          <w:p>
            <w:pPr>
              <w:spacing w:after="0" w:line="202" w:lineRule="exact"/>
              <w:rPr>
                <w:sz w:val="20"/>
                <w:szCs w:val="20"/>
                <w:color w:val="auto"/>
              </w:rPr>
            </w:pPr>
            <w:r>
              <w:rPr>
                <w:rFonts w:ascii="Arial" w:cs="Arial" w:eastAsia="Arial" w:hAnsi="Arial"/>
                <w:sz w:val="18"/>
                <w:szCs w:val="18"/>
                <w:color w:val="auto"/>
              </w:rPr>
              <w:t>John D. Markese</w:t>
            </w:r>
          </w:p>
        </w:tc>
        <w:tc>
          <w:tcPr>
            <w:tcW w:w="3720" w:type="dxa"/>
            <w:vAlign w:val="bottom"/>
            <w:tcBorders>
              <w:right w:val="single" w:sz="8" w:color="BFBFBF"/>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860" w:type="dxa"/>
            <w:vAlign w:val="bottom"/>
            <w:tcBorders>
              <w:left w:val="single" w:sz="8" w:color="BFBFBF"/>
              <w:right w:val="single" w:sz="8" w:color="BFBFBF"/>
            </w:tcBorders>
          </w:tcPr>
          <w:p>
            <w:pPr>
              <w:spacing w:after="0"/>
              <w:rPr>
                <w:sz w:val="7"/>
                <w:szCs w:val="7"/>
                <w:color w:val="auto"/>
              </w:rPr>
            </w:pPr>
          </w:p>
        </w:tc>
        <w:tc>
          <w:tcPr>
            <w:tcW w:w="100" w:type="dxa"/>
            <w:vAlign w:val="bottom"/>
          </w:tcPr>
          <w:p>
            <w:pPr>
              <w:spacing w:after="0"/>
              <w:rPr>
                <w:sz w:val="7"/>
                <w:szCs w:val="7"/>
                <w:color w:val="auto"/>
              </w:rPr>
            </w:pPr>
          </w:p>
        </w:tc>
        <w:tc>
          <w:tcPr>
            <w:tcW w:w="3760" w:type="dxa"/>
            <w:vAlign w:val="bottom"/>
            <w:tcBorders>
              <w:right w:val="single" w:sz="8" w:color="BFBFBF"/>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tcBorders>
              <w:right w:val="single" w:sz="8" w:color="BFBFBF"/>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860" w:type="dxa"/>
            <w:vAlign w:val="bottom"/>
            <w:tcBorders>
              <w:left w:val="single" w:sz="8" w:color="BFBFBF"/>
              <w:bottom w:val="single" w:sz="8" w:color="BFBFBF"/>
              <w:right w:val="single" w:sz="8" w:color="BFBFBF"/>
            </w:tcBorders>
          </w:tcPr>
          <w:p>
            <w:pPr>
              <w:spacing w:after="0"/>
              <w:rPr>
                <w:sz w:val="18"/>
                <w:szCs w:val="18"/>
                <w:color w:val="auto"/>
              </w:rPr>
            </w:pPr>
          </w:p>
        </w:tc>
        <w:tc>
          <w:tcPr>
            <w:tcW w:w="100" w:type="dxa"/>
            <w:vAlign w:val="bottom"/>
            <w:tcBorders>
              <w:bottom w:val="single" w:sz="8" w:color="BFBFBF"/>
            </w:tcBorders>
          </w:tcPr>
          <w:p>
            <w:pPr>
              <w:spacing w:after="0"/>
              <w:rPr>
                <w:sz w:val="18"/>
                <w:szCs w:val="18"/>
                <w:color w:val="auto"/>
              </w:rPr>
            </w:pPr>
          </w:p>
        </w:tc>
        <w:tc>
          <w:tcPr>
            <w:tcW w:w="376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Ellyn A. McColgan</w:t>
            </w:r>
          </w:p>
        </w:tc>
        <w:tc>
          <w:tcPr>
            <w:tcW w:w="80" w:type="dxa"/>
            <w:vAlign w:val="bottom"/>
            <w:tcBorders>
              <w:bottom w:val="single" w:sz="8" w:color="BFBFBF"/>
            </w:tcBorders>
          </w:tcPr>
          <w:p>
            <w:pPr>
              <w:spacing w:after="0"/>
              <w:rPr>
                <w:sz w:val="18"/>
                <w:szCs w:val="18"/>
                <w:color w:val="auto"/>
              </w:rPr>
            </w:pPr>
          </w:p>
        </w:tc>
        <w:tc>
          <w:tcPr>
            <w:tcW w:w="3640" w:type="dxa"/>
            <w:vAlign w:val="bottom"/>
            <w:tcBorders>
              <w:bottom w:val="single" w:sz="8" w:color="BFBFBF"/>
              <w:right w:val="single" w:sz="8" w:color="BFBFB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-3197860</wp:posOffset>
            </wp:positionV>
            <wp:extent cx="889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-3197860</wp:posOffset>
            </wp:positionV>
            <wp:extent cx="889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-3197860</wp:posOffset>
            </wp:positionV>
            <wp:extent cx="889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-3197860</wp:posOffset>
            </wp:positionV>
            <wp:extent cx="889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05"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 xml:space="preserve">Included below are summary descriptions of the standing committees. Each committee has adopted a charter, which is available on NASDAQ OMX’s website at </w:t>
      </w:r>
      <w:r>
        <w:rPr>
          <w:rFonts w:ascii="Arial" w:cs="Arial" w:eastAsia="Arial" w:hAnsi="Arial"/>
          <w:sz w:val="18"/>
          <w:szCs w:val="18"/>
          <w:i w:val="1"/>
          <w:iCs w:val="1"/>
          <w:color w:val="auto"/>
        </w:rPr>
        <w:t>http://ir.nasdaqomx.com/nasdaq-omx-group.cfm</w:t>
      </w:r>
      <w:r>
        <w:rPr>
          <w:rFonts w:ascii="Arial" w:cs="Arial" w:eastAsia="Arial" w:hAnsi="Arial"/>
          <w:sz w:val="18"/>
          <w:szCs w:val="18"/>
          <w:color w:val="auto"/>
        </w:rPr>
        <w:t>. The board and committees may hire outside experts to assist them when necessary.</w:t>
      </w:r>
    </w:p>
    <w:p>
      <w:pPr>
        <w:spacing w:after="0" w:line="9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which is comprised of independent board members, has the primary responsibility for engaging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 and assists the board by reviewing and discussing the quality and integrity of accounting, auditing and financial reporting and practices at NASDAQ OMX. In addition, the audit committee assists the board by reviewing the effectiveness of controls over NASDAQ OMX’s risk management and regulatory program. The audit committee also assists the board in reviewing and discussing NASDAQ OMX’s global ethics and compliance program and confidential whistleblower process.</w:t>
      </w:r>
    </w:p>
    <w:p>
      <w:pPr>
        <w:spacing w:after="0" w:line="142"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24</w:t>
      </w:r>
    </w:p>
    <w:p>
      <w:pPr>
        <w:sectPr>
          <w:pgSz w:w="11900" w:h="16838" w:orient="portrait"/>
          <w:cols w:equalWidth="0" w:num="1">
            <w:col w:w="11440"/>
          </w:cols>
          <w:pgMar w:left="240" w:top="459" w:right="2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audit committee assists the board in reviewing and discussing our financial reporting process and reports to the board the results of these activities. This includes the systems of internal controls that management and the board of directors have established, our audit and compliance process and financial reporting. The audit committee, among other duties, engages the independent registered public accounting firm, pre-approves all audit and non-audit services provided by the independent public accounting firm, reviews with the independent public accounting firm the plans and results of the audit engagement, considers the compatibility of any non-audit services provided by the independent public accounting firm with the independence of such firm, reviews the independence of the independent public accounting firm and reviews and approves all related party transactions. Audit committee members must meet the independence standards applicable to audit committee members of companies listed on The NASDAQ Stock Market, and our board has concluded that each member of the audit committee satisfies these independence standards. Each member of the audit committee meets the standard for financial knowledge for audit committee members of companies listed on The NASDAQ Stock Market. In addition, the board of directors has determined that Dr. Markese and Ms. McColgan are each qualified as an audit committee financial expert within the meaning of SEC regulations and that each has accounting and related financial management expertise that meets the standard for “financial sophistication” set forth in the rules of The NASDAQ Stock Market.</w:t>
      </w:r>
    </w:p>
    <w:p>
      <w:pPr>
        <w:spacing w:after="0" w:line="281"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Subject to the limitations in our by-laws, the executive committee has the general power and authority of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to act in the management of our business and affairs.</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Finance Committee. </w:t>
      </w:r>
      <w:r>
        <w:rPr>
          <w:rFonts w:ascii="Arial" w:cs="Arial" w:eastAsia="Arial" w:hAnsi="Arial"/>
          <w:sz w:val="18"/>
          <w:szCs w:val="18"/>
          <w:color w:val="auto"/>
        </w:rPr>
        <w:t>The finance committee advises the board of directors with respect to the oversight of our financial operations and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recommendations for our annual operating and capital budgets.</w:t>
      </w:r>
    </w:p>
    <w:p>
      <w:pPr>
        <w:spacing w:after="0" w:line="7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i w:val="1"/>
          <w:iCs w:val="1"/>
          <w:color w:val="auto"/>
        </w:rPr>
        <w:t xml:space="preserve">Management Compensation Committee. </w:t>
      </w:r>
      <w:r>
        <w:rPr>
          <w:rFonts w:ascii="Arial" w:cs="Arial" w:eastAsia="Arial" w:hAnsi="Arial"/>
          <w:sz w:val="18"/>
          <w:szCs w:val="18"/>
          <w:color w:val="auto"/>
        </w:rPr>
        <w:t>Among other duties, the management compensation committee establishes a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philosophy and reviews annually, and recommends to the full board of directors for approval all material changes to, compensation and benefit plans for officers and staff of the company. The management compensation committee reviews and refers to the board for approval the base salary, incentive compensation awards, performance goals and equity awards for the chief executive officer and all executive vice presidents. For other Section 16 officers, the management compensation committee reviews and approves the base salary, incentive compensation awards, performance goals and equity awards. The management compensation committee also reviews and approves the base salary and incentive compensation awards for other officers whose compensation exceeds certain thresholds, which currently are set at base compensation in excess of $350,000 and/or total annual cash compensation (including targeted incentive compensation) in excess of $650,000. In addition, the management compensation committee reviews and approves equity awards granted to other officers valued at $100,000 or greater. Finally, the management compensation committee reviews annually the peer groups used for competitive market analysis and a succession plan for the development, retention and replacement of Section 16 officers and other selected officers.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Each member of the management compensation committee is independent, as required by the rules of The NASDAQ Stock Market, and meets the additional eligibility requirements set forth in NASDAQ Listing Rule 5605(d)(2)(A). Specifically, none of the members of the management compensation committee accepts directly or indirectly any consulting, advisory or other compensatory fee from NASDAQ OMX or any subsidiary. In addition, none of the members of the management compensation committee is affiliated with NASDAQ OMX, any subsidiary or any affiliate of a subsidiary in a way that would impair the director’s judgment as a member of the compensation committee.</w:t>
      </w:r>
    </w:p>
    <w:p>
      <w:pPr>
        <w:spacing w:after="0" w:line="97"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b w:val="1"/>
          <w:bCs w:val="1"/>
          <w:i w:val="1"/>
          <w:iCs w:val="1"/>
          <w:color w:val="auto"/>
        </w:rPr>
        <w:t xml:space="preserve">Nominating &amp; Governance Committee. </w:t>
      </w:r>
      <w:r>
        <w:rPr>
          <w:rFonts w:ascii="Arial" w:cs="Arial" w:eastAsia="Arial" w:hAnsi="Arial"/>
          <w:sz w:val="18"/>
          <w:szCs w:val="18"/>
          <w:color w:val="auto"/>
        </w:rPr>
        <w:t>Pursuant to NASDAQ OMX’s by-laws, this committee serves as the nominating committee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responsibilities related to corporate governance. The nominating &amp; governance committee has the authority to identify and nominate candidates for vacancies on the NASDAQ OMX board. Additionally, if a director position becomes vacant because of death,</w:t>
      </w:r>
    </w:p>
    <w:p>
      <w:pPr>
        <w:spacing w:after="0" w:line="1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disability, disqualification, removal, resignation or increase in the number of directors, the nominating &amp; governance committee will nominate, and the board of directors will elect by majority vote, a person satisfying the classification (Industry, Non-Industry, Issuer or Public Director) of the directorship, if applicable, to fill such vacancy, except that if the remaining term is not more than six months, no replacement is required.</w:t>
      </w:r>
    </w:p>
    <w:p>
      <w:pPr>
        <w:spacing w:after="0" w:line="1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nominating &amp; governance committee considers possible candidates suggested by board and committee members, industry groups, stockholders or senior management. In addition to submitting suggested nominees to the nominating &amp; governance committee, a NASDAQ OMX stockholder may nominate a person for election as a director at NASDAQ OMX’s annual meeting or at a special meeting, provided the stockholder follows the procedures specified in NASDAQ OMX’s by-laws.</w:t>
      </w:r>
    </w:p>
    <w:p>
      <w:pPr>
        <w:spacing w:after="0" w:line="11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 xml:space="preserve">The nominating &amp; governance committee annually evaluates and makes recommendations to the board on the overall effectiveness of the board through an annual review and evaluation of the structure, size, composition, development, selection and process of the board and its committees. The committee annually reviews and recommends to the board the assignment of board members to each of the board committees, including rotation, reassignment and removal of any committee member. The nominating &amp; governance committee considers matters of corporate governance and periodically reviews, reassesses and recommends proposed changes for board approval of the following documents: the Board of Directors Duties and Obligations and the NASDAQ OMX Corporate Governance Guidelines (including the criteria used in selecting director nominees). Both documents are available on NASDAQ OMX’s website at </w:t>
      </w:r>
      <w:r>
        <w:rPr>
          <w:rFonts w:ascii="Arial" w:cs="Arial" w:eastAsia="Arial" w:hAnsi="Arial"/>
          <w:sz w:val="16"/>
          <w:szCs w:val="16"/>
          <w:i w:val="1"/>
          <w:iCs w:val="1"/>
          <w:color w:val="auto"/>
        </w:rPr>
        <w:t>http://ir.nasdaqomx.com/nasdaq-omx-group.cfm</w:t>
      </w:r>
      <w:r>
        <w:rPr>
          <w:rFonts w:ascii="Arial" w:cs="Arial" w:eastAsia="Arial" w:hAnsi="Arial"/>
          <w:sz w:val="16"/>
          <w:szCs w:val="16"/>
          <w:color w:val="auto"/>
        </w:rPr>
        <w:t>.</w:t>
      </w:r>
    </w:p>
    <w:p>
      <w:pPr>
        <w:spacing w:after="0" w:line="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committee also monitors NASDAQ OMX compliance in the areas of corporate governance pursuant to The NASDAQ Stock Market LLC listing rules and best practices, in order to report and make recommendations to the board with respect to such requirements and practices. This committee identifies current and emerging corporate governance trends and issues that may affect the business operations, performance and public image of NASDAQ OMX. It prepares, and reports to the board the results of, the annual performance evaluation of the committee, which compares the performance of the committee with the requirements of the committee charter. Finally, the committee reviews, at least annually, its charter.</w:t>
      </w:r>
    </w:p>
    <w:p>
      <w:pPr>
        <w:spacing w:after="0" w:line="116" w:lineRule="exact"/>
        <w:rPr>
          <w:sz w:val="20"/>
          <w:szCs w:val="20"/>
          <w:color w:val="auto"/>
        </w:rPr>
      </w:pPr>
    </w:p>
    <w:p>
      <w:pPr>
        <w:ind w:right="1360"/>
        <w:spacing w:after="0" w:line="367" w:lineRule="auto"/>
        <w:rPr>
          <w:sz w:val="20"/>
          <w:szCs w:val="20"/>
          <w:color w:val="auto"/>
        </w:rPr>
      </w:pPr>
      <w:r>
        <w:rPr>
          <w:rFonts w:ascii="Arial" w:cs="Arial" w:eastAsia="Arial" w:hAnsi="Arial"/>
          <w:sz w:val="18"/>
          <w:szCs w:val="18"/>
          <w:color w:val="auto"/>
        </w:rPr>
        <w:t xml:space="preserve">Each member of the nominating &amp; governance committee is independent, as required by the rules of The NASDAQ Stock Market. </w:t>
      </w:r>
      <w:r>
        <w:rPr>
          <w:rFonts w:ascii="Arial" w:cs="Arial" w:eastAsia="Arial" w:hAnsi="Arial"/>
          <w:sz w:val="18"/>
          <w:szCs w:val="18"/>
          <w:b w:val="1"/>
          <w:bCs w:val="1"/>
          <w:color w:val="auto"/>
        </w:rPr>
        <w:t>NASDAQ OMX BOARD’S RISK OVERSIGHT ROLE</w:t>
      </w:r>
    </w:p>
    <w:p>
      <w:pPr>
        <w:spacing w:after="0" w:line="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NASDAQ OMX’s management has day-to-day responsibility for: (i) identifying risks and assessing them in relation to NASDAQ OMX’s strategies and objectives, (ii) implementing suitable risk mitigation plans, processes and controls and (iii) appropriately managing risks in a manner that serves the best interests of NASDAQ OMX, its stockholders and other stakeholders. NASDAQ OMX has a risk steering committee, comprised of employees, that regularly reviews risks for materiality and refers significant risks to the board of directors or specific board committees.</w:t>
      </w:r>
    </w:p>
    <w:p>
      <w:pPr>
        <w:spacing w:after="0" w:line="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NASDAQ OMX’s board of directors has ultimate responsibility for overseeing risk management with a focus on the most significant risks facing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board is assisted with this responsibility by the following board committees.</w:t>
      </w:r>
    </w:p>
    <w:p>
      <w:pPr>
        <w:spacing w:after="0" w:line="97"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primary function of the audit committee is to assist the board of directors in fulfilling its oversight responsibilities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reviewing and discussing the financial information, the systems of internal controls, financial reporting and the legal and compliance process. Additionally, the committee reviews and discusses the Enterprise Risk Management (ERM) structure and process.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Finance Committee. </w:t>
      </w:r>
      <w:r>
        <w:rPr>
          <w:rFonts w:ascii="Arial" w:cs="Arial" w:eastAsia="Arial" w:hAnsi="Arial"/>
          <w:sz w:val="18"/>
          <w:szCs w:val="18"/>
          <w:color w:val="auto"/>
        </w:rPr>
        <w:t>The finance committee monitors the risks associated with the financial operations of the company.</w:t>
      </w:r>
    </w:p>
    <w:p>
      <w:pPr>
        <w:spacing w:after="0" w:line="16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i w:val="1"/>
          <w:iCs w:val="1"/>
          <w:color w:val="auto"/>
        </w:rPr>
        <w:t xml:space="preserve">Management Compensation Committee. </w:t>
      </w:r>
      <w:r>
        <w:rPr>
          <w:rFonts w:ascii="Arial" w:cs="Arial" w:eastAsia="Arial" w:hAnsi="Arial"/>
          <w:sz w:val="18"/>
          <w:szCs w:val="18"/>
          <w:color w:val="auto"/>
        </w:rPr>
        <w:t>The management compensation committee monitors the risks associated with elements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program, including organizational structure, compensation plans and goals, succession planning, organizational development and selection processes. The management compensation committee also evaluates and opines on the effect the compensation structure may have on risk-related decisions.</w:t>
      </w:r>
    </w:p>
    <w:p>
      <w:pPr>
        <w:spacing w:after="0" w:line="9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Nominating &amp; Governance Committee. </w:t>
      </w:r>
      <w:r>
        <w:rPr>
          <w:rFonts w:ascii="Arial" w:cs="Arial" w:eastAsia="Arial" w:hAnsi="Arial"/>
          <w:sz w:val="18"/>
          <w:szCs w:val="18"/>
          <w:color w:val="auto"/>
        </w:rPr>
        <w:t>The nominating &amp; governance committee oversees risks related to the company’s governance 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and processes.</w:t>
      </w:r>
    </w:p>
    <w:p>
      <w:pPr>
        <w:spacing w:after="0" w:line="95"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Furthermore, non-management directors meet in executive session on a regular basis without the presence of management with discussions that include matters pertaining to risk. NASDAQ OMX does not believe that the board’s role in risk oversight has affected its leadership structure.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OF COMPENSATION PROGRAM</w:t>
      </w:r>
    </w:p>
    <w:p>
      <w:pPr>
        <w:spacing w:after="0" w:line="7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monitor the risks associated with our compensation program on an ongoing basis. In March 2013, the management compensation committee and audit committee were presented with the results of an annual formal assessment of our employee compensation program in order to evaluate the risks arising from our compensation policies and practices. This risk assessment report reflected a comprehensive review and analysis of the components of our compensation program, including the performance measures established under the 2013 cash performance-based incentive award program and the sales plans for various business units. The management compensation committee and the audit committee each agreed with the report’s findings that the risks associated with our compensation program were manageable and within our ability to effectively monitor, and that these risks are not reasonably likely to have a material adverse effect on the company.</w:t>
      </w:r>
    </w:p>
    <w:p>
      <w:pPr>
        <w:spacing w:after="0" w:line="11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risk assessment was performed by an internal working group consisting of employees in the human resources, risk management, internal audit and corporate finance departments, as well as the offices of general counsel and corporate secretary. The findings were presented to the risk steering committee, which concurred with the working group’s report. The risk assessment included the following steps:</w:t>
      </w:r>
    </w:p>
    <w:p>
      <w:pPr>
        <w:spacing w:after="0" w:line="59" w:lineRule="exact"/>
        <w:rPr>
          <w:sz w:val="20"/>
          <w:szCs w:val="20"/>
          <w:color w:val="auto"/>
        </w:rPr>
      </w:pPr>
    </w:p>
    <w:p>
      <w:pPr>
        <w:ind w:left="1120" w:hanging="437"/>
        <w:spacing w:after="0"/>
        <w:tabs>
          <w:tab w:leader="none" w:pos="1120" w:val="left"/>
        </w:tabs>
        <w:numPr>
          <w:ilvl w:val="0"/>
          <w:numId w:val="25"/>
        </w:numPr>
        <w:rPr>
          <w:rFonts w:ascii="Arial" w:cs="Arial" w:eastAsia="Arial" w:hAnsi="Arial"/>
          <w:sz w:val="18"/>
          <w:szCs w:val="18"/>
          <w:color w:val="0088A6"/>
        </w:rPr>
      </w:pPr>
      <w:r>
        <w:rPr>
          <w:rFonts w:ascii="Arial" w:cs="Arial" w:eastAsia="Arial" w:hAnsi="Arial"/>
          <w:sz w:val="18"/>
          <w:szCs w:val="18"/>
          <w:color w:val="auto"/>
        </w:rPr>
        <w:t>collection and review of existing NASDAQ OMX compensation policies and pay structures;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25"/>
        </w:numPr>
        <w:rPr>
          <w:rFonts w:ascii="Arial" w:cs="Arial" w:eastAsia="Arial" w:hAnsi="Arial"/>
          <w:sz w:val="18"/>
          <w:szCs w:val="18"/>
          <w:color w:val="0088A6"/>
        </w:rPr>
      </w:pPr>
      <w:r>
        <w:rPr>
          <w:rFonts w:ascii="Arial" w:cs="Arial" w:eastAsia="Arial" w:hAnsi="Arial"/>
          <w:sz w:val="18"/>
          <w:szCs w:val="18"/>
          <w:color w:val="auto"/>
        </w:rPr>
        <w:t>development of a risk assessment scorecard, analysis approach and timeline;</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25"/>
        </w:numPr>
        <w:rPr>
          <w:rFonts w:ascii="Arial" w:cs="Arial" w:eastAsia="Arial" w:hAnsi="Arial"/>
          <w:sz w:val="18"/>
          <w:szCs w:val="18"/>
          <w:color w:val="0088A6"/>
        </w:rPr>
      </w:pPr>
      <w:r>
        <w:rPr>
          <w:rFonts w:ascii="Arial" w:cs="Arial" w:eastAsia="Arial" w:hAnsi="Arial"/>
          <w:sz w:val="18"/>
          <w:szCs w:val="18"/>
          <w:color w:val="auto"/>
        </w:rPr>
        <w:t>conduct of a qualitative risk assessment of performance goals to determine overall risk level; and</w:t>
      </w:r>
    </w:p>
    <w:p>
      <w:pPr>
        <w:spacing w:after="0" w:line="63" w:lineRule="exact"/>
        <w:rPr>
          <w:rFonts w:ascii="Arial" w:cs="Arial" w:eastAsia="Arial" w:hAnsi="Arial"/>
          <w:sz w:val="18"/>
          <w:szCs w:val="18"/>
          <w:color w:val="0088A6"/>
        </w:rPr>
      </w:pPr>
    </w:p>
    <w:p>
      <w:pPr>
        <w:ind w:left="1120" w:right="40" w:hanging="437"/>
        <w:spacing w:after="0" w:line="239" w:lineRule="auto"/>
        <w:tabs>
          <w:tab w:leader="none" w:pos="1120" w:val="left"/>
        </w:tabs>
        <w:numPr>
          <w:ilvl w:val="0"/>
          <w:numId w:val="25"/>
        </w:numPr>
        <w:rPr>
          <w:rFonts w:ascii="Arial" w:cs="Arial" w:eastAsia="Arial" w:hAnsi="Arial"/>
          <w:sz w:val="18"/>
          <w:szCs w:val="18"/>
          <w:color w:val="0088A6"/>
        </w:rPr>
      </w:pPr>
      <w:r>
        <w:rPr>
          <w:rFonts w:ascii="Arial" w:cs="Arial" w:eastAsia="Arial" w:hAnsi="Arial"/>
          <w:sz w:val="18"/>
          <w:szCs w:val="18"/>
          <w:color w:val="auto"/>
        </w:rPr>
        <w:t>review and evaluation of controls that might mitigate risk taking (e.g., equity vesting structure, incentive recoupment policy and stock ownership guidelines).</w:t>
      </w:r>
    </w:p>
    <w:p>
      <w:pPr>
        <w:spacing w:after="0" w:line="11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audit and management compensation committees of our board of directors both concluded, based on the risk assessment report’s findings, that any risks arising from our compensation program are not reasonably likely to have a material adverse effect on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7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NASDAQ OMX board has adopted corporate governance guidelines that set forth a flexible framework within which the board of directors and its committees operate. These guidelines cover a number of areas including the selection, composition and functions of our board, committee assignments and rotation, executive sessions, director orientation and continuing education, stock ownership guidelines for directors, evaluation of senior management and succession planning. Additionally, the guidelines set forth procedures in the event one or more nominees to the company’s board do not receive the affirmative vote of a majority of the votes cast in an uncontested election.</w:t>
      </w:r>
    </w:p>
    <w:p>
      <w:pPr>
        <w:spacing w:after="0" w:line="11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If an incumbent director desires to become a nominee of the board, the incumbent director must submit an irrevocable resignation contingent on (i) the incumbent not receiving a majority of the votes cast in</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360"/>
        <w:spacing w:after="0" w:line="237" w:lineRule="auto"/>
        <w:rPr>
          <w:sz w:val="20"/>
          <w:szCs w:val="20"/>
          <w:color w:val="auto"/>
        </w:rPr>
      </w:pPr>
      <w:r>
        <w:rPr>
          <w:rFonts w:ascii="Arial" w:cs="Arial" w:eastAsia="Arial" w:hAnsi="Arial"/>
          <w:sz w:val="18"/>
          <w:szCs w:val="18"/>
          <w:color w:val="auto"/>
        </w:rPr>
        <w:t>an uncontested election and (ii) acceptance of that resignation by the board. If the incumbent director does not receive the affirmative vote of a majority of the votes cast, the nominating &amp; governance committee will consider the resignation and recommend acceptance or rejection of the resignation to the board. The board will act on the resignation, taking the nominating &amp; governance committee’s recommendation into account, within 90 days following certification of the stockholder vote.</w:t>
      </w:r>
    </w:p>
    <w:p>
      <w:pPr>
        <w:spacing w:after="0" w:line="114" w:lineRule="exact"/>
        <w:rPr>
          <w:sz w:val="20"/>
          <w:szCs w:val="20"/>
          <w:color w:val="auto"/>
        </w:rPr>
      </w:pPr>
    </w:p>
    <w:p>
      <w:pPr>
        <w:ind w:right="440"/>
        <w:spacing w:after="0" w:line="299" w:lineRule="auto"/>
        <w:rPr>
          <w:sz w:val="20"/>
          <w:szCs w:val="20"/>
          <w:color w:val="auto"/>
        </w:rPr>
      </w:pPr>
      <w:r>
        <w:rPr>
          <w:rFonts w:ascii="Arial" w:cs="Arial" w:eastAsia="Arial" w:hAnsi="Arial"/>
          <w:sz w:val="16"/>
          <w:szCs w:val="16"/>
          <w:color w:val="auto"/>
        </w:rPr>
        <w:t>Thereafter, the board will promptly disclose its decision whether to accept or reject the director’s resignation (and the reasons for rejecting the resignation, if applicable) in a press release to be disseminated in the manner that NASDAQ OMX’s press releases typically are distributed.</w:t>
      </w:r>
    </w:p>
    <w:p>
      <w:pPr>
        <w:spacing w:after="0" w:line="6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Any incumbent director who fails to receive the votes required for re-election in an uncontested election and who tenders his or her resignation will remain active and engaged in board activities while the nominating &amp; governance committee considers his or her resignation. However, the incumbent director is expected to voluntarily recuse himself or herself from participation in any proceedings or consideration by the nominating &amp; governance committee or the board regarding the incumbent director.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7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also have adopted the NASDAQ OMX Code of Ethics, which is applicable to all of our employees, including the principal executive officer, the principal financial officer and the controller and principal accounting officer (senior executive and financial officers). We have a separate NASDAQ OMX Code of Conduct for the Board of Directors, which contains provisions specifically applicable to directors. We post amendments to or waivers from the NASDAQ OMX Code of Ethics (to the extent applicable to the senior executive and financial officers) or to the NASDAQ OMX Code of Conduct for the Board of Directors on our website at the location listed below. We also disclose amendments or waivers to the codes in any manner otherwise required by the standards applicable to companies listed on The NASDAQ Stock Market.</w:t>
      </w:r>
    </w:p>
    <w:p>
      <w:pPr>
        <w:spacing w:after="0" w:line="98"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 xml:space="preserve">The following materials related to our corporate governance are available publicly on our web site at </w:t>
      </w:r>
      <w:r>
        <w:rPr>
          <w:rFonts w:ascii="Arial" w:cs="Arial" w:eastAsia="Arial" w:hAnsi="Arial"/>
          <w:sz w:val="18"/>
          <w:szCs w:val="18"/>
          <w:i w:val="1"/>
          <w:iCs w:val="1"/>
          <w:color w:val="auto"/>
        </w:rPr>
        <w:t>http://ir.nasdaqomx.com/nasdaq-omx-group.cfm</w:t>
      </w:r>
      <w:r>
        <w:rPr>
          <w:rFonts w:ascii="Arial" w:cs="Arial" w:eastAsia="Arial" w:hAnsi="Arial"/>
          <w:sz w:val="18"/>
          <w:szCs w:val="18"/>
          <w:color w:val="auto"/>
        </w:rPr>
        <w:t>.</w:t>
      </w:r>
    </w:p>
    <w:p>
      <w:pPr>
        <w:spacing w:after="0" w:line="42" w:lineRule="exact"/>
        <w:rPr>
          <w:sz w:val="20"/>
          <w:szCs w:val="20"/>
          <w:color w:val="auto"/>
        </w:rPr>
      </w:pPr>
    </w:p>
    <w:p>
      <w:pPr>
        <w:ind w:left="1120" w:hanging="437"/>
        <w:spacing w:after="0"/>
        <w:tabs>
          <w:tab w:leader="none" w:pos="1120" w:val="left"/>
        </w:tabs>
        <w:numPr>
          <w:ilvl w:val="0"/>
          <w:numId w:val="26"/>
        </w:numPr>
        <w:rPr>
          <w:rFonts w:ascii="Arial" w:cs="Arial" w:eastAsia="Arial" w:hAnsi="Arial"/>
          <w:sz w:val="18"/>
          <w:szCs w:val="18"/>
          <w:color w:val="0088A6"/>
        </w:rPr>
      </w:pPr>
      <w:r>
        <w:rPr>
          <w:rFonts w:ascii="Arial" w:cs="Arial" w:eastAsia="Arial" w:hAnsi="Arial"/>
          <w:sz w:val="18"/>
          <w:szCs w:val="18"/>
          <w:color w:val="auto"/>
        </w:rPr>
        <w:t>Corporate Governance Guidelines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26"/>
        </w:numPr>
        <w:rPr>
          <w:rFonts w:ascii="Arial" w:cs="Arial" w:eastAsia="Arial" w:hAnsi="Arial"/>
          <w:sz w:val="18"/>
          <w:szCs w:val="18"/>
          <w:color w:val="0088A6"/>
        </w:rPr>
      </w:pPr>
      <w:r>
        <w:rPr>
          <w:rFonts w:ascii="Arial" w:cs="Arial" w:eastAsia="Arial" w:hAnsi="Arial"/>
          <w:sz w:val="18"/>
          <w:szCs w:val="18"/>
          <w:color w:val="auto"/>
        </w:rPr>
        <w:t>NASDAQ OMX Code of Ethics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26"/>
        </w:numPr>
        <w:rPr>
          <w:rFonts w:ascii="Arial" w:cs="Arial" w:eastAsia="Arial" w:hAnsi="Arial"/>
          <w:sz w:val="18"/>
          <w:szCs w:val="18"/>
          <w:color w:val="0088A6"/>
        </w:rPr>
      </w:pPr>
      <w:r>
        <w:rPr>
          <w:rFonts w:ascii="Arial" w:cs="Arial" w:eastAsia="Arial" w:hAnsi="Arial"/>
          <w:sz w:val="18"/>
          <w:szCs w:val="18"/>
          <w:color w:val="auto"/>
        </w:rPr>
        <w:t>NASDAQ OMX Code of Conduct for the Board of Directors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26"/>
        </w:numPr>
        <w:rPr>
          <w:rFonts w:ascii="Arial" w:cs="Arial" w:eastAsia="Arial" w:hAnsi="Arial"/>
          <w:sz w:val="18"/>
          <w:szCs w:val="18"/>
          <w:color w:val="0088A6"/>
        </w:rPr>
      </w:pPr>
      <w:r>
        <w:rPr>
          <w:rFonts w:ascii="Arial" w:cs="Arial" w:eastAsia="Arial" w:hAnsi="Arial"/>
          <w:sz w:val="18"/>
          <w:szCs w:val="18"/>
          <w:color w:val="auto"/>
        </w:rPr>
        <w:t>Procedures to Report Concerns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26"/>
        </w:numPr>
        <w:rPr>
          <w:rFonts w:ascii="Arial" w:cs="Arial" w:eastAsia="Arial" w:hAnsi="Arial"/>
          <w:sz w:val="18"/>
          <w:szCs w:val="18"/>
          <w:color w:val="0088A6"/>
        </w:rPr>
      </w:pPr>
      <w:r>
        <w:rPr>
          <w:rFonts w:ascii="Arial" w:cs="Arial" w:eastAsia="Arial" w:hAnsi="Arial"/>
          <w:sz w:val="18"/>
          <w:szCs w:val="18"/>
          <w:color w:val="auto"/>
        </w:rPr>
        <w:t>Procedures for Communicating with the Board of Directors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26"/>
        </w:numPr>
        <w:rPr>
          <w:rFonts w:ascii="Arial" w:cs="Arial" w:eastAsia="Arial" w:hAnsi="Arial"/>
          <w:sz w:val="18"/>
          <w:szCs w:val="18"/>
          <w:color w:val="0088A6"/>
        </w:rPr>
      </w:pPr>
      <w:r>
        <w:rPr>
          <w:rFonts w:ascii="Arial" w:cs="Arial" w:eastAsia="Arial" w:hAnsi="Arial"/>
          <w:sz w:val="18"/>
          <w:szCs w:val="18"/>
          <w:color w:val="auto"/>
        </w:rPr>
        <w:t>Board of Directors Duties and Obligations</w:t>
      </w:r>
    </w:p>
    <w:p>
      <w:pPr>
        <w:spacing w:after="0" w:line="11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Copies also may be obtained, free of charge, by writing to our corporate secretary at the address listed below under “Stockholder Communication With Directors.” Please specify the document that you would like to receive. Our charter, by-laws and committee charters also are online at the same web address.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BY-LAW AMENDMENTS</w:t>
      </w:r>
    </w:p>
    <w:p>
      <w:pPr>
        <w:spacing w:after="0" w:line="7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At last year’s annual meeting, our stockholders considered a stockholder proposal requesting that the board of directors amend our by-laws to enable stockholders to call a special meeting. While that proposal was not approved by stockholders, our nominating &amp; governance committee and board of directors considered the feedback received from stockholders on the proposal and decided to respond to this feedback. Accordingly, the committee and board have approved proposed amendments to our by-laws to allow stockholders holding at least 15% of NASDAQ OMX’s voting power to call a special meeting under the following circumstances.</w:t>
      </w:r>
    </w:p>
    <w:p>
      <w:pPr>
        <w:spacing w:after="0" w:line="130" w:lineRule="exact"/>
        <w:rPr>
          <w:sz w:val="20"/>
          <w:szCs w:val="20"/>
          <w:color w:val="auto"/>
        </w:rPr>
      </w:pPr>
    </w:p>
    <w:p>
      <w:pPr>
        <w:ind w:left="1120" w:right="200" w:hanging="437"/>
        <w:spacing w:after="0" w:line="239" w:lineRule="auto"/>
        <w:tabs>
          <w:tab w:leader="none" w:pos="1120" w:val="left"/>
        </w:tabs>
        <w:numPr>
          <w:ilvl w:val="0"/>
          <w:numId w:val="27"/>
        </w:numPr>
        <w:rPr>
          <w:rFonts w:ascii="Arial" w:cs="Arial" w:eastAsia="Arial" w:hAnsi="Arial"/>
          <w:sz w:val="18"/>
          <w:szCs w:val="18"/>
          <w:color w:val="0088A6"/>
        </w:rPr>
      </w:pPr>
      <w:r>
        <w:rPr>
          <w:rFonts w:ascii="Arial" w:cs="Arial" w:eastAsia="Arial" w:hAnsi="Arial"/>
          <w:sz w:val="18"/>
          <w:szCs w:val="18"/>
          <w:color w:val="auto"/>
        </w:rPr>
        <w:t>The stockholders calling the special meeting must be record holders and must have held a “net long position” equivalent to 15% of the outstanding common stock entitled to vote continuously for one year prior to the request to call a special meeting.</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20" w:right="100" w:hanging="437"/>
        <w:spacing w:after="0" w:line="239" w:lineRule="auto"/>
        <w:tabs>
          <w:tab w:leader="none" w:pos="1120" w:val="left"/>
        </w:tabs>
        <w:numPr>
          <w:ilvl w:val="0"/>
          <w:numId w:val="28"/>
        </w:numPr>
        <w:rPr>
          <w:rFonts w:ascii="Arial" w:cs="Arial" w:eastAsia="Arial" w:hAnsi="Arial"/>
          <w:sz w:val="18"/>
          <w:szCs w:val="18"/>
          <w:color w:val="0088A6"/>
        </w:rPr>
      </w:pPr>
      <w:r>
        <w:rPr>
          <w:rFonts w:ascii="Arial" w:cs="Arial" w:eastAsia="Arial" w:hAnsi="Arial"/>
          <w:sz w:val="18"/>
          <w:szCs w:val="18"/>
          <w:color w:val="auto"/>
        </w:rPr>
        <w:t>Upon receipt of a stockholder request to call a special meeting, NASDAQ OMX’s board of directors must set the meeting within 120 days.</w:t>
      </w:r>
    </w:p>
    <w:p>
      <w:pPr>
        <w:spacing w:after="0" w:line="127" w:lineRule="exact"/>
        <w:rPr>
          <w:rFonts w:ascii="Arial" w:cs="Arial" w:eastAsia="Arial" w:hAnsi="Arial"/>
          <w:sz w:val="18"/>
          <w:szCs w:val="18"/>
          <w:color w:val="0088A6"/>
        </w:rPr>
      </w:pPr>
    </w:p>
    <w:p>
      <w:pPr>
        <w:ind w:left="1120" w:right="100" w:hanging="437"/>
        <w:spacing w:after="0" w:line="239" w:lineRule="auto"/>
        <w:tabs>
          <w:tab w:leader="none" w:pos="1120" w:val="left"/>
        </w:tabs>
        <w:numPr>
          <w:ilvl w:val="0"/>
          <w:numId w:val="28"/>
        </w:numPr>
        <w:rPr>
          <w:rFonts w:ascii="Arial" w:cs="Arial" w:eastAsia="Arial" w:hAnsi="Arial"/>
          <w:sz w:val="18"/>
          <w:szCs w:val="18"/>
          <w:color w:val="0088A6"/>
        </w:rPr>
      </w:pPr>
      <w:r>
        <w:rPr>
          <w:rFonts w:ascii="Arial" w:cs="Arial" w:eastAsia="Arial" w:hAnsi="Arial"/>
          <w:sz w:val="18"/>
          <w:szCs w:val="18"/>
          <w:color w:val="auto"/>
        </w:rPr>
        <w:t>A special meeting request will not be valid if it relates to an item of business that is not a proper subject for stockholder action under applicable law.</w:t>
      </w:r>
    </w:p>
    <w:p>
      <w:pPr>
        <w:spacing w:after="0" w:line="127" w:lineRule="exact"/>
        <w:rPr>
          <w:rFonts w:ascii="Arial" w:cs="Arial" w:eastAsia="Arial" w:hAnsi="Arial"/>
          <w:sz w:val="18"/>
          <w:szCs w:val="18"/>
          <w:color w:val="0088A6"/>
        </w:rPr>
      </w:pPr>
    </w:p>
    <w:p>
      <w:pPr>
        <w:jc w:val="both"/>
        <w:ind w:left="1120" w:right="220" w:hanging="437"/>
        <w:spacing w:after="0" w:line="238" w:lineRule="auto"/>
        <w:tabs>
          <w:tab w:leader="none" w:pos="1120" w:val="left"/>
        </w:tabs>
        <w:numPr>
          <w:ilvl w:val="0"/>
          <w:numId w:val="28"/>
        </w:numPr>
        <w:rPr>
          <w:rFonts w:ascii="Arial" w:cs="Arial" w:eastAsia="Arial" w:hAnsi="Arial"/>
          <w:sz w:val="18"/>
          <w:szCs w:val="18"/>
          <w:color w:val="0088A6"/>
        </w:rPr>
      </w:pPr>
      <w:r>
        <w:rPr>
          <w:rFonts w:ascii="Arial" w:cs="Arial" w:eastAsia="Arial" w:hAnsi="Arial"/>
          <w:sz w:val="18"/>
          <w:szCs w:val="18"/>
          <w:color w:val="auto"/>
        </w:rPr>
        <w:t>A special meeting request will not be valid if it is delivered: (i) within 90 days before an annual meeting; (ii) within 120 days after a meeting at which a similar item was considered; or (iii) when a similar item is to be presented at a meeting that has been called by NASDAQ OMX, but not yet held.</w:t>
      </w:r>
    </w:p>
    <w:p>
      <w:pPr>
        <w:spacing w:after="0" w:line="127" w:lineRule="exact"/>
        <w:rPr>
          <w:rFonts w:ascii="Arial" w:cs="Arial" w:eastAsia="Arial" w:hAnsi="Arial"/>
          <w:sz w:val="18"/>
          <w:szCs w:val="18"/>
          <w:color w:val="0088A6"/>
        </w:rPr>
      </w:pPr>
    </w:p>
    <w:p>
      <w:pPr>
        <w:ind w:left="1120" w:right="280" w:hanging="437"/>
        <w:spacing w:after="0" w:line="239" w:lineRule="auto"/>
        <w:tabs>
          <w:tab w:leader="none" w:pos="1120" w:val="left"/>
        </w:tabs>
        <w:numPr>
          <w:ilvl w:val="0"/>
          <w:numId w:val="28"/>
        </w:numPr>
        <w:rPr>
          <w:rFonts w:ascii="Arial" w:cs="Arial" w:eastAsia="Arial" w:hAnsi="Arial"/>
          <w:sz w:val="18"/>
          <w:szCs w:val="18"/>
          <w:color w:val="0088A6"/>
        </w:rPr>
      </w:pPr>
      <w:r>
        <w:rPr>
          <w:rFonts w:ascii="Arial" w:cs="Arial" w:eastAsia="Arial" w:hAnsi="Arial"/>
          <w:sz w:val="18"/>
          <w:szCs w:val="18"/>
          <w:color w:val="auto"/>
        </w:rPr>
        <w:t>To be in proper form, a special meeting request must include certain disclosures about the proposing stockholders, any proposed nominees for director and any proposed items of business to be brought before a meeting.</w:t>
      </w:r>
    </w:p>
    <w:p>
      <w:pPr>
        <w:spacing w:after="0" w:line="114" w:lineRule="exact"/>
        <w:rPr>
          <w:sz w:val="20"/>
          <w:szCs w:val="20"/>
          <w:color w:val="auto"/>
        </w:rPr>
      </w:pPr>
    </w:p>
    <w:p>
      <w:pPr>
        <w:ind w:right="1520"/>
        <w:spacing w:after="0" w:line="367" w:lineRule="auto"/>
        <w:rPr>
          <w:sz w:val="20"/>
          <w:szCs w:val="20"/>
          <w:color w:val="auto"/>
        </w:rPr>
      </w:pPr>
      <w:r>
        <w:rPr>
          <w:rFonts w:ascii="Arial" w:cs="Arial" w:eastAsia="Arial" w:hAnsi="Arial"/>
          <w:sz w:val="18"/>
          <w:szCs w:val="18"/>
          <w:color w:val="auto"/>
        </w:rPr>
        <w:t xml:space="preserve">The proposed amendments to NASDAQ OMX’s by-laws will not become effective until they are filed and effective with the SEC. </w:t>
      </w:r>
      <w:r>
        <w:rPr>
          <w:rFonts w:ascii="Arial" w:cs="Arial" w:eastAsia="Arial" w:hAnsi="Arial"/>
          <w:sz w:val="18"/>
          <w:szCs w:val="18"/>
          <w:b w:val="1"/>
          <w:bCs w:val="1"/>
          <w:color w:val="auto"/>
        </w:rPr>
        <w:t>NASDAQ OMX BOARD ATTENDANCE AT MEETINGS OF STOCKHOLDERS</w:t>
      </w:r>
    </w:p>
    <w:p>
      <w:pPr>
        <w:spacing w:after="0" w:line="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NASDAQ OMX’s policy is to encourage all directors to attend annual and special meetings of our stockholders. Nine of the current members of NASDAQ OMX’s board attended the annual meeting held on May 22, 2012.</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PROPOSAL II</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RATIFICATION OF THE APPOINTMENT OF INDEPENDENT REGISTERED PUBLIC ACCOUNTING FIRM</w:t>
      </w:r>
    </w:p>
    <w:p>
      <w:pPr>
        <w:spacing w:after="0" w:line="14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audit committee of the board of directors has selected Ernst &amp; Young LLP as our independent registered public accounting firm to audit our financial statements for fiscal year 2013. We are asking the stockholders to ratify the audit committee’s selection of Ernst &amp; Young LLP to serve as our independent registered public accounting firm for fiscal year 2013. In the event the stockholders fail to ratify the selection of Ernst &amp; Young LLP, the audit committee will reconsider this selection. Even if the selection of Ernst &amp; Young LLP is ratified, the audit committee, in its discretion, may direct the selection of a different independent registered public accounting firm at any time during the year if the audit committee determines that such a change would be in the company’s and its stockholders’ best interests.</w:t>
      </w:r>
    </w:p>
    <w:p>
      <w:pPr>
        <w:spacing w:after="0" w:line="11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Ernst &amp; Young LLP has audited NASDAQ OMX’s financial statements since fiscal year 1986. Representatives of Ernst &amp; Young LLP are expected to be present at the annual meeting with the opportunity to make a statement if they desire to do so, and are expected to be available to respond to appropriate questions.</w:t>
      </w:r>
    </w:p>
    <w:p>
      <w:pPr>
        <w:spacing w:after="0" w:line="11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 table below shows the amount of fees NASDAQ OMX paid to Ernst &amp; Young LLP for fiscal years 2012 and 2011 (including expenses), which totaled $6,987,765 and $6,814,170 respectively. Details of the fees are based on the categories provided by the SEC auditor independence rules that became effective in 2003.</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660" w:type="dxa"/>
            <w:vAlign w:val="bottom"/>
            <w:tcBorders>
              <w:left w:val="single" w:sz="8" w:color="BFBFBF"/>
              <w:bottom w:val="single" w:sz="8" w:color="0088A6"/>
            </w:tcBorders>
            <w:shd w:val="clear" w:color="auto" w:fill="0088A6"/>
          </w:tcPr>
          <w:p>
            <w:pPr>
              <w:spacing w:after="0"/>
              <w:rPr>
                <w:sz w:val="24"/>
                <w:szCs w:val="24"/>
                <w:color w:val="auto"/>
              </w:rPr>
            </w:pPr>
          </w:p>
        </w:tc>
        <w:tc>
          <w:tcPr>
            <w:tcW w:w="3360" w:type="dxa"/>
            <w:vAlign w:val="bottom"/>
            <w:tcBorders>
              <w:bottom w:val="single" w:sz="8" w:color="0088A6"/>
              <w:right w:val="single" w:sz="8" w:color="BFBFBF"/>
            </w:tcBorders>
            <w:shd w:val="clear" w:color="auto" w:fill="0088A6"/>
          </w:tcPr>
          <w:p>
            <w:pPr>
              <w:spacing w:after="0"/>
              <w:rPr>
                <w:sz w:val="24"/>
                <w:szCs w:val="24"/>
                <w:color w:val="auto"/>
              </w:rPr>
            </w:pPr>
          </w:p>
        </w:tc>
        <w:tc>
          <w:tcPr>
            <w:tcW w:w="60" w:type="dxa"/>
            <w:vAlign w:val="bottom"/>
            <w:tcBorders>
              <w:bottom w:val="single" w:sz="8" w:color="0088A6"/>
            </w:tcBorders>
            <w:shd w:val="clear" w:color="auto" w:fill="0088A6"/>
          </w:tcPr>
          <w:p>
            <w:pPr>
              <w:spacing w:after="0"/>
              <w:rPr>
                <w:sz w:val="24"/>
                <w:szCs w:val="24"/>
                <w:color w:val="auto"/>
              </w:rPr>
            </w:pPr>
          </w:p>
        </w:tc>
        <w:tc>
          <w:tcPr>
            <w:tcW w:w="1960" w:type="dxa"/>
            <w:vAlign w:val="bottom"/>
            <w:tcBorders>
              <w:bottom w:val="single" w:sz="8" w:color="auto"/>
            </w:tcBorders>
            <w:shd w:val="clear" w:color="auto" w:fill="0088A6"/>
          </w:tcPr>
          <w:p>
            <w:pPr>
              <w:jc w:val="right"/>
              <w:ind w:right="692"/>
              <w:spacing w:after="0"/>
              <w:rPr>
                <w:sz w:val="20"/>
                <w:szCs w:val="20"/>
                <w:color w:val="auto"/>
              </w:rPr>
            </w:pPr>
            <w:r>
              <w:rPr>
                <w:rFonts w:ascii="Arial" w:cs="Arial" w:eastAsia="Arial" w:hAnsi="Arial"/>
                <w:sz w:val="18"/>
                <w:szCs w:val="18"/>
                <w:b w:val="1"/>
                <w:bCs w:val="1"/>
                <w:color w:val="FFFFFF"/>
              </w:rPr>
              <w:t>2012</w:t>
            </w:r>
          </w:p>
        </w:tc>
        <w:tc>
          <w:tcPr>
            <w:tcW w:w="140" w:type="dxa"/>
            <w:vAlign w:val="bottom"/>
            <w:tcBorders>
              <w:bottom w:val="single" w:sz="8" w:color="0088A6"/>
              <w:right w:val="single" w:sz="8" w:color="BFBFBF"/>
            </w:tcBorders>
            <w:shd w:val="clear" w:color="auto" w:fill="0088A6"/>
          </w:tcPr>
          <w:p>
            <w:pPr>
              <w:spacing w:after="0"/>
              <w:rPr>
                <w:sz w:val="24"/>
                <w:szCs w:val="24"/>
                <w:color w:val="auto"/>
              </w:rPr>
            </w:pPr>
          </w:p>
        </w:tc>
        <w:tc>
          <w:tcPr>
            <w:tcW w:w="60" w:type="dxa"/>
            <w:vAlign w:val="bottom"/>
            <w:tcBorders>
              <w:bottom w:val="single" w:sz="8" w:color="0088A6"/>
            </w:tcBorders>
            <w:shd w:val="clear" w:color="auto" w:fill="0088A6"/>
          </w:tcPr>
          <w:p>
            <w:pPr>
              <w:spacing w:after="0"/>
              <w:rPr>
                <w:sz w:val="24"/>
                <w:szCs w:val="24"/>
                <w:color w:val="auto"/>
              </w:rPr>
            </w:pPr>
          </w:p>
        </w:tc>
        <w:tc>
          <w:tcPr>
            <w:tcW w:w="1960" w:type="dxa"/>
            <w:vAlign w:val="bottom"/>
            <w:tcBorders>
              <w:bottom w:val="single" w:sz="8" w:color="auto"/>
            </w:tcBorders>
            <w:shd w:val="clear" w:color="auto" w:fill="0088A6"/>
          </w:tcPr>
          <w:p>
            <w:pPr>
              <w:jc w:val="right"/>
              <w:ind w:right="692"/>
              <w:spacing w:after="0"/>
              <w:rPr>
                <w:sz w:val="20"/>
                <w:szCs w:val="20"/>
                <w:color w:val="auto"/>
              </w:rPr>
            </w:pPr>
            <w:r>
              <w:rPr>
                <w:rFonts w:ascii="Arial" w:cs="Arial" w:eastAsia="Arial" w:hAnsi="Arial"/>
                <w:sz w:val="18"/>
                <w:szCs w:val="18"/>
                <w:b w:val="1"/>
                <w:bCs w:val="1"/>
                <w:color w:val="FFFFFF"/>
              </w:rPr>
              <w:t>2011</w:t>
            </w:r>
          </w:p>
        </w:tc>
        <w:tc>
          <w:tcPr>
            <w:tcW w:w="240" w:type="dxa"/>
            <w:vAlign w:val="bottom"/>
            <w:tcBorders>
              <w:bottom w:val="single" w:sz="8" w:color="0088A6"/>
              <w:right w:val="single" w:sz="8" w:color="BFBFBF"/>
            </w:tcBorders>
            <w:shd w:val="clear" w:color="auto" w:fill="0088A6"/>
          </w:tcPr>
          <w:p>
            <w:pPr>
              <w:spacing w:after="0"/>
              <w:rPr>
                <w:sz w:val="24"/>
                <w:szCs w:val="24"/>
                <w:color w:val="auto"/>
              </w:rPr>
            </w:pPr>
          </w:p>
        </w:tc>
      </w:tr>
      <w:tr>
        <w:trPr>
          <w:trHeight w:val="186"/>
        </w:trPr>
        <w:tc>
          <w:tcPr>
            <w:tcW w:w="7020" w:type="dxa"/>
            <w:vAlign w:val="bottom"/>
            <w:tcBorders>
              <w:top w:val="single" w:sz="8" w:color="BFBFBF"/>
              <w:left w:val="single" w:sz="8" w:color="BFBFBF"/>
              <w:right w:val="single" w:sz="8" w:color="BFBFBF"/>
            </w:tcBorders>
            <w:gridSpan w:val="2"/>
          </w:tcPr>
          <w:p>
            <w:pPr>
              <w:ind w:left="120"/>
              <w:spacing w:after="0" w:line="186" w:lineRule="exact"/>
              <w:rPr>
                <w:sz w:val="20"/>
                <w:szCs w:val="20"/>
                <w:color w:val="auto"/>
              </w:rPr>
            </w:pPr>
            <w:r>
              <w:rPr>
                <w:rFonts w:ascii="Arial" w:cs="Arial" w:eastAsia="Arial" w:hAnsi="Arial"/>
                <w:sz w:val="18"/>
                <w:szCs w:val="18"/>
                <w:color w:val="auto"/>
              </w:rPr>
              <w:t>Audit fees(1)</w:t>
            </w:r>
          </w:p>
        </w:tc>
        <w:tc>
          <w:tcPr>
            <w:tcW w:w="2020" w:type="dxa"/>
            <w:vAlign w:val="bottom"/>
            <w:tcBorders>
              <w:top w:val="single" w:sz="8" w:color="BFBFBF"/>
            </w:tcBorders>
            <w:gridSpan w:val="2"/>
          </w:tcPr>
          <w:p>
            <w:pPr>
              <w:jc w:val="right"/>
              <w:ind w:right="552"/>
              <w:spacing w:after="0" w:line="186" w:lineRule="exact"/>
              <w:rPr>
                <w:sz w:val="20"/>
                <w:szCs w:val="20"/>
                <w:color w:val="auto"/>
              </w:rPr>
            </w:pPr>
            <w:r>
              <w:rPr>
                <w:rFonts w:ascii="Arial" w:cs="Arial" w:eastAsia="Arial" w:hAnsi="Arial"/>
                <w:sz w:val="18"/>
                <w:szCs w:val="18"/>
                <w:color w:val="auto"/>
              </w:rPr>
              <w:t>6,408,642</w:t>
            </w:r>
          </w:p>
        </w:tc>
        <w:tc>
          <w:tcPr>
            <w:tcW w:w="140" w:type="dxa"/>
            <w:vAlign w:val="bottom"/>
            <w:tcBorders>
              <w:top w:val="single" w:sz="8" w:color="BFBFBF"/>
              <w:right w:val="single" w:sz="8" w:color="BFBFBF"/>
            </w:tcBorders>
          </w:tcPr>
          <w:p>
            <w:pPr>
              <w:spacing w:after="0"/>
              <w:rPr>
                <w:sz w:val="16"/>
                <w:szCs w:val="16"/>
                <w:color w:val="auto"/>
              </w:rPr>
            </w:pPr>
          </w:p>
        </w:tc>
        <w:tc>
          <w:tcPr>
            <w:tcW w:w="2020" w:type="dxa"/>
            <w:vAlign w:val="bottom"/>
            <w:tcBorders>
              <w:top w:val="single" w:sz="8" w:color="BFBFBF"/>
            </w:tcBorders>
            <w:gridSpan w:val="2"/>
          </w:tcPr>
          <w:p>
            <w:pPr>
              <w:jc w:val="right"/>
              <w:ind w:right="532"/>
              <w:spacing w:after="0" w:line="186" w:lineRule="exact"/>
              <w:rPr>
                <w:sz w:val="20"/>
                <w:szCs w:val="20"/>
                <w:color w:val="auto"/>
              </w:rPr>
            </w:pPr>
            <w:r>
              <w:rPr>
                <w:rFonts w:ascii="Arial" w:cs="Arial" w:eastAsia="Arial" w:hAnsi="Arial"/>
                <w:sz w:val="18"/>
                <w:szCs w:val="18"/>
                <w:color w:val="auto"/>
              </w:rPr>
              <w:t>6,445,095</w:t>
            </w:r>
          </w:p>
        </w:tc>
        <w:tc>
          <w:tcPr>
            <w:tcW w:w="240" w:type="dxa"/>
            <w:vAlign w:val="bottom"/>
            <w:tcBorders>
              <w:top w:val="single" w:sz="8" w:color="BFBFBF"/>
              <w:right w:val="single" w:sz="8" w:color="BFBFBF"/>
            </w:tcBorders>
          </w:tcPr>
          <w:p>
            <w:pPr>
              <w:spacing w:after="0"/>
              <w:rPr>
                <w:sz w:val="16"/>
                <w:szCs w:val="16"/>
                <w:color w:val="auto"/>
              </w:rPr>
            </w:pPr>
          </w:p>
        </w:tc>
      </w:tr>
      <w:tr>
        <w:trPr>
          <w:trHeight w:val="199"/>
        </w:trPr>
        <w:tc>
          <w:tcPr>
            <w:tcW w:w="3660" w:type="dxa"/>
            <w:vAlign w:val="bottom"/>
            <w:tcBorders>
              <w:left w:val="single" w:sz="8" w:color="BFBFBF"/>
              <w:bottom w:val="single" w:sz="8" w:color="BFBFBF"/>
            </w:tcBorders>
          </w:tcPr>
          <w:p>
            <w:pPr>
              <w:spacing w:after="0"/>
              <w:rPr>
                <w:sz w:val="17"/>
                <w:szCs w:val="17"/>
                <w:color w:val="auto"/>
              </w:rPr>
            </w:pPr>
          </w:p>
        </w:tc>
        <w:tc>
          <w:tcPr>
            <w:tcW w:w="3360" w:type="dxa"/>
            <w:vAlign w:val="bottom"/>
            <w:tcBorders>
              <w:bottom w:val="single" w:sz="8" w:color="BFBFBF"/>
              <w:right w:val="single" w:sz="8" w:color="BFBFBF"/>
            </w:tcBorders>
          </w:tcPr>
          <w:p>
            <w:pPr>
              <w:spacing w:after="0"/>
              <w:rPr>
                <w:sz w:val="17"/>
                <w:szCs w:val="17"/>
                <w:color w:val="auto"/>
              </w:rPr>
            </w:pPr>
          </w:p>
        </w:tc>
        <w:tc>
          <w:tcPr>
            <w:tcW w:w="2020" w:type="dxa"/>
            <w:vAlign w:val="bottom"/>
            <w:tcBorders>
              <w:bottom w:val="single" w:sz="8" w:color="BFBFBF"/>
            </w:tcBorders>
            <w:gridSpan w:val="2"/>
          </w:tcPr>
          <w:p>
            <w:pPr>
              <w:jc w:val="right"/>
              <w:ind w:right="1712"/>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BFBFBF"/>
              <w:right w:val="single" w:sz="8" w:color="BFBFBF"/>
            </w:tcBorders>
          </w:tcPr>
          <w:p>
            <w:pPr>
              <w:spacing w:after="0"/>
              <w:rPr>
                <w:sz w:val="17"/>
                <w:szCs w:val="17"/>
                <w:color w:val="auto"/>
              </w:rPr>
            </w:pPr>
          </w:p>
        </w:tc>
        <w:tc>
          <w:tcPr>
            <w:tcW w:w="2020" w:type="dxa"/>
            <w:vAlign w:val="bottom"/>
            <w:tcBorders>
              <w:bottom w:val="single" w:sz="8" w:color="BFBFBF"/>
            </w:tcBorders>
            <w:gridSpan w:val="2"/>
          </w:tcPr>
          <w:p>
            <w:pPr>
              <w:jc w:val="right"/>
              <w:ind w:right="1712"/>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BFBFBF"/>
              <w:right w:val="single" w:sz="8" w:color="BFBFBF"/>
            </w:tcBorders>
          </w:tcPr>
          <w:p>
            <w:pPr>
              <w:spacing w:after="0"/>
              <w:rPr>
                <w:sz w:val="17"/>
                <w:szCs w:val="17"/>
                <w:color w:val="auto"/>
              </w:rPr>
            </w:pPr>
          </w:p>
        </w:tc>
      </w:tr>
      <w:tr>
        <w:trPr>
          <w:trHeight w:val="196"/>
        </w:trPr>
        <w:tc>
          <w:tcPr>
            <w:tcW w:w="70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Audit-related fees(2)</w:t>
            </w:r>
          </w:p>
        </w:tc>
        <w:tc>
          <w:tcPr>
            <w:tcW w:w="60" w:type="dxa"/>
            <w:vAlign w:val="bottom"/>
            <w:tcBorders>
              <w:bottom w:val="single" w:sz="8" w:color="BFBFBF"/>
            </w:tcBorders>
          </w:tcPr>
          <w:p>
            <w:pPr>
              <w:spacing w:after="0"/>
              <w:rPr>
                <w:sz w:val="17"/>
                <w:szCs w:val="17"/>
                <w:color w:val="auto"/>
              </w:rPr>
            </w:pPr>
          </w:p>
        </w:tc>
        <w:tc>
          <w:tcPr>
            <w:tcW w:w="1960" w:type="dxa"/>
            <w:vAlign w:val="bottom"/>
            <w:tcBorders>
              <w:bottom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389,000</w:t>
            </w:r>
          </w:p>
        </w:tc>
        <w:tc>
          <w:tcPr>
            <w:tcW w:w="140" w:type="dxa"/>
            <w:vAlign w:val="bottom"/>
            <w:tcBorders>
              <w:bottom w:val="single" w:sz="8" w:color="BFBFBF"/>
              <w:right w:val="single" w:sz="8" w:color="BFBFBF"/>
            </w:tcBorders>
          </w:tcPr>
          <w:p>
            <w:pPr>
              <w:spacing w:after="0"/>
              <w:rPr>
                <w:sz w:val="17"/>
                <w:szCs w:val="17"/>
                <w:color w:val="auto"/>
              </w:rPr>
            </w:pPr>
          </w:p>
        </w:tc>
        <w:tc>
          <w:tcPr>
            <w:tcW w:w="60" w:type="dxa"/>
            <w:vAlign w:val="bottom"/>
            <w:tcBorders>
              <w:bottom w:val="single" w:sz="8" w:color="BFBFBF"/>
            </w:tcBorders>
          </w:tcPr>
          <w:p>
            <w:pPr>
              <w:spacing w:after="0"/>
              <w:rPr>
                <w:sz w:val="17"/>
                <w:szCs w:val="17"/>
                <w:color w:val="auto"/>
              </w:rPr>
            </w:pPr>
          </w:p>
        </w:tc>
        <w:tc>
          <w:tcPr>
            <w:tcW w:w="1960" w:type="dxa"/>
            <w:vAlign w:val="bottom"/>
            <w:tcBorders>
              <w:bottom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95,000</w:t>
            </w:r>
          </w:p>
        </w:tc>
        <w:tc>
          <w:tcPr>
            <w:tcW w:w="240" w:type="dxa"/>
            <w:vAlign w:val="bottom"/>
            <w:tcBorders>
              <w:bottom w:val="single" w:sz="8" w:color="BFBFBF"/>
              <w:right w:val="single" w:sz="8" w:color="BFBFBF"/>
            </w:tcBorders>
          </w:tcPr>
          <w:p>
            <w:pPr>
              <w:spacing w:after="0"/>
              <w:rPr>
                <w:sz w:val="17"/>
                <w:szCs w:val="17"/>
                <w:color w:val="auto"/>
              </w:rPr>
            </w:pPr>
          </w:p>
        </w:tc>
      </w:tr>
      <w:tr>
        <w:trPr>
          <w:trHeight w:val="20"/>
        </w:trPr>
        <w:tc>
          <w:tcPr>
            <w:tcW w:w="3660" w:type="dxa"/>
            <w:vAlign w:val="bottom"/>
            <w:tcBorders>
              <w:bottom w:val="single" w:sz="8" w:color="BFBFBF"/>
            </w:tcBorders>
          </w:tcPr>
          <w:p>
            <w:pPr>
              <w:spacing w:after="0" w:line="20" w:lineRule="exact"/>
              <w:rPr>
                <w:sz w:val="1"/>
                <w:szCs w:val="1"/>
                <w:color w:val="auto"/>
              </w:rPr>
            </w:pPr>
          </w:p>
        </w:tc>
        <w:tc>
          <w:tcPr>
            <w:tcW w:w="3360" w:type="dxa"/>
            <w:vAlign w:val="bottom"/>
            <w:tcBorders>
              <w:bottom w:val="single" w:sz="8" w:color="BFBFBF"/>
            </w:tcBorders>
          </w:tcPr>
          <w:p>
            <w:pPr>
              <w:spacing w:after="0" w:line="20" w:lineRule="exact"/>
              <w:rPr>
                <w:sz w:val="1"/>
                <w:szCs w:val="1"/>
                <w:color w:val="auto"/>
              </w:rPr>
            </w:pPr>
          </w:p>
        </w:tc>
        <w:tc>
          <w:tcPr>
            <w:tcW w:w="2020" w:type="dxa"/>
            <w:vAlign w:val="bottom"/>
            <w:tcBorders>
              <w:bottom w:val="single" w:sz="8" w:color="BFBFBF"/>
            </w:tcBorders>
            <w:gridSpan w:val="2"/>
          </w:tcPr>
          <w:p>
            <w:pPr>
              <w:spacing w:after="0" w:line="20" w:lineRule="exact"/>
              <w:rPr>
                <w:sz w:val="1"/>
                <w:szCs w:val="1"/>
                <w:color w:val="auto"/>
              </w:rPr>
            </w:pPr>
          </w:p>
        </w:tc>
        <w:tc>
          <w:tcPr>
            <w:tcW w:w="140" w:type="dxa"/>
            <w:vAlign w:val="bottom"/>
            <w:tcBorders>
              <w:bottom w:val="single" w:sz="8" w:color="BFBFBF"/>
            </w:tcBorders>
          </w:tcPr>
          <w:p>
            <w:pPr>
              <w:spacing w:after="0" w:line="20" w:lineRule="exact"/>
              <w:rPr>
                <w:sz w:val="1"/>
                <w:szCs w:val="1"/>
                <w:color w:val="auto"/>
              </w:rPr>
            </w:pPr>
          </w:p>
        </w:tc>
        <w:tc>
          <w:tcPr>
            <w:tcW w:w="2020" w:type="dxa"/>
            <w:vAlign w:val="bottom"/>
            <w:tcBorders>
              <w:bottom w:val="single" w:sz="8" w:color="BFBFBF"/>
            </w:tcBorders>
            <w:gridSpan w:val="2"/>
          </w:tcPr>
          <w:p>
            <w:pPr>
              <w:spacing w:after="0" w:line="20" w:lineRule="exact"/>
              <w:rPr>
                <w:sz w:val="1"/>
                <w:szCs w:val="1"/>
                <w:color w:val="auto"/>
              </w:rPr>
            </w:pPr>
          </w:p>
        </w:tc>
        <w:tc>
          <w:tcPr>
            <w:tcW w:w="240" w:type="dxa"/>
            <w:vAlign w:val="bottom"/>
            <w:tcBorders>
              <w:bottom w:val="single" w:sz="8" w:color="BFBFBF"/>
            </w:tcBorders>
          </w:tcPr>
          <w:p>
            <w:pPr>
              <w:spacing w:after="0" w:line="20" w:lineRule="exact"/>
              <w:rPr>
                <w:sz w:val="1"/>
                <w:szCs w:val="1"/>
                <w:color w:val="auto"/>
              </w:rPr>
            </w:pPr>
          </w:p>
        </w:tc>
      </w:tr>
      <w:tr>
        <w:trPr>
          <w:trHeight w:val="60"/>
        </w:trPr>
        <w:tc>
          <w:tcPr>
            <w:tcW w:w="3660" w:type="dxa"/>
            <w:vAlign w:val="bottom"/>
            <w:tcBorders>
              <w:bottom w:val="single" w:sz="8" w:color="BFBFBF"/>
            </w:tcBorders>
          </w:tcPr>
          <w:p>
            <w:pPr>
              <w:spacing w:after="0"/>
              <w:rPr>
                <w:sz w:val="5"/>
                <w:szCs w:val="5"/>
                <w:color w:val="auto"/>
              </w:rPr>
            </w:pPr>
          </w:p>
        </w:tc>
        <w:tc>
          <w:tcPr>
            <w:tcW w:w="3360" w:type="dxa"/>
            <w:vAlign w:val="bottom"/>
            <w:tcBorders>
              <w:bottom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1960" w:type="dxa"/>
            <w:vAlign w:val="bottom"/>
            <w:tcBorders>
              <w:bottom w:val="single" w:sz="8" w:color="BFBFBF"/>
            </w:tcBorders>
          </w:tcPr>
          <w:p>
            <w:pPr>
              <w:spacing w:after="0"/>
              <w:rPr>
                <w:sz w:val="5"/>
                <w:szCs w:val="5"/>
                <w:color w:val="auto"/>
              </w:rPr>
            </w:pPr>
          </w:p>
        </w:tc>
        <w:tc>
          <w:tcPr>
            <w:tcW w:w="140" w:type="dxa"/>
            <w:vAlign w:val="bottom"/>
            <w:tcBorders>
              <w:bottom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1960" w:type="dxa"/>
            <w:vAlign w:val="bottom"/>
            <w:tcBorders>
              <w:bottom w:val="single" w:sz="8" w:color="BFBFBF"/>
            </w:tcBorders>
          </w:tcPr>
          <w:p>
            <w:pPr>
              <w:spacing w:after="0"/>
              <w:rPr>
                <w:sz w:val="5"/>
                <w:szCs w:val="5"/>
                <w:color w:val="auto"/>
              </w:rPr>
            </w:pPr>
          </w:p>
        </w:tc>
        <w:tc>
          <w:tcPr>
            <w:tcW w:w="240" w:type="dxa"/>
            <w:vAlign w:val="bottom"/>
            <w:tcBorders>
              <w:bottom w:val="single" w:sz="8" w:color="BFBFBF"/>
            </w:tcBorders>
          </w:tcPr>
          <w:p>
            <w:pPr>
              <w:spacing w:after="0"/>
              <w:rPr>
                <w:sz w:val="5"/>
                <w:szCs w:val="5"/>
                <w:color w:val="auto"/>
              </w:rPr>
            </w:pPr>
          </w:p>
        </w:tc>
      </w:tr>
      <w:tr>
        <w:trPr>
          <w:trHeight w:val="144"/>
        </w:trPr>
        <w:tc>
          <w:tcPr>
            <w:tcW w:w="7020" w:type="dxa"/>
            <w:vAlign w:val="bottom"/>
            <w:tcBorders>
              <w:left w:val="single" w:sz="8" w:color="BFBFBF"/>
              <w:bottom w:val="single" w:sz="8" w:color="BFBFBF"/>
              <w:right w:val="single" w:sz="8" w:color="BFBFBF"/>
            </w:tcBorders>
            <w:gridSpan w:val="2"/>
          </w:tcPr>
          <w:p>
            <w:pPr>
              <w:ind w:left="120"/>
              <w:spacing w:after="0" w:line="144" w:lineRule="exact"/>
              <w:rPr>
                <w:sz w:val="20"/>
                <w:szCs w:val="20"/>
                <w:color w:val="auto"/>
              </w:rPr>
            </w:pPr>
            <w:r>
              <w:rPr>
                <w:rFonts w:ascii="Arial" w:cs="Arial" w:eastAsia="Arial" w:hAnsi="Arial"/>
                <w:sz w:val="16"/>
                <w:szCs w:val="16"/>
                <w:color w:val="auto"/>
              </w:rPr>
              <w:t>Audit and audit-related fees</w:t>
            </w:r>
          </w:p>
        </w:tc>
        <w:tc>
          <w:tcPr>
            <w:tcW w:w="2020" w:type="dxa"/>
            <w:vAlign w:val="bottom"/>
            <w:tcBorders>
              <w:bottom w:val="single" w:sz="8" w:color="BFBFBF"/>
            </w:tcBorders>
            <w:gridSpan w:val="2"/>
          </w:tcPr>
          <w:p>
            <w:pPr>
              <w:jc w:val="right"/>
              <w:ind w:right="692"/>
              <w:spacing w:after="0" w:line="144" w:lineRule="exact"/>
              <w:rPr>
                <w:sz w:val="20"/>
                <w:szCs w:val="20"/>
                <w:color w:val="auto"/>
              </w:rPr>
            </w:pPr>
            <w:r>
              <w:rPr>
                <w:rFonts w:ascii="Arial" w:cs="Arial" w:eastAsia="Arial" w:hAnsi="Arial"/>
                <w:sz w:val="16"/>
                <w:szCs w:val="16"/>
                <w:color w:val="auto"/>
              </w:rPr>
              <w:t>6,797,642</w:t>
            </w:r>
          </w:p>
        </w:tc>
        <w:tc>
          <w:tcPr>
            <w:tcW w:w="140" w:type="dxa"/>
            <w:vAlign w:val="bottom"/>
            <w:tcBorders>
              <w:bottom w:val="single" w:sz="8" w:color="BFBFBF"/>
              <w:right w:val="single" w:sz="8" w:color="BFBFBF"/>
            </w:tcBorders>
          </w:tcPr>
          <w:p>
            <w:pPr>
              <w:spacing w:after="0"/>
              <w:rPr>
                <w:sz w:val="12"/>
                <w:szCs w:val="12"/>
                <w:color w:val="auto"/>
              </w:rPr>
            </w:pPr>
          </w:p>
        </w:tc>
        <w:tc>
          <w:tcPr>
            <w:tcW w:w="2020" w:type="dxa"/>
            <w:vAlign w:val="bottom"/>
            <w:tcBorders>
              <w:bottom w:val="single" w:sz="8" w:color="BFBFBF"/>
            </w:tcBorders>
            <w:gridSpan w:val="2"/>
          </w:tcPr>
          <w:p>
            <w:pPr>
              <w:jc w:val="right"/>
              <w:ind w:right="692"/>
              <w:spacing w:after="0" w:line="144" w:lineRule="exact"/>
              <w:rPr>
                <w:sz w:val="20"/>
                <w:szCs w:val="20"/>
                <w:color w:val="auto"/>
              </w:rPr>
            </w:pPr>
            <w:r>
              <w:rPr>
                <w:rFonts w:ascii="Arial" w:cs="Arial" w:eastAsia="Arial" w:hAnsi="Arial"/>
                <w:sz w:val="16"/>
                <w:szCs w:val="16"/>
                <w:color w:val="auto"/>
              </w:rPr>
              <w:t>6,540,095</w:t>
            </w:r>
          </w:p>
        </w:tc>
        <w:tc>
          <w:tcPr>
            <w:tcW w:w="240" w:type="dxa"/>
            <w:vAlign w:val="bottom"/>
            <w:tcBorders>
              <w:bottom w:val="single" w:sz="8" w:color="BFBFBF"/>
              <w:right w:val="single" w:sz="8" w:color="BFBFBF"/>
            </w:tcBorders>
          </w:tcPr>
          <w:p>
            <w:pPr>
              <w:spacing w:after="0"/>
              <w:rPr>
                <w:sz w:val="12"/>
                <w:szCs w:val="12"/>
                <w:color w:val="auto"/>
              </w:rPr>
            </w:pPr>
          </w:p>
        </w:tc>
      </w:tr>
      <w:tr>
        <w:trPr>
          <w:trHeight w:val="196"/>
        </w:trPr>
        <w:tc>
          <w:tcPr>
            <w:tcW w:w="70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Tax fees(3)</w:t>
            </w:r>
          </w:p>
        </w:tc>
        <w:tc>
          <w:tcPr>
            <w:tcW w:w="2020" w:type="dxa"/>
            <w:vAlign w:val="bottom"/>
            <w:tcBorders>
              <w:bottom w:val="single" w:sz="8" w:color="BFBFBF"/>
            </w:tcBorders>
            <w:gridSpan w:val="2"/>
          </w:tcPr>
          <w:p>
            <w:pPr>
              <w:jc w:val="right"/>
              <w:ind w:right="692"/>
              <w:spacing w:after="0" w:line="196" w:lineRule="exact"/>
              <w:rPr>
                <w:sz w:val="20"/>
                <w:szCs w:val="20"/>
                <w:color w:val="auto"/>
              </w:rPr>
            </w:pPr>
            <w:r>
              <w:rPr>
                <w:rFonts w:ascii="Arial" w:cs="Arial" w:eastAsia="Arial" w:hAnsi="Arial"/>
                <w:sz w:val="18"/>
                <w:szCs w:val="18"/>
                <w:color w:val="auto"/>
              </w:rPr>
              <w:t>3,200</w:t>
            </w:r>
          </w:p>
        </w:tc>
        <w:tc>
          <w:tcPr>
            <w:tcW w:w="140" w:type="dxa"/>
            <w:vAlign w:val="bottom"/>
            <w:tcBorders>
              <w:bottom w:val="single" w:sz="8" w:color="BFBFBF"/>
              <w:right w:val="single" w:sz="8" w:color="BFBFBF"/>
            </w:tcBorders>
          </w:tcPr>
          <w:p>
            <w:pPr>
              <w:spacing w:after="0"/>
              <w:rPr>
                <w:sz w:val="17"/>
                <w:szCs w:val="17"/>
                <w:color w:val="auto"/>
              </w:rPr>
            </w:pPr>
          </w:p>
        </w:tc>
        <w:tc>
          <w:tcPr>
            <w:tcW w:w="2020" w:type="dxa"/>
            <w:vAlign w:val="bottom"/>
            <w:tcBorders>
              <w:bottom w:val="single" w:sz="8" w:color="BFBFBF"/>
            </w:tcBorders>
            <w:gridSpan w:val="2"/>
          </w:tcPr>
          <w:p>
            <w:pPr>
              <w:jc w:val="right"/>
              <w:ind w:right="692"/>
              <w:spacing w:after="0" w:line="196" w:lineRule="exact"/>
              <w:rPr>
                <w:sz w:val="20"/>
                <w:szCs w:val="20"/>
                <w:color w:val="auto"/>
              </w:rPr>
            </w:pPr>
            <w:r>
              <w:rPr>
                <w:rFonts w:ascii="Arial" w:cs="Arial" w:eastAsia="Arial" w:hAnsi="Arial"/>
                <w:sz w:val="18"/>
                <w:szCs w:val="18"/>
                <w:color w:val="auto"/>
              </w:rPr>
              <w:t>3,450</w:t>
            </w:r>
          </w:p>
        </w:tc>
        <w:tc>
          <w:tcPr>
            <w:tcW w:w="240" w:type="dxa"/>
            <w:vAlign w:val="bottom"/>
            <w:tcBorders>
              <w:bottom w:val="single" w:sz="8" w:color="BFBFBF"/>
              <w:right w:val="single" w:sz="8" w:color="BFBFBF"/>
            </w:tcBorders>
          </w:tcPr>
          <w:p>
            <w:pPr>
              <w:spacing w:after="0"/>
              <w:rPr>
                <w:sz w:val="17"/>
                <w:szCs w:val="17"/>
                <w:color w:val="auto"/>
              </w:rPr>
            </w:pPr>
          </w:p>
        </w:tc>
      </w:tr>
      <w:tr>
        <w:trPr>
          <w:trHeight w:val="216"/>
        </w:trPr>
        <w:tc>
          <w:tcPr>
            <w:tcW w:w="7020" w:type="dxa"/>
            <w:vAlign w:val="bottom"/>
            <w:tcBorders>
              <w:left w:val="single" w:sz="8" w:color="BFBFBF"/>
              <w:bottom w:val="single" w:sz="8" w:color="BFBFBF"/>
              <w:right w:val="single" w:sz="8" w:color="BFBFBF"/>
            </w:tcBorders>
            <w:gridSpan w:val="2"/>
          </w:tcPr>
          <w:p>
            <w:pPr>
              <w:ind w:left="120"/>
              <w:spacing w:after="0" w:line="196" w:lineRule="exact"/>
              <w:rPr>
                <w:sz w:val="20"/>
                <w:szCs w:val="20"/>
                <w:color w:val="auto"/>
              </w:rPr>
            </w:pPr>
            <w:r>
              <w:rPr>
                <w:rFonts w:ascii="Arial" w:cs="Arial" w:eastAsia="Arial" w:hAnsi="Arial"/>
                <w:sz w:val="18"/>
                <w:szCs w:val="18"/>
                <w:color w:val="auto"/>
              </w:rPr>
              <w:t>All other fees(4)</w:t>
            </w:r>
          </w:p>
        </w:tc>
        <w:tc>
          <w:tcPr>
            <w:tcW w:w="60" w:type="dxa"/>
            <w:vAlign w:val="bottom"/>
            <w:tcBorders>
              <w:bottom w:val="single" w:sz="8" w:color="BFBFBF"/>
            </w:tcBorders>
          </w:tcPr>
          <w:p>
            <w:pPr>
              <w:spacing w:after="0"/>
              <w:rPr>
                <w:sz w:val="18"/>
                <w:szCs w:val="18"/>
                <w:color w:val="auto"/>
              </w:rPr>
            </w:pPr>
          </w:p>
        </w:tc>
        <w:tc>
          <w:tcPr>
            <w:tcW w:w="1960" w:type="dxa"/>
            <w:vAlign w:val="bottom"/>
            <w:tcBorders>
              <w:bottom w:val="single" w:sz="8" w:color="BFBFBF"/>
            </w:tcBorders>
          </w:tcPr>
          <w:p>
            <w:pPr>
              <w:jc w:val="right"/>
              <w:ind w:right="692"/>
              <w:spacing w:after="0" w:line="196" w:lineRule="exact"/>
              <w:rPr>
                <w:sz w:val="20"/>
                <w:szCs w:val="20"/>
                <w:color w:val="auto"/>
              </w:rPr>
            </w:pPr>
            <w:r>
              <w:rPr>
                <w:rFonts w:ascii="Arial" w:cs="Arial" w:eastAsia="Arial" w:hAnsi="Arial"/>
                <w:sz w:val="18"/>
                <w:szCs w:val="18"/>
                <w:color w:val="auto"/>
              </w:rPr>
              <w:t>186,923</w:t>
            </w:r>
          </w:p>
        </w:tc>
        <w:tc>
          <w:tcPr>
            <w:tcW w:w="140" w:type="dxa"/>
            <w:vAlign w:val="bottom"/>
            <w:tcBorders>
              <w:bottom w:val="single" w:sz="8" w:color="BFBFBF"/>
              <w:right w:val="single" w:sz="8" w:color="BFBFBF"/>
            </w:tcBorders>
          </w:tcPr>
          <w:p>
            <w:pPr>
              <w:spacing w:after="0"/>
              <w:rPr>
                <w:sz w:val="18"/>
                <w:szCs w:val="18"/>
                <w:color w:val="auto"/>
              </w:rPr>
            </w:pPr>
          </w:p>
        </w:tc>
        <w:tc>
          <w:tcPr>
            <w:tcW w:w="2020" w:type="dxa"/>
            <w:vAlign w:val="bottom"/>
            <w:tcBorders>
              <w:bottom w:val="single" w:sz="8" w:color="BFBFBF"/>
            </w:tcBorders>
            <w:gridSpan w:val="2"/>
          </w:tcPr>
          <w:p>
            <w:pPr>
              <w:jc w:val="right"/>
              <w:ind w:right="692"/>
              <w:spacing w:after="0" w:line="196" w:lineRule="exact"/>
              <w:rPr>
                <w:sz w:val="20"/>
                <w:szCs w:val="20"/>
                <w:color w:val="auto"/>
              </w:rPr>
            </w:pPr>
            <w:r>
              <w:rPr>
                <w:rFonts w:ascii="Arial" w:cs="Arial" w:eastAsia="Arial" w:hAnsi="Arial"/>
                <w:sz w:val="18"/>
                <w:szCs w:val="18"/>
                <w:color w:val="auto"/>
              </w:rPr>
              <w:t>270,625</w:t>
            </w:r>
          </w:p>
        </w:tc>
        <w:tc>
          <w:tcPr>
            <w:tcW w:w="240" w:type="dxa"/>
            <w:vAlign w:val="bottom"/>
            <w:tcBorders>
              <w:bottom w:val="single" w:sz="8" w:color="BFBFBF"/>
              <w:right w:val="single" w:sz="8" w:color="BFBFBF"/>
            </w:tcBorders>
          </w:tcPr>
          <w:p>
            <w:pPr>
              <w:spacing w:after="0"/>
              <w:rPr>
                <w:sz w:val="18"/>
                <w:szCs w:val="18"/>
                <w:color w:val="auto"/>
              </w:rPr>
            </w:pPr>
          </w:p>
        </w:tc>
      </w:tr>
      <w:tr>
        <w:trPr>
          <w:trHeight w:val="40"/>
        </w:trPr>
        <w:tc>
          <w:tcPr>
            <w:tcW w:w="3660" w:type="dxa"/>
            <w:vAlign w:val="bottom"/>
            <w:tcBorders>
              <w:left w:val="single" w:sz="8" w:color="BFBFBF"/>
              <w:bottom w:val="single" w:sz="8" w:color="BFBFBF"/>
            </w:tcBorders>
          </w:tcPr>
          <w:p>
            <w:pPr>
              <w:spacing w:after="0"/>
              <w:rPr>
                <w:sz w:val="3"/>
                <w:szCs w:val="3"/>
                <w:color w:val="auto"/>
              </w:rPr>
            </w:pPr>
          </w:p>
        </w:tc>
        <w:tc>
          <w:tcPr>
            <w:tcW w:w="3360" w:type="dxa"/>
            <w:vAlign w:val="bottom"/>
            <w:tcBorders>
              <w:bottom w:val="single" w:sz="8" w:color="BFBFBF"/>
              <w:right w:val="single" w:sz="8" w:color="BFBFBF"/>
            </w:tcBorders>
          </w:tcPr>
          <w:p>
            <w:pPr>
              <w:spacing w:after="0"/>
              <w:rPr>
                <w:sz w:val="3"/>
                <w:szCs w:val="3"/>
                <w:color w:val="auto"/>
              </w:rPr>
            </w:pPr>
          </w:p>
        </w:tc>
        <w:tc>
          <w:tcPr>
            <w:tcW w:w="60" w:type="dxa"/>
            <w:vAlign w:val="bottom"/>
            <w:tcBorders>
              <w:bottom w:val="single" w:sz="8" w:color="BFBFBF"/>
            </w:tcBorders>
          </w:tcPr>
          <w:p>
            <w:pPr>
              <w:spacing w:after="0"/>
              <w:rPr>
                <w:sz w:val="3"/>
                <w:szCs w:val="3"/>
                <w:color w:val="auto"/>
              </w:rPr>
            </w:pPr>
          </w:p>
        </w:tc>
        <w:tc>
          <w:tcPr>
            <w:tcW w:w="1960" w:type="dxa"/>
            <w:vAlign w:val="bottom"/>
            <w:tcBorders>
              <w:top w:val="single" w:sz="8" w:color="auto"/>
              <w:bottom w:val="single" w:sz="8" w:color="BFBFBF"/>
            </w:tcBorders>
          </w:tcPr>
          <w:p>
            <w:pPr>
              <w:spacing w:after="0"/>
              <w:rPr>
                <w:sz w:val="3"/>
                <w:szCs w:val="3"/>
                <w:color w:val="auto"/>
              </w:rPr>
            </w:pPr>
          </w:p>
        </w:tc>
        <w:tc>
          <w:tcPr>
            <w:tcW w:w="140" w:type="dxa"/>
            <w:vAlign w:val="bottom"/>
            <w:tcBorders>
              <w:bottom w:val="single" w:sz="8" w:color="BFBFBF"/>
              <w:right w:val="single" w:sz="8" w:color="BFBFBF"/>
            </w:tcBorders>
          </w:tcPr>
          <w:p>
            <w:pPr>
              <w:spacing w:after="0"/>
              <w:rPr>
                <w:sz w:val="3"/>
                <w:szCs w:val="3"/>
                <w:color w:val="auto"/>
              </w:rPr>
            </w:pPr>
          </w:p>
        </w:tc>
        <w:tc>
          <w:tcPr>
            <w:tcW w:w="60" w:type="dxa"/>
            <w:vAlign w:val="bottom"/>
            <w:tcBorders>
              <w:bottom w:val="single" w:sz="8" w:color="BFBFBF"/>
            </w:tcBorders>
          </w:tcPr>
          <w:p>
            <w:pPr>
              <w:spacing w:after="0"/>
              <w:rPr>
                <w:sz w:val="3"/>
                <w:szCs w:val="3"/>
                <w:color w:val="auto"/>
              </w:rPr>
            </w:pPr>
          </w:p>
        </w:tc>
        <w:tc>
          <w:tcPr>
            <w:tcW w:w="1960" w:type="dxa"/>
            <w:vAlign w:val="bottom"/>
            <w:tcBorders>
              <w:top w:val="single" w:sz="8" w:color="auto"/>
              <w:bottom w:val="single" w:sz="8" w:color="BFBFBF"/>
            </w:tcBorders>
          </w:tcPr>
          <w:p>
            <w:pPr>
              <w:spacing w:after="0"/>
              <w:rPr>
                <w:sz w:val="3"/>
                <w:szCs w:val="3"/>
                <w:color w:val="auto"/>
              </w:rPr>
            </w:pPr>
          </w:p>
        </w:tc>
        <w:tc>
          <w:tcPr>
            <w:tcW w:w="240" w:type="dxa"/>
            <w:vAlign w:val="bottom"/>
            <w:tcBorders>
              <w:bottom w:val="single" w:sz="8" w:color="BFBFBF"/>
              <w:right w:val="single" w:sz="8" w:color="BFBFBF"/>
            </w:tcBorders>
          </w:tcPr>
          <w:p>
            <w:pPr>
              <w:spacing w:after="0"/>
              <w:rPr>
                <w:sz w:val="3"/>
                <w:szCs w:val="3"/>
                <w:color w:val="auto"/>
              </w:rPr>
            </w:pPr>
          </w:p>
        </w:tc>
      </w:tr>
      <w:tr>
        <w:trPr>
          <w:trHeight w:val="173"/>
        </w:trPr>
        <w:tc>
          <w:tcPr>
            <w:tcW w:w="7020" w:type="dxa"/>
            <w:vAlign w:val="bottom"/>
            <w:tcBorders>
              <w:left w:val="single" w:sz="8" w:color="BFBFBF"/>
              <w:right w:val="single" w:sz="8" w:color="BFBFBF"/>
            </w:tcBorders>
            <w:gridSpan w:val="2"/>
          </w:tcPr>
          <w:p>
            <w:pPr>
              <w:ind w:left="120"/>
              <w:spacing w:after="0" w:line="173" w:lineRule="exact"/>
              <w:rPr>
                <w:sz w:val="20"/>
                <w:szCs w:val="20"/>
                <w:color w:val="auto"/>
              </w:rPr>
            </w:pPr>
            <w:r>
              <w:rPr>
                <w:rFonts w:ascii="Arial" w:cs="Arial" w:eastAsia="Arial" w:hAnsi="Arial"/>
                <w:sz w:val="18"/>
                <w:szCs w:val="18"/>
                <w:color w:val="auto"/>
              </w:rPr>
              <w:t>Total(5)</w:t>
            </w:r>
          </w:p>
        </w:tc>
        <w:tc>
          <w:tcPr>
            <w:tcW w:w="60" w:type="dxa"/>
            <w:vAlign w:val="bottom"/>
          </w:tcPr>
          <w:p>
            <w:pPr>
              <w:spacing w:after="0"/>
              <w:rPr>
                <w:sz w:val="15"/>
                <w:szCs w:val="15"/>
                <w:color w:val="auto"/>
              </w:rPr>
            </w:pPr>
          </w:p>
        </w:tc>
        <w:tc>
          <w:tcPr>
            <w:tcW w:w="1960" w:type="dxa"/>
            <w:vAlign w:val="bottom"/>
          </w:tcPr>
          <w:p>
            <w:pPr>
              <w:jc w:val="right"/>
              <w:ind w:right="552"/>
              <w:spacing w:after="0" w:line="173" w:lineRule="exact"/>
              <w:rPr>
                <w:sz w:val="20"/>
                <w:szCs w:val="20"/>
                <w:color w:val="auto"/>
              </w:rPr>
            </w:pPr>
            <w:r>
              <w:rPr>
                <w:rFonts w:ascii="Arial" w:cs="Arial" w:eastAsia="Arial" w:hAnsi="Arial"/>
                <w:sz w:val="18"/>
                <w:szCs w:val="18"/>
                <w:color w:val="auto"/>
              </w:rPr>
              <w:t>6,987,765</w:t>
            </w:r>
          </w:p>
        </w:tc>
        <w:tc>
          <w:tcPr>
            <w:tcW w:w="140" w:type="dxa"/>
            <w:vAlign w:val="bottom"/>
            <w:tcBorders>
              <w:right w:val="single" w:sz="8" w:color="BFBFBF"/>
            </w:tcBorders>
          </w:tcPr>
          <w:p>
            <w:pPr>
              <w:spacing w:after="0"/>
              <w:rPr>
                <w:sz w:val="15"/>
                <w:szCs w:val="15"/>
                <w:color w:val="auto"/>
              </w:rPr>
            </w:pPr>
          </w:p>
        </w:tc>
        <w:tc>
          <w:tcPr>
            <w:tcW w:w="60" w:type="dxa"/>
            <w:vAlign w:val="bottom"/>
          </w:tcPr>
          <w:p>
            <w:pPr>
              <w:spacing w:after="0"/>
              <w:rPr>
                <w:sz w:val="15"/>
                <w:szCs w:val="15"/>
                <w:color w:val="auto"/>
              </w:rPr>
            </w:pPr>
          </w:p>
        </w:tc>
        <w:tc>
          <w:tcPr>
            <w:tcW w:w="1960" w:type="dxa"/>
            <w:vAlign w:val="bottom"/>
          </w:tcPr>
          <w:p>
            <w:pPr>
              <w:jc w:val="right"/>
              <w:ind w:right="532"/>
              <w:spacing w:after="0" w:line="173" w:lineRule="exact"/>
              <w:rPr>
                <w:sz w:val="20"/>
                <w:szCs w:val="20"/>
                <w:color w:val="auto"/>
              </w:rPr>
            </w:pPr>
            <w:r>
              <w:rPr>
                <w:rFonts w:ascii="Arial" w:cs="Arial" w:eastAsia="Arial" w:hAnsi="Arial"/>
                <w:sz w:val="18"/>
                <w:szCs w:val="18"/>
                <w:color w:val="auto"/>
              </w:rPr>
              <w:t>6,814,170</w:t>
            </w:r>
          </w:p>
        </w:tc>
        <w:tc>
          <w:tcPr>
            <w:tcW w:w="240" w:type="dxa"/>
            <w:vAlign w:val="bottom"/>
            <w:tcBorders>
              <w:right w:val="single" w:sz="8" w:color="BFBFBF"/>
            </w:tcBorders>
          </w:tcPr>
          <w:p>
            <w:pPr>
              <w:spacing w:after="0"/>
              <w:rPr>
                <w:sz w:val="15"/>
                <w:szCs w:val="15"/>
                <w:color w:val="auto"/>
              </w:rPr>
            </w:pPr>
          </w:p>
        </w:tc>
      </w:tr>
      <w:tr>
        <w:trPr>
          <w:trHeight w:val="219"/>
        </w:trPr>
        <w:tc>
          <w:tcPr>
            <w:tcW w:w="3660" w:type="dxa"/>
            <w:vAlign w:val="bottom"/>
            <w:tcBorders>
              <w:left w:val="single" w:sz="8" w:color="BFBFBF"/>
              <w:bottom w:val="single" w:sz="8" w:color="BFBFBF"/>
            </w:tcBorders>
          </w:tcPr>
          <w:p>
            <w:pPr>
              <w:spacing w:after="0"/>
              <w:rPr>
                <w:sz w:val="19"/>
                <w:szCs w:val="19"/>
                <w:color w:val="auto"/>
              </w:rPr>
            </w:pPr>
          </w:p>
        </w:tc>
        <w:tc>
          <w:tcPr>
            <w:tcW w:w="3360" w:type="dxa"/>
            <w:vAlign w:val="bottom"/>
            <w:tcBorders>
              <w:bottom w:val="single" w:sz="8" w:color="BFBFBF"/>
              <w:right w:val="single" w:sz="8" w:color="BFBFBF"/>
            </w:tcBorders>
          </w:tcPr>
          <w:p>
            <w:pPr>
              <w:spacing w:after="0"/>
              <w:rPr>
                <w:sz w:val="19"/>
                <w:szCs w:val="19"/>
                <w:color w:val="auto"/>
              </w:rPr>
            </w:pPr>
          </w:p>
        </w:tc>
        <w:tc>
          <w:tcPr>
            <w:tcW w:w="2020" w:type="dxa"/>
            <w:vAlign w:val="bottom"/>
            <w:tcBorders>
              <w:bottom w:val="single" w:sz="8" w:color="BFBFBF"/>
            </w:tcBorders>
            <w:gridSpan w:val="2"/>
          </w:tcPr>
          <w:p>
            <w:pPr>
              <w:jc w:val="right"/>
              <w:ind w:right="1712"/>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BFBFBF"/>
              <w:right w:val="single" w:sz="8" w:color="BFBFBF"/>
            </w:tcBorders>
          </w:tcPr>
          <w:p>
            <w:pPr>
              <w:spacing w:after="0"/>
              <w:rPr>
                <w:sz w:val="19"/>
                <w:szCs w:val="19"/>
                <w:color w:val="auto"/>
              </w:rPr>
            </w:pPr>
          </w:p>
        </w:tc>
        <w:tc>
          <w:tcPr>
            <w:tcW w:w="2020" w:type="dxa"/>
            <w:vAlign w:val="bottom"/>
            <w:tcBorders>
              <w:bottom w:val="single" w:sz="8" w:color="BFBFBF"/>
            </w:tcBorders>
            <w:gridSpan w:val="2"/>
          </w:tcPr>
          <w:p>
            <w:pPr>
              <w:jc w:val="right"/>
              <w:ind w:right="1712"/>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BFBFBF"/>
              <w:right w:val="single" w:sz="8" w:color="BFBFBF"/>
            </w:tcBorders>
          </w:tcPr>
          <w:p>
            <w:pPr>
              <w:spacing w:after="0"/>
              <w:rPr>
                <w:sz w:val="19"/>
                <w:szCs w:val="19"/>
                <w:color w:val="auto"/>
              </w:rPr>
            </w:pPr>
          </w:p>
        </w:tc>
      </w:tr>
      <w:tr>
        <w:trPr>
          <w:trHeight w:val="20"/>
        </w:trPr>
        <w:tc>
          <w:tcPr>
            <w:tcW w:w="3660" w:type="dxa"/>
            <w:vAlign w:val="bottom"/>
            <w:tcBorders>
              <w:left w:val="single" w:sz="8" w:color="BFBFBF"/>
            </w:tcBorders>
          </w:tcPr>
          <w:p>
            <w:pPr>
              <w:spacing w:after="0" w:line="20" w:lineRule="exact"/>
              <w:rPr>
                <w:sz w:val="1"/>
                <w:szCs w:val="1"/>
                <w:color w:val="auto"/>
              </w:rPr>
            </w:pPr>
          </w:p>
        </w:tc>
        <w:tc>
          <w:tcPr>
            <w:tcW w:w="3360" w:type="dxa"/>
            <w:vAlign w:val="bottom"/>
            <w:tcBorders>
              <w:right w:val="single" w:sz="8" w:color="BFBFB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BFBFB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BFBFBF"/>
            </w:tcBorders>
          </w:tcPr>
          <w:p>
            <w:pPr>
              <w:spacing w:after="0" w:line="20" w:lineRule="exact"/>
              <w:rPr>
                <w:sz w:val="1"/>
                <w:szCs w:val="1"/>
                <w:color w:val="auto"/>
              </w:rPr>
            </w:pPr>
          </w:p>
        </w:tc>
      </w:tr>
      <w:tr>
        <w:trPr>
          <w:trHeight w:val="20"/>
        </w:trPr>
        <w:tc>
          <w:tcPr>
            <w:tcW w:w="3660" w:type="dxa"/>
            <w:vAlign w:val="bottom"/>
            <w:tcBorders>
              <w:left w:val="single" w:sz="8" w:color="BFBFBF"/>
              <w:bottom w:val="single" w:sz="8" w:color="BFBFBF"/>
            </w:tcBorders>
          </w:tcPr>
          <w:p>
            <w:pPr>
              <w:spacing w:after="0" w:line="20" w:lineRule="exact"/>
              <w:rPr>
                <w:sz w:val="1"/>
                <w:szCs w:val="1"/>
                <w:color w:val="auto"/>
              </w:rPr>
            </w:pPr>
          </w:p>
        </w:tc>
        <w:tc>
          <w:tcPr>
            <w:tcW w:w="3360" w:type="dxa"/>
            <w:vAlign w:val="bottom"/>
            <w:tcBorders>
              <w:bottom w:val="single" w:sz="8" w:color="BFBFBF"/>
              <w:right w:val="single" w:sz="8" w:color="BFBFBF"/>
            </w:tcBorders>
          </w:tcPr>
          <w:p>
            <w:pPr>
              <w:spacing w:after="0" w:line="20" w:lineRule="exact"/>
              <w:rPr>
                <w:sz w:val="1"/>
                <w:szCs w:val="1"/>
                <w:color w:val="auto"/>
              </w:rPr>
            </w:pPr>
          </w:p>
        </w:tc>
        <w:tc>
          <w:tcPr>
            <w:tcW w:w="60" w:type="dxa"/>
            <w:vAlign w:val="bottom"/>
            <w:tcBorders>
              <w:bottom w:val="single" w:sz="8" w:color="BFBFBF"/>
            </w:tcBorders>
          </w:tcPr>
          <w:p>
            <w:pPr>
              <w:spacing w:after="0" w:line="20" w:lineRule="exact"/>
              <w:rPr>
                <w:sz w:val="1"/>
                <w:szCs w:val="1"/>
                <w:color w:val="auto"/>
              </w:rPr>
            </w:pPr>
          </w:p>
        </w:tc>
        <w:tc>
          <w:tcPr>
            <w:tcW w:w="1960" w:type="dxa"/>
            <w:vAlign w:val="bottom"/>
            <w:tcBorders>
              <w:bottom w:val="single" w:sz="8" w:color="BFBFBF"/>
            </w:tcBorders>
          </w:tcPr>
          <w:p>
            <w:pPr>
              <w:spacing w:after="0" w:line="20" w:lineRule="exact"/>
              <w:rPr>
                <w:sz w:val="1"/>
                <w:szCs w:val="1"/>
                <w:color w:val="auto"/>
              </w:rPr>
            </w:pPr>
          </w:p>
        </w:tc>
        <w:tc>
          <w:tcPr>
            <w:tcW w:w="140" w:type="dxa"/>
            <w:vAlign w:val="bottom"/>
            <w:tcBorders>
              <w:bottom w:val="single" w:sz="8" w:color="BFBFBF"/>
              <w:right w:val="single" w:sz="8" w:color="BFBFBF"/>
            </w:tcBorders>
          </w:tcPr>
          <w:p>
            <w:pPr>
              <w:spacing w:after="0" w:line="20" w:lineRule="exact"/>
              <w:rPr>
                <w:sz w:val="1"/>
                <w:szCs w:val="1"/>
                <w:color w:val="auto"/>
              </w:rPr>
            </w:pPr>
          </w:p>
        </w:tc>
        <w:tc>
          <w:tcPr>
            <w:tcW w:w="60" w:type="dxa"/>
            <w:vAlign w:val="bottom"/>
            <w:tcBorders>
              <w:bottom w:val="single" w:sz="8" w:color="BFBFBF"/>
            </w:tcBorders>
          </w:tcPr>
          <w:p>
            <w:pPr>
              <w:spacing w:after="0" w:line="20" w:lineRule="exact"/>
              <w:rPr>
                <w:sz w:val="1"/>
                <w:szCs w:val="1"/>
                <w:color w:val="auto"/>
              </w:rPr>
            </w:pPr>
          </w:p>
        </w:tc>
        <w:tc>
          <w:tcPr>
            <w:tcW w:w="1960" w:type="dxa"/>
            <w:vAlign w:val="bottom"/>
            <w:tcBorders>
              <w:bottom w:val="single" w:sz="8" w:color="BFBFBF"/>
            </w:tcBorders>
          </w:tcPr>
          <w:p>
            <w:pPr>
              <w:spacing w:after="0" w:line="20" w:lineRule="exact"/>
              <w:rPr>
                <w:sz w:val="1"/>
                <w:szCs w:val="1"/>
                <w:color w:val="auto"/>
              </w:rPr>
            </w:pPr>
          </w:p>
        </w:tc>
        <w:tc>
          <w:tcPr>
            <w:tcW w:w="240" w:type="dxa"/>
            <w:vAlign w:val="bottom"/>
            <w:tcBorders>
              <w:bottom w:val="single" w:sz="8" w:color="BFBFBF"/>
              <w:right w:val="single" w:sz="8" w:color="BFBFBF"/>
            </w:tcBorders>
          </w:tcPr>
          <w:p>
            <w:pPr>
              <w:spacing w:after="0" w:line="20" w:lineRule="exact"/>
              <w:rPr>
                <w:sz w:val="1"/>
                <w:szCs w:val="1"/>
                <w:color w:val="auto"/>
              </w:rPr>
            </w:pPr>
          </w:p>
        </w:tc>
      </w:tr>
      <w:tr>
        <w:trPr>
          <w:trHeight w:val="96"/>
        </w:trPr>
        <w:tc>
          <w:tcPr>
            <w:tcW w:w="366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-899795</wp:posOffset>
            </wp:positionV>
            <wp:extent cx="889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5143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-899795</wp:posOffset>
            </wp:positionV>
            <wp:extent cx="889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889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514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-899795</wp:posOffset>
            </wp:positionV>
            <wp:extent cx="889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51435"/>
                    </a:xfrm>
                    <a:prstGeom prst="rect">
                      <a:avLst/>
                    </a:prstGeom>
                    <a:noFill/>
                  </pic:spPr>
                </pic:pic>
              </a:graphicData>
            </a:graphic>
          </wp:anchor>
        </w:drawing>
      </w:r>
    </w:p>
    <w:p>
      <w:pPr>
        <w:spacing w:after="0" w:line="10" w:lineRule="exact"/>
        <w:rPr>
          <w:sz w:val="20"/>
          <w:szCs w:val="20"/>
          <w:color w:val="auto"/>
        </w:rPr>
      </w:pPr>
    </w:p>
    <w:p>
      <w:pPr>
        <w:ind w:left="580" w:right="280" w:hanging="572"/>
        <w:spacing w:after="0" w:line="239"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Audit services were provided globally in 2012 and 2011, and the fees related to the audits of international subsidiaries are translated into U.S. dollars at the date of the pre-approval.</w:t>
      </w:r>
    </w:p>
    <w:p>
      <w:pPr>
        <w:spacing w:after="0" w:line="60"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2012 and 2011 audit-related fees primarily include due diligence on strategic initiatives, including mergers and acquisitions.</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2012 and 2011 tax fees relate to tax compliance services provided to certain of NASDAQ OMX’s non-U.S. subsidiaries.</w:t>
      </w:r>
    </w:p>
    <w:p>
      <w:pPr>
        <w:spacing w:after="0" w:line="63" w:lineRule="exact"/>
        <w:rPr>
          <w:rFonts w:ascii="Arial" w:cs="Arial" w:eastAsia="Arial" w:hAnsi="Arial"/>
          <w:sz w:val="18"/>
          <w:szCs w:val="18"/>
          <w:color w:val="auto"/>
        </w:rPr>
      </w:pPr>
    </w:p>
    <w:p>
      <w:pPr>
        <w:ind w:left="580" w:right="120" w:hanging="572"/>
        <w:spacing w:after="0" w:line="281"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2012 and 2011 other fees primarily relate to Swedish Financial Supervisory Authority listing requirements for companies applying for a listing on NASDAQ OMX Stockholm AB. The validation of the company is required to be performed by an external accounting firm. The fees are collected from the listing company by NASDAQ OMX and paid to Ernst &amp; Young LLP on behalf of the listing company.</w:t>
      </w:r>
    </w:p>
    <w:p>
      <w:pPr>
        <w:spacing w:after="0" w:line="29" w:lineRule="exact"/>
        <w:rPr>
          <w:rFonts w:ascii="Arial" w:cs="Arial" w:eastAsia="Arial" w:hAnsi="Arial"/>
          <w:sz w:val="16"/>
          <w:szCs w:val="16"/>
          <w:color w:val="auto"/>
        </w:rPr>
      </w:pPr>
    </w:p>
    <w:p>
      <w:pPr>
        <w:ind w:left="580" w:right="460" w:hanging="572"/>
        <w:spacing w:after="0" w:line="239"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exclude services provided to NASDAQ OMX’s non-profit entities and services provided in relation to NASDAQ OMX’s role as the Securities Information Processor under the Unlisted Trading Privileges Plan.</w:t>
      </w:r>
    </w:p>
    <w:p>
      <w:pPr>
        <w:spacing w:after="0" w:line="11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Audit fees primarily represent fees for the audit of NASDAQ OMX’s annual financial statements included in our annual report on Form 10-K, the review of NASDAQ OMX’s quarterly reports on</w:t>
      </w:r>
    </w:p>
    <w:p>
      <w:pPr>
        <w:spacing w:after="0" w:line="141"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30</w:t>
      </w:r>
    </w:p>
    <w:p>
      <w:pPr>
        <w:sectPr>
          <w:pgSz w:w="11900" w:h="16838" w:orient="portrait"/>
          <w:cols w:equalWidth="0" w:num="1">
            <w:col w:w="11440"/>
          </w:cols>
          <w:pgMar w:left="240" w:top="459" w:right="2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Form 10-Q, statutory audits of subsidiaries as required by statutes and regulations, accounting consultations on matters addressed during the audit or interim reviews, comfort letters and consents, and internal control attestation and reporting requirements of Section 404 of the Sarbanes-Oxley Act of 2002. Audit-related fees primarily represent fees for consultations associated with strategic initiatives, including mergers and acquisitions.</w:t>
      </w:r>
    </w:p>
    <w:p>
      <w:pPr>
        <w:spacing w:after="0" w:line="8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Under the Sarbanes-Oxley Act, the audit committee is responsible for the appointment, compensation and oversight of the services provided by NASDAQ OMX’s independent registered public accounting firm. The audit committee is required to pre-approve both audit and non-audit services performed by the independent registered public accounting firm, and NASDAQ OMX’s audit committee pre-approved all such services in 2012 and 2011. See also “Audit Committee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50"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b w:val="1"/>
          <w:bCs w:val="1"/>
          <w:color w:val="0088A6"/>
        </w:rPr>
        <w:t>THE BOARD OF DIRECTORS UNANIMOUSLY RECOMMENDS A VOTE “FOR” RATIFICATION OF THE APPOINTMENT OF ERNST &amp; YOUNG LLP AS NASDAQ OMX’S INDEPENDENT REGISTERED PUBLIC ACCOUNTING FIRM FOR THE YEAR ENDED DECEMBER 31, 2013.</w:t>
      </w:r>
    </w:p>
    <w:p>
      <w:pPr>
        <w:spacing w:after="0" w:line="1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AUDIT COMMITTEE REPORT</w:t>
      </w:r>
    </w:p>
    <w:p>
      <w:pPr>
        <w:spacing w:after="0" w:line="3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In accordance with its written charter, the audit committee of the board of directors assists the board in fulfilling its responsibility for oversight of the quality and integrity of NASDAQ OMX’s accounting, auditing, financial reporting practices and risk management. The audit committee also assists the board by reviewing and discussing the effectiveness of controls over NASDAQ OMX’s regulatory and ERM structure and process. The audit committee also assists the board by reviewing and discussing NASDAQ OMX’s global ethics and compliance program and confidential whistleblower process. The audit committee charter complies with the applicable provisions of the Sarbanes-Oxley Act of 2002 and related rules of the SEC and The NASDAQ Stock Market. The complete text of the charter is available on NASDAQ OMX’s website at </w:t>
      </w:r>
      <w:r>
        <w:rPr>
          <w:rFonts w:ascii="Arial" w:cs="Arial" w:eastAsia="Arial" w:hAnsi="Arial"/>
          <w:sz w:val="18"/>
          <w:szCs w:val="18"/>
          <w:i w:val="1"/>
          <w:iCs w:val="1"/>
          <w:color w:val="auto"/>
        </w:rPr>
        <w:t>http://ir.nasdaqomx.com/nasdaq-omx-group.cfm</w:t>
      </w:r>
      <w:r>
        <w:rPr>
          <w:rFonts w:ascii="Arial" w:cs="Arial" w:eastAsia="Arial" w:hAnsi="Arial"/>
          <w:sz w:val="18"/>
          <w:szCs w:val="18"/>
          <w:color w:val="auto"/>
        </w:rPr>
        <w:t>.</w:t>
      </w:r>
    </w:p>
    <w:p>
      <w:pPr>
        <w:spacing w:after="0" w:line="11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Each of the audit committee members meets the independence criteria prescribed by applicable law and the rules of the SEC and is an “independent director” as defined in the rules of The NASDAQ Stock Market. Each of the audit committee members meets the financial knowledge requirements of The NASDAQ Stock Market, and Dr. Markese and Ms. McColgan have been designated by the board of directors as “audit committee financial experts” under SEC rules.</w:t>
      </w:r>
    </w:p>
    <w:p>
      <w:pPr>
        <w:spacing w:after="0" w:line="114"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The audit committee obtained from the independent registered public accounting firm a formal written statement describing all relationships between the firm and NASDAQ OMX that might bear on the firm’s independence, consistent with the applicable requirements of the Public Company Accounting Oversight Board. The audit committee discussed with the independent registered public accounting firm any relationships that may impact the firm’s objectivity and independence and satisfied itself as to the firm’s independence. The audit committee discussed and reviewed with the independent registered public accounting firm all communications required by generally accepted auditing standards, including those described in Statement on Auditing Standards No. 61, as amended, “Communication with Audit Committees” as adopted by the Public Company Accounting Oversight Board in Rule 3200T, and with and without management present, discussed and reviewed the results of the independent registered public accounting firm’s examination of the financial statements. The audit committee also discussed the results of the internal audit examinations and ERM program results. The audit committee approved all audit and allowable non-audit services.</w:t>
      </w:r>
    </w:p>
    <w:p>
      <w:pPr>
        <w:spacing w:after="0" w:line="96"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The audit committee discussed with management, the internal auditors and the independent registered public accounting firm the quality and adequacy of NASDAQ OMX’s internal controls and the internal audit function’s organization, responsibilities, budget and staffing. The audit committee reviewed with both the independent registered public accounting firm and the internal auditors their audit plans, audit scope and identification of audit risks. In addition, the audit committee reviewed and approved all related party transactions.</w:t>
      </w:r>
    </w:p>
    <w:p>
      <w:pPr>
        <w:spacing w:after="0" w:line="11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audit committee reviewed and discussed NASDAQ OMX’s audited financial statements as of and for the fiscal year ended December 31, 2012, with management and the independent registered public accounting firm. Management has the responsibility for the preparation of NASDAQ OMX’s financial statements and the independent registered public accounting firm has the responsibility for the examination of those statements. Also, the audit committee completed its oversight of the global ethics and compliance program and confidential whistleblower process.</w:t>
      </w:r>
    </w:p>
    <w:p>
      <w:pPr>
        <w:spacing w:after="0" w:line="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Based on the above-mentioned reviews and discussions, the audit committee recommended to the board of directors that the audited financial statements be included in NASDAQ OMX’s annual report on Form 10-K for the fiscal year ended December 31, 2012 for filing with the SEC. The audit committee also recommended the reappointment, subject to stockholder ratification, of the independent registered public accounting firm and the board of directors concurred in such recommendation.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John D. Markese, Chair</w:t>
      </w:r>
    </w:p>
    <w:p>
      <w:pPr>
        <w:spacing w:after="0" w:line="234" w:lineRule="auto"/>
        <w:rPr>
          <w:sz w:val="20"/>
          <w:szCs w:val="20"/>
          <w:color w:val="auto"/>
        </w:rPr>
      </w:pPr>
      <w:r>
        <w:rPr>
          <w:rFonts w:ascii="Arial" w:cs="Arial" w:eastAsia="Arial" w:hAnsi="Arial"/>
          <w:sz w:val="18"/>
          <w:szCs w:val="18"/>
          <w:color w:val="auto"/>
        </w:rPr>
        <w:t>Ellyn A. McColgan</w:t>
      </w:r>
    </w:p>
    <w:p>
      <w:pPr>
        <w:spacing w:after="0" w:line="235" w:lineRule="auto"/>
        <w:rPr>
          <w:sz w:val="20"/>
          <w:szCs w:val="20"/>
          <w:color w:val="auto"/>
        </w:rPr>
      </w:pPr>
      <w:r>
        <w:rPr>
          <w:rFonts w:ascii="Arial" w:cs="Arial" w:eastAsia="Arial" w:hAnsi="Arial"/>
          <w:sz w:val="18"/>
          <w:szCs w:val="18"/>
          <w:color w:val="auto"/>
        </w:rPr>
        <w:t>James S. Riepe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Lars R. Wedenborn</w:t>
      </w:r>
    </w:p>
    <w:p>
      <w:pPr>
        <w:spacing w:after="0" w:line="1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PROPOSAL III</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OF THE COMPANY’S EXECUTIVE COMPENSATION ON AN ADVISORY BASIS</w:t>
      </w:r>
    </w:p>
    <w:p>
      <w:pPr>
        <w:spacing w:after="0" w:line="80"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We are asking stockholders to approve, on an advisory basis, the company’s executive compensation as reported in this proxy statement. This vote is not intended to address any specific item of compensation, but rather the overall compensation of our named executive officers and the executive compensation program and practices described in this proxy statement.</w:t>
      </w:r>
    </w:p>
    <w:p>
      <w:pPr>
        <w:spacing w:after="0" w:line="114"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We urge stockholders to read the Compensation Discussion and Analysis beginning on page 34 of this proxy statement, as well as the executive compensation tables and narrative beginning on page 57. The Compensation Discussion and Analysis describes our executive compensation program and the decisions made by our management compensation committee in 2012 in more detail and the compensation tables provide detailed information on the compensation of our named executive officers. The board of directors and the management compensation committee believe that the compensation program for our named executive officers has been effective in meeting the core principles described in the Compensation Discussion and Analysis in this proxy statement, and has contributed to the company’s long-term success.</w:t>
      </w:r>
    </w:p>
    <w:p>
      <w:pPr>
        <w:spacing w:after="0" w:line="91" w:lineRule="exact"/>
        <w:rPr>
          <w:sz w:val="20"/>
          <w:szCs w:val="20"/>
          <w:color w:val="auto"/>
        </w:rPr>
      </w:pPr>
    </w:p>
    <w:p>
      <w:pPr>
        <w:ind w:right="820"/>
        <w:spacing w:after="0" w:line="299" w:lineRule="auto"/>
        <w:rPr>
          <w:sz w:val="20"/>
          <w:szCs w:val="20"/>
          <w:color w:val="auto"/>
        </w:rPr>
      </w:pPr>
      <w:r>
        <w:rPr>
          <w:rFonts w:ascii="Arial" w:cs="Arial" w:eastAsia="Arial" w:hAnsi="Arial"/>
          <w:sz w:val="16"/>
          <w:szCs w:val="16"/>
          <w:color w:val="auto"/>
        </w:rPr>
        <w:t>In accordance with Section 14A of the Securities Exchange Act of 1934, as amended (Exchange Act), and as a matter of good corporate governance, we are asking stockholders to approve the following advisory resolution at the 2013 annual meeting of stockholders:</w:t>
      </w:r>
    </w:p>
    <w:p>
      <w:pPr>
        <w:spacing w:after="0" w:line="1" w:lineRule="exact"/>
        <w:rPr>
          <w:sz w:val="20"/>
          <w:szCs w:val="20"/>
          <w:color w:val="auto"/>
        </w:rPr>
      </w:pPr>
    </w:p>
    <w:p>
      <w:pPr>
        <w:ind w:left="1140" w:right="60"/>
        <w:spacing w:after="0" w:line="237" w:lineRule="auto"/>
        <w:rPr>
          <w:sz w:val="20"/>
          <w:szCs w:val="20"/>
          <w:color w:val="auto"/>
        </w:rPr>
      </w:pPr>
      <w:r>
        <w:rPr>
          <w:rFonts w:ascii="Arial" w:cs="Arial" w:eastAsia="Arial" w:hAnsi="Arial"/>
          <w:sz w:val="18"/>
          <w:szCs w:val="18"/>
          <w:color w:val="auto"/>
        </w:rPr>
        <w:t>RESOLVED, that the stockholders of The NASDAQ OMX Group, Inc. approve, on an advisory basis, the compensation of NASDAQ OMX’s named executive officers, as disclosed in the proxy statement for NASDAQ OMX’s 2013 annual meeting of stockholders pursuant to the compensation disclosure rules of the SEC, including the Compensation Discussion and Analysis, the executive compensation tables and other related tables and narrative disclosure.</w:t>
      </w:r>
    </w:p>
    <w:p>
      <w:pPr>
        <w:spacing w:after="0" w:line="1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This advisory vote is not binding on the board of directors and the management compensation committee. Although non-binding, the board of directors and the management compensation committee will review and consider the outcome of the vote when making future decisions regarding our executive compensation program.</w:t>
      </w:r>
    </w:p>
    <w:p>
      <w:pPr>
        <w:spacing w:after="0" w:line="11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board of directors has adopted a policy providing for annual advisory votes to approve the company’s executive compensation. The next advisory vote to approve executive compensation will occur at the 2014 annual meeting of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50"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color w:val="0088A6"/>
        </w:rPr>
        <w:t>THE BOARD OF DIRECTORS UNANIMOUSLY RECOMMENDS A VOTE “FOR” THE APPROVAL OF THE COMPANY’S EXECUTIVE COMPENSATION ON AN ADVISORY BASIS.</w:t>
      </w:r>
    </w:p>
    <w:p>
      <w:pPr>
        <w:spacing w:after="0" w:line="1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COMPENSATION DISCUSSION AND ANALYSIS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This Compensation Discussion and Analysis describes the compensation program for the year ended December 31, 2012 for our named executive officers:</w:t>
      </w:r>
    </w:p>
    <w:p>
      <w:pPr>
        <w:spacing w:after="0" w:line="60" w:lineRule="exact"/>
        <w:rPr>
          <w:sz w:val="20"/>
          <w:szCs w:val="20"/>
          <w:color w:val="auto"/>
        </w:rPr>
      </w:pPr>
    </w:p>
    <w:p>
      <w:pPr>
        <w:ind w:left="1120" w:hanging="437"/>
        <w:spacing w:after="0"/>
        <w:tabs>
          <w:tab w:leader="none" w:pos="1120" w:val="left"/>
        </w:tabs>
        <w:numPr>
          <w:ilvl w:val="0"/>
          <w:numId w:val="30"/>
        </w:numPr>
        <w:rPr>
          <w:rFonts w:ascii="Arial" w:cs="Arial" w:eastAsia="Arial" w:hAnsi="Arial"/>
          <w:sz w:val="18"/>
          <w:szCs w:val="18"/>
          <w:color w:val="0088A6"/>
        </w:rPr>
      </w:pPr>
      <w:r>
        <w:rPr>
          <w:rFonts w:ascii="Arial" w:cs="Arial" w:eastAsia="Arial" w:hAnsi="Arial"/>
          <w:sz w:val="18"/>
          <w:szCs w:val="18"/>
          <w:color w:val="auto"/>
        </w:rPr>
        <w:t>Robert Greifeld, Chief Executive Officer;</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30"/>
        </w:numPr>
        <w:rPr>
          <w:rFonts w:ascii="Arial" w:cs="Arial" w:eastAsia="Arial" w:hAnsi="Arial"/>
          <w:sz w:val="18"/>
          <w:szCs w:val="18"/>
          <w:color w:val="0088A6"/>
        </w:rPr>
      </w:pPr>
      <w:r>
        <w:rPr>
          <w:rFonts w:ascii="Arial" w:cs="Arial" w:eastAsia="Arial" w:hAnsi="Arial"/>
          <w:sz w:val="18"/>
          <w:szCs w:val="18"/>
          <w:color w:val="auto"/>
        </w:rPr>
        <w:t>Lee Shavel, Chief Financial Officer and Executive Vice President, Corporate Strategy;</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30"/>
        </w:numPr>
        <w:rPr>
          <w:rFonts w:ascii="Arial" w:cs="Arial" w:eastAsia="Arial" w:hAnsi="Arial"/>
          <w:sz w:val="18"/>
          <w:szCs w:val="18"/>
          <w:color w:val="0088A6"/>
        </w:rPr>
      </w:pPr>
      <w:r>
        <w:rPr>
          <w:rFonts w:ascii="Arial" w:cs="Arial" w:eastAsia="Arial" w:hAnsi="Arial"/>
          <w:sz w:val="18"/>
          <w:szCs w:val="18"/>
          <w:color w:val="auto"/>
        </w:rPr>
        <w:t>Anna M. Ewing, Executive Vice President, Global Technology Solutions;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30"/>
        </w:numPr>
        <w:rPr>
          <w:rFonts w:ascii="Arial" w:cs="Arial" w:eastAsia="Arial" w:hAnsi="Arial"/>
          <w:sz w:val="18"/>
          <w:szCs w:val="18"/>
          <w:color w:val="0088A6"/>
        </w:rPr>
      </w:pPr>
      <w:r>
        <w:rPr>
          <w:rFonts w:ascii="Arial" w:cs="Arial" w:eastAsia="Arial" w:hAnsi="Arial"/>
          <w:sz w:val="18"/>
          <w:szCs w:val="18"/>
          <w:color w:val="auto"/>
        </w:rPr>
        <w:t>Hans-Ole Jochumsen, Executive Vice President, Transaction Services Nordic; and</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30"/>
        </w:numPr>
        <w:rPr>
          <w:rFonts w:ascii="Arial" w:cs="Arial" w:eastAsia="Arial" w:hAnsi="Arial"/>
          <w:sz w:val="18"/>
          <w:szCs w:val="18"/>
          <w:color w:val="0088A6"/>
        </w:rPr>
      </w:pPr>
      <w:r>
        <w:rPr>
          <w:rFonts w:ascii="Arial" w:cs="Arial" w:eastAsia="Arial" w:hAnsi="Arial"/>
          <w:sz w:val="18"/>
          <w:szCs w:val="18"/>
          <w:color w:val="auto"/>
        </w:rPr>
        <w:t>Eric W. Noll, Executive Vice President, Transaction Services U.S and U.K.</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independent members of NASDAQ OMX’s board of directors are responsible for overseeing our executive compensation program, and the board has delegated to its management compensation committee the primary responsibility for administering the program. Among other things, the management compensation committee is responsible for establishing the principles that underlie our executive compensation program and, in conjunction with the board, evaluating the performance and determining the compensation of our CEO and other executive officers. For additional information on the committee and its members, see “NASDAQ OMX’s Corporate Governance – Board Committees.” The committee’s charter can be found on NASDAQ OMX’s website at </w:t>
      </w:r>
      <w:r>
        <w:rPr>
          <w:rFonts w:ascii="Arial" w:cs="Arial" w:eastAsia="Arial" w:hAnsi="Arial"/>
          <w:sz w:val="18"/>
          <w:szCs w:val="18"/>
          <w:i w:val="1"/>
          <w:iCs w:val="1"/>
          <w:color w:val="auto"/>
        </w:rPr>
        <w:t>http://ir.nasdaqomx.com/nasdaq-omx-group.cfm</w:t>
      </w: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Business Highlights</w:t>
      </w:r>
    </w:p>
    <w:p>
      <w:pPr>
        <w:spacing w:after="0" w:line="13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NASDAQ OMX’s performance was strong in 2012 against difficult market conditions. We achieved many operational, financial and transactional successes during the year. Operationally, we launched NASDAQ OMX BX Options, our third U.S. options market, and announced several new products in our Access Services and Market Data business units. We attracted significant listing transfers, announcing that companies with more than $135 billion in market capitalization, including Kraft Foods, Texas Instruments, Goodyear Tire &amp; Rubber and Analog Devices, switched their listing to The NASDAQ Stock Market. We also established an enterprise-wide operational excellence program to strengthen the way we develop, deploy and maintain technology products in the marketplace.</w:t>
      </w:r>
    </w:p>
    <w:p>
      <w:pPr>
        <w:spacing w:after="0" w:line="11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As part of our strategy of delivering strong returns to stockholders, we completed share repurchases totaling $275 million, or 11.5 million shares, during 2012. We also returned $65 million to our investors through the payment of quarterly cash dividends.</w:t>
      </w:r>
    </w:p>
    <w:p>
      <w:pPr>
        <w:spacing w:after="0" w:line="1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connection with our continued efforts to expand and diversify our franchise, we announced an agreement with Thomson Reuters to acquire its Investor Relations, Public Relations and Multimedia Solutions businesses, as well as an agreement to acquire a 25% stake in The Order Machine. Both proposed acquisitions are subject to customary regulatory approvals. We also closed the acquisitions of NOS Clearing ASA, a majority interest in BWise Beheer B.V. and its subsidiaries, and the index business of Mergent, Inc., including Indxis.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also continued to diversify our revenue stream with an emphasis on our subscription and recurring revenues. Specifically:</w:t>
      </w:r>
    </w:p>
    <w:p>
      <w:pPr>
        <w:spacing w:after="0" w:line="131" w:lineRule="exact"/>
        <w:rPr>
          <w:sz w:val="20"/>
          <w:szCs w:val="20"/>
          <w:color w:val="auto"/>
        </w:rPr>
      </w:pPr>
    </w:p>
    <w:p>
      <w:pPr>
        <w:ind w:left="1120" w:hanging="437"/>
        <w:spacing w:after="0"/>
        <w:tabs>
          <w:tab w:leader="none" w:pos="1120" w:val="left"/>
        </w:tabs>
        <w:numPr>
          <w:ilvl w:val="0"/>
          <w:numId w:val="31"/>
        </w:numPr>
        <w:rPr>
          <w:rFonts w:ascii="Arial" w:cs="Arial" w:eastAsia="Arial" w:hAnsi="Arial"/>
          <w:sz w:val="18"/>
          <w:szCs w:val="18"/>
          <w:color w:val="0088A6"/>
        </w:rPr>
      </w:pPr>
      <w:r>
        <w:rPr>
          <w:rFonts w:ascii="Arial" w:cs="Arial" w:eastAsia="Arial" w:hAnsi="Arial"/>
          <w:sz w:val="18"/>
          <w:szCs w:val="18"/>
          <w:color w:val="auto"/>
        </w:rPr>
        <w:t>Issuer Services revenues increased $19 million, primarily from Corporate Solutions and Global Index Group revenues;</w:t>
      </w:r>
    </w:p>
    <w:p>
      <w:pPr>
        <w:spacing w:after="0" w:line="130" w:lineRule="exact"/>
        <w:rPr>
          <w:rFonts w:ascii="Arial" w:cs="Arial" w:eastAsia="Arial" w:hAnsi="Arial"/>
          <w:sz w:val="18"/>
          <w:szCs w:val="18"/>
          <w:color w:val="0088A6"/>
        </w:rPr>
      </w:pPr>
    </w:p>
    <w:p>
      <w:pPr>
        <w:ind w:left="1120" w:hanging="437"/>
        <w:spacing w:after="0"/>
        <w:tabs>
          <w:tab w:leader="none" w:pos="1120" w:val="left"/>
        </w:tabs>
        <w:numPr>
          <w:ilvl w:val="0"/>
          <w:numId w:val="31"/>
        </w:numPr>
        <w:rPr>
          <w:rFonts w:ascii="Arial" w:cs="Arial" w:eastAsia="Arial" w:hAnsi="Arial"/>
          <w:sz w:val="18"/>
          <w:szCs w:val="18"/>
          <w:color w:val="0088A6"/>
        </w:rPr>
      </w:pPr>
      <w:r>
        <w:rPr>
          <w:rFonts w:ascii="Arial" w:cs="Arial" w:eastAsia="Arial" w:hAnsi="Arial"/>
          <w:sz w:val="18"/>
          <w:szCs w:val="18"/>
          <w:color w:val="auto"/>
        </w:rPr>
        <w:t>Access Services revenues increased $16 million, primarily from increased demand for services and revenues from new products;</w:t>
      </w:r>
    </w:p>
    <w:p>
      <w:pPr>
        <w:spacing w:after="0" w:line="130" w:lineRule="exact"/>
        <w:rPr>
          <w:rFonts w:ascii="Arial" w:cs="Arial" w:eastAsia="Arial" w:hAnsi="Arial"/>
          <w:sz w:val="18"/>
          <w:szCs w:val="18"/>
          <w:color w:val="0088A6"/>
        </w:rPr>
      </w:pPr>
    </w:p>
    <w:p>
      <w:pPr>
        <w:ind w:left="1120" w:hanging="437"/>
        <w:spacing w:after="0"/>
        <w:tabs>
          <w:tab w:leader="none" w:pos="1120" w:val="left"/>
        </w:tabs>
        <w:numPr>
          <w:ilvl w:val="0"/>
          <w:numId w:val="31"/>
        </w:numPr>
        <w:rPr>
          <w:rFonts w:ascii="Arial" w:cs="Arial" w:eastAsia="Arial" w:hAnsi="Arial"/>
          <w:sz w:val="18"/>
          <w:szCs w:val="18"/>
          <w:color w:val="0088A6"/>
        </w:rPr>
      </w:pPr>
      <w:r>
        <w:rPr>
          <w:rFonts w:ascii="Arial" w:cs="Arial" w:eastAsia="Arial" w:hAnsi="Arial"/>
          <w:sz w:val="18"/>
          <w:szCs w:val="18"/>
          <w:color w:val="auto"/>
        </w:rPr>
        <w:t>Market Data revenues increased $15 million, primarily from U.S. market data products; and</w:t>
      </w:r>
    </w:p>
    <w:p>
      <w:pPr>
        <w:spacing w:after="0" w:line="1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20" w:right="840" w:hanging="437"/>
        <w:spacing w:after="0" w:line="239" w:lineRule="auto"/>
        <w:tabs>
          <w:tab w:leader="none" w:pos="1120" w:val="left"/>
        </w:tabs>
        <w:numPr>
          <w:ilvl w:val="0"/>
          <w:numId w:val="32"/>
        </w:numPr>
        <w:rPr>
          <w:rFonts w:ascii="Arial" w:cs="Arial" w:eastAsia="Arial" w:hAnsi="Arial"/>
          <w:sz w:val="18"/>
          <w:szCs w:val="18"/>
          <w:color w:val="0088A6"/>
        </w:rPr>
      </w:pPr>
      <w:r>
        <w:rPr>
          <w:rFonts w:ascii="Arial" w:cs="Arial" w:eastAsia="Arial" w:hAnsi="Arial"/>
          <w:sz w:val="18"/>
          <w:szCs w:val="18"/>
          <w:color w:val="auto"/>
        </w:rPr>
        <w:t>Market Technology revenues increased $7 million, primarily from delivery project and change request, advisory and broker surveillance revenues.</w:t>
      </w:r>
    </w:p>
    <w:p>
      <w:pPr>
        <w:spacing w:after="0" w:line="11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We also generated pre-tax savings of approximately $60 million in 2012 from our restructuring actions, and we expect an annualized savings of $60 million beginning in 2013.</w:t>
      </w:r>
    </w:p>
    <w:p>
      <w:pPr>
        <w:spacing w:after="0" w:line="11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On the other hand, the successes described above occurred against a backdrop of investors’ cautious outlook about the pace of the global economic recovery and governments’ ability to fund their sovereign debt. In 2012, both the U.S. and European cash equity trading and derivative trading and clearing businesses were negatively impacted by significantly lower industry trading volumes. In addition, the global IPO market in 2012 remained flat when compared to 2011. These factors negatively affected our financial results in 2012 as compared to 2011. For additional information on the economic and market considerations that influenced our 2012 financial results, please refer to “Item 7. Management’s Discussion and Analysis of Financial Condition and Results of Operations” included in our Form 10-K. In addition, we also experienced widely publicized systems issues in connection with the IPO by Facebook on May 18, 2012.</w:t>
      </w:r>
    </w:p>
    <w:p>
      <w:pPr>
        <w:spacing w:after="0" w:line="115"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table below summarizes key NASDAQ OMX financial results for the fiscal year ended December 31, 2012 when compared with the same period in 2011.</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440" w:type="dxa"/>
            <w:vAlign w:val="bottom"/>
            <w:tcBorders>
              <w:left w:val="single" w:sz="8" w:color="BFBFBF"/>
              <w:bottom w:val="single" w:sz="8" w:color="0088A6"/>
              <w:right w:val="single" w:sz="8" w:color="BFBFBF"/>
            </w:tcBorders>
            <w:shd w:val="clear" w:color="auto" w:fill="0088A6"/>
          </w:tcPr>
          <w:p>
            <w:pPr>
              <w:spacing w:after="0"/>
              <w:rPr>
                <w:sz w:val="22"/>
                <w:szCs w:val="22"/>
                <w:color w:val="auto"/>
              </w:rPr>
            </w:pPr>
          </w:p>
        </w:tc>
        <w:tc>
          <w:tcPr>
            <w:tcW w:w="640" w:type="dxa"/>
            <w:vAlign w:val="bottom"/>
            <w:tcBorders>
              <w:bottom w:val="single" w:sz="8" w:color="0088A6"/>
            </w:tcBorders>
            <w:shd w:val="clear" w:color="auto" w:fill="0088A6"/>
          </w:tcPr>
          <w:p>
            <w:pPr>
              <w:spacing w:after="0"/>
              <w:rPr>
                <w:sz w:val="22"/>
                <w:szCs w:val="22"/>
                <w:color w:val="auto"/>
              </w:rPr>
            </w:pPr>
          </w:p>
        </w:tc>
        <w:tc>
          <w:tcPr>
            <w:tcW w:w="320" w:type="dxa"/>
            <w:vAlign w:val="bottom"/>
            <w:tcBorders>
              <w:bottom w:val="single" w:sz="8" w:color="auto"/>
            </w:tcBorders>
            <w:shd w:val="clear" w:color="auto" w:fill="0088A6"/>
          </w:tcPr>
          <w:p>
            <w:pPr>
              <w:spacing w:after="0"/>
              <w:rPr>
                <w:sz w:val="22"/>
                <w:szCs w:val="22"/>
                <w:color w:val="auto"/>
              </w:rPr>
            </w:pPr>
          </w:p>
        </w:tc>
        <w:tc>
          <w:tcPr>
            <w:tcW w:w="2980" w:type="dxa"/>
            <w:vAlign w:val="bottom"/>
            <w:tcBorders>
              <w:bottom w:val="single" w:sz="8" w:color="auto"/>
            </w:tcBorders>
            <w:gridSpan w:val="4"/>
            <w:shd w:val="clear" w:color="auto" w:fill="0088A6"/>
          </w:tcPr>
          <w:p>
            <w:pPr>
              <w:jc w:val="right"/>
              <w:ind w:right="80"/>
              <w:spacing w:after="0"/>
              <w:rPr>
                <w:sz w:val="20"/>
                <w:szCs w:val="20"/>
                <w:color w:val="auto"/>
              </w:rPr>
            </w:pPr>
            <w:r>
              <w:rPr>
                <w:rFonts w:ascii="Arial" w:cs="Arial" w:eastAsia="Arial" w:hAnsi="Arial"/>
                <w:sz w:val="18"/>
                <w:szCs w:val="18"/>
                <w:b w:val="1"/>
                <w:bCs w:val="1"/>
                <w:color w:val="FFFFFF"/>
              </w:rPr>
              <w:t>Year Ended December 31,</w:t>
            </w:r>
          </w:p>
        </w:tc>
        <w:tc>
          <w:tcPr>
            <w:tcW w:w="1000" w:type="dxa"/>
            <w:vAlign w:val="bottom"/>
            <w:tcBorders>
              <w:bottom w:val="single" w:sz="8" w:color="auto"/>
            </w:tcBorders>
            <w:shd w:val="clear" w:color="auto" w:fill="0088A6"/>
          </w:tcPr>
          <w:p>
            <w:pPr>
              <w:spacing w:after="0"/>
              <w:rPr>
                <w:sz w:val="22"/>
                <w:szCs w:val="22"/>
                <w:color w:val="auto"/>
              </w:rPr>
            </w:pPr>
          </w:p>
        </w:tc>
        <w:tc>
          <w:tcPr>
            <w:tcW w:w="720" w:type="dxa"/>
            <w:vAlign w:val="bottom"/>
            <w:tcBorders>
              <w:bottom w:val="single" w:sz="8" w:color="0088A6"/>
              <w:right w:val="single" w:sz="8" w:color="BFBFBF"/>
            </w:tcBorders>
            <w:shd w:val="clear" w:color="auto" w:fill="0088A6"/>
          </w:tcPr>
          <w:p>
            <w:pPr>
              <w:spacing w:after="0"/>
              <w:rPr>
                <w:sz w:val="22"/>
                <w:szCs w:val="22"/>
                <w:color w:val="auto"/>
              </w:rPr>
            </w:pPr>
          </w:p>
        </w:tc>
        <w:tc>
          <w:tcPr>
            <w:tcW w:w="640" w:type="dxa"/>
            <w:vAlign w:val="bottom"/>
            <w:tcBorders>
              <w:bottom w:val="single" w:sz="8" w:color="0088A6"/>
            </w:tcBorders>
            <w:shd w:val="clear" w:color="auto" w:fill="0088A6"/>
          </w:tcPr>
          <w:p>
            <w:pPr>
              <w:spacing w:after="0"/>
              <w:rPr>
                <w:sz w:val="22"/>
                <w:szCs w:val="22"/>
                <w:color w:val="auto"/>
              </w:rPr>
            </w:pPr>
          </w:p>
        </w:tc>
        <w:tc>
          <w:tcPr>
            <w:tcW w:w="960" w:type="dxa"/>
            <w:vAlign w:val="bottom"/>
            <w:tcBorders>
              <w:bottom w:val="single" w:sz="8" w:color="0088A6"/>
            </w:tcBorders>
            <w:shd w:val="clear" w:color="auto" w:fill="0088A6"/>
          </w:tcPr>
          <w:p>
            <w:pPr>
              <w:spacing w:after="0"/>
              <w:rPr>
                <w:sz w:val="22"/>
                <w:szCs w:val="22"/>
                <w:color w:val="auto"/>
              </w:rPr>
            </w:pPr>
          </w:p>
        </w:tc>
        <w:tc>
          <w:tcPr>
            <w:tcW w:w="740" w:type="dxa"/>
            <w:vAlign w:val="bottom"/>
            <w:tcBorders>
              <w:bottom w:val="single" w:sz="8" w:color="0088A6"/>
              <w:right w:val="single" w:sz="8" w:color="BFBFBF"/>
            </w:tcBorders>
            <w:shd w:val="clear" w:color="auto" w:fill="0088A6"/>
          </w:tcPr>
          <w:p>
            <w:pPr>
              <w:spacing w:after="0"/>
              <w:rPr>
                <w:sz w:val="22"/>
                <w:szCs w:val="22"/>
                <w:color w:val="auto"/>
              </w:rPr>
            </w:pPr>
          </w:p>
        </w:tc>
      </w:tr>
      <w:tr>
        <w:trPr>
          <w:trHeight w:val="20"/>
        </w:trPr>
        <w:tc>
          <w:tcPr>
            <w:tcW w:w="3440" w:type="dxa"/>
            <w:vAlign w:val="bottom"/>
            <w:tcBorders>
              <w:left w:val="single" w:sz="8" w:color="BFBFBF"/>
              <w:right w:val="single" w:sz="8" w:color="BFBFBF"/>
            </w:tcBorders>
            <w:shd w:val="clear" w:color="auto" w:fill="0088A6"/>
          </w:tcPr>
          <w:p>
            <w:pPr>
              <w:spacing w:after="0" w:line="20" w:lineRule="exact"/>
              <w:rPr>
                <w:sz w:val="1"/>
                <w:szCs w:val="1"/>
                <w:color w:val="auto"/>
              </w:rPr>
            </w:pPr>
          </w:p>
        </w:tc>
        <w:tc>
          <w:tcPr>
            <w:tcW w:w="640" w:type="dxa"/>
            <w:vAlign w:val="bottom"/>
            <w:shd w:val="clear" w:color="auto" w:fill="0088A6"/>
          </w:tcPr>
          <w:p>
            <w:pPr>
              <w:spacing w:after="0" w:line="20" w:lineRule="exact"/>
              <w:rPr>
                <w:sz w:val="1"/>
                <w:szCs w:val="1"/>
                <w:color w:val="auto"/>
              </w:rPr>
            </w:pPr>
          </w:p>
        </w:tc>
        <w:tc>
          <w:tcPr>
            <w:tcW w:w="320" w:type="dxa"/>
            <w:vAlign w:val="bottom"/>
            <w:shd w:val="clear" w:color="auto" w:fill="0088A6"/>
          </w:tcPr>
          <w:p>
            <w:pPr>
              <w:spacing w:after="0" w:line="20" w:lineRule="exact"/>
              <w:rPr>
                <w:sz w:val="1"/>
                <w:szCs w:val="1"/>
                <w:color w:val="auto"/>
              </w:rPr>
            </w:pPr>
          </w:p>
        </w:tc>
        <w:tc>
          <w:tcPr>
            <w:tcW w:w="1100" w:type="dxa"/>
            <w:vAlign w:val="bottom"/>
            <w:shd w:val="clear" w:color="auto" w:fill="0088A6"/>
          </w:tcPr>
          <w:p>
            <w:pPr>
              <w:spacing w:after="0" w:line="20" w:lineRule="exact"/>
              <w:rPr>
                <w:sz w:val="1"/>
                <w:szCs w:val="1"/>
                <w:color w:val="auto"/>
              </w:rPr>
            </w:pPr>
          </w:p>
        </w:tc>
        <w:tc>
          <w:tcPr>
            <w:tcW w:w="760" w:type="dxa"/>
            <w:vAlign w:val="bottom"/>
            <w:tcBorders>
              <w:right w:val="single" w:sz="8" w:color="0088A6"/>
            </w:tcBorders>
            <w:shd w:val="clear" w:color="auto" w:fill="0088A6"/>
          </w:tcPr>
          <w:p>
            <w:pPr>
              <w:spacing w:after="0" w:line="20" w:lineRule="exact"/>
              <w:rPr>
                <w:sz w:val="1"/>
                <w:szCs w:val="1"/>
                <w:color w:val="auto"/>
              </w:rPr>
            </w:pPr>
          </w:p>
        </w:tc>
        <w:tc>
          <w:tcPr>
            <w:tcW w:w="660" w:type="dxa"/>
            <w:vAlign w:val="bottom"/>
            <w:shd w:val="clear" w:color="auto" w:fill="0088A6"/>
          </w:tcPr>
          <w:p>
            <w:pPr>
              <w:spacing w:after="0" w:line="20" w:lineRule="exact"/>
              <w:rPr>
                <w:sz w:val="1"/>
                <w:szCs w:val="1"/>
                <w:color w:val="auto"/>
              </w:rPr>
            </w:pPr>
          </w:p>
        </w:tc>
        <w:tc>
          <w:tcPr>
            <w:tcW w:w="460" w:type="dxa"/>
            <w:vAlign w:val="bottom"/>
            <w:shd w:val="clear" w:color="auto" w:fill="0088A6"/>
          </w:tcPr>
          <w:p>
            <w:pPr>
              <w:spacing w:after="0" w:line="20" w:lineRule="exact"/>
              <w:rPr>
                <w:sz w:val="1"/>
                <w:szCs w:val="1"/>
                <w:color w:val="auto"/>
              </w:rPr>
            </w:pPr>
          </w:p>
        </w:tc>
        <w:tc>
          <w:tcPr>
            <w:tcW w:w="1000" w:type="dxa"/>
            <w:vAlign w:val="bottom"/>
            <w:shd w:val="clear" w:color="auto" w:fill="0088A6"/>
          </w:tcPr>
          <w:p>
            <w:pPr>
              <w:spacing w:after="0" w:line="20" w:lineRule="exact"/>
              <w:rPr>
                <w:sz w:val="1"/>
                <w:szCs w:val="1"/>
                <w:color w:val="auto"/>
              </w:rPr>
            </w:pPr>
          </w:p>
        </w:tc>
        <w:tc>
          <w:tcPr>
            <w:tcW w:w="720" w:type="dxa"/>
            <w:vAlign w:val="bottom"/>
            <w:tcBorders>
              <w:right w:val="single" w:sz="8" w:color="BFBFBF"/>
            </w:tcBorders>
            <w:shd w:val="clear" w:color="auto" w:fill="0088A6"/>
          </w:tcPr>
          <w:p>
            <w:pPr>
              <w:spacing w:after="0" w:line="20" w:lineRule="exact"/>
              <w:rPr>
                <w:sz w:val="1"/>
                <w:szCs w:val="1"/>
                <w:color w:val="auto"/>
              </w:rPr>
            </w:pPr>
          </w:p>
        </w:tc>
        <w:tc>
          <w:tcPr>
            <w:tcW w:w="640" w:type="dxa"/>
            <w:vAlign w:val="bottom"/>
            <w:shd w:val="clear" w:color="auto" w:fill="0088A6"/>
          </w:tcPr>
          <w:p>
            <w:pPr>
              <w:spacing w:after="0" w:line="20" w:lineRule="exact"/>
              <w:rPr>
                <w:sz w:val="1"/>
                <w:szCs w:val="1"/>
                <w:color w:val="auto"/>
              </w:rPr>
            </w:pPr>
          </w:p>
        </w:tc>
        <w:tc>
          <w:tcPr>
            <w:tcW w:w="960" w:type="dxa"/>
            <w:vAlign w:val="bottom"/>
            <w:shd w:val="clear" w:color="auto" w:fill="0088A6"/>
          </w:tcPr>
          <w:p>
            <w:pPr>
              <w:spacing w:after="0" w:line="20" w:lineRule="exact"/>
              <w:rPr>
                <w:sz w:val="1"/>
                <w:szCs w:val="1"/>
                <w:color w:val="auto"/>
              </w:rPr>
            </w:pPr>
          </w:p>
        </w:tc>
        <w:tc>
          <w:tcPr>
            <w:tcW w:w="740" w:type="dxa"/>
            <w:vAlign w:val="bottom"/>
            <w:tcBorders>
              <w:right w:val="single" w:sz="8" w:color="BFBFBF"/>
            </w:tcBorders>
            <w:shd w:val="clear" w:color="auto" w:fill="0088A6"/>
          </w:tcPr>
          <w:p>
            <w:pPr>
              <w:spacing w:after="0" w:line="20" w:lineRule="exact"/>
              <w:rPr>
                <w:sz w:val="1"/>
                <w:szCs w:val="1"/>
                <w:color w:val="auto"/>
              </w:rPr>
            </w:pPr>
          </w:p>
        </w:tc>
      </w:tr>
      <w:tr>
        <w:trPr>
          <w:trHeight w:val="184"/>
        </w:trPr>
        <w:tc>
          <w:tcPr>
            <w:tcW w:w="3440" w:type="dxa"/>
            <w:vAlign w:val="bottom"/>
            <w:tcBorders>
              <w:left w:val="single" w:sz="8" w:color="BFBFBF"/>
              <w:right w:val="single" w:sz="8" w:color="BFBFBF"/>
            </w:tcBorders>
            <w:shd w:val="clear" w:color="auto" w:fill="0088A6"/>
          </w:tcPr>
          <w:p>
            <w:pPr>
              <w:spacing w:after="0"/>
              <w:rPr>
                <w:sz w:val="16"/>
                <w:szCs w:val="16"/>
                <w:color w:val="auto"/>
              </w:rPr>
            </w:pPr>
          </w:p>
        </w:tc>
        <w:tc>
          <w:tcPr>
            <w:tcW w:w="640" w:type="dxa"/>
            <w:vAlign w:val="bottom"/>
            <w:shd w:val="clear" w:color="auto" w:fill="0088A6"/>
          </w:tcPr>
          <w:p>
            <w:pPr>
              <w:spacing w:after="0"/>
              <w:rPr>
                <w:sz w:val="16"/>
                <w:szCs w:val="16"/>
                <w:color w:val="auto"/>
              </w:rPr>
            </w:pPr>
          </w:p>
        </w:tc>
        <w:tc>
          <w:tcPr>
            <w:tcW w:w="320" w:type="dxa"/>
            <w:vAlign w:val="bottom"/>
            <w:shd w:val="clear" w:color="auto" w:fill="0088A6"/>
          </w:tcPr>
          <w:p>
            <w:pPr>
              <w:spacing w:after="0"/>
              <w:rPr>
                <w:sz w:val="16"/>
                <w:szCs w:val="16"/>
                <w:color w:val="auto"/>
              </w:rPr>
            </w:pPr>
          </w:p>
        </w:tc>
        <w:tc>
          <w:tcPr>
            <w:tcW w:w="1100" w:type="dxa"/>
            <w:vAlign w:val="bottom"/>
            <w:shd w:val="clear" w:color="auto" w:fill="0088A6"/>
          </w:tcPr>
          <w:p>
            <w:pPr>
              <w:spacing w:after="0"/>
              <w:rPr>
                <w:sz w:val="16"/>
                <w:szCs w:val="16"/>
                <w:color w:val="auto"/>
              </w:rPr>
            </w:pPr>
          </w:p>
        </w:tc>
        <w:tc>
          <w:tcPr>
            <w:tcW w:w="760" w:type="dxa"/>
            <w:vAlign w:val="bottom"/>
            <w:tcBorders>
              <w:right w:val="single" w:sz="8" w:color="0088A6"/>
            </w:tcBorders>
            <w:shd w:val="clear" w:color="auto" w:fill="0088A6"/>
          </w:tcPr>
          <w:p>
            <w:pPr>
              <w:spacing w:after="0"/>
              <w:rPr>
                <w:sz w:val="16"/>
                <w:szCs w:val="16"/>
                <w:color w:val="auto"/>
              </w:rPr>
            </w:pPr>
          </w:p>
        </w:tc>
        <w:tc>
          <w:tcPr>
            <w:tcW w:w="660" w:type="dxa"/>
            <w:vAlign w:val="bottom"/>
            <w:shd w:val="clear" w:color="auto" w:fill="0088A6"/>
          </w:tcPr>
          <w:p>
            <w:pPr>
              <w:spacing w:after="0"/>
              <w:rPr>
                <w:sz w:val="16"/>
                <w:szCs w:val="16"/>
                <w:color w:val="auto"/>
              </w:rPr>
            </w:pPr>
          </w:p>
        </w:tc>
        <w:tc>
          <w:tcPr>
            <w:tcW w:w="460" w:type="dxa"/>
            <w:vAlign w:val="bottom"/>
            <w:shd w:val="clear" w:color="auto" w:fill="0088A6"/>
          </w:tcPr>
          <w:p>
            <w:pPr>
              <w:spacing w:after="0"/>
              <w:rPr>
                <w:sz w:val="16"/>
                <w:szCs w:val="16"/>
                <w:color w:val="auto"/>
              </w:rPr>
            </w:pPr>
          </w:p>
        </w:tc>
        <w:tc>
          <w:tcPr>
            <w:tcW w:w="1000" w:type="dxa"/>
            <w:vAlign w:val="bottom"/>
            <w:shd w:val="clear" w:color="auto" w:fill="0088A6"/>
          </w:tcPr>
          <w:p>
            <w:pPr>
              <w:spacing w:after="0"/>
              <w:rPr>
                <w:sz w:val="16"/>
                <w:szCs w:val="16"/>
                <w:color w:val="auto"/>
              </w:rPr>
            </w:pPr>
          </w:p>
        </w:tc>
        <w:tc>
          <w:tcPr>
            <w:tcW w:w="720" w:type="dxa"/>
            <w:vAlign w:val="bottom"/>
            <w:tcBorders>
              <w:right w:val="single" w:sz="8" w:color="BFBFBF"/>
            </w:tcBorders>
            <w:shd w:val="clear" w:color="auto" w:fill="0088A6"/>
          </w:tcPr>
          <w:p>
            <w:pPr>
              <w:spacing w:after="0"/>
              <w:rPr>
                <w:sz w:val="16"/>
                <w:szCs w:val="16"/>
                <w:color w:val="auto"/>
              </w:rPr>
            </w:pPr>
          </w:p>
        </w:tc>
        <w:tc>
          <w:tcPr>
            <w:tcW w:w="640" w:type="dxa"/>
            <w:vAlign w:val="bottom"/>
            <w:shd w:val="clear" w:color="auto" w:fill="0088A6"/>
          </w:tcPr>
          <w:p>
            <w:pPr>
              <w:spacing w:after="0"/>
              <w:rPr>
                <w:sz w:val="16"/>
                <w:szCs w:val="16"/>
                <w:color w:val="auto"/>
              </w:rPr>
            </w:pPr>
          </w:p>
        </w:tc>
        <w:tc>
          <w:tcPr>
            <w:tcW w:w="1700" w:type="dxa"/>
            <w:vAlign w:val="bottom"/>
            <w:tcBorders>
              <w:right w:val="single" w:sz="8" w:color="BFBFBF"/>
            </w:tcBorders>
            <w:gridSpan w:val="2"/>
            <w:shd w:val="clear" w:color="auto" w:fill="0088A6"/>
          </w:tcPr>
          <w:p>
            <w:pPr>
              <w:jc w:val="right"/>
              <w:ind w:right="740"/>
              <w:spacing w:after="0" w:line="184" w:lineRule="exact"/>
              <w:rPr>
                <w:sz w:val="20"/>
                <w:szCs w:val="20"/>
                <w:color w:val="auto"/>
              </w:rPr>
            </w:pPr>
            <w:r>
              <w:rPr>
                <w:rFonts w:ascii="Arial" w:cs="Arial" w:eastAsia="Arial" w:hAnsi="Arial"/>
                <w:sz w:val="18"/>
                <w:szCs w:val="18"/>
                <w:b w:val="1"/>
                <w:bCs w:val="1"/>
                <w:color w:val="FFFFFF"/>
                <w:w w:val="96"/>
              </w:rPr>
              <w:t>Percentage</w:t>
            </w:r>
          </w:p>
        </w:tc>
      </w:tr>
      <w:tr>
        <w:trPr>
          <w:trHeight w:val="221"/>
        </w:trPr>
        <w:tc>
          <w:tcPr>
            <w:tcW w:w="3440" w:type="dxa"/>
            <w:vAlign w:val="bottom"/>
            <w:tcBorders>
              <w:left w:val="single" w:sz="8" w:color="BFBFBF"/>
              <w:right w:val="single" w:sz="8" w:color="BFBFBF"/>
            </w:tcBorders>
            <w:shd w:val="clear" w:color="auto" w:fill="0088A6"/>
          </w:tcPr>
          <w:p>
            <w:pPr>
              <w:spacing w:after="0"/>
              <w:rPr>
                <w:sz w:val="19"/>
                <w:szCs w:val="19"/>
                <w:color w:val="auto"/>
              </w:rPr>
            </w:pPr>
          </w:p>
        </w:tc>
        <w:tc>
          <w:tcPr>
            <w:tcW w:w="640" w:type="dxa"/>
            <w:vAlign w:val="bottom"/>
            <w:shd w:val="clear" w:color="auto" w:fill="0088A6"/>
          </w:tcPr>
          <w:p>
            <w:pPr>
              <w:spacing w:after="0"/>
              <w:rPr>
                <w:sz w:val="19"/>
                <w:szCs w:val="19"/>
                <w:color w:val="auto"/>
              </w:rPr>
            </w:pPr>
          </w:p>
        </w:tc>
        <w:tc>
          <w:tcPr>
            <w:tcW w:w="320" w:type="dxa"/>
            <w:vAlign w:val="bottom"/>
            <w:shd w:val="clear" w:color="auto" w:fill="0088A6"/>
          </w:tcPr>
          <w:p>
            <w:pPr>
              <w:spacing w:after="0"/>
              <w:rPr>
                <w:sz w:val="19"/>
                <w:szCs w:val="19"/>
                <w:color w:val="auto"/>
              </w:rPr>
            </w:pPr>
          </w:p>
        </w:tc>
        <w:tc>
          <w:tcPr>
            <w:tcW w:w="1100" w:type="dxa"/>
            <w:vAlign w:val="bottom"/>
            <w:shd w:val="clear" w:color="auto" w:fill="0088A6"/>
          </w:tcPr>
          <w:p>
            <w:pPr>
              <w:ind w:left="200"/>
              <w:spacing w:after="0"/>
              <w:rPr>
                <w:sz w:val="20"/>
                <w:szCs w:val="20"/>
                <w:color w:val="auto"/>
              </w:rPr>
            </w:pPr>
            <w:r>
              <w:rPr>
                <w:rFonts w:ascii="Arial" w:cs="Arial" w:eastAsia="Arial" w:hAnsi="Arial"/>
                <w:sz w:val="18"/>
                <w:szCs w:val="18"/>
                <w:b w:val="1"/>
                <w:bCs w:val="1"/>
                <w:color w:val="FFFFFF"/>
              </w:rPr>
              <w:t>2012</w:t>
            </w:r>
          </w:p>
        </w:tc>
        <w:tc>
          <w:tcPr>
            <w:tcW w:w="760" w:type="dxa"/>
            <w:vAlign w:val="bottom"/>
            <w:tcBorders>
              <w:right w:val="single" w:sz="8" w:color="0088A6"/>
            </w:tcBorders>
            <w:shd w:val="clear" w:color="auto" w:fill="0088A6"/>
          </w:tcPr>
          <w:p>
            <w:pPr>
              <w:spacing w:after="0"/>
              <w:rPr>
                <w:sz w:val="19"/>
                <w:szCs w:val="19"/>
                <w:color w:val="auto"/>
              </w:rPr>
            </w:pPr>
          </w:p>
        </w:tc>
        <w:tc>
          <w:tcPr>
            <w:tcW w:w="660" w:type="dxa"/>
            <w:vAlign w:val="bottom"/>
            <w:shd w:val="clear" w:color="auto" w:fill="0088A6"/>
          </w:tcPr>
          <w:p>
            <w:pPr>
              <w:spacing w:after="0"/>
              <w:rPr>
                <w:sz w:val="19"/>
                <w:szCs w:val="19"/>
                <w:color w:val="auto"/>
              </w:rPr>
            </w:pPr>
          </w:p>
        </w:tc>
        <w:tc>
          <w:tcPr>
            <w:tcW w:w="460" w:type="dxa"/>
            <w:vAlign w:val="bottom"/>
            <w:shd w:val="clear" w:color="auto" w:fill="0088A6"/>
          </w:tcPr>
          <w:p>
            <w:pPr>
              <w:spacing w:after="0"/>
              <w:rPr>
                <w:sz w:val="19"/>
                <w:szCs w:val="19"/>
                <w:color w:val="auto"/>
              </w:rPr>
            </w:pPr>
          </w:p>
        </w:tc>
        <w:tc>
          <w:tcPr>
            <w:tcW w:w="1000" w:type="dxa"/>
            <w:vAlign w:val="bottom"/>
            <w:shd w:val="clear" w:color="auto" w:fill="0088A6"/>
          </w:tcPr>
          <w:p>
            <w:pPr>
              <w:jc w:val="right"/>
              <w:ind w:right="452"/>
              <w:spacing w:after="0"/>
              <w:rPr>
                <w:sz w:val="20"/>
                <w:szCs w:val="20"/>
                <w:color w:val="auto"/>
              </w:rPr>
            </w:pPr>
            <w:r>
              <w:rPr>
                <w:rFonts w:ascii="Arial" w:cs="Arial" w:eastAsia="Arial" w:hAnsi="Arial"/>
                <w:sz w:val="18"/>
                <w:szCs w:val="18"/>
                <w:b w:val="1"/>
                <w:bCs w:val="1"/>
                <w:color w:val="FFFFFF"/>
              </w:rPr>
              <w:t>2011</w:t>
            </w:r>
          </w:p>
        </w:tc>
        <w:tc>
          <w:tcPr>
            <w:tcW w:w="720" w:type="dxa"/>
            <w:vAlign w:val="bottom"/>
            <w:tcBorders>
              <w:right w:val="single" w:sz="8" w:color="BFBFBF"/>
            </w:tcBorders>
            <w:shd w:val="clear" w:color="auto" w:fill="0088A6"/>
          </w:tcPr>
          <w:p>
            <w:pPr>
              <w:spacing w:after="0"/>
              <w:rPr>
                <w:sz w:val="19"/>
                <w:szCs w:val="19"/>
                <w:color w:val="auto"/>
              </w:rPr>
            </w:pPr>
          </w:p>
        </w:tc>
        <w:tc>
          <w:tcPr>
            <w:tcW w:w="640" w:type="dxa"/>
            <w:vAlign w:val="bottom"/>
            <w:shd w:val="clear" w:color="auto" w:fill="0088A6"/>
          </w:tcPr>
          <w:p>
            <w:pPr>
              <w:spacing w:after="0"/>
              <w:rPr>
                <w:sz w:val="19"/>
                <w:szCs w:val="19"/>
                <w:color w:val="auto"/>
              </w:rPr>
            </w:pPr>
          </w:p>
        </w:tc>
        <w:tc>
          <w:tcPr>
            <w:tcW w:w="1700" w:type="dxa"/>
            <w:vAlign w:val="bottom"/>
            <w:tcBorders>
              <w:right w:val="single" w:sz="8" w:color="BFBFBF"/>
            </w:tcBorders>
            <w:gridSpan w:val="2"/>
            <w:shd w:val="clear" w:color="auto" w:fill="0088A6"/>
          </w:tcPr>
          <w:p>
            <w:pPr>
              <w:jc w:val="right"/>
              <w:ind w:right="900"/>
              <w:spacing w:after="0"/>
              <w:rPr>
                <w:sz w:val="20"/>
                <w:szCs w:val="20"/>
                <w:color w:val="auto"/>
              </w:rPr>
            </w:pPr>
            <w:r>
              <w:rPr>
                <w:rFonts w:ascii="Arial" w:cs="Arial" w:eastAsia="Arial" w:hAnsi="Arial"/>
                <w:sz w:val="18"/>
                <w:szCs w:val="18"/>
                <w:b w:val="1"/>
                <w:bCs w:val="1"/>
                <w:color w:val="FFFFFF"/>
              </w:rPr>
              <w:t>Change</w:t>
            </w:r>
          </w:p>
        </w:tc>
      </w:tr>
      <w:tr>
        <w:trPr>
          <w:trHeight w:val="20"/>
        </w:trPr>
        <w:tc>
          <w:tcPr>
            <w:tcW w:w="3440" w:type="dxa"/>
            <w:vAlign w:val="bottom"/>
            <w:tcBorders>
              <w:top w:val="single" w:sz="8" w:color="0088A6"/>
              <w:left w:val="single" w:sz="8" w:color="BFBFBF"/>
              <w:right w:val="single" w:sz="8" w:color="BFBFBF"/>
            </w:tcBorders>
            <w:shd w:val="clear" w:color="auto" w:fill="0088A6"/>
          </w:tcPr>
          <w:p>
            <w:pPr>
              <w:spacing w:after="0" w:line="20" w:lineRule="exact"/>
              <w:rPr>
                <w:sz w:val="1"/>
                <w:szCs w:val="1"/>
                <w:color w:val="auto"/>
              </w:rPr>
            </w:pPr>
          </w:p>
        </w:tc>
        <w:tc>
          <w:tcPr>
            <w:tcW w:w="640" w:type="dxa"/>
            <w:vAlign w:val="bottom"/>
            <w:tcBorders>
              <w:top w:val="single" w:sz="8" w:color="0088A6"/>
            </w:tcBorders>
            <w:shd w:val="clear" w:color="auto" w:fill="0088A6"/>
          </w:tcPr>
          <w:p>
            <w:pPr>
              <w:spacing w:after="0" w:line="20" w:lineRule="exact"/>
              <w:rPr>
                <w:sz w:val="1"/>
                <w:szCs w:val="1"/>
                <w:color w:val="auto"/>
              </w:rPr>
            </w:pPr>
          </w:p>
        </w:tc>
        <w:tc>
          <w:tcPr>
            <w:tcW w:w="320" w:type="dxa"/>
            <w:vAlign w:val="bottom"/>
            <w:tcBorders>
              <w:top w:val="single" w:sz="8" w:color="auto"/>
            </w:tcBorders>
            <w:shd w:val="clear" w:color="auto" w:fill="0088A6"/>
          </w:tcPr>
          <w:p>
            <w:pPr>
              <w:spacing w:after="0" w:line="20" w:lineRule="exact"/>
              <w:rPr>
                <w:sz w:val="1"/>
                <w:szCs w:val="1"/>
                <w:color w:val="auto"/>
              </w:rPr>
            </w:pPr>
          </w:p>
        </w:tc>
        <w:tc>
          <w:tcPr>
            <w:tcW w:w="1100" w:type="dxa"/>
            <w:vAlign w:val="bottom"/>
            <w:tcBorders>
              <w:top w:val="single" w:sz="8" w:color="auto"/>
            </w:tcBorders>
            <w:shd w:val="clear" w:color="auto" w:fill="0088A6"/>
          </w:tcPr>
          <w:p>
            <w:pPr>
              <w:spacing w:after="0" w:line="20" w:lineRule="exact"/>
              <w:rPr>
                <w:sz w:val="1"/>
                <w:szCs w:val="1"/>
                <w:color w:val="auto"/>
              </w:rPr>
            </w:pPr>
          </w:p>
        </w:tc>
        <w:tc>
          <w:tcPr>
            <w:tcW w:w="760" w:type="dxa"/>
            <w:vAlign w:val="bottom"/>
            <w:tcBorders>
              <w:top w:val="single" w:sz="8" w:color="0088A6"/>
              <w:right w:val="single" w:sz="8" w:color="0088A6"/>
            </w:tcBorders>
            <w:shd w:val="clear" w:color="auto" w:fill="0088A6"/>
          </w:tcPr>
          <w:p>
            <w:pPr>
              <w:spacing w:after="0" w:line="20" w:lineRule="exact"/>
              <w:rPr>
                <w:sz w:val="1"/>
                <w:szCs w:val="1"/>
                <w:color w:val="auto"/>
              </w:rPr>
            </w:pPr>
          </w:p>
        </w:tc>
        <w:tc>
          <w:tcPr>
            <w:tcW w:w="660" w:type="dxa"/>
            <w:vAlign w:val="bottom"/>
            <w:tcBorders>
              <w:top w:val="single" w:sz="8" w:color="0088A6"/>
            </w:tcBorders>
            <w:shd w:val="clear" w:color="auto" w:fill="0088A6"/>
          </w:tcPr>
          <w:p>
            <w:pPr>
              <w:spacing w:after="0" w:line="20" w:lineRule="exact"/>
              <w:rPr>
                <w:sz w:val="1"/>
                <w:szCs w:val="1"/>
                <w:color w:val="auto"/>
              </w:rPr>
            </w:pPr>
          </w:p>
        </w:tc>
        <w:tc>
          <w:tcPr>
            <w:tcW w:w="460" w:type="dxa"/>
            <w:vAlign w:val="bottom"/>
            <w:tcBorders>
              <w:top w:val="single" w:sz="8" w:color="auto"/>
            </w:tcBorders>
            <w:shd w:val="clear" w:color="auto" w:fill="0088A6"/>
          </w:tcPr>
          <w:p>
            <w:pPr>
              <w:spacing w:after="0" w:line="20" w:lineRule="exact"/>
              <w:rPr>
                <w:sz w:val="1"/>
                <w:szCs w:val="1"/>
                <w:color w:val="auto"/>
              </w:rPr>
            </w:pPr>
          </w:p>
        </w:tc>
        <w:tc>
          <w:tcPr>
            <w:tcW w:w="1000" w:type="dxa"/>
            <w:vAlign w:val="bottom"/>
            <w:tcBorders>
              <w:top w:val="single" w:sz="8" w:color="auto"/>
            </w:tcBorders>
            <w:shd w:val="clear" w:color="auto" w:fill="0088A6"/>
          </w:tcPr>
          <w:p>
            <w:pPr>
              <w:spacing w:after="0" w:line="20" w:lineRule="exact"/>
              <w:rPr>
                <w:sz w:val="1"/>
                <w:szCs w:val="1"/>
                <w:color w:val="auto"/>
              </w:rPr>
            </w:pPr>
          </w:p>
        </w:tc>
        <w:tc>
          <w:tcPr>
            <w:tcW w:w="720" w:type="dxa"/>
            <w:vAlign w:val="bottom"/>
            <w:tcBorders>
              <w:top w:val="single" w:sz="8" w:color="0088A6"/>
              <w:right w:val="single" w:sz="8" w:color="BFBFBF"/>
            </w:tcBorders>
            <w:shd w:val="clear" w:color="auto" w:fill="0088A6"/>
          </w:tcPr>
          <w:p>
            <w:pPr>
              <w:spacing w:after="0" w:line="20" w:lineRule="exact"/>
              <w:rPr>
                <w:sz w:val="1"/>
                <w:szCs w:val="1"/>
                <w:color w:val="auto"/>
              </w:rPr>
            </w:pPr>
          </w:p>
        </w:tc>
        <w:tc>
          <w:tcPr>
            <w:tcW w:w="640" w:type="dxa"/>
            <w:vAlign w:val="bottom"/>
            <w:tcBorders>
              <w:top w:val="single" w:sz="8" w:color="0088A6"/>
            </w:tcBorders>
            <w:shd w:val="clear" w:color="auto" w:fill="0088A6"/>
          </w:tcPr>
          <w:p>
            <w:pPr>
              <w:spacing w:after="0" w:line="20" w:lineRule="exact"/>
              <w:rPr>
                <w:sz w:val="1"/>
                <w:szCs w:val="1"/>
                <w:color w:val="auto"/>
              </w:rPr>
            </w:pPr>
          </w:p>
        </w:tc>
        <w:tc>
          <w:tcPr>
            <w:tcW w:w="960" w:type="dxa"/>
            <w:vAlign w:val="bottom"/>
            <w:tcBorders>
              <w:top w:val="single" w:sz="8" w:color="auto"/>
            </w:tcBorders>
            <w:shd w:val="clear" w:color="auto" w:fill="0088A6"/>
          </w:tcPr>
          <w:p>
            <w:pPr>
              <w:spacing w:after="0" w:line="20" w:lineRule="exact"/>
              <w:rPr>
                <w:sz w:val="1"/>
                <w:szCs w:val="1"/>
                <w:color w:val="auto"/>
              </w:rPr>
            </w:pPr>
          </w:p>
        </w:tc>
        <w:tc>
          <w:tcPr>
            <w:tcW w:w="740" w:type="dxa"/>
            <w:vAlign w:val="bottom"/>
            <w:tcBorders>
              <w:top w:val="single" w:sz="8" w:color="0088A6"/>
              <w:right w:val="single" w:sz="8" w:color="BFBFBF"/>
            </w:tcBorders>
            <w:shd w:val="clear" w:color="auto" w:fill="0088A6"/>
          </w:tcPr>
          <w:p>
            <w:pPr>
              <w:spacing w:after="0" w:line="20" w:lineRule="exact"/>
              <w:rPr>
                <w:sz w:val="1"/>
                <w:szCs w:val="1"/>
                <w:color w:val="auto"/>
              </w:rPr>
            </w:pPr>
          </w:p>
        </w:tc>
      </w:tr>
      <w:tr>
        <w:trPr>
          <w:trHeight w:val="257"/>
        </w:trPr>
        <w:tc>
          <w:tcPr>
            <w:tcW w:w="3440" w:type="dxa"/>
            <w:vAlign w:val="bottom"/>
            <w:tcBorders>
              <w:left w:val="single" w:sz="8" w:color="BFBFBF"/>
              <w:right w:val="single" w:sz="8" w:color="BFBFBF"/>
            </w:tcBorders>
            <w:shd w:val="clear" w:color="auto" w:fill="0088A6"/>
          </w:tcPr>
          <w:p>
            <w:pPr>
              <w:spacing w:after="0"/>
              <w:rPr>
                <w:sz w:val="22"/>
                <w:szCs w:val="22"/>
                <w:color w:val="auto"/>
              </w:rPr>
            </w:pPr>
          </w:p>
        </w:tc>
        <w:tc>
          <w:tcPr>
            <w:tcW w:w="640" w:type="dxa"/>
            <w:vAlign w:val="bottom"/>
            <w:shd w:val="clear" w:color="auto" w:fill="0088A6"/>
          </w:tcPr>
          <w:p>
            <w:pPr>
              <w:spacing w:after="0"/>
              <w:rPr>
                <w:sz w:val="22"/>
                <w:szCs w:val="22"/>
                <w:color w:val="auto"/>
              </w:rPr>
            </w:pPr>
          </w:p>
        </w:tc>
        <w:tc>
          <w:tcPr>
            <w:tcW w:w="320" w:type="dxa"/>
            <w:vAlign w:val="bottom"/>
            <w:shd w:val="clear" w:color="auto" w:fill="0088A6"/>
          </w:tcPr>
          <w:p>
            <w:pPr>
              <w:spacing w:after="0"/>
              <w:rPr>
                <w:sz w:val="22"/>
                <w:szCs w:val="22"/>
                <w:color w:val="auto"/>
              </w:rPr>
            </w:pPr>
          </w:p>
        </w:tc>
        <w:tc>
          <w:tcPr>
            <w:tcW w:w="3980" w:type="dxa"/>
            <w:vAlign w:val="bottom"/>
            <w:gridSpan w:val="5"/>
            <w:shd w:val="clear" w:color="auto" w:fill="0088A6"/>
          </w:tcPr>
          <w:p>
            <w:pPr>
              <w:ind w:left="200"/>
              <w:spacing w:after="0"/>
              <w:rPr>
                <w:sz w:val="20"/>
                <w:szCs w:val="20"/>
                <w:color w:val="auto"/>
              </w:rPr>
            </w:pPr>
            <w:r>
              <w:rPr>
                <w:rFonts w:ascii="Arial" w:cs="Arial" w:eastAsia="Arial" w:hAnsi="Arial"/>
                <w:sz w:val="18"/>
                <w:szCs w:val="18"/>
                <w:b w:val="1"/>
                <w:bCs w:val="1"/>
                <w:color w:val="FFFFFF"/>
              </w:rPr>
              <w:t>(in millions, except per share amounts)</w:t>
            </w:r>
          </w:p>
        </w:tc>
        <w:tc>
          <w:tcPr>
            <w:tcW w:w="720" w:type="dxa"/>
            <w:vAlign w:val="bottom"/>
            <w:tcBorders>
              <w:right w:val="single" w:sz="8" w:color="BFBFBF"/>
            </w:tcBorders>
            <w:shd w:val="clear" w:color="auto" w:fill="0088A6"/>
          </w:tcPr>
          <w:p>
            <w:pPr>
              <w:spacing w:after="0"/>
              <w:rPr>
                <w:sz w:val="22"/>
                <w:szCs w:val="22"/>
                <w:color w:val="auto"/>
              </w:rPr>
            </w:pPr>
          </w:p>
        </w:tc>
        <w:tc>
          <w:tcPr>
            <w:tcW w:w="640" w:type="dxa"/>
            <w:vAlign w:val="bottom"/>
            <w:shd w:val="clear" w:color="auto" w:fill="0088A6"/>
          </w:tcPr>
          <w:p>
            <w:pPr>
              <w:spacing w:after="0"/>
              <w:rPr>
                <w:sz w:val="22"/>
                <w:szCs w:val="22"/>
                <w:color w:val="auto"/>
              </w:rPr>
            </w:pPr>
          </w:p>
        </w:tc>
        <w:tc>
          <w:tcPr>
            <w:tcW w:w="960" w:type="dxa"/>
            <w:vAlign w:val="bottom"/>
            <w:shd w:val="clear" w:color="auto" w:fill="0088A6"/>
          </w:tcPr>
          <w:p>
            <w:pPr>
              <w:spacing w:after="0"/>
              <w:rPr>
                <w:sz w:val="22"/>
                <w:szCs w:val="22"/>
                <w:color w:val="auto"/>
              </w:rPr>
            </w:pPr>
          </w:p>
        </w:tc>
        <w:tc>
          <w:tcPr>
            <w:tcW w:w="740" w:type="dxa"/>
            <w:vAlign w:val="bottom"/>
            <w:tcBorders>
              <w:right w:val="single" w:sz="8" w:color="BFBFBF"/>
            </w:tcBorders>
            <w:shd w:val="clear" w:color="auto" w:fill="0088A6"/>
          </w:tcPr>
          <w:p>
            <w:pPr>
              <w:spacing w:after="0"/>
              <w:rPr>
                <w:sz w:val="22"/>
                <w:szCs w:val="22"/>
                <w:color w:val="auto"/>
              </w:rPr>
            </w:pPr>
          </w:p>
        </w:tc>
      </w:tr>
      <w:tr>
        <w:trPr>
          <w:trHeight w:val="206"/>
        </w:trPr>
        <w:tc>
          <w:tcPr>
            <w:tcW w:w="3440" w:type="dxa"/>
            <w:vAlign w:val="bottom"/>
            <w:tcBorders>
              <w:left w:val="single" w:sz="8" w:color="BFBFBF"/>
              <w:right w:val="single" w:sz="8" w:color="BFBFBF"/>
            </w:tcBorders>
          </w:tcPr>
          <w:p>
            <w:pPr>
              <w:ind w:left="120"/>
              <w:spacing w:after="0" w:line="206" w:lineRule="exact"/>
              <w:rPr>
                <w:sz w:val="20"/>
                <w:szCs w:val="20"/>
                <w:color w:val="auto"/>
              </w:rPr>
            </w:pPr>
            <w:r>
              <w:rPr>
                <w:rFonts w:ascii="Arial" w:cs="Arial" w:eastAsia="Arial" w:hAnsi="Arial"/>
                <w:sz w:val="18"/>
                <w:szCs w:val="18"/>
                <w:color w:val="auto"/>
              </w:rPr>
              <w:t>Revenues less transaction rebates,</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Borders>
              <w:right w:val="single" w:sz="8" w:color="BFBFBF"/>
            </w:tcBorders>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Borders>
              <w:right w:val="single" w:sz="8" w:color="BFBFBF"/>
            </w:tcBorders>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Borders>
              <w:right w:val="single" w:sz="8" w:color="BFBFBF"/>
            </w:tcBorders>
          </w:tcPr>
          <w:p>
            <w:pPr>
              <w:spacing w:after="0"/>
              <w:rPr>
                <w:sz w:val="17"/>
                <w:szCs w:val="17"/>
                <w:color w:val="auto"/>
              </w:rPr>
            </w:pPr>
          </w:p>
        </w:tc>
      </w:tr>
      <w:tr>
        <w:trPr>
          <w:trHeight w:val="199"/>
        </w:trPr>
        <w:tc>
          <w:tcPr>
            <w:tcW w:w="3440" w:type="dxa"/>
            <w:vAlign w:val="bottom"/>
            <w:tcBorders>
              <w:left w:val="single" w:sz="8" w:color="BFBFBF"/>
              <w:bottom w:val="single" w:sz="8" w:color="BFBFBF"/>
              <w:right w:val="single" w:sz="8" w:color="BFBFBF"/>
            </w:tcBorders>
          </w:tcPr>
          <w:p>
            <w:pPr>
              <w:ind w:left="120"/>
              <w:spacing w:after="0" w:line="200" w:lineRule="exact"/>
              <w:rPr>
                <w:sz w:val="20"/>
                <w:szCs w:val="20"/>
                <w:color w:val="auto"/>
              </w:rPr>
            </w:pPr>
            <w:r>
              <w:rPr>
                <w:rFonts w:ascii="Arial" w:cs="Arial" w:eastAsia="Arial" w:hAnsi="Arial"/>
                <w:sz w:val="18"/>
                <w:szCs w:val="18"/>
                <w:color w:val="auto"/>
              </w:rPr>
              <w:t>brokerage, clearance and exchange fees</w:t>
            </w:r>
          </w:p>
        </w:tc>
        <w:tc>
          <w:tcPr>
            <w:tcW w:w="640" w:type="dxa"/>
            <w:vAlign w:val="bottom"/>
            <w:tcBorders>
              <w:bottom w:val="single" w:sz="8" w:color="BFBFBF"/>
            </w:tcBorders>
          </w:tcPr>
          <w:p>
            <w:pPr>
              <w:spacing w:after="0"/>
              <w:rPr>
                <w:sz w:val="17"/>
                <w:szCs w:val="17"/>
                <w:color w:val="auto"/>
              </w:rPr>
            </w:pPr>
          </w:p>
        </w:tc>
        <w:tc>
          <w:tcPr>
            <w:tcW w:w="320" w:type="dxa"/>
            <w:vAlign w:val="bottom"/>
            <w:tcBorders>
              <w:bottom w:val="single" w:sz="8" w:color="BFBFBF"/>
            </w:tcBorders>
          </w:tcPr>
          <w:p>
            <w:pPr>
              <w:jc w:val="right"/>
              <w:ind w:right="92"/>
              <w:spacing w:after="0" w:line="200"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line="200" w:lineRule="exact"/>
              <w:rPr>
                <w:sz w:val="20"/>
                <w:szCs w:val="20"/>
                <w:color w:val="auto"/>
              </w:rPr>
            </w:pPr>
            <w:r>
              <w:rPr>
                <w:rFonts w:ascii="Arial" w:cs="Arial" w:eastAsia="Arial" w:hAnsi="Arial"/>
                <w:sz w:val="18"/>
                <w:szCs w:val="18"/>
                <w:color w:val="auto"/>
              </w:rPr>
              <w:t>1,663</w:t>
            </w:r>
          </w:p>
        </w:tc>
        <w:tc>
          <w:tcPr>
            <w:tcW w:w="760" w:type="dxa"/>
            <w:vAlign w:val="bottom"/>
            <w:tcBorders>
              <w:bottom w:val="single" w:sz="8" w:color="BFBFBF"/>
              <w:right w:val="single" w:sz="8" w:color="BFBFBF"/>
            </w:tcBorders>
          </w:tcPr>
          <w:p>
            <w:pPr>
              <w:spacing w:after="0"/>
              <w:rPr>
                <w:sz w:val="17"/>
                <w:szCs w:val="17"/>
                <w:color w:val="auto"/>
              </w:rPr>
            </w:pPr>
          </w:p>
        </w:tc>
        <w:tc>
          <w:tcPr>
            <w:tcW w:w="1120" w:type="dxa"/>
            <w:vAlign w:val="bottom"/>
            <w:tcBorders>
              <w:bottom w:val="single" w:sz="8" w:color="BFBFBF"/>
            </w:tcBorders>
            <w:gridSpan w:val="2"/>
          </w:tcPr>
          <w:p>
            <w:pPr>
              <w:jc w:val="right"/>
              <w:ind w:right="320"/>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FBFBF"/>
            </w:tcBorders>
          </w:tcPr>
          <w:p>
            <w:pPr>
              <w:jc w:val="right"/>
              <w:spacing w:after="0" w:line="200" w:lineRule="exact"/>
              <w:rPr>
                <w:sz w:val="20"/>
                <w:szCs w:val="20"/>
                <w:color w:val="auto"/>
              </w:rPr>
            </w:pPr>
            <w:r>
              <w:rPr>
                <w:rFonts w:ascii="Arial" w:cs="Arial" w:eastAsia="Arial" w:hAnsi="Arial"/>
                <w:sz w:val="18"/>
                <w:szCs w:val="18"/>
                <w:color w:val="auto"/>
              </w:rPr>
              <w:t>1,682</w:t>
            </w:r>
          </w:p>
        </w:tc>
        <w:tc>
          <w:tcPr>
            <w:tcW w:w="720" w:type="dxa"/>
            <w:vAlign w:val="bottom"/>
            <w:tcBorders>
              <w:bottom w:val="single" w:sz="8" w:color="BFBFBF"/>
              <w:right w:val="single" w:sz="8" w:color="BFBFBF"/>
            </w:tcBorders>
          </w:tcPr>
          <w:p>
            <w:pPr>
              <w:spacing w:after="0"/>
              <w:rPr>
                <w:sz w:val="17"/>
                <w:szCs w:val="17"/>
                <w:color w:val="auto"/>
              </w:rPr>
            </w:pPr>
          </w:p>
        </w:tc>
        <w:tc>
          <w:tcPr>
            <w:tcW w:w="2340" w:type="dxa"/>
            <w:vAlign w:val="bottom"/>
            <w:tcBorders>
              <w:bottom w:val="single" w:sz="8" w:color="BFBFBF"/>
              <w:right w:val="single" w:sz="8" w:color="BFBFBF"/>
            </w:tcBorders>
            <w:gridSpan w:val="3"/>
          </w:tcPr>
          <w:p>
            <w:pPr>
              <w:jc w:val="right"/>
              <w:ind w:right="740"/>
              <w:spacing w:after="0" w:line="200" w:lineRule="exact"/>
              <w:rPr>
                <w:sz w:val="20"/>
                <w:szCs w:val="20"/>
                <w:color w:val="auto"/>
              </w:rPr>
            </w:pPr>
            <w:r>
              <w:rPr>
                <w:rFonts w:ascii="Arial" w:cs="Arial" w:eastAsia="Arial" w:hAnsi="Arial"/>
                <w:sz w:val="18"/>
                <w:szCs w:val="18"/>
                <w:color w:val="auto"/>
              </w:rPr>
              <w:t>(1.1)%</w:t>
            </w:r>
          </w:p>
        </w:tc>
      </w:tr>
      <w:tr>
        <w:trPr>
          <w:trHeight w:val="196"/>
        </w:trPr>
        <w:tc>
          <w:tcPr>
            <w:tcW w:w="3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Operating income</w:t>
            </w:r>
          </w:p>
        </w:tc>
        <w:tc>
          <w:tcPr>
            <w:tcW w:w="640" w:type="dxa"/>
            <w:vAlign w:val="bottom"/>
            <w:tcBorders>
              <w:bottom w:val="single" w:sz="8" w:color="BFBFBF"/>
            </w:tcBorders>
          </w:tcPr>
          <w:p>
            <w:pPr>
              <w:spacing w:after="0"/>
              <w:rPr>
                <w:sz w:val="17"/>
                <w:szCs w:val="17"/>
                <w:color w:val="auto"/>
              </w:rPr>
            </w:pPr>
          </w:p>
        </w:tc>
        <w:tc>
          <w:tcPr>
            <w:tcW w:w="320" w:type="dxa"/>
            <w:vAlign w:val="bottom"/>
            <w:tcBorders>
              <w:bottom w:val="single" w:sz="8" w:color="BFBFBF"/>
            </w:tcBorders>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690</w:t>
            </w:r>
          </w:p>
        </w:tc>
        <w:tc>
          <w:tcPr>
            <w:tcW w:w="760" w:type="dxa"/>
            <w:vAlign w:val="bottom"/>
            <w:tcBorders>
              <w:bottom w:val="single" w:sz="8" w:color="BFBFBF"/>
              <w:right w:val="single" w:sz="8" w:color="BFBFBF"/>
            </w:tcBorders>
          </w:tcPr>
          <w:p>
            <w:pPr>
              <w:spacing w:after="0"/>
              <w:rPr>
                <w:sz w:val="17"/>
                <w:szCs w:val="17"/>
                <w:color w:val="auto"/>
              </w:rPr>
            </w:pPr>
          </w:p>
        </w:tc>
        <w:tc>
          <w:tcPr>
            <w:tcW w:w="1120" w:type="dxa"/>
            <w:vAlign w:val="bottom"/>
            <w:tcBorders>
              <w:bottom w:val="single" w:sz="8" w:color="BFBFBF"/>
            </w:tcBorders>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696</w:t>
            </w:r>
          </w:p>
        </w:tc>
        <w:tc>
          <w:tcPr>
            <w:tcW w:w="720" w:type="dxa"/>
            <w:vAlign w:val="bottom"/>
            <w:tcBorders>
              <w:bottom w:val="single" w:sz="8" w:color="BFBFBF"/>
              <w:right w:val="single" w:sz="8" w:color="BFBFBF"/>
            </w:tcBorders>
          </w:tcPr>
          <w:p>
            <w:pPr>
              <w:spacing w:after="0"/>
              <w:rPr>
                <w:sz w:val="17"/>
                <w:szCs w:val="17"/>
                <w:color w:val="auto"/>
              </w:rPr>
            </w:pPr>
          </w:p>
        </w:tc>
        <w:tc>
          <w:tcPr>
            <w:tcW w:w="2340" w:type="dxa"/>
            <w:vAlign w:val="bottom"/>
            <w:tcBorders>
              <w:bottom w:val="single" w:sz="8" w:color="BFBFBF"/>
              <w:right w:val="single" w:sz="8" w:color="BFBFBF"/>
            </w:tcBorders>
            <w:gridSpan w:val="3"/>
          </w:tcPr>
          <w:p>
            <w:pPr>
              <w:jc w:val="right"/>
              <w:ind w:right="740"/>
              <w:spacing w:after="0" w:line="196" w:lineRule="exact"/>
              <w:rPr>
                <w:sz w:val="20"/>
                <w:szCs w:val="20"/>
                <w:color w:val="auto"/>
              </w:rPr>
            </w:pPr>
            <w:r>
              <w:rPr>
                <w:rFonts w:ascii="Arial" w:cs="Arial" w:eastAsia="Arial" w:hAnsi="Arial"/>
                <w:sz w:val="18"/>
                <w:szCs w:val="18"/>
                <w:color w:val="auto"/>
              </w:rPr>
              <w:t>(0.9)%</w:t>
            </w:r>
          </w:p>
        </w:tc>
      </w:tr>
      <w:tr>
        <w:trPr>
          <w:trHeight w:val="196"/>
        </w:trPr>
        <w:tc>
          <w:tcPr>
            <w:tcW w:w="3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Diluted earnings per share</w:t>
            </w:r>
          </w:p>
        </w:tc>
        <w:tc>
          <w:tcPr>
            <w:tcW w:w="640" w:type="dxa"/>
            <w:vAlign w:val="bottom"/>
            <w:tcBorders>
              <w:bottom w:val="single" w:sz="8" w:color="BFBFBF"/>
            </w:tcBorders>
          </w:tcPr>
          <w:p>
            <w:pPr>
              <w:spacing w:after="0"/>
              <w:rPr>
                <w:sz w:val="17"/>
                <w:szCs w:val="17"/>
                <w:color w:val="auto"/>
              </w:rPr>
            </w:pPr>
          </w:p>
        </w:tc>
        <w:tc>
          <w:tcPr>
            <w:tcW w:w="320" w:type="dxa"/>
            <w:vAlign w:val="bottom"/>
            <w:tcBorders>
              <w:bottom w:val="single" w:sz="8" w:color="BFBFBF"/>
            </w:tcBorders>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2.04</w:t>
            </w:r>
          </w:p>
        </w:tc>
        <w:tc>
          <w:tcPr>
            <w:tcW w:w="760" w:type="dxa"/>
            <w:vAlign w:val="bottom"/>
            <w:tcBorders>
              <w:bottom w:val="single" w:sz="8" w:color="BFBFBF"/>
              <w:right w:val="single" w:sz="8" w:color="BFBFBF"/>
            </w:tcBorders>
          </w:tcPr>
          <w:p>
            <w:pPr>
              <w:spacing w:after="0"/>
              <w:rPr>
                <w:sz w:val="17"/>
                <w:szCs w:val="17"/>
                <w:color w:val="auto"/>
              </w:rPr>
            </w:pPr>
          </w:p>
        </w:tc>
        <w:tc>
          <w:tcPr>
            <w:tcW w:w="1120" w:type="dxa"/>
            <w:vAlign w:val="bottom"/>
            <w:tcBorders>
              <w:bottom w:val="single" w:sz="8" w:color="BFBFBF"/>
            </w:tcBorders>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720" w:type="dxa"/>
            <w:vAlign w:val="bottom"/>
            <w:tcBorders>
              <w:bottom w:val="single" w:sz="8" w:color="BFBFBF"/>
              <w:right w:val="single" w:sz="8" w:color="BFBFBF"/>
            </w:tcBorders>
          </w:tcPr>
          <w:p>
            <w:pPr>
              <w:spacing w:after="0"/>
              <w:rPr>
                <w:sz w:val="17"/>
                <w:szCs w:val="17"/>
                <w:color w:val="auto"/>
              </w:rPr>
            </w:pPr>
          </w:p>
        </w:tc>
        <w:tc>
          <w:tcPr>
            <w:tcW w:w="2340" w:type="dxa"/>
            <w:vAlign w:val="bottom"/>
            <w:tcBorders>
              <w:bottom w:val="single" w:sz="8" w:color="BFBFBF"/>
              <w:right w:val="single" w:sz="8" w:color="BFBFBF"/>
            </w:tcBorders>
            <w:gridSpan w:val="3"/>
          </w:tcPr>
          <w:p>
            <w:pPr>
              <w:jc w:val="right"/>
              <w:ind w:right="740"/>
              <w:spacing w:after="0" w:line="196" w:lineRule="exact"/>
              <w:rPr>
                <w:sz w:val="20"/>
                <w:szCs w:val="20"/>
                <w:color w:val="auto"/>
              </w:rPr>
            </w:pPr>
            <w:r>
              <w:rPr>
                <w:rFonts w:ascii="Arial" w:cs="Arial" w:eastAsia="Arial" w:hAnsi="Arial"/>
                <w:sz w:val="18"/>
                <w:szCs w:val="18"/>
                <w:color w:val="auto"/>
              </w:rPr>
              <w:t>(5.1)%</w:t>
            </w:r>
          </w:p>
        </w:tc>
      </w:tr>
      <w:tr>
        <w:trPr>
          <w:trHeight w:val="196"/>
        </w:trPr>
        <w:tc>
          <w:tcPr>
            <w:tcW w:w="34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Stock price per share(1)</w:t>
            </w:r>
          </w:p>
        </w:tc>
        <w:tc>
          <w:tcPr>
            <w:tcW w:w="640" w:type="dxa"/>
            <w:vAlign w:val="bottom"/>
            <w:tcBorders>
              <w:bottom w:val="single" w:sz="8" w:color="BFBFBF"/>
            </w:tcBorders>
          </w:tcPr>
          <w:p>
            <w:pPr>
              <w:spacing w:after="0"/>
              <w:rPr>
                <w:sz w:val="17"/>
                <w:szCs w:val="17"/>
                <w:color w:val="auto"/>
              </w:rPr>
            </w:pPr>
          </w:p>
        </w:tc>
        <w:tc>
          <w:tcPr>
            <w:tcW w:w="320" w:type="dxa"/>
            <w:vAlign w:val="bottom"/>
            <w:tcBorders>
              <w:bottom w:val="single" w:sz="8" w:color="BFBFBF"/>
            </w:tcBorders>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24.99</w:t>
            </w:r>
          </w:p>
        </w:tc>
        <w:tc>
          <w:tcPr>
            <w:tcW w:w="760" w:type="dxa"/>
            <w:vAlign w:val="bottom"/>
            <w:tcBorders>
              <w:bottom w:val="single" w:sz="8" w:color="BFBFBF"/>
              <w:right w:val="single" w:sz="8" w:color="BFBFBF"/>
            </w:tcBorders>
          </w:tcPr>
          <w:p>
            <w:pPr>
              <w:spacing w:after="0"/>
              <w:rPr>
                <w:sz w:val="17"/>
                <w:szCs w:val="17"/>
                <w:color w:val="auto"/>
              </w:rPr>
            </w:pPr>
          </w:p>
        </w:tc>
        <w:tc>
          <w:tcPr>
            <w:tcW w:w="1120" w:type="dxa"/>
            <w:vAlign w:val="bottom"/>
            <w:tcBorders>
              <w:bottom w:val="single" w:sz="8" w:color="BFBFBF"/>
            </w:tcBorders>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24.51</w:t>
            </w:r>
          </w:p>
        </w:tc>
        <w:tc>
          <w:tcPr>
            <w:tcW w:w="720" w:type="dxa"/>
            <w:vAlign w:val="bottom"/>
            <w:tcBorders>
              <w:bottom w:val="single" w:sz="8" w:color="BFBFBF"/>
              <w:right w:val="single" w:sz="8" w:color="BFBFBF"/>
            </w:tcBorders>
          </w:tcPr>
          <w:p>
            <w:pPr>
              <w:spacing w:after="0"/>
              <w:rPr>
                <w:sz w:val="17"/>
                <w:szCs w:val="17"/>
                <w:color w:val="auto"/>
              </w:rPr>
            </w:pPr>
          </w:p>
        </w:tc>
        <w:tc>
          <w:tcPr>
            <w:tcW w:w="2340" w:type="dxa"/>
            <w:vAlign w:val="bottom"/>
            <w:tcBorders>
              <w:bottom w:val="single" w:sz="8" w:color="BFBFBF"/>
              <w:right w:val="single" w:sz="8" w:color="BFBFBF"/>
            </w:tcBorders>
            <w:gridSpan w:val="3"/>
          </w:tcPr>
          <w:p>
            <w:pPr>
              <w:jc w:val="right"/>
              <w:ind w:right="740"/>
              <w:spacing w:after="0" w:line="196" w:lineRule="exact"/>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-1148715</wp:posOffset>
            </wp:positionV>
            <wp:extent cx="889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23152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2"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closing market price of our common stock on the last trading day of each year.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Executive Compensation Highlights</w:t>
      </w:r>
    </w:p>
    <w:p>
      <w:pPr>
        <w:spacing w:after="0" w:line="72" w:lineRule="exact"/>
        <w:rPr>
          <w:sz w:val="20"/>
          <w:szCs w:val="20"/>
          <w:color w:val="auto"/>
        </w:rPr>
      </w:pPr>
    </w:p>
    <w:p>
      <w:pPr>
        <w:ind w:right="480"/>
        <w:spacing w:after="0" w:line="299" w:lineRule="auto"/>
        <w:rPr>
          <w:sz w:val="20"/>
          <w:szCs w:val="20"/>
          <w:color w:val="auto"/>
        </w:rPr>
      </w:pPr>
      <w:r>
        <w:rPr>
          <w:rFonts w:ascii="Arial" w:cs="Arial" w:eastAsia="Arial" w:hAnsi="Arial"/>
          <w:sz w:val="16"/>
          <w:szCs w:val="16"/>
          <w:color w:val="auto"/>
        </w:rPr>
        <w:t>In line with our executive compensation program’s emphasis on pay for performance, compensation awarded to the named executive officers decreased on average in 2012 as compared to 2011. Listed below are some highlights of our 2012 executive compensation program.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Annual Base Salaries. </w:t>
      </w:r>
      <w:r>
        <w:rPr>
          <w:rFonts w:ascii="Arial" w:cs="Arial" w:eastAsia="Arial" w:hAnsi="Arial"/>
          <w:sz w:val="18"/>
          <w:szCs w:val="18"/>
          <w:color w:val="auto"/>
        </w:rPr>
        <w:t>For 2012, the base salaries of the named executive officers remained at the same levels as for 2011.</w:t>
      </w:r>
    </w:p>
    <w:p>
      <w:pPr>
        <w:spacing w:after="0" w:line="11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auto"/>
        </w:rPr>
        <w:t xml:space="preserve">Annual Performance-Based Cash Incentive Awards. </w:t>
      </w:r>
      <w:r>
        <w:rPr>
          <w:rFonts w:ascii="Arial" w:cs="Arial" w:eastAsia="Arial" w:hAnsi="Arial"/>
          <w:sz w:val="18"/>
          <w:szCs w:val="18"/>
          <w:color w:val="auto"/>
        </w:rPr>
        <w:t>In 2012, the annual performance-based cash incentive awards for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were tied to two corporate performance measures, operating income (run rate) and net revenue, as well as business unit strategic performance objectives and the results of a “business effectiveness survey” (BES). NASDAQ OMX’s operating income (run rate) exceeded the target range, but fell below the maximum performance level, for this goal. Our 2012 net revenue exceeded the minimum performance level, but fell below the target range. These results influenced final payouts for each of our named executive officers under our annual performance-based cash incentive program. On average, final payments were significantly lower than 2011 levels based on 2012 performance.</w:t>
      </w:r>
    </w:p>
    <w:p>
      <w:pPr>
        <w:spacing w:after="0" w:line="145"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35</w:t>
      </w:r>
    </w:p>
    <w:p>
      <w:pPr>
        <w:sectPr>
          <w:pgSz w:w="11900" w:h="16838" w:orient="portrait"/>
          <w:cols w:equalWidth="0" w:num="1">
            <w:col w:w="11440"/>
          </w:cols>
          <w:pgMar w:left="240" w:top="459" w:right="2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i w:val="1"/>
          <w:iCs w:val="1"/>
          <w:color w:val="auto"/>
        </w:rPr>
        <w:t xml:space="preserve">Long-Term Stock-Based Compensation. </w:t>
      </w:r>
      <w:r>
        <w:rPr>
          <w:rFonts w:ascii="Arial" w:cs="Arial" w:eastAsia="Arial" w:hAnsi="Arial"/>
          <w:sz w:val="18"/>
          <w:szCs w:val="18"/>
          <w:color w:val="auto"/>
        </w:rPr>
        <w:t>In 2012, the management compensation committee and board of directors approved a new performance-based long-term incentive program for our CEO, executive vice presidents and senior vice presidents that focuses on total shareholder return (TSR). Each of our named executive officers received an equity award under this program in 2012. In addition, in early 2013, the committee and board determined the number of shares that our CEO was entitled to receive upon vesting in connection with his 2010 grant of performance share units (PSUs). Because the company exceeded the minimum, but fell below the target, performance level for non-GAAP earnings per share (EPS) growth over a three-year performance period from January 1, 2010 through December 31, 2012, Mr. Greifeld received a 95% payout of the target amount of PSUs awarded under his 2010 PSU grant.</w:t>
      </w:r>
    </w:p>
    <w:p>
      <w:pPr>
        <w:spacing w:after="0" w:line="9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 xml:space="preserve">New CEO Employment Agreement. </w:t>
      </w:r>
      <w:r>
        <w:rPr>
          <w:rFonts w:ascii="Arial" w:cs="Arial" w:eastAsia="Arial" w:hAnsi="Arial"/>
          <w:sz w:val="18"/>
          <w:szCs w:val="18"/>
          <w:color w:val="auto"/>
        </w:rPr>
        <w:t>As described further below, on February 22, 2012, NASDAQ OMX entered into a new employment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Robert Greifeld, our CEO. The terms of the new agreement are similar in most respects to the terms of Mr. Greifeld’s prior agreement. However, the new agreement eliminates a provision from Mr. Greifeld’s prior employment agreement that provided, in limited circumstances, for a modified excise tax reimbursement with a gross-up payment.</w:t>
      </w:r>
    </w:p>
    <w:p>
      <w:pPr>
        <w:spacing w:after="0" w:line="94"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i w:val="1"/>
          <w:iCs w:val="1"/>
          <w:color w:val="auto"/>
        </w:rPr>
        <w:t xml:space="preserve">Elimination of Share Recycling. </w:t>
      </w:r>
      <w:r>
        <w:rPr>
          <w:rFonts w:ascii="Arial" w:cs="Arial" w:eastAsia="Arial" w:hAnsi="Arial"/>
          <w:sz w:val="18"/>
          <w:szCs w:val="18"/>
          <w:color w:val="auto"/>
        </w:rPr>
        <w:t>In 2012, the committee amended and restated Section 4(a) of the NASDAQ OMX Equity Incentive Plan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eliminate a share recycling provision applicable to shares deliverable to participants but withheld by the company, by “net settlement” or otherwise, for the payment of taxes or exercise costs. As a result, shares used to pay taxes or exercise costs are no longer returned to the available share pool for future grants under the Equity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Significant Executive Compensation Events</w:t>
      </w:r>
    </w:p>
    <w:p>
      <w:pPr>
        <w:spacing w:after="0" w:line="139"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early 2013, the committee and board adopted a policy prohibiting NASDAQ OMX’s directors and Section 16 officers from hedging or pledging NASDAQ OMX’s common stock. These individuals may not engage in securities transactions that allow them either to insulate themselves, or profit, from a decline in NASDAQ OMX’s stock price (with the exception of selling shares outright). Specifically, these individuals may not enter into hedging transactions with respect to NASDAQ OMX’s common stock, including short sales and transactions in derivative securities. Finally, these individuals may not pledge, hypothecate or otherwise encumber their shares of NASDAQ OMX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Best Practices</w:t>
      </w:r>
    </w:p>
    <w:p>
      <w:pPr>
        <w:spacing w:after="0" w:line="7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Over the past several years, we have implemented several best practices to align with emerging market practices and stockholder expectations. Our executive compensation program is detailed over the next few pages; however, the following executive compensation practices are key aspects of our program.</w:t>
      </w:r>
    </w:p>
    <w:p>
      <w:pPr>
        <w:spacing w:after="0" w:line="41" w:lineRule="exact"/>
        <w:rPr>
          <w:sz w:val="20"/>
          <w:szCs w:val="20"/>
          <w:color w:val="auto"/>
        </w:rPr>
      </w:pPr>
    </w:p>
    <w:p>
      <w:pPr>
        <w:ind w:left="1120" w:hanging="437"/>
        <w:spacing w:after="0" w:line="308" w:lineRule="auto"/>
        <w:tabs>
          <w:tab w:leader="none" w:pos="1120" w:val="left"/>
        </w:tabs>
        <w:numPr>
          <w:ilvl w:val="0"/>
          <w:numId w:val="34"/>
        </w:numPr>
        <w:rPr>
          <w:rFonts w:ascii="Arial" w:cs="Arial" w:eastAsia="Arial" w:hAnsi="Arial"/>
          <w:sz w:val="16"/>
          <w:szCs w:val="16"/>
          <w:color w:val="0088A6"/>
        </w:rPr>
      </w:pPr>
      <w:r>
        <w:rPr>
          <w:rFonts w:ascii="Arial" w:cs="Arial" w:eastAsia="Arial" w:hAnsi="Arial"/>
          <w:sz w:val="16"/>
          <w:szCs w:val="16"/>
          <w:i w:val="1"/>
          <w:iCs w:val="1"/>
          <w:color w:val="auto"/>
        </w:rPr>
        <w:t xml:space="preserve">Pay for Performance Philosophy. </w:t>
      </w:r>
      <w:r>
        <w:rPr>
          <w:rFonts w:ascii="Arial" w:cs="Arial" w:eastAsia="Arial" w:hAnsi="Arial"/>
          <w:sz w:val="16"/>
          <w:szCs w:val="16"/>
          <w:color w:val="auto"/>
        </w:rPr>
        <w:t>The primary focus of NASDAQ OMX’s executive compensation program is on pay for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a significant portion of compensation is performance-based and varies based on overall NASDAQ OMX performance.</w:t>
      </w:r>
    </w:p>
    <w:p>
      <w:pPr>
        <w:jc w:val="both"/>
        <w:ind w:left="1120" w:right="180" w:hanging="437"/>
        <w:spacing w:after="0" w:line="247" w:lineRule="auto"/>
        <w:tabs>
          <w:tab w:leader="none" w:pos="1120" w:val="left"/>
        </w:tabs>
        <w:numPr>
          <w:ilvl w:val="0"/>
          <w:numId w:val="34"/>
        </w:numPr>
        <w:rPr>
          <w:rFonts w:ascii="Arial" w:cs="Arial" w:eastAsia="Arial" w:hAnsi="Arial"/>
          <w:sz w:val="18"/>
          <w:szCs w:val="18"/>
          <w:color w:val="0088A6"/>
        </w:rPr>
      </w:pPr>
      <w:r>
        <w:rPr>
          <w:rFonts w:ascii="Arial" w:cs="Arial" w:eastAsia="Arial" w:hAnsi="Arial"/>
          <w:sz w:val="18"/>
          <w:szCs w:val="18"/>
          <w:i w:val="1"/>
          <w:iCs w:val="1"/>
          <w:color w:val="auto"/>
        </w:rPr>
        <w:t xml:space="preserve">Prohibition on Hedging and Pledging. </w:t>
      </w:r>
      <w:r>
        <w:rPr>
          <w:rFonts w:ascii="Arial" w:cs="Arial" w:eastAsia="Arial" w:hAnsi="Arial"/>
          <w:sz w:val="18"/>
          <w:szCs w:val="18"/>
          <w:color w:val="auto"/>
        </w:rPr>
        <w:t>NASDAQ OMX does not allow directors or Section 16 officers to hedge the economic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ownership of NASDAQ OMX common stock, or to pledge, hypothecate or otherwise encumber their shares of NASDAQ OMX common stock.</w:t>
      </w:r>
    </w:p>
    <w:p>
      <w:pPr>
        <w:spacing w:after="0" w:line="36" w:lineRule="exact"/>
        <w:rPr>
          <w:rFonts w:ascii="Arial" w:cs="Arial" w:eastAsia="Arial" w:hAnsi="Arial"/>
          <w:sz w:val="18"/>
          <w:szCs w:val="18"/>
          <w:color w:val="0088A6"/>
        </w:rPr>
      </w:pPr>
    </w:p>
    <w:p>
      <w:pPr>
        <w:ind w:left="1120" w:right="180" w:hanging="437"/>
        <w:spacing w:after="0" w:line="260" w:lineRule="auto"/>
        <w:tabs>
          <w:tab w:leader="none" w:pos="1120" w:val="left"/>
        </w:tabs>
        <w:numPr>
          <w:ilvl w:val="0"/>
          <w:numId w:val="34"/>
        </w:numPr>
        <w:rPr>
          <w:rFonts w:ascii="Arial" w:cs="Arial" w:eastAsia="Arial" w:hAnsi="Arial"/>
          <w:sz w:val="18"/>
          <w:szCs w:val="18"/>
          <w:color w:val="0088A6"/>
        </w:rPr>
      </w:pPr>
      <w:r>
        <w:rPr>
          <w:rFonts w:ascii="Arial" w:cs="Arial" w:eastAsia="Arial" w:hAnsi="Arial"/>
          <w:sz w:val="18"/>
          <w:szCs w:val="18"/>
          <w:i w:val="1"/>
          <w:iCs w:val="1"/>
          <w:color w:val="auto"/>
        </w:rPr>
        <w:t xml:space="preserve">Stock Ownership Guidelines. </w:t>
      </w:r>
      <w:r>
        <w:rPr>
          <w:rFonts w:ascii="Arial" w:cs="Arial" w:eastAsia="Arial" w:hAnsi="Arial"/>
          <w:sz w:val="18"/>
          <w:szCs w:val="18"/>
          <w:color w:val="auto"/>
        </w:rPr>
        <w:t>To align our executives with our stockholders, we have in place stock ownership guidelines.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were in compliance with the guidelines as of December 31, 2012.</w:t>
      </w:r>
    </w:p>
    <w:p>
      <w:pPr>
        <w:spacing w:after="0" w:line="24" w:lineRule="exact"/>
        <w:rPr>
          <w:rFonts w:ascii="Arial" w:cs="Arial" w:eastAsia="Arial" w:hAnsi="Arial"/>
          <w:sz w:val="18"/>
          <w:szCs w:val="18"/>
          <w:color w:val="0088A6"/>
        </w:rPr>
      </w:pPr>
    </w:p>
    <w:p>
      <w:pPr>
        <w:ind w:left="1120" w:right="260" w:hanging="437"/>
        <w:spacing w:after="0" w:line="260" w:lineRule="auto"/>
        <w:tabs>
          <w:tab w:leader="none" w:pos="1120" w:val="left"/>
        </w:tabs>
        <w:numPr>
          <w:ilvl w:val="0"/>
          <w:numId w:val="34"/>
        </w:numPr>
        <w:rPr>
          <w:rFonts w:ascii="Arial" w:cs="Arial" w:eastAsia="Arial" w:hAnsi="Arial"/>
          <w:sz w:val="18"/>
          <w:szCs w:val="18"/>
          <w:color w:val="0088A6"/>
        </w:rPr>
      </w:pPr>
      <w:r>
        <w:rPr>
          <w:rFonts w:ascii="Arial" w:cs="Arial" w:eastAsia="Arial" w:hAnsi="Arial"/>
          <w:sz w:val="18"/>
          <w:szCs w:val="18"/>
          <w:i w:val="1"/>
          <w:iCs w:val="1"/>
          <w:color w:val="auto"/>
        </w:rPr>
        <w:t xml:space="preserve">Stock Holding Requirement. </w:t>
      </w:r>
      <w:r>
        <w:rPr>
          <w:rFonts w:ascii="Arial" w:cs="Arial" w:eastAsia="Arial" w:hAnsi="Arial"/>
          <w:sz w:val="18"/>
          <w:szCs w:val="18"/>
          <w:color w:val="auto"/>
        </w:rPr>
        <w:t>Our stock ownership guidelines encourage the CEO, CFO, executive vice presidents and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presidents to hold specified dollar amounts of</w:t>
      </w:r>
    </w:p>
    <w:p>
      <w:pPr>
        <w:spacing w:after="0" w:line="1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40" w:right="340"/>
        <w:spacing w:after="0" w:line="239" w:lineRule="auto"/>
        <w:rPr>
          <w:sz w:val="20"/>
          <w:szCs w:val="20"/>
          <w:color w:val="auto"/>
        </w:rPr>
      </w:pPr>
      <w:r>
        <w:rPr>
          <w:rFonts w:ascii="Arial" w:cs="Arial" w:eastAsia="Arial" w:hAnsi="Arial"/>
          <w:sz w:val="18"/>
          <w:szCs w:val="18"/>
          <w:color w:val="auto"/>
        </w:rPr>
        <w:t>stock grants until the stock ownership guidelines are met. Further, the guidelines require that these executives hold the specified dollar amounts of stock through the end of their employment with NASDAQ OMX.</w:t>
      </w:r>
    </w:p>
    <w:p>
      <w:pPr>
        <w:spacing w:after="0" w:line="42" w:lineRule="exact"/>
        <w:rPr>
          <w:sz w:val="20"/>
          <w:szCs w:val="20"/>
          <w:color w:val="auto"/>
        </w:rPr>
      </w:pPr>
    </w:p>
    <w:p>
      <w:pPr>
        <w:jc w:val="both"/>
        <w:ind w:left="1120" w:right="420" w:hanging="437"/>
        <w:spacing w:after="0" w:line="247" w:lineRule="auto"/>
        <w:tabs>
          <w:tab w:leader="none" w:pos="1120" w:val="left"/>
        </w:tabs>
        <w:numPr>
          <w:ilvl w:val="0"/>
          <w:numId w:val="35"/>
        </w:numPr>
        <w:rPr>
          <w:rFonts w:ascii="Arial" w:cs="Arial" w:eastAsia="Arial" w:hAnsi="Arial"/>
          <w:sz w:val="18"/>
          <w:szCs w:val="18"/>
          <w:color w:val="0088A6"/>
        </w:rPr>
      </w:pPr>
      <w:r>
        <w:rPr>
          <w:rFonts w:ascii="Arial" w:cs="Arial" w:eastAsia="Arial" w:hAnsi="Arial"/>
          <w:sz w:val="18"/>
          <w:szCs w:val="18"/>
          <w:i w:val="1"/>
          <w:iCs w:val="1"/>
          <w:color w:val="auto"/>
        </w:rPr>
        <w:t xml:space="preserve">Elimination of Share Recycling Provision. </w:t>
      </w:r>
      <w:r>
        <w:rPr>
          <w:rFonts w:ascii="Arial" w:cs="Arial" w:eastAsia="Arial" w:hAnsi="Arial"/>
          <w:sz w:val="18"/>
          <w:szCs w:val="18"/>
          <w:color w:val="auto"/>
        </w:rPr>
        <w:t>As discussed above, the committee eliminated from the Equity Plan a share recycling</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This change ensures that our stockholders are asked to approve the available shares for grant under the Equity Plan more frequently.</w:t>
      </w:r>
    </w:p>
    <w:p>
      <w:pPr>
        <w:spacing w:after="0" w:line="36" w:lineRule="exact"/>
        <w:rPr>
          <w:rFonts w:ascii="Arial" w:cs="Arial" w:eastAsia="Arial" w:hAnsi="Arial"/>
          <w:sz w:val="18"/>
          <w:szCs w:val="18"/>
          <w:color w:val="0088A6"/>
        </w:rPr>
      </w:pPr>
    </w:p>
    <w:p>
      <w:pPr>
        <w:ind w:left="1120" w:right="180" w:hanging="437"/>
        <w:spacing w:after="0" w:line="243" w:lineRule="auto"/>
        <w:tabs>
          <w:tab w:leader="none" w:pos="1120" w:val="left"/>
        </w:tabs>
        <w:numPr>
          <w:ilvl w:val="0"/>
          <w:numId w:val="35"/>
        </w:numPr>
        <w:rPr>
          <w:rFonts w:ascii="Arial" w:cs="Arial" w:eastAsia="Arial" w:hAnsi="Arial"/>
          <w:sz w:val="18"/>
          <w:szCs w:val="18"/>
          <w:color w:val="0088A6"/>
        </w:rPr>
      </w:pPr>
      <w:r>
        <w:rPr>
          <w:rFonts w:ascii="Arial" w:cs="Arial" w:eastAsia="Arial" w:hAnsi="Arial"/>
          <w:sz w:val="18"/>
          <w:szCs w:val="18"/>
          <w:i w:val="1"/>
          <w:iCs w:val="1"/>
          <w:color w:val="auto"/>
        </w:rPr>
        <w:t xml:space="preserve">Frozen Pension Plan and SERP. </w:t>
      </w:r>
      <w:r>
        <w:rPr>
          <w:rFonts w:ascii="Arial" w:cs="Arial" w:eastAsia="Arial" w:hAnsi="Arial"/>
          <w:sz w:val="18"/>
          <w:szCs w:val="18"/>
          <w:color w:val="auto"/>
        </w:rPr>
        <w:t>We do not accrue supplemental retirement benefits for our named executive officers. Our tax-qualified defined benefit pension plan (Pension Plan) and non-qualified supplemental executive retirement plan (SERP) have been frozen since 2007. Since then, no new participants may enter the Pension Plan or SERP, and no additional benefits may accrue under these plans.</w:t>
      </w:r>
    </w:p>
    <w:p>
      <w:pPr>
        <w:spacing w:after="0" w:line="39" w:lineRule="exact"/>
        <w:rPr>
          <w:rFonts w:ascii="Arial" w:cs="Arial" w:eastAsia="Arial" w:hAnsi="Arial"/>
          <w:sz w:val="18"/>
          <w:szCs w:val="18"/>
          <w:color w:val="0088A6"/>
        </w:rPr>
      </w:pPr>
    </w:p>
    <w:p>
      <w:pPr>
        <w:ind w:left="1120" w:hanging="437"/>
        <w:spacing w:after="0" w:line="243" w:lineRule="auto"/>
        <w:tabs>
          <w:tab w:leader="none" w:pos="1120" w:val="left"/>
        </w:tabs>
        <w:numPr>
          <w:ilvl w:val="0"/>
          <w:numId w:val="35"/>
        </w:numPr>
        <w:rPr>
          <w:rFonts w:ascii="Arial" w:cs="Arial" w:eastAsia="Arial" w:hAnsi="Arial"/>
          <w:sz w:val="18"/>
          <w:szCs w:val="18"/>
          <w:color w:val="0088A6"/>
        </w:rPr>
      </w:pPr>
      <w:r>
        <w:rPr>
          <w:rFonts w:ascii="Arial" w:cs="Arial" w:eastAsia="Arial" w:hAnsi="Arial"/>
          <w:sz w:val="18"/>
          <w:szCs w:val="18"/>
          <w:i w:val="1"/>
          <w:iCs w:val="1"/>
          <w:color w:val="auto"/>
        </w:rPr>
        <w:t xml:space="preserve">Limited Severance Arrangements. </w:t>
      </w:r>
      <w:r>
        <w:rPr>
          <w:rFonts w:ascii="Arial" w:cs="Arial" w:eastAsia="Arial" w:hAnsi="Arial"/>
          <w:sz w:val="18"/>
          <w:szCs w:val="18"/>
          <w:color w:val="auto"/>
        </w:rPr>
        <w:t>We are not obligated to pay severance or other enhanced benefits to any named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upon termination of his or her employment, except as described below in the case of a change in control of the company and in certain circumstances under the employment agreements with Messrs. Greifeld and Jochumsen and the employment offer letter with Mr. Shavel.</w:t>
      </w:r>
    </w:p>
    <w:p>
      <w:pPr>
        <w:spacing w:after="0" w:line="39" w:lineRule="exact"/>
        <w:rPr>
          <w:rFonts w:ascii="Arial" w:cs="Arial" w:eastAsia="Arial" w:hAnsi="Arial"/>
          <w:sz w:val="18"/>
          <w:szCs w:val="18"/>
          <w:color w:val="0088A6"/>
        </w:rPr>
      </w:pPr>
    </w:p>
    <w:p>
      <w:pPr>
        <w:ind w:left="1120" w:right="420" w:hanging="437"/>
        <w:spacing w:after="0" w:line="247" w:lineRule="auto"/>
        <w:tabs>
          <w:tab w:leader="none" w:pos="1120" w:val="left"/>
        </w:tabs>
        <w:numPr>
          <w:ilvl w:val="0"/>
          <w:numId w:val="35"/>
        </w:numPr>
        <w:rPr>
          <w:rFonts w:ascii="Arial" w:cs="Arial" w:eastAsia="Arial" w:hAnsi="Arial"/>
          <w:sz w:val="18"/>
          <w:szCs w:val="18"/>
          <w:color w:val="0088A6"/>
        </w:rPr>
      </w:pPr>
      <w:r>
        <w:rPr>
          <w:rFonts w:ascii="Arial" w:cs="Arial" w:eastAsia="Arial" w:hAnsi="Arial"/>
          <w:sz w:val="18"/>
          <w:szCs w:val="18"/>
          <w:i w:val="1"/>
          <w:iCs w:val="1"/>
          <w:color w:val="auto"/>
        </w:rPr>
        <w:t xml:space="preserve">“Double Trigger” Change In Control Agreements. </w:t>
      </w:r>
      <w:r>
        <w:rPr>
          <w:rFonts w:ascii="Arial" w:cs="Arial" w:eastAsia="Arial" w:hAnsi="Arial"/>
          <w:sz w:val="18"/>
          <w:szCs w:val="18"/>
          <w:color w:val="auto"/>
        </w:rPr>
        <w:t>We do not pay severance benefits solely upon the occurrence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the company. Rather, severance benefits are payable only upon a “double trigger,” which occurs if a named executive officer incurs a qualifying termination of employment following a change in control of the company.</w:t>
      </w:r>
    </w:p>
    <w:p>
      <w:pPr>
        <w:spacing w:after="0" w:line="36" w:lineRule="exact"/>
        <w:rPr>
          <w:rFonts w:ascii="Arial" w:cs="Arial" w:eastAsia="Arial" w:hAnsi="Arial"/>
          <w:sz w:val="18"/>
          <w:szCs w:val="18"/>
          <w:color w:val="0088A6"/>
        </w:rPr>
      </w:pPr>
    </w:p>
    <w:p>
      <w:pPr>
        <w:ind w:left="1120" w:right="220" w:hanging="437"/>
        <w:spacing w:after="0" w:line="260" w:lineRule="auto"/>
        <w:tabs>
          <w:tab w:leader="none" w:pos="1120" w:val="left"/>
        </w:tabs>
        <w:numPr>
          <w:ilvl w:val="0"/>
          <w:numId w:val="35"/>
        </w:numPr>
        <w:rPr>
          <w:rFonts w:ascii="Arial" w:cs="Arial" w:eastAsia="Arial" w:hAnsi="Arial"/>
          <w:sz w:val="18"/>
          <w:szCs w:val="18"/>
          <w:color w:val="0088A6"/>
        </w:rPr>
      </w:pPr>
      <w:r>
        <w:rPr>
          <w:rFonts w:ascii="Arial" w:cs="Arial" w:eastAsia="Arial" w:hAnsi="Arial"/>
          <w:sz w:val="18"/>
          <w:szCs w:val="18"/>
          <w:i w:val="1"/>
          <w:iCs w:val="1"/>
          <w:color w:val="auto"/>
        </w:rPr>
        <w:t xml:space="preserve">Elimination of Tax Gross-Up Payments on Severance Arrangements. </w:t>
      </w:r>
      <w:r>
        <w:rPr>
          <w:rFonts w:ascii="Arial" w:cs="Arial" w:eastAsia="Arial" w:hAnsi="Arial"/>
          <w:sz w:val="18"/>
          <w:szCs w:val="18"/>
          <w:color w:val="auto"/>
        </w:rPr>
        <w:t>We do not provide any tax gross-up payments on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and we do not intend to do so in the future.</w:t>
      </w:r>
    </w:p>
    <w:p>
      <w:pPr>
        <w:spacing w:after="0" w:line="24" w:lineRule="exact"/>
        <w:rPr>
          <w:rFonts w:ascii="Arial" w:cs="Arial" w:eastAsia="Arial" w:hAnsi="Arial"/>
          <w:sz w:val="18"/>
          <w:szCs w:val="18"/>
          <w:color w:val="0088A6"/>
        </w:rPr>
      </w:pPr>
    </w:p>
    <w:p>
      <w:pPr>
        <w:ind w:left="1120" w:right="260" w:hanging="437"/>
        <w:spacing w:after="0" w:line="260" w:lineRule="auto"/>
        <w:tabs>
          <w:tab w:leader="none" w:pos="1120" w:val="left"/>
        </w:tabs>
        <w:numPr>
          <w:ilvl w:val="0"/>
          <w:numId w:val="35"/>
        </w:numPr>
        <w:rPr>
          <w:rFonts w:ascii="Arial" w:cs="Arial" w:eastAsia="Arial" w:hAnsi="Arial"/>
          <w:sz w:val="18"/>
          <w:szCs w:val="18"/>
          <w:color w:val="0088A6"/>
        </w:rPr>
      </w:pPr>
      <w:r>
        <w:rPr>
          <w:rFonts w:ascii="Arial" w:cs="Arial" w:eastAsia="Arial" w:hAnsi="Arial"/>
          <w:sz w:val="18"/>
          <w:szCs w:val="18"/>
          <w:i w:val="1"/>
          <w:iCs w:val="1"/>
          <w:color w:val="auto"/>
        </w:rPr>
        <w:t xml:space="preserve">Limited Perquisites. </w:t>
      </w:r>
      <w:r>
        <w:rPr>
          <w:rFonts w:ascii="Arial" w:cs="Arial" w:eastAsia="Arial" w:hAnsi="Arial"/>
          <w:sz w:val="18"/>
          <w:szCs w:val="18"/>
          <w:color w:val="auto"/>
        </w:rPr>
        <w:t>Our executive compensation program includes very few perquisites for our executives. We do not provide tax</w:t>
      </w:r>
      <w:r>
        <w:rPr>
          <w:rFonts w:ascii="Arial" w:cs="Arial" w:eastAsia="Arial" w:hAnsi="Arial"/>
          <w:sz w:val="18"/>
          <w:szCs w:val="18"/>
          <w:i w:val="1"/>
          <w:iCs w:val="1"/>
          <w:color w:val="auto"/>
        </w:rPr>
        <w:t xml:space="preserve"> </w:t>
      </w:r>
      <w:r>
        <w:rPr>
          <w:rFonts w:ascii="Arial" w:cs="Arial" w:eastAsia="Arial" w:hAnsi="Arial"/>
          <w:sz w:val="18"/>
          <w:szCs w:val="18"/>
          <w:color w:val="auto"/>
        </w:rPr>
        <w:t>gross-up payments on perquisites.</w:t>
      </w:r>
    </w:p>
    <w:p>
      <w:pPr>
        <w:spacing w:after="0" w:line="24" w:lineRule="exact"/>
        <w:rPr>
          <w:rFonts w:ascii="Arial" w:cs="Arial" w:eastAsia="Arial" w:hAnsi="Arial"/>
          <w:sz w:val="18"/>
          <w:szCs w:val="18"/>
          <w:color w:val="0088A6"/>
        </w:rPr>
      </w:pPr>
    </w:p>
    <w:p>
      <w:pPr>
        <w:ind w:left="1120" w:right="620" w:hanging="437"/>
        <w:spacing w:after="0" w:line="247" w:lineRule="auto"/>
        <w:tabs>
          <w:tab w:leader="none" w:pos="1120" w:val="left"/>
        </w:tabs>
        <w:numPr>
          <w:ilvl w:val="0"/>
          <w:numId w:val="35"/>
        </w:numPr>
        <w:rPr>
          <w:rFonts w:ascii="Arial" w:cs="Arial" w:eastAsia="Arial" w:hAnsi="Arial"/>
          <w:sz w:val="18"/>
          <w:szCs w:val="18"/>
          <w:color w:val="0088A6"/>
        </w:rPr>
      </w:pPr>
      <w:r>
        <w:rPr>
          <w:rFonts w:ascii="Arial" w:cs="Arial" w:eastAsia="Arial" w:hAnsi="Arial"/>
          <w:sz w:val="18"/>
          <w:szCs w:val="18"/>
          <w:i w:val="1"/>
          <w:iCs w:val="1"/>
          <w:color w:val="auto"/>
        </w:rPr>
        <w:t xml:space="preserve">Incentive Recoupment Policy. </w:t>
      </w:r>
      <w:r>
        <w:rPr>
          <w:rFonts w:ascii="Arial" w:cs="Arial" w:eastAsia="Arial" w:hAnsi="Arial"/>
          <w:sz w:val="18"/>
          <w:szCs w:val="18"/>
          <w:color w:val="auto"/>
        </w:rPr>
        <w:t>We maintain an incentive recoupment or “clawback” policy that allows the company to recoup</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payments to the named executive officers and other executive vice presidents in certain circumstances. In addition, Mr. Greifeld’s employment agreement contains an incentive recoupment provision.</w:t>
      </w:r>
    </w:p>
    <w:p>
      <w:pPr>
        <w:spacing w:after="0" w:line="36" w:lineRule="exact"/>
        <w:rPr>
          <w:rFonts w:ascii="Arial" w:cs="Arial" w:eastAsia="Arial" w:hAnsi="Arial"/>
          <w:sz w:val="18"/>
          <w:szCs w:val="18"/>
          <w:color w:val="0088A6"/>
        </w:rPr>
      </w:pPr>
    </w:p>
    <w:p>
      <w:pPr>
        <w:ind w:left="1120" w:right="400" w:hanging="437"/>
        <w:spacing w:after="0" w:line="247" w:lineRule="auto"/>
        <w:tabs>
          <w:tab w:leader="none" w:pos="1120" w:val="left"/>
        </w:tabs>
        <w:numPr>
          <w:ilvl w:val="0"/>
          <w:numId w:val="35"/>
        </w:numPr>
        <w:rPr>
          <w:rFonts w:ascii="Arial" w:cs="Arial" w:eastAsia="Arial" w:hAnsi="Arial"/>
          <w:sz w:val="18"/>
          <w:szCs w:val="18"/>
          <w:color w:val="0088A6"/>
        </w:rPr>
      </w:pPr>
      <w:r>
        <w:rPr>
          <w:rFonts w:ascii="Arial" w:cs="Arial" w:eastAsia="Arial" w:hAnsi="Arial"/>
          <w:sz w:val="18"/>
          <w:szCs w:val="18"/>
          <w:i w:val="1"/>
          <w:iCs w:val="1"/>
          <w:color w:val="auto"/>
        </w:rPr>
        <w:t xml:space="preserve">Limited Employment Agreements. </w:t>
      </w:r>
      <w:r>
        <w:rPr>
          <w:rFonts w:ascii="Arial" w:cs="Arial" w:eastAsia="Arial" w:hAnsi="Arial"/>
          <w:sz w:val="18"/>
          <w:szCs w:val="18"/>
          <w:color w:val="auto"/>
        </w:rPr>
        <w:t>We typically provide an offer letter to executive officers upon hire or promotion noting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is employed “at will.” Of our named executive officers, only Messrs. Greifeld and Jochumsen have employment agreements.</w:t>
      </w:r>
    </w:p>
    <w:p>
      <w:pPr>
        <w:spacing w:after="0" w:line="36" w:lineRule="exact"/>
        <w:rPr>
          <w:rFonts w:ascii="Arial" w:cs="Arial" w:eastAsia="Arial" w:hAnsi="Arial"/>
          <w:sz w:val="18"/>
          <w:szCs w:val="18"/>
          <w:color w:val="0088A6"/>
        </w:rPr>
      </w:pPr>
    </w:p>
    <w:p>
      <w:pPr>
        <w:ind w:left="1120" w:right="560" w:hanging="437"/>
        <w:spacing w:after="0" w:line="247" w:lineRule="auto"/>
        <w:tabs>
          <w:tab w:leader="none" w:pos="1120" w:val="left"/>
        </w:tabs>
        <w:numPr>
          <w:ilvl w:val="0"/>
          <w:numId w:val="35"/>
        </w:numPr>
        <w:rPr>
          <w:rFonts w:ascii="Arial" w:cs="Arial" w:eastAsia="Arial" w:hAnsi="Arial"/>
          <w:sz w:val="18"/>
          <w:szCs w:val="18"/>
          <w:color w:val="0088A6"/>
        </w:rPr>
      </w:pPr>
      <w:r>
        <w:rPr>
          <w:rFonts w:ascii="Arial" w:cs="Arial" w:eastAsia="Arial" w:hAnsi="Arial"/>
          <w:sz w:val="18"/>
          <w:szCs w:val="18"/>
          <w:i w:val="1"/>
          <w:iCs w:val="1"/>
          <w:color w:val="auto"/>
        </w:rPr>
        <w:t xml:space="preserve">Engagement of Independent Compensation Consultant. </w:t>
      </w:r>
      <w:r>
        <w:rPr>
          <w:rFonts w:ascii="Arial" w:cs="Arial" w:eastAsia="Arial" w:hAnsi="Arial"/>
          <w:sz w:val="18"/>
          <w:szCs w:val="18"/>
          <w:color w:val="auto"/>
        </w:rPr>
        <w:t>The management compensation committee engages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consultant to assist the committee, as requested, in fulfilling various aspects of the committee’s charter. The independent compensation consultant reports directly to the committee, and not to management.</w:t>
      </w:r>
    </w:p>
    <w:p>
      <w:pPr>
        <w:spacing w:after="0" w:line="36" w:lineRule="exact"/>
        <w:rPr>
          <w:rFonts w:ascii="Arial" w:cs="Arial" w:eastAsia="Arial" w:hAnsi="Arial"/>
          <w:sz w:val="18"/>
          <w:szCs w:val="18"/>
          <w:color w:val="0088A6"/>
        </w:rPr>
      </w:pPr>
    </w:p>
    <w:p>
      <w:pPr>
        <w:ind w:left="1120" w:right="60" w:hanging="437"/>
        <w:spacing w:after="0" w:line="283" w:lineRule="auto"/>
        <w:tabs>
          <w:tab w:leader="none" w:pos="1120" w:val="left"/>
        </w:tabs>
        <w:numPr>
          <w:ilvl w:val="0"/>
          <w:numId w:val="35"/>
        </w:numPr>
        <w:rPr>
          <w:rFonts w:ascii="Arial" w:cs="Arial" w:eastAsia="Arial" w:hAnsi="Arial"/>
          <w:sz w:val="16"/>
          <w:szCs w:val="16"/>
          <w:color w:val="0088A6"/>
        </w:rPr>
      </w:pPr>
      <w:r>
        <w:rPr>
          <w:rFonts w:ascii="Arial" w:cs="Arial" w:eastAsia="Arial" w:hAnsi="Arial"/>
          <w:sz w:val="16"/>
          <w:szCs w:val="16"/>
          <w:i w:val="1"/>
          <w:iCs w:val="1"/>
          <w:color w:val="auto"/>
        </w:rPr>
        <w:t xml:space="preserve">Extensive Risk Assessment of Compensation Program. </w:t>
      </w:r>
      <w:r>
        <w:rPr>
          <w:rFonts w:ascii="Arial" w:cs="Arial" w:eastAsia="Arial" w:hAnsi="Arial"/>
          <w:sz w:val="16"/>
          <w:szCs w:val="16"/>
          <w:color w:val="auto"/>
        </w:rPr>
        <w:t>We monitor the risks associated with our compensation program on an</w:t>
      </w:r>
      <w:r>
        <w:rPr>
          <w:rFonts w:ascii="Arial" w:cs="Arial" w:eastAsia="Arial" w:hAnsi="Arial"/>
          <w:sz w:val="16"/>
          <w:szCs w:val="16"/>
          <w:i w:val="1"/>
          <w:iCs w:val="1"/>
          <w:color w:val="auto"/>
        </w:rPr>
        <w:t xml:space="preserve"> </w:t>
      </w:r>
      <w:r>
        <w:rPr>
          <w:rFonts w:ascii="Arial" w:cs="Arial" w:eastAsia="Arial" w:hAnsi="Arial"/>
          <w:sz w:val="16"/>
          <w:szCs w:val="16"/>
          <w:color w:val="auto"/>
        </w:rPr>
        <w:t>ongoing basis. In addition, on an annual basis, the audit and management compensation committees of our board of directors are presented with the results of an assessment of our employee compensation program, including the performance goals set under the annual performance-based cash incentive plans, in order to evaluate the risks arising from our compensation policies and practices.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Company’s Executive Compensation on an Advisory Basis</w:t>
      </w:r>
    </w:p>
    <w:p>
      <w:pPr>
        <w:spacing w:after="0" w:line="7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At our most recent annual meeting of stockholders, held on May 22, 2012, NASDAQ OMX conducted an advisory vote to approve the company’s executive compensation for the year ended December 31, 2011. Stockholders expressed substantial support for the compensation of our named executive officers, with approximately 97% of the votes present in person or represented by proxy at the meeting</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and entitled to vote on the matter cast to approve the advisory vote. The committee took into account the results of this advisory vote when making compensation decisions through the remainder of 2012 and into early 2013. The committee also considered many other factors in evaluating our executive compensation programs, including the company’s pay for performance philosophy and a competitive market analysis of peer companies. While each of these factors influenced the committee’s recommendations regarding our named executive officers’ compensation in 2012, the committee did not make any changes to our executive compensation program, policies and decisions as a result of the advisory vote.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Opportunity for Stockholder Feedback</w:t>
      </w:r>
    </w:p>
    <w:p>
      <w:pPr>
        <w:spacing w:after="0" w:line="7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committee carefully considers feedback from NASDAQ OMX’s regular engagement with our stockholders on executive compensation, corporate governance and other issues. The committee welcomes input from our stockholders on NASDAQ OMX’s compensation program through the communication process discussed in “Stockholder Communication With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7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management compensation committee recognizes its important responsibilities to our stockholders. The committee has endeavored to create a performance-based compensation program that meets the needs of our global company and its stockholders.</w:t>
      </w:r>
    </w:p>
    <w:p>
      <w:pPr>
        <w:spacing w:after="0" w:line="11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On an annual basis, the committee reviews NASDAQ OMX’s compensation philosophy, programs and practices. The following core principles reflect the committee’s current compensation philosophy.</w:t>
      </w:r>
    </w:p>
    <w:p>
      <w:pPr>
        <w:spacing w:after="0" w:line="38" w:lineRule="exact"/>
        <w:rPr>
          <w:sz w:val="20"/>
          <w:szCs w:val="20"/>
          <w:color w:val="auto"/>
        </w:rPr>
      </w:pPr>
    </w:p>
    <w:p>
      <w:pPr>
        <w:ind w:left="1120" w:hanging="437"/>
        <w:spacing w:after="0"/>
        <w:tabs>
          <w:tab w:leader="none" w:pos="1120" w:val="left"/>
        </w:tabs>
        <w:numPr>
          <w:ilvl w:val="0"/>
          <w:numId w:val="36"/>
        </w:numPr>
        <w:rPr>
          <w:rFonts w:ascii="Arial" w:cs="Arial" w:eastAsia="Arial" w:hAnsi="Arial"/>
          <w:sz w:val="18"/>
          <w:szCs w:val="18"/>
          <w:color w:val="0088A6"/>
        </w:rPr>
      </w:pPr>
      <w:r>
        <w:rPr>
          <w:rFonts w:ascii="Arial" w:cs="Arial" w:eastAsia="Arial" w:hAnsi="Arial"/>
          <w:sz w:val="18"/>
          <w:szCs w:val="18"/>
          <w:b w:val="1"/>
          <w:bCs w:val="1"/>
          <w:color w:val="auto"/>
        </w:rPr>
        <w:t>The compensation program creates long-term stockholder value by fostering an ownership culture.</w:t>
      </w:r>
    </w:p>
    <w:p>
      <w:pPr>
        <w:spacing w:after="0" w:line="98" w:lineRule="exact"/>
        <w:rPr>
          <w:rFonts w:ascii="Arial" w:cs="Arial" w:eastAsia="Arial" w:hAnsi="Arial"/>
          <w:sz w:val="18"/>
          <w:szCs w:val="18"/>
          <w:color w:val="0088A6"/>
        </w:rPr>
      </w:pPr>
    </w:p>
    <w:p>
      <w:pPr>
        <w:ind w:left="1920" w:hanging="440"/>
        <w:spacing w:after="0"/>
        <w:tabs>
          <w:tab w:leader="none" w:pos="1920" w:val="left"/>
        </w:tabs>
        <w:numPr>
          <w:ilvl w:val="1"/>
          <w:numId w:val="36"/>
        </w:numPr>
        <w:rPr>
          <w:rFonts w:ascii="Arial" w:cs="Arial" w:eastAsia="Arial" w:hAnsi="Arial"/>
          <w:sz w:val="18"/>
          <w:szCs w:val="18"/>
          <w:color w:val="0088A6"/>
        </w:rPr>
      </w:pPr>
      <w:r>
        <w:rPr>
          <w:rFonts w:ascii="Arial" w:cs="Arial" w:eastAsia="Arial" w:hAnsi="Arial"/>
          <w:sz w:val="18"/>
          <w:szCs w:val="18"/>
          <w:color w:val="auto"/>
        </w:rPr>
        <w:t>All employees are eligible to participate in NASDAQ OMX’s equity programs.</w:t>
      </w:r>
    </w:p>
    <w:p>
      <w:pPr>
        <w:spacing w:after="0" w:line="76" w:lineRule="exact"/>
        <w:rPr>
          <w:rFonts w:ascii="Arial" w:cs="Arial" w:eastAsia="Arial" w:hAnsi="Arial"/>
          <w:sz w:val="18"/>
          <w:szCs w:val="18"/>
          <w:color w:val="0088A6"/>
        </w:rPr>
      </w:pPr>
    </w:p>
    <w:p>
      <w:pPr>
        <w:ind w:left="1920" w:hanging="440"/>
        <w:spacing w:after="0"/>
        <w:tabs>
          <w:tab w:leader="none" w:pos="1920" w:val="left"/>
        </w:tabs>
        <w:numPr>
          <w:ilvl w:val="1"/>
          <w:numId w:val="36"/>
        </w:numPr>
        <w:rPr>
          <w:rFonts w:ascii="Arial" w:cs="Arial" w:eastAsia="Arial" w:hAnsi="Arial"/>
          <w:sz w:val="18"/>
          <w:szCs w:val="18"/>
          <w:color w:val="0088A6"/>
        </w:rPr>
      </w:pPr>
      <w:r>
        <w:rPr>
          <w:rFonts w:ascii="Arial" w:cs="Arial" w:eastAsia="Arial" w:hAnsi="Arial"/>
          <w:sz w:val="18"/>
          <w:szCs w:val="18"/>
          <w:color w:val="auto"/>
        </w:rPr>
        <w:t>Programs support an ownership culture that is focused on integrity and the key drivers of stockholder value.</w:t>
      </w:r>
    </w:p>
    <w:p>
      <w:pPr>
        <w:spacing w:after="0" w:line="76" w:lineRule="exact"/>
        <w:rPr>
          <w:rFonts w:ascii="Arial" w:cs="Arial" w:eastAsia="Arial" w:hAnsi="Arial"/>
          <w:sz w:val="18"/>
          <w:szCs w:val="18"/>
          <w:color w:val="0088A6"/>
        </w:rPr>
      </w:pPr>
    </w:p>
    <w:p>
      <w:pPr>
        <w:ind w:left="1920" w:right="520" w:hanging="440"/>
        <w:spacing w:after="0" w:line="239" w:lineRule="auto"/>
        <w:tabs>
          <w:tab w:leader="none" w:pos="1920" w:val="left"/>
        </w:tabs>
        <w:numPr>
          <w:ilvl w:val="1"/>
          <w:numId w:val="36"/>
        </w:numPr>
        <w:rPr>
          <w:rFonts w:ascii="Arial" w:cs="Arial" w:eastAsia="Arial" w:hAnsi="Arial"/>
          <w:sz w:val="18"/>
          <w:szCs w:val="18"/>
          <w:color w:val="0088A6"/>
        </w:rPr>
      </w:pPr>
      <w:r>
        <w:rPr>
          <w:rFonts w:ascii="Arial" w:cs="Arial" w:eastAsia="Arial" w:hAnsi="Arial"/>
          <w:sz w:val="18"/>
          <w:szCs w:val="18"/>
          <w:color w:val="auto"/>
        </w:rPr>
        <w:t>Ownership guidelines applicable to the CEO, CFO, executive vice presidents and senior vice presidents are used to encourage executive stock ownership.</w:t>
      </w:r>
    </w:p>
    <w:p>
      <w:pPr>
        <w:spacing w:after="0" w:line="38" w:lineRule="exact"/>
        <w:rPr>
          <w:rFonts w:ascii="Arial" w:cs="Arial" w:eastAsia="Arial" w:hAnsi="Arial"/>
          <w:sz w:val="18"/>
          <w:szCs w:val="18"/>
          <w:color w:val="0088A6"/>
        </w:rPr>
      </w:pPr>
    </w:p>
    <w:p>
      <w:pPr>
        <w:ind w:left="1120" w:hanging="437"/>
        <w:spacing w:after="0"/>
        <w:tabs>
          <w:tab w:leader="none" w:pos="1120" w:val="left"/>
        </w:tabs>
        <w:numPr>
          <w:ilvl w:val="0"/>
          <w:numId w:val="36"/>
        </w:numPr>
        <w:rPr>
          <w:rFonts w:ascii="Arial" w:cs="Arial" w:eastAsia="Arial" w:hAnsi="Arial"/>
          <w:sz w:val="18"/>
          <w:szCs w:val="18"/>
          <w:color w:val="0088A6"/>
        </w:rPr>
      </w:pPr>
      <w:r>
        <w:rPr>
          <w:rFonts w:ascii="Arial" w:cs="Arial" w:eastAsia="Arial" w:hAnsi="Arial"/>
          <w:sz w:val="18"/>
          <w:szCs w:val="18"/>
          <w:b w:val="1"/>
          <w:bCs w:val="1"/>
          <w:color w:val="auto"/>
        </w:rPr>
        <w:t>The compensation program supports a high-performance environment via performance-based rewards.</w:t>
      </w:r>
    </w:p>
    <w:p>
      <w:pPr>
        <w:spacing w:after="0" w:line="98" w:lineRule="exact"/>
        <w:rPr>
          <w:rFonts w:ascii="Arial" w:cs="Arial" w:eastAsia="Arial" w:hAnsi="Arial"/>
          <w:sz w:val="18"/>
          <w:szCs w:val="18"/>
          <w:color w:val="0088A6"/>
        </w:rPr>
      </w:pPr>
    </w:p>
    <w:p>
      <w:pPr>
        <w:ind w:left="1920" w:hanging="440"/>
        <w:spacing w:after="0"/>
        <w:tabs>
          <w:tab w:leader="none" w:pos="1920" w:val="left"/>
        </w:tabs>
        <w:numPr>
          <w:ilvl w:val="1"/>
          <w:numId w:val="36"/>
        </w:numPr>
        <w:rPr>
          <w:rFonts w:ascii="Arial" w:cs="Arial" w:eastAsia="Arial" w:hAnsi="Arial"/>
          <w:sz w:val="18"/>
          <w:szCs w:val="18"/>
          <w:color w:val="0088A6"/>
        </w:rPr>
      </w:pPr>
      <w:r>
        <w:rPr>
          <w:rFonts w:ascii="Arial" w:cs="Arial" w:eastAsia="Arial" w:hAnsi="Arial"/>
          <w:sz w:val="18"/>
          <w:szCs w:val="18"/>
          <w:color w:val="auto"/>
        </w:rPr>
        <w:t>Variable pay is emphasized over fixed pay through participation in annual and long-term incentive plans.</w:t>
      </w:r>
    </w:p>
    <w:p>
      <w:pPr>
        <w:spacing w:after="0" w:line="63" w:lineRule="exact"/>
        <w:rPr>
          <w:rFonts w:ascii="Arial" w:cs="Arial" w:eastAsia="Arial" w:hAnsi="Arial"/>
          <w:sz w:val="18"/>
          <w:szCs w:val="18"/>
          <w:color w:val="0088A6"/>
        </w:rPr>
      </w:pPr>
    </w:p>
    <w:p>
      <w:pPr>
        <w:ind w:left="1920" w:right="300" w:hanging="440"/>
        <w:spacing w:after="0" w:line="239" w:lineRule="auto"/>
        <w:tabs>
          <w:tab w:leader="none" w:pos="1920" w:val="left"/>
        </w:tabs>
        <w:numPr>
          <w:ilvl w:val="1"/>
          <w:numId w:val="36"/>
        </w:numPr>
        <w:rPr>
          <w:rFonts w:ascii="Arial" w:cs="Arial" w:eastAsia="Arial" w:hAnsi="Arial"/>
          <w:sz w:val="18"/>
          <w:szCs w:val="18"/>
          <w:color w:val="0088A6"/>
        </w:rPr>
      </w:pPr>
      <w:r>
        <w:rPr>
          <w:rFonts w:ascii="Arial" w:cs="Arial" w:eastAsia="Arial" w:hAnsi="Arial"/>
          <w:sz w:val="18"/>
          <w:szCs w:val="18"/>
          <w:color w:val="auto"/>
        </w:rPr>
        <w:t>A significant portion of compensation is performance-based and varies based on NASDAQ OMX’s performance, which enables participation in the short- and long-term growth and financial success of the company.</w:t>
      </w:r>
    </w:p>
    <w:p>
      <w:pPr>
        <w:spacing w:after="0" w:line="60" w:lineRule="exact"/>
        <w:rPr>
          <w:rFonts w:ascii="Arial" w:cs="Arial" w:eastAsia="Arial" w:hAnsi="Arial"/>
          <w:sz w:val="18"/>
          <w:szCs w:val="18"/>
          <w:color w:val="0088A6"/>
        </w:rPr>
      </w:pPr>
    </w:p>
    <w:p>
      <w:pPr>
        <w:ind w:left="2500" w:right="60" w:hanging="439"/>
        <w:spacing w:after="0" w:line="239" w:lineRule="auto"/>
        <w:tabs>
          <w:tab w:leader="none" w:pos="2500" w:val="left"/>
        </w:tabs>
        <w:numPr>
          <w:ilvl w:val="2"/>
          <w:numId w:val="36"/>
        </w:numPr>
        <w:rPr>
          <w:rFonts w:ascii="Arial" w:cs="Arial" w:eastAsia="Arial" w:hAnsi="Arial"/>
          <w:sz w:val="18"/>
          <w:szCs w:val="18"/>
          <w:color w:val="0088A6"/>
        </w:rPr>
      </w:pPr>
      <w:r>
        <w:rPr>
          <w:rFonts w:ascii="Arial" w:cs="Arial" w:eastAsia="Arial" w:hAnsi="Arial"/>
          <w:sz w:val="18"/>
          <w:szCs w:val="18"/>
          <w:color w:val="auto"/>
        </w:rPr>
        <w:t>The program reinforces the importance of meeting and/or exceeding performance targets through superior awards for superior performance and through differentiated awards based on performance achieved.</w:t>
      </w:r>
    </w:p>
    <w:p>
      <w:pPr>
        <w:spacing w:after="0" w:line="60" w:lineRule="exact"/>
        <w:rPr>
          <w:rFonts w:ascii="Arial" w:cs="Arial" w:eastAsia="Arial" w:hAnsi="Arial"/>
          <w:sz w:val="18"/>
          <w:szCs w:val="18"/>
          <w:color w:val="0088A6"/>
        </w:rPr>
      </w:pPr>
    </w:p>
    <w:p>
      <w:pPr>
        <w:ind w:left="2500" w:hanging="439"/>
        <w:spacing w:after="0"/>
        <w:tabs>
          <w:tab w:leader="none" w:pos="2500" w:val="left"/>
        </w:tabs>
        <w:numPr>
          <w:ilvl w:val="2"/>
          <w:numId w:val="36"/>
        </w:numPr>
        <w:rPr>
          <w:rFonts w:ascii="Arial" w:cs="Arial" w:eastAsia="Arial" w:hAnsi="Arial"/>
          <w:sz w:val="16"/>
          <w:szCs w:val="16"/>
          <w:color w:val="0088A6"/>
        </w:rPr>
      </w:pPr>
      <w:r>
        <w:rPr>
          <w:rFonts w:ascii="Arial" w:cs="Arial" w:eastAsia="Arial" w:hAnsi="Arial"/>
          <w:sz w:val="16"/>
          <w:szCs w:val="16"/>
          <w:color w:val="auto"/>
        </w:rPr>
        <w:t>Goal setting and achievement tracking are highly structured and measurable, with few discretionary adjustments.</w:t>
      </w:r>
    </w:p>
    <w:p>
      <w:pPr>
        <w:spacing w:after="0" w:line="86" w:lineRule="exact"/>
        <w:rPr>
          <w:rFonts w:ascii="Arial" w:cs="Arial" w:eastAsia="Arial" w:hAnsi="Arial"/>
          <w:sz w:val="16"/>
          <w:szCs w:val="16"/>
          <w:color w:val="0088A6"/>
        </w:rPr>
      </w:pPr>
    </w:p>
    <w:p>
      <w:pPr>
        <w:ind w:left="2500" w:hanging="439"/>
        <w:spacing w:after="0"/>
        <w:tabs>
          <w:tab w:leader="none" w:pos="2500" w:val="left"/>
        </w:tabs>
        <w:numPr>
          <w:ilvl w:val="2"/>
          <w:numId w:val="36"/>
        </w:numPr>
        <w:rPr>
          <w:rFonts w:ascii="Arial" w:cs="Arial" w:eastAsia="Arial" w:hAnsi="Arial"/>
          <w:sz w:val="18"/>
          <w:szCs w:val="18"/>
          <w:color w:val="0088A6"/>
        </w:rPr>
      </w:pPr>
      <w:r>
        <w:rPr>
          <w:rFonts w:ascii="Arial" w:cs="Arial" w:eastAsia="Arial" w:hAnsi="Arial"/>
          <w:sz w:val="18"/>
          <w:szCs w:val="18"/>
          <w:color w:val="auto"/>
        </w:rPr>
        <w:t>Select employee benefits are performance-based.</w:t>
      </w:r>
    </w:p>
    <w:p>
      <w:pPr>
        <w:spacing w:after="0" w:line="63" w:lineRule="exact"/>
        <w:rPr>
          <w:rFonts w:ascii="Arial" w:cs="Arial" w:eastAsia="Arial" w:hAnsi="Arial"/>
          <w:sz w:val="18"/>
          <w:szCs w:val="18"/>
          <w:color w:val="0088A6"/>
        </w:rPr>
      </w:pPr>
    </w:p>
    <w:p>
      <w:pPr>
        <w:ind w:left="1920" w:hanging="440"/>
        <w:spacing w:after="0"/>
        <w:tabs>
          <w:tab w:leader="none" w:pos="1920" w:val="left"/>
        </w:tabs>
        <w:numPr>
          <w:ilvl w:val="1"/>
          <w:numId w:val="36"/>
        </w:numPr>
        <w:rPr>
          <w:rFonts w:ascii="Arial" w:cs="Arial" w:eastAsia="Arial" w:hAnsi="Arial"/>
          <w:sz w:val="18"/>
          <w:szCs w:val="18"/>
          <w:color w:val="0088A6"/>
        </w:rPr>
      </w:pPr>
      <w:r>
        <w:rPr>
          <w:rFonts w:ascii="Arial" w:cs="Arial" w:eastAsia="Arial" w:hAnsi="Arial"/>
          <w:sz w:val="18"/>
          <w:szCs w:val="18"/>
          <w:color w:val="auto"/>
        </w:rPr>
        <w:t>Compensation plans and arrangements do not encourage excessive risk-taking by management.</w:t>
      </w:r>
    </w:p>
    <w:p>
      <w:pPr>
        <w:spacing w:after="0" w:line="108" w:lineRule="exact"/>
        <w:rPr>
          <w:rFonts w:ascii="Arial" w:cs="Arial" w:eastAsia="Arial" w:hAnsi="Arial"/>
          <w:sz w:val="18"/>
          <w:szCs w:val="18"/>
          <w:color w:val="0088A6"/>
        </w:rPr>
      </w:pPr>
    </w:p>
    <w:p>
      <w:pPr>
        <w:ind w:left="1120" w:hanging="437"/>
        <w:spacing w:after="0"/>
        <w:tabs>
          <w:tab w:leader="none" w:pos="1120" w:val="left"/>
        </w:tabs>
        <w:numPr>
          <w:ilvl w:val="0"/>
          <w:numId w:val="36"/>
        </w:numPr>
        <w:rPr>
          <w:rFonts w:ascii="Arial" w:cs="Arial" w:eastAsia="Arial" w:hAnsi="Arial"/>
          <w:sz w:val="18"/>
          <w:szCs w:val="18"/>
          <w:color w:val="0088A6"/>
        </w:rPr>
      </w:pPr>
      <w:r>
        <w:rPr>
          <w:rFonts w:ascii="Arial" w:cs="Arial" w:eastAsia="Arial" w:hAnsi="Arial"/>
          <w:sz w:val="18"/>
          <w:szCs w:val="18"/>
          <w:b w:val="1"/>
          <w:bCs w:val="1"/>
          <w:color w:val="auto"/>
        </w:rPr>
        <w:t>The compensation program focuses on key business goals.</w:t>
      </w:r>
    </w:p>
    <w:p>
      <w:pPr>
        <w:spacing w:after="0" w:line="85" w:lineRule="exact"/>
        <w:rPr>
          <w:rFonts w:ascii="Arial" w:cs="Arial" w:eastAsia="Arial" w:hAnsi="Arial"/>
          <w:sz w:val="18"/>
          <w:szCs w:val="18"/>
          <w:color w:val="0088A6"/>
        </w:rPr>
      </w:pPr>
    </w:p>
    <w:p>
      <w:pPr>
        <w:ind w:left="1920" w:right="860" w:hanging="440"/>
        <w:spacing w:after="0" w:line="239" w:lineRule="auto"/>
        <w:tabs>
          <w:tab w:leader="none" w:pos="1920" w:val="left"/>
        </w:tabs>
        <w:numPr>
          <w:ilvl w:val="1"/>
          <w:numId w:val="36"/>
        </w:numPr>
        <w:rPr>
          <w:rFonts w:ascii="Arial" w:cs="Arial" w:eastAsia="Arial" w:hAnsi="Arial"/>
          <w:sz w:val="18"/>
          <w:szCs w:val="18"/>
          <w:color w:val="0088A6"/>
        </w:rPr>
      </w:pPr>
      <w:r>
        <w:rPr>
          <w:rFonts w:ascii="Arial" w:cs="Arial" w:eastAsia="Arial" w:hAnsi="Arial"/>
          <w:sz w:val="18"/>
          <w:szCs w:val="18"/>
          <w:color w:val="auto"/>
        </w:rPr>
        <w:t>The program encourages decision-making to align the business strategy with goals set to drive industry-leading performance.</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920" w:hanging="440"/>
        <w:spacing w:after="0"/>
        <w:tabs>
          <w:tab w:leader="none" w:pos="1920" w:val="left"/>
        </w:tabs>
        <w:numPr>
          <w:ilvl w:val="1"/>
          <w:numId w:val="37"/>
        </w:numPr>
        <w:rPr>
          <w:rFonts w:ascii="Arial" w:cs="Arial" w:eastAsia="Arial" w:hAnsi="Arial"/>
          <w:sz w:val="18"/>
          <w:szCs w:val="18"/>
          <w:color w:val="0088A6"/>
        </w:rPr>
      </w:pPr>
      <w:r>
        <w:rPr>
          <w:rFonts w:ascii="Arial" w:cs="Arial" w:eastAsia="Arial" w:hAnsi="Arial"/>
          <w:sz w:val="18"/>
          <w:szCs w:val="18"/>
          <w:color w:val="auto"/>
        </w:rPr>
        <w:t>Goal setting at NASDAQ OMX is based on a continuous improvement philosophy.</w:t>
      </w:r>
    </w:p>
    <w:p>
      <w:pPr>
        <w:spacing w:after="0" w:line="63" w:lineRule="exact"/>
        <w:rPr>
          <w:rFonts w:ascii="Arial" w:cs="Arial" w:eastAsia="Arial" w:hAnsi="Arial"/>
          <w:sz w:val="18"/>
          <w:szCs w:val="18"/>
          <w:color w:val="0088A6"/>
        </w:rPr>
      </w:pPr>
    </w:p>
    <w:p>
      <w:pPr>
        <w:ind w:left="1920" w:hanging="440"/>
        <w:spacing w:after="0"/>
        <w:tabs>
          <w:tab w:leader="none" w:pos="1920" w:val="left"/>
        </w:tabs>
        <w:numPr>
          <w:ilvl w:val="1"/>
          <w:numId w:val="37"/>
        </w:numPr>
        <w:rPr>
          <w:rFonts w:ascii="Arial" w:cs="Arial" w:eastAsia="Arial" w:hAnsi="Arial"/>
          <w:sz w:val="18"/>
          <w:szCs w:val="18"/>
          <w:color w:val="0088A6"/>
        </w:rPr>
      </w:pPr>
      <w:r>
        <w:rPr>
          <w:rFonts w:ascii="Arial" w:cs="Arial" w:eastAsia="Arial" w:hAnsi="Arial"/>
          <w:sz w:val="18"/>
          <w:szCs w:val="18"/>
          <w:color w:val="auto"/>
        </w:rPr>
        <w:t>Management is rewarded for maintaining a premier regulatory, ethics and compliance program.</w:t>
      </w:r>
    </w:p>
    <w:p>
      <w:pPr>
        <w:spacing w:after="0" w:line="108" w:lineRule="exact"/>
        <w:rPr>
          <w:rFonts w:ascii="Arial" w:cs="Arial" w:eastAsia="Arial" w:hAnsi="Arial"/>
          <w:sz w:val="18"/>
          <w:szCs w:val="18"/>
          <w:color w:val="0088A6"/>
        </w:rPr>
      </w:pPr>
    </w:p>
    <w:p>
      <w:pPr>
        <w:ind w:left="1120" w:hanging="437"/>
        <w:spacing w:after="0"/>
        <w:tabs>
          <w:tab w:leader="none" w:pos="1120" w:val="left"/>
        </w:tabs>
        <w:numPr>
          <w:ilvl w:val="0"/>
          <w:numId w:val="37"/>
        </w:numPr>
        <w:rPr>
          <w:rFonts w:ascii="Arial" w:cs="Arial" w:eastAsia="Arial" w:hAnsi="Arial"/>
          <w:sz w:val="18"/>
          <w:szCs w:val="18"/>
          <w:color w:val="0088A6"/>
        </w:rPr>
      </w:pPr>
      <w:r>
        <w:rPr>
          <w:rFonts w:ascii="Arial" w:cs="Arial" w:eastAsia="Arial" w:hAnsi="Arial"/>
          <w:sz w:val="18"/>
          <w:szCs w:val="18"/>
          <w:b w:val="1"/>
          <w:bCs w:val="1"/>
          <w:color w:val="auto"/>
        </w:rPr>
        <w:t>The compensation program enables NASDAQ OMX to compete effectively for talent.</w:t>
      </w:r>
    </w:p>
    <w:p>
      <w:pPr>
        <w:spacing w:after="0" w:line="85" w:lineRule="exact"/>
        <w:rPr>
          <w:rFonts w:ascii="Arial" w:cs="Arial" w:eastAsia="Arial" w:hAnsi="Arial"/>
          <w:sz w:val="18"/>
          <w:szCs w:val="18"/>
          <w:color w:val="0088A6"/>
        </w:rPr>
      </w:pPr>
    </w:p>
    <w:p>
      <w:pPr>
        <w:ind w:left="1920" w:right="160" w:hanging="440"/>
        <w:spacing w:after="0" w:line="239" w:lineRule="auto"/>
        <w:tabs>
          <w:tab w:leader="none" w:pos="1920" w:val="left"/>
        </w:tabs>
        <w:numPr>
          <w:ilvl w:val="1"/>
          <w:numId w:val="37"/>
        </w:numPr>
        <w:rPr>
          <w:rFonts w:ascii="Arial" w:cs="Arial" w:eastAsia="Arial" w:hAnsi="Arial"/>
          <w:sz w:val="18"/>
          <w:szCs w:val="18"/>
          <w:color w:val="0088A6"/>
        </w:rPr>
      </w:pPr>
      <w:r>
        <w:rPr>
          <w:rFonts w:ascii="Arial" w:cs="Arial" w:eastAsia="Arial" w:hAnsi="Arial"/>
          <w:sz w:val="18"/>
          <w:szCs w:val="18"/>
          <w:color w:val="auto"/>
        </w:rPr>
        <w:t>The program is designed to attract, motivate and retain talented, high-performing individuals who are willing to commit to NASDAQ OMX’s success and to build long-term stockholder value.</w:t>
      </w:r>
    </w:p>
    <w:p>
      <w:pPr>
        <w:spacing w:after="0" w:line="60" w:lineRule="exact"/>
        <w:rPr>
          <w:rFonts w:ascii="Arial" w:cs="Arial" w:eastAsia="Arial" w:hAnsi="Arial"/>
          <w:sz w:val="18"/>
          <w:szCs w:val="18"/>
          <w:color w:val="0088A6"/>
        </w:rPr>
      </w:pPr>
    </w:p>
    <w:p>
      <w:pPr>
        <w:jc w:val="both"/>
        <w:ind w:left="1920" w:right="420" w:hanging="440"/>
        <w:spacing w:after="0" w:line="238" w:lineRule="auto"/>
        <w:tabs>
          <w:tab w:leader="none" w:pos="1920" w:val="left"/>
        </w:tabs>
        <w:numPr>
          <w:ilvl w:val="1"/>
          <w:numId w:val="37"/>
        </w:numPr>
        <w:rPr>
          <w:rFonts w:ascii="Arial" w:cs="Arial" w:eastAsia="Arial" w:hAnsi="Arial"/>
          <w:sz w:val="18"/>
          <w:szCs w:val="18"/>
          <w:color w:val="0088A6"/>
        </w:rPr>
      </w:pPr>
      <w:r>
        <w:rPr>
          <w:rFonts w:ascii="Arial" w:cs="Arial" w:eastAsia="Arial" w:hAnsi="Arial"/>
          <w:sz w:val="18"/>
          <w:szCs w:val="18"/>
          <w:color w:val="auto"/>
        </w:rPr>
        <w:t>The compensation program at NASDAQ OMX is reflective of industry practices and competitive global markets while remaining responsive to local market conditions, offering both competitive programs and compensation opportunities, while balancing the need for talent with the need to maintain reasonable compensation costs.</w:t>
      </w:r>
    </w:p>
    <w:p>
      <w:pPr>
        <w:spacing w:after="0" w:line="105" w:lineRule="exact"/>
        <w:rPr>
          <w:rFonts w:ascii="Arial" w:cs="Arial" w:eastAsia="Arial" w:hAnsi="Arial"/>
          <w:sz w:val="18"/>
          <w:szCs w:val="18"/>
          <w:color w:val="0088A6"/>
        </w:rPr>
      </w:pPr>
    </w:p>
    <w:p>
      <w:pPr>
        <w:ind w:left="1120" w:hanging="437"/>
        <w:spacing w:after="0"/>
        <w:tabs>
          <w:tab w:leader="none" w:pos="1120" w:val="left"/>
        </w:tabs>
        <w:numPr>
          <w:ilvl w:val="0"/>
          <w:numId w:val="37"/>
        </w:numPr>
        <w:rPr>
          <w:rFonts w:ascii="Arial" w:cs="Arial" w:eastAsia="Arial" w:hAnsi="Arial"/>
          <w:sz w:val="18"/>
          <w:szCs w:val="18"/>
          <w:color w:val="0088A6"/>
        </w:rPr>
      </w:pPr>
      <w:r>
        <w:rPr>
          <w:rFonts w:ascii="Arial" w:cs="Arial" w:eastAsia="Arial" w:hAnsi="Arial"/>
          <w:sz w:val="18"/>
          <w:szCs w:val="18"/>
          <w:b w:val="1"/>
          <w:bCs w:val="1"/>
          <w:color w:val="auto"/>
        </w:rPr>
        <w:t>NASDAQ OMX communicates its compensation objectives and program clearly.</w:t>
      </w:r>
    </w:p>
    <w:p>
      <w:pPr>
        <w:spacing w:after="0" w:line="85" w:lineRule="exact"/>
        <w:rPr>
          <w:rFonts w:ascii="Arial" w:cs="Arial" w:eastAsia="Arial" w:hAnsi="Arial"/>
          <w:sz w:val="18"/>
          <w:szCs w:val="18"/>
          <w:color w:val="0088A6"/>
        </w:rPr>
      </w:pPr>
    </w:p>
    <w:p>
      <w:pPr>
        <w:ind w:left="1920" w:right="120" w:hanging="440"/>
        <w:spacing w:after="0" w:line="239" w:lineRule="auto"/>
        <w:tabs>
          <w:tab w:leader="none" w:pos="1920" w:val="left"/>
        </w:tabs>
        <w:numPr>
          <w:ilvl w:val="1"/>
          <w:numId w:val="37"/>
        </w:numPr>
        <w:rPr>
          <w:rFonts w:ascii="Arial" w:cs="Arial" w:eastAsia="Arial" w:hAnsi="Arial"/>
          <w:sz w:val="18"/>
          <w:szCs w:val="18"/>
          <w:color w:val="0088A6"/>
        </w:rPr>
      </w:pPr>
      <w:r>
        <w:rPr>
          <w:rFonts w:ascii="Arial" w:cs="Arial" w:eastAsia="Arial" w:hAnsi="Arial"/>
          <w:sz w:val="18"/>
          <w:szCs w:val="18"/>
          <w:color w:val="auto"/>
        </w:rPr>
        <w:t>Ongoing employee educational programs ensure that the compensation objectives and program are well understood and serve as an effective motivational tool.</w:t>
      </w:r>
    </w:p>
    <w:p>
      <w:pPr>
        <w:spacing w:after="0" w:line="60" w:lineRule="exact"/>
        <w:rPr>
          <w:rFonts w:ascii="Arial" w:cs="Arial" w:eastAsia="Arial" w:hAnsi="Arial"/>
          <w:sz w:val="18"/>
          <w:szCs w:val="18"/>
          <w:color w:val="0088A6"/>
        </w:rPr>
      </w:pPr>
    </w:p>
    <w:p>
      <w:pPr>
        <w:ind w:left="1920" w:hanging="440"/>
        <w:spacing w:after="0"/>
        <w:tabs>
          <w:tab w:leader="none" w:pos="1920" w:val="left"/>
        </w:tabs>
        <w:numPr>
          <w:ilvl w:val="1"/>
          <w:numId w:val="37"/>
        </w:numPr>
        <w:rPr>
          <w:rFonts w:ascii="Arial" w:cs="Arial" w:eastAsia="Arial" w:hAnsi="Arial"/>
          <w:sz w:val="18"/>
          <w:szCs w:val="18"/>
          <w:color w:val="0088A6"/>
        </w:rPr>
      </w:pPr>
      <w:r>
        <w:rPr>
          <w:rFonts w:ascii="Arial" w:cs="Arial" w:eastAsia="Arial" w:hAnsi="Arial"/>
          <w:sz w:val="18"/>
          <w:szCs w:val="18"/>
          <w:color w:val="auto"/>
        </w:rPr>
        <w:t>The value of total rewards is emphasized, versus only specific components of pay.</w:t>
      </w:r>
    </w:p>
    <w:p>
      <w:pPr>
        <w:spacing w:after="0" w:line="63" w:lineRule="exact"/>
        <w:rPr>
          <w:rFonts w:ascii="Arial" w:cs="Arial" w:eastAsia="Arial" w:hAnsi="Arial"/>
          <w:sz w:val="18"/>
          <w:szCs w:val="18"/>
          <w:color w:val="0088A6"/>
        </w:rPr>
      </w:pPr>
    </w:p>
    <w:p>
      <w:pPr>
        <w:ind w:left="1920" w:right="60" w:hanging="440"/>
        <w:spacing w:after="0" w:line="239" w:lineRule="auto"/>
        <w:tabs>
          <w:tab w:leader="none" w:pos="1920" w:val="left"/>
        </w:tabs>
        <w:numPr>
          <w:ilvl w:val="1"/>
          <w:numId w:val="37"/>
        </w:numPr>
        <w:rPr>
          <w:rFonts w:ascii="Arial" w:cs="Arial" w:eastAsia="Arial" w:hAnsi="Arial"/>
          <w:sz w:val="18"/>
          <w:szCs w:val="18"/>
          <w:color w:val="0088A6"/>
        </w:rPr>
      </w:pPr>
      <w:r>
        <w:rPr>
          <w:rFonts w:ascii="Arial" w:cs="Arial" w:eastAsia="Arial" w:hAnsi="Arial"/>
          <w:sz w:val="18"/>
          <w:szCs w:val="18"/>
          <w:color w:val="auto"/>
        </w:rPr>
        <w:t>NASDAQ OMX ensures that its compensation program is straightforward and transparent so it is clear how organizational and individual actions translate into NASDAQ OMX performance and rewards.</w:t>
      </w:r>
    </w:p>
    <w:p>
      <w:pPr>
        <w:spacing w:after="0" w:line="60" w:lineRule="exact"/>
        <w:rPr>
          <w:rFonts w:ascii="Arial" w:cs="Arial" w:eastAsia="Arial" w:hAnsi="Arial"/>
          <w:sz w:val="18"/>
          <w:szCs w:val="18"/>
          <w:color w:val="0088A6"/>
        </w:rPr>
      </w:pPr>
    </w:p>
    <w:p>
      <w:pPr>
        <w:ind w:left="1920" w:hanging="440"/>
        <w:spacing w:after="0"/>
        <w:tabs>
          <w:tab w:leader="none" w:pos="1920" w:val="left"/>
        </w:tabs>
        <w:numPr>
          <w:ilvl w:val="1"/>
          <w:numId w:val="37"/>
        </w:numPr>
        <w:rPr>
          <w:rFonts w:ascii="Arial" w:cs="Arial" w:eastAsia="Arial" w:hAnsi="Arial"/>
          <w:sz w:val="18"/>
          <w:szCs w:val="18"/>
          <w:color w:val="0088A6"/>
        </w:rPr>
      </w:pPr>
      <w:r>
        <w:rPr>
          <w:rFonts w:ascii="Arial" w:cs="Arial" w:eastAsia="Arial" w:hAnsi="Arial"/>
          <w:sz w:val="18"/>
          <w:szCs w:val="18"/>
          <w:color w:val="auto"/>
        </w:rPr>
        <w:t>NASDAQ OMX uses structured goal setting and achievement tracking.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EXECUTIVE COMPENSATION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Our Executive Compensation Program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are:</w:t>
      </w:r>
    </w:p>
    <w:p>
      <w:pPr>
        <w:spacing w:after="0" w:line="63" w:lineRule="exact"/>
        <w:rPr>
          <w:sz w:val="20"/>
          <w:szCs w:val="20"/>
          <w:color w:val="auto"/>
        </w:rPr>
      </w:pPr>
    </w:p>
    <w:p>
      <w:pPr>
        <w:ind w:left="1120" w:hanging="437"/>
        <w:spacing w:after="0"/>
        <w:tabs>
          <w:tab w:leader="none" w:pos="1120" w:val="left"/>
        </w:tabs>
        <w:numPr>
          <w:ilvl w:val="0"/>
          <w:numId w:val="38"/>
        </w:numPr>
        <w:rPr>
          <w:rFonts w:ascii="Arial" w:cs="Arial" w:eastAsia="Arial" w:hAnsi="Arial"/>
          <w:sz w:val="18"/>
          <w:szCs w:val="18"/>
          <w:color w:val="0088A6"/>
        </w:rPr>
      </w:pPr>
      <w:r>
        <w:rPr>
          <w:rFonts w:ascii="Arial" w:cs="Arial" w:eastAsia="Arial" w:hAnsi="Arial"/>
          <w:sz w:val="18"/>
          <w:szCs w:val="18"/>
          <w:color w:val="auto"/>
        </w:rPr>
        <w:t>annual base salaries;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38"/>
        </w:numPr>
        <w:rPr>
          <w:rFonts w:ascii="Arial" w:cs="Arial" w:eastAsia="Arial" w:hAnsi="Arial"/>
          <w:sz w:val="18"/>
          <w:szCs w:val="18"/>
          <w:color w:val="0088A6"/>
        </w:rPr>
      </w:pPr>
      <w:r>
        <w:rPr>
          <w:rFonts w:ascii="Arial" w:cs="Arial" w:eastAsia="Arial" w:hAnsi="Arial"/>
          <w:sz w:val="18"/>
          <w:szCs w:val="18"/>
          <w:color w:val="auto"/>
        </w:rPr>
        <w:t>annual performance-based cash incentive awards;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38"/>
        </w:numPr>
        <w:rPr>
          <w:rFonts w:ascii="Arial" w:cs="Arial" w:eastAsia="Arial" w:hAnsi="Arial"/>
          <w:sz w:val="18"/>
          <w:szCs w:val="18"/>
          <w:color w:val="0088A6"/>
        </w:rPr>
      </w:pPr>
      <w:r>
        <w:rPr>
          <w:rFonts w:ascii="Arial" w:cs="Arial" w:eastAsia="Arial" w:hAnsi="Arial"/>
          <w:sz w:val="18"/>
          <w:szCs w:val="18"/>
          <w:color w:val="auto"/>
        </w:rPr>
        <w:t>long-term stock-based compensation (i.e., equity awards);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38"/>
        </w:numPr>
        <w:rPr>
          <w:rFonts w:ascii="Arial" w:cs="Arial" w:eastAsia="Arial" w:hAnsi="Arial"/>
          <w:sz w:val="18"/>
          <w:szCs w:val="18"/>
          <w:color w:val="0088A6"/>
        </w:rPr>
      </w:pPr>
      <w:r>
        <w:rPr>
          <w:rFonts w:ascii="Arial" w:cs="Arial" w:eastAsia="Arial" w:hAnsi="Arial"/>
          <w:sz w:val="18"/>
          <w:szCs w:val="18"/>
          <w:color w:val="auto"/>
        </w:rPr>
        <w:t>retirement savings plans;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38"/>
        </w:numPr>
        <w:rPr>
          <w:rFonts w:ascii="Arial" w:cs="Arial" w:eastAsia="Arial" w:hAnsi="Arial"/>
          <w:sz w:val="18"/>
          <w:szCs w:val="18"/>
          <w:color w:val="0088A6"/>
        </w:rPr>
      </w:pPr>
      <w:r>
        <w:rPr>
          <w:rFonts w:ascii="Arial" w:cs="Arial" w:eastAsia="Arial" w:hAnsi="Arial"/>
          <w:sz w:val="18"/>
          <w:szCs w:val="18"/>
          <w:color w:val="auto"/>
        </w:rPr>
        <w:t>limited severance arrangements;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38"/>
        </w:numPr>
        <w:rPr>
          <w:rFonts w:ascii="Arial" w:cs="Arial" w:eastAsia="Arial" w:hAnsi="Arial"/>
          <w:sz w:val="18"/>
          <w:szCs w:val="18"/>
          <w:color w:val="0088A6"/>
        </w:rPr>
      </w:pPr>
      <w:r>
        <w:rPr>
          <w:rFonts w:ascii="Arial" w:cs="Arial" w:eastAsia="Arial" w:hAnsi="Arial"/>
          <w:sz w:val="18"/>
          <w:szCs w:val="18"/>
          <w:color w:val="auto"/>
        </w:rPr>
        <w:t>health and welfare benefits; and</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38"/>
        </w:numPr>
        <w:rPr>
          <w:rFonts w:ascii="Arial" w:cs="Arial" w:eastAsia="Arial" w:hAnsi="Arial"/>
          <w:sz w:val="18"/>
          <w:szCs w:val="18"/>
          <w:color w:val="0088A6"/>
        </w:rPr>
      </w:pPr>
      <w:r>
        <w:rPr>
          <w:rFonts w:ascii="Arial" w:cs="Arial" w:eastAsia="Arial" w:hAnsi="Arial"/>
          <w:sz w:val="18"/>
          <w:szCs w:val="18"/>
          <w:color w:val="auto"/>
        </w:rPr>
        <w:t>limited perquisites.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CEO</w:t>
      </w:r>
    </w:p>
    <w:p>
      <w:pPr>
        <w:spacing w:after="0" w:line="7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Mr. Greifeld, our CEO, regularly attends management compensation committee meetings at the invitation of the committee. Mr. Greifeld provides his perspective to the committee regarding executive compensation matters generally and the specific performance of the executives reporting to him, as discussed above.</w:t>
      </w:r>
    </w:p>
    <w:p>
      <w:pPr>
        <w:spacing w:after="0" w:line="114"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However, in accordance with the listing rules of The NASDAQ Stock Market, Mr. Greifeld does not vote on executive compensation matters or attend executive sessions of the committee or board, and Mr. Greifeld is not present when his own compensation is being discussed or approved.</w:t>
      </w:r>
    </w:p>
    <w:p>
      <w:pPr>
        <w:spacing w:after="0" w:line="68"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Mr. Essa Kazim, NASDAQ OMX’s other director who has been deemed by the board of directors not to be independent, also does not vote on executive compensation matters when such matters are considered by the board.</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Consultants</w:t>
      </w:r>
    </w:p>
    <w:p>
      <w:pPr>
        <w:spacing w:after="0" w:line="7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early 2013, the management compensation committee engaged Exequity LLP, an outside, independent compensation consultant, to assist the committee, as requested, in fulfilling various aspects of the committee’s charter. Exequity LLP is independent from NASDAQ OMX, has not provided any services to NASDAQ OMX other than to the committee, and receives compensation from NASDAQ OMX, as approved by the committee chair, only for services provided to the committee. Exequity LLP reports directly to the committee, and not to management.</w:t>
      </w:r>
    </w:p>
    <w:p>
      <w:pPr>
        <w:spacing w:after="0" w:line="11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2012, the management compensation committee engaged Frederic W. Cook &amp; Co., Inc. (Cook &amp; Co.), an outside, independent compensation consultant, to assist the committee, as requested, in fulfilling various aspects of the committee’s charter. When requested by the committee, Cook &amp; Co. reviewed committee materials and attended committee meetings and executive sessions. During its engagement, Cook &amp; Co. was independent from NASDAQ OMX, did not provide any services to NASDAQ OMX other than to the committee, and received compensation from NASDAQ OMX, as approved by the committee chair, only for services provided to the committee. Cook &amp; Co. reported directly to the committee, and not to management.</w:t>
      </w:r>
    </w:p>
    <w:p>
      <w:pPr>
        <w:spacing w:after="0" w:line="11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NASDAQ OMX’s human resources department engages Meridian Compensation Partners to assist staff in gathering data, reviewing best practices and making recommendations to the committee about our executive compensation program. At the invitation of management, Meridian Compensation Partners occasionally attends committee meetings and reviews committee materials.</w:t>
      </w:r>
    </w:p>
    <w:p>
      <w:pPr>
        <w:spacing w:after="0" w:line="11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NASDAQ OMX’s human resources department also engages Towers Watson to collect, tabulate and analyze the BES, which compiles feedback and other data from employees on a wide range of issues that impact the company’s effectiveness as an organization. As discussed below, the results of this survey impact each named executive officer’s annual performance-based cash incentive award.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CEO</w:t>
      </w:r>
    </w:p>
    <w:p>
      <w:pPr>
        <w:spacing w:after="0" w:line="7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Consistent with his employment agreement, our CEO’s compensation is determined on an annual basis by the board of directors and the management compensation committee. On a semiannual basis, the board and committee review Mr. Greifeld’s performance in executive session as part of the deliberative process to evaluate CEO performance against corporate goals and determine appropriate CEO compensation. The factors considered by the board and the committee include Mr. Greifeld’s performance against his annual performance objectives, the performance of the company, the quality and development of the management team and the management of the CEO and executive succession plan. The semiannual review process is led by the chairman of the board of directors and the chairman of the management compensation committee.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Other Named Executive Officers</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the support of NASDAQ OMX’s human resources department, our CEO develops compensation recommendations for each of the executive vice presidents for consideration by the management compensation committee and the board of directors. As part of this process, our CEO meets individually with each executive to discuss his or her performance against pre-established objectives determined during the previous year, as well as performance objectives and development plans for the coming year. This meeting gives each executive an opportunity to present his or her perspective of his or her performance and potential objectives and challenges for the upcoming year. Our CEO presents the results of the meetings with each executive to the management compensation committee for their review and consideration as part of the committee’s deliberation process.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Tally Sheets</w:t>
      </w:r>
    </w:p>
    <w:p>
      <w:pPr>
        <w:spacing w:after="0" w:line="72"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When recommending compensation for the CEO and the other named executive officers, the committee reviews a peer group analysis, which is discussed further below, and tally sheets that detail the various elements of compensation, including equity compensation, for each executive. The</w:t>
      </w:r>
    </w:p>
    <w:p>
      <w:pPr>
        <w:spacing w:after="0" w:line="9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committee uses these tally sheets to evaluate the appropriateness of the total compensation package, to compare each executive’s total compensation opportunity with his or her actual payout and to ensure that the compensation appropriately reflects the compensation program’s focus on pay for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Principles of the Committee When Recommending Executive Compensation</w:t>
      </w:r>
    </w:p>
    <w:p>
      <w:pPr>
        <w:spacing w:after="0" w:line="7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To determine the recommended amounts and mix of compensation elements, the management compensation committee considers the following general principles.</w:t>
      </w:r>
    </w:p>
    <w:p>
      <w:pPr>
        <w:spacing w:after="0" w:line="42" w:lineRule="exact"/>
        <w:rPr>
          <w:sz w:val="20"/>
          <w:szCs w:val="20"/>
          <w:color w:val="auto"/>
        </w:rPr>
      </w:pPr>
    </w:p>
    <w:p>
      <w:pPr>
        <w:ind w:left="1120" w:right="40" w:hanging="437"/>
        <w:spacing w:after="0" w:line="243" w:lineRule="auto"/>
        <w:tabs>
          <w:tab w:leader="none" w:pos="1120" w:val="left"/>
        </w:tabs>
        <w:numPr>
          <w:ilvl w:val="0"/>
          <w:numId w:val="39"/>
        </w:numPr>
        <w:rPr>
          <w:rFonts w:ascii="Arial" w:cs="Arial" w:eastAsia="Arial" w:hAnsi="Arial"/>
          <w:sz w:val="18"/>
          <w:szCs w:val="18"/>
          <w:color w:val="0088A6"/>
        </w:rPr>
      </w:pPr>
      <w:r>
        <w:rPr>
          <w:rFonts w:ascii="Arial" w:cs="Arial" w:eastAsia="Arial" w:hAnsi="Arial"/>
          <w:sz w:val="18"/>
          <w:szCs w:val="18"/>
          <w:i w:val="1"/>
          <w:iCs w:val="1"/>
          <w:color w:val="auto"/>
        </w:rPr>
        <w:t>Pay for Performance</w:t>
      </w:r>
      <w:r>
        <w:rPr>
          <w:rFonts w:ascii="Arial" w:cs="Arial" w:eastAsia="Arial" w:hAnsi="Arial"/>
          <w:sz w:val="18"/>
          <w:szCs w:val="18"/>
          <w:color w:val="auto"/>
        </w:rPr>
        <w:t>. The primary focus of NASDAQ OMX’s executive compensation program is on pay for performance.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considers the executive’s contribution to our short- and long-term financial performance, as well as his or her performance on other critical aspects of management that are qualitative in nature and may not be easily quantified into dollars (such as building our brand, employee development and regulatory excellence).</w:t>
      </w:r>
    </w:p>
    <w:p>
      <w:pPr>
        <w:spacing w:after="0" w:line="39" w:lineRule="exact"/>
        <w:rPr>
          <w:rFonts w:ascii="Arial" w:cs="Arial" w:eastAsia="Arial" w:hAnsi="Arial"/>
          <w:sz w:val="18"/>
          <w:szCs w:val="18"/>
          <w:color w:val="0088A6"/>
        </w:rPr>
      </w:pPr>
    </w:p>
    <w:p>
      <w:pPr>
        <w:ind w:left="1120" w:right="80" w:hanging="437"/>
        <w:spacing w:after="0" w:line="243" w:lineRule="auto"/>
        <w:tabs>
          <w:tab w:leader="none" w:pos="1120" w:val="left"/>
        </w:tabs>
        <w:numPr>
          <w:ilvl w:val="0"/>
          <w:numId w:val="39"/>
        </w:numPr>
        <w:rPr>
          <w:rFonts w:ascii="Arial" w:cs="Arial" w:eastAsia="Arial" w:hAnsi="Arial"/>
          <w:sz w:val="18"/>
          <w:szCs w:val="18"/>
          <w:color w:val="0088A6"/>
        </w:rPr>
      </w:pPr>
      <w:r>
        <w:rPr>
          <w:rFonts w:ascii="Arial" w:cs="Arial" w:eastAsia="Arial" w:hAnsi="Arial"/>
          <w:sz w:val="18"/>
          <w:szCs w:val="18"/>
          <w:i w:val="1"/>
          <w:iCs w:val="1"/>
          <w:color w:val="auto"/>
        </w:rPr>
        <w:t>Retention</w:t>
      </w:r>
      <w:r>
        <w:rPr>
          <w:rFonts w:ascii="Arial" w:cs="Arial" w:eastAsia="Arial" w:hAnsi="Arial"/>
          <w:sz w:val="18"/>
          <w:szCs w:val="18"/>
          <w:color w:val="auto"/>
        </w:rPr>
        <w:t>. In addition to rewarding employees through a pay for performance philosophy, the executive compensation program also</w:t>
      </w:r>
      <w:r>
        <w:rPr>
          <w:rFonts w:ascii="Arial" w:cs="Arial" w:eastAsia="Arial" w:hAnsi="Arial"/>
          <w:sz w:val="18"/>
          <w:szCs w:val="18"/>
          <w:i w:val="1"/>
          <w:iCs w:val="1"/>
          <w:color w:val="auto"/>
        </w:rPr>
        <w:t xml:space="preserve"> </w:t>
      </w:r>
      <w:r>
        <w:rPr>
          <w:rFonts w:ascii="Arial" w:cs="Arial" w:eastAsia="Arial" w:hAnsi="Arial"/>
          <w:sz w:val="18"/>
          <w:szCs w:val="18"/>
          <w:color w:val="auto"/>
        </w:rPr>
        <w:t>focuses on retaining employees, particularly those in roles critical to the company’s long-term success. To this end, equity grants generally have performance-based and/or time-based vesting features to ensure that an employee must remain with the company for a period of time to receive value from the grant.</w:t>
      </w:r>
    </w:p>
    <w:p>
      <w:pPr>
        <w:spacing w:after="0" w:line="39" w:lineRule="exact"/>
        <w:rPr>
          <w:rFonts w:ascii="Arial" w:cs="Arial" w:eastAsia="Arial" w:hAnsi="Arial"/>
          <w:sz w:val="18"/>
          <w:szCs w:val="18"/>
          <w:color w:val="0088A6"/>
        </w:rPr>
      </w:pPr>
    </w:p>
    <w:p>
      <w:pPr>
        <w:ind w:left="1120" w:right="60" w:hanging="437"/>
        <w:spacing w:after="0" w:line="241" w:lineRule="auto"/>
        <w:tabs>
          <w:tab w:leader="none" w:pos="1120" w:val="left"/>
        </w:tabs>
        <w:numPr>
          <w:ilvl w:val="0"/>
          <w:numId w:val="39"/>
        </w:numPr>
        <w:rPr>
          <w:rFonts w:ascii="Arial" w:cs="Arial" w:eastAsia="Arial" w:hAnsi="Arial"/>
          <w:sz w:val="18"/>
          <w:szCs w:val="18"/>
          <w:color w:val="0088A6"/>
        </w:rPr>
      </w:pPr>
      <w:r>
        <w:rPr>
          <w:rFonts w:ascii="Arial" w:cs="Arial" w:eastAsia="Arial" w:hAnsi="Arial"/>
          <w:sz w:val="18"/>
          <w:szCs w:val="18"/>
          <w:i w:val="1"/>
          <w:iCs w:val="1"/>
          <w:color w:val="auto"/>
        </w:rPr>
        <w:t>Competitive Market Analysis</w:t>
      </w:r>
      <w:r>
        <w:rPr>
          <w:rFonts w:ascii="Arial" w:cs="Arial" w:eastAsia="Arial" w:hAnsi="Arial"/>
          <w:sz w:val="18"/>
          <w:szCs w:val="18"/>
          <w:color w:val="auto"/>
        </w:rPr>
        <w:t>. The committee identifies compensation amounts that peers/competitors within the industry are paying</w:t>
      </w:r>
      <w:r>
        <w:rPr>
          <w:rFonts w:ascii="Arial" w:cs="Arial" w:eastAsia="Arial" w:hAnsi="Arial"/>
          <w:sz w:val="18"/>
          <w:szCs w:val="18"/>
          <w:i w:val="1"/>
          <w:iCs w:val="1"/>
          <w:color w:val="auto"/>
        </w:rPr>
        <w:t xml:space="preserve"> </w:t>
      </w:r>
      <w:r>
        <w:rPr>
          <w:rFonts w:ascii="Arial" w:cs="Arial" w:eastAsia="Arial" w:hAnsi="Arial"/>
          <w:sz w:val="18"/>
          <w:szCs w:val="18"/>
          <w:color w:val="auto"/>
        </w:rPr>
        <w:t>to executives with similar positions and levels of experience, skills, education and responsibilities. The committee also considers industry and general economic conditions in assessing market competitiveness. However, while the committee uses this analysis as one of several tools in making executive compensation recommendations, the committee does not set the compensation levels of our executives based solely upon this analysis.</w:t>
      </w:r>
    </w:p>
    <w:p>
      <w:pPr>
        <w:spacing w:after="0" w:line="41" w:lineRule="exact"/>
        <w:rPr>
          <w:rFonts w:ascii="Arial" w:cs="Arial" w:eastAsia="Arial" w:hAnsi="Arial"/>
          <w:sz w:val="18"/>
          <w:szCs w:val="18"/>
          <w:color w:val="0088A6"/>
        </w:rPr>
      </w:pPr>
    </w:p>
    <w:p>
      <w:pPr>
        <w:ind w:left="1120" w:right="20" w:hanging="437"/>
        <w:spacing w:after="0" w:line="243" w:lineRule="auto"/>
        <w:tabs>
          <w:tab w:leader="none" w:pos="1120" w:val="left"/>
        </w:tabs>
        <w:numPr>
          <w:ilvl w:val="0"/>
          <w:numId w:val="39"/>
        </w:numPr>
        <w:rPr>
          <w:rFonts w:ascii="Arial" w:cs="Arial" w:eastAsia="Arial" w:hAnsi="Arial"/>
          <w:sz w:val="18"/>
          <w:szCs w:val="18"/>
          <w:color w:val="0088A6"/>
        </w:rPr>
      </w:pPr>
      <w:r>
        <w:rPr>
          <w:rFonts w:ascii="Arial" w:cs="Arial" w:eastAsia="Arial" w:hAnsi="Arial"/>
          <w:sz w:val="18"/>
          <w:szCs w:val="18"/>
          <w:i w:val="1"/>
          <w:iCs w:val="1"/>
          <w:color w:val="auto"/>
        </w:rPr>
        <w:t>Internal Equity</w:t>
      </w:r>
      <w:r>
        <w:rPr>
          <w:rFonts w:ascii="Arial" w:cs="Arial" w:eastAsia="Arial" w:hAnsi="Arial"/>
          <w:sz w:val="18"/>
          <w:szCs w:val="18"/>
          <w:color w:val="auto"/>
        </w:rPr>
        <w:t>. Our executives’ compensation generally increases with position and responsibility. The committee believes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amounts should reflect the different levels of responsibilities and performance among our executives and between our CEO, who is responsible for the entire organization, and our other executives, who are responsible for a functional area or a line of business.</w:t>
      </w:r>
    </w:p>
    <w:p>
      <w:pPr>
        <w:spacing w:after="0" w:line="39" w:lineRule="exact"/>
        <w:rPr>
          <w:rFonts w:ascii="Arial" w:cs="Arial" w:eastAsia="Arial" w:hAnsi="Arial"/>
          <w:sz w:val="18"/>
          <w:szCs w:val="18"/>
          <w:color w:val="0088A6"/>
        </w:rPr>
      </w:pPr>
    </w:p>
    <w:p>
      <w:pPr>
        <w:ind w:left="1120" w:right="40" w:hanging="437"/>
        <w:spacing w:after="0" w:line="239" w:lineRule="auto"/>
        <w:tabs>
          <w:tab w:leader="none" w:pos="1120" w:val="left"/>
        </w:tabs>
        <w:numPr>
          <w:ilvl w:val="0"/>
          <w:numId w:val="39"/>
        </w:numPr>
        <w:rPr>
          <w:rFonts w:ascii="Arial" w:cs="Arial" w:eastAsia="Arial" w:hAnsi="Arial"/>
          <w:sz w:val="18"/>
          <w:szCs w:val="18"/>
          <w:color w:val="0088A6"/>
        </w:rPr>
      </w:pPr>
      <w:r>
        <w:rPr>
          <w:rFonts w:ascii="Arial" w:cs="Arial" w:eastAsia="Arial" w:hAnsi="Arial"/>
          <w:sz w:val="18"/>
          <w:szCs w:val="18"/>
          <w:i w:val="1"/>
          <w:iCs w:val="1"/>
          <w:color w:val="auto"/>
        </w:rPr>
        <w:t>Collateral Implications</w:t>
      </w:r>
      <w:r>
        <w:rPr>
          <w:rFonts w:ascii="Arial" w:cs="Arial" w:eastAsia="Arial" w:hAnsi="Arial"/>
          <w:sz w:val="18"/>
          <w:szCs w:val="18"/>
          <w:color w:val="auto"/>
        </w:rPr>
        <w:t>. The committee designs our total compensation mix to encourage our executives to take appropriate risks</w:t>
      </w:r>
      <w:r>
        <w:rPr>
          <w:rFonts w:ascii="Arial" w:cs="Arial" w:eastAsia="Arial" w:hAnsi="Arial"/>
          <w:sz w:val="18"/>
          <w:szCs w:val="18"/>
          <w:i w:val="1"/>
          <w:iCs w:val="1"/>
          <w:color w:val="auto"/>
        </w:rPr>
        <w:t xml:space="preserve"> </w:t>
      </w:r>
      <w:r>
        <w:rPr>
          <w:rFonts w:ascii="Arial" w:cs="Arial" w:eastAsia="Arial" w:hAnsi="Arial"/>
          <w:sz w:val="18"/>
          <w:szCs w:val="18"/>
          <w:color w:val="auto"/>
        </w:rPr>
        <w:t>aimed at improving the company’s performance and building long-term stockholder value. In addition, to mitigate any incentive to take inappropriate risks, each of our named executive officers is subject to the stock ownership guidelines and incentive recoupment policy discussed further below. The committee also considers the tax and accounting impact of the compensation program, as well as any regulatory compliance issues. Furthermore, the compensation program is subject to a comprehensive risk assessment process that is intended to identify any areas of the compensation structure that may unintentionally encourage inappropriate risk-taking.</w:t>
      </w:r>
    </w:p>
    <w:p>
      <w:pPr>
        <w:spacing w:after="0" w:line="115"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committee considers all of these principles in recommending compensation packages structured to reward the individual executive. Each individual component of compensation is considered independently and is not based on a formula; however, each component is intended to be complementary to the overall compensation package awarded to the executive.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Performance</w:t>
      </w:r>
    </w:p>
    <w:p>
      <w:pPr>
        <w:spacing w:after="0" w:line="7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management compensation committee believes the compensation for NASDAQ OMX’s executives should be performance-based. Therefore, there were no guaranteed cash incentive awards for any named executive officer in 2012.</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management compensation committee and board of directors set target compensation levels for the performance-based elements of the compensation program. With respect to cash compensation, the allocation between base salary and annual cash incentives is determined based on the amount of cash compensation that the committee and board wish to place “at risk.” “At risk” means that the executive will not realize any economic benefit unless the applicable objectives, most of which are tied to our overall company or business unit financial performance, are met or exceeded. Consistent with our compensation philosophy, our annual performance-based cash incentive plans are structured to ensure that a significant portion of each executive’s total cash compensation is contingent on performance and continued employment and, therefore, “at risk.”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 Analysis</w:t>
      </w:r>
    </w:p>
    <w:p>
      <w:pPr>
        <w:spacing w:after="0" w:line="7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To evaluate the external competitiveness of our executive compensation program, the management compensation committee compares certain elements of the program to similar elements used by peer companies. The committee uses a comprehensive peer group, consisting of 20 companies, for competitive market analysis of the compensation program for our named executive officers. The committee believes that the usage and disclosure of a peer group supports good governance and provides valuable input to compensation design and amount decisions.</w:t>
      </w:r>
    </w:p>
    <w:p>
      <w:pPr>
        <w:spacing w:after="0" w:line="11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initially selecting the comprehensive peer group in 2011, the committee considered potential peers among both direct industry competitors and companies in related industries with similar talent needs. After identifying potential peers on this basis, the committee used the following seven screening criteria to select appropriate peer companies:</w:t>
      </w:r>
    </w:p>
    <w:p>
      <w:pPr>
        <w:spacing w:after="0" w:line="59" w:lineRule="exact"/>
        <w:rPr>
          <w:sz w:val="20"/>
          <w:szCs w:val="20"/>
          <w:color w:val="auto"/>
        </w:rPr>
      </w:pPr>
    </w:p>
    <w:p>
      <w:pPr>
        <w:ind w:left="1120" w:hanging="437"/>
        <w:spacing w:after="0"/>
        <w:tabs>
          <w:tab w:leader="none" w:pos="1120" w:val="left"/>
        </w:tabs>
        <w:numPr>
          <w:ilvl w:val="0"/>
          <w:numId w:val="40"/>
        </w:numPr>
        <w:rPr>
          <w:rFonts w:ascii="Arial" w:cs="Arial" w:eastAsia="Arial" w:hAnsi="Arial"/>
          <w:sz w:val="18"/>
          <w:szCs w:val="18"/>
          <w:color w:val="0088A6"/>
        </w:rPr>
      </w:pPr>
      <w:r>
        <w:rPr>
          <w:rFonts w:ascii="Arial" w:cs="Arial" w:eastAsia="Arial" w:hAnsi="Arial"/>
          <w:sz w:val="18"/>
          <w:szCs w:val="18"/>
          <w:color w:val="auto"/>
        </w:rPr>
        <w:t>revenue size;</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40"/>
        </w:numPr>
        <w:rPr>
          <w:rFonts w:ascii="Arial" w:cs="Arial" w:eastAsia="Arial" w:hAnsi="Arial"/>
          <w:sz w:val="18"/>
          <w:szCs w:val="18"/>
          <w:color w:val="0088A6"/>
        </w:rPr>
      </w:pPr>
      <w:r>
        <w:rPr>
          <w:rFonts w:ascii="Arial" w:cs="Arial" w:eastAsia="Arial" w:hAnsi="Arial"/>
          <w:sz w:val="18"/>
          <w:szCs w:val="18"/>
          <w:color w:val="auto"/>
        </w:rPr>
        <w:t>market capitalization size;</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40"/>
        </w:numPr>
        <w:rPr>
          <w:rFonts w:ascii="Arial" w:cs="Arial" w:eastAsia="Arial" w:hAnsi="Arial"/>
          <w:sz w:val="18"/>
          <w:szCs w:val="18"/>
          <w:color w:val="0088A6"/>
        </w:rPr>
      </w:pPr>
      <w:r>
        <w:rPr>
          <w:rFonts w:ascii="Arial" w:cs="Arial" w:eastAsia="Arial" w:hAnsi="Arial"/>
          <w:sz w:val="18"/>
          <w:szCs w:val="18"/>
          <w:color w:val="auto"/>
        </w:rPr>
        <w:t>financial performance;</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40"/>
        </w:numPr>
        <w:rPr>
          <w:rFonts w:ascii="Arial" w:cs="Arial" w:eastAsia="Arial" w:hAnsi="Arial"/>
          <w:sz w:val="18"/>
          <w:szCs w:val="18"/>
          <w:color w:val="0088A6"/>
        </w:rPr>
      </w:pPr>
      <w:r>
        <w:rPr>
          <w:rFonts w:ascii="Arial" w:cs="Arial" w:eastAsia="Arial" w:hAnsi="Arial"/>
          <w:sz w:val="18"/>
          <w:szCs w:val="18"/>
          <w:color w:val="auto"/>
        </w:rPr>
        <w:t>direct exchange competitors;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40"/>
        </w:numPr>
        <w:rPr>
          <w:rFonts w:ascii="Arial" w:cs="Arial" w:eastAsia="Arial" w:hAnsi="Arial"/>
          <w:sz w:val="18"/>
          <w:szCs w:val="18"/>
          <w:color w:val="0088A6"/>
        </w:rPr>
      </w:pPr>
      <w:r>
        <w:rPr>
          <w:rFonts w:ascii="Arial" w:cs="Arial" w:eastAsia="Arial" w:hAnsi="Arial"/>
          <w:sz w:val="18"/>
          <w:szCs w:val="18"/>
          <w:color w:val="auto"/>
        </w:rPr>
        <w:t>financial services companies;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40"/>
        </w:numPr>
        <w:rPr>
          <w:rFonts w:ascii="Arial" w:cs="Arial" w:eastAsia="Arial" w:hAnsi="Arial"/>
          <w:sz w:val="18"/>
          <w:szCs w:val="18"/>
          <w:color w:val="0088A6"/>
        </w:rPr>
      </w:pPr>
      <w:r>
        <w:rPr>
          <w:rFonts w:ascii="Arial" w:cs="Arial" w:eastAsia="Arial" w:hAnsi="Arial"/>
          <w:sz w:val="18"/>
          <w:szCs w:val="18"/>
          <w:color w:val="auto"/>
        </w:rPr>
        <w:t>technology-dependent companies; and</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40"/>
        </w:numPr>
        <w:rPr>
          <w:rFonts w:ascii="Arial" w:cs="Arial" w:eastAsia="Arial" w:hAnsi="Arial"/>
          <w:sz w:val="18"/>
          <w:szCs w:val="18"/>
          <w:color w:val="0088A6"/>
        </w:rPr>
      </w:pPr>
      <w:r>
        <w:rPr>
          <w:rFonts w:ascii="Arial" w:cs="Arial" w:eastAsia="Arial" w:hAnsi="Arial"/>
          <w:sz w:val="18"/>
          <w:szCs w:val="18"/>
          <w:color w:val="auto"/>
        </w:rPr>
        <w:t>companies with global complexity.</w:t>
      </w:r>
    </w:p>
    <w:p>
      <w:pPr>
        <w:spacing w:after="0" w:line="11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Each of these factors was initially weighted equally to develop a more refined list of companies for consideration. The committee then further reviewed each remaining company to determine its appropriateness for our final peer group with a particular focus on identifying meaningful talent peers. Certain companies were eliminated because of factors such as a significantly different market capitalization, their limited competitive position for executive talent or their limited global complexity relative to NASDAQ OMX.</w:t>
      </w:r>
    </w:p>
    <w:p>
      <w:pPr>
        <w:spacing w:after="0" w:line="1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2012, the committee reviewed the comprehensive peer group against the criteria described above but did not modify the group. The committee believes that the peer group includes an accurate representation of NASDAQ OMX’s industry competitors and size-relevant, talent-focused comparators. In addition, the committee believes that year-over-year consistency in peer group usage is desirable for reviewing trends in market pay movement.</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20" w:type="dxa"/>
            <w:vAlign w:val="bottom"/>
            <w:gridSpan w:val="2"/>
          </w:tcPr>
          <w:p>
            <w:pPr>
              <w:spacing w:after="0"/>
              <w:rPr>
                <w:sz w:val="20"/>
                <w:szCs w:val="20"/>
                <w:color w:val="auto"/>
              </w:rPr>
            </w:pPr>
            <w:r>
              <w:rPr>
                <w:rFonts w:ascii="Arial" w:cs="Arial" w:eastAsia="Arial" w:hAnsi="Arial"/>
                <w:sz w:val="18"/>
                <w:szCs w:val="18"/>
                <w:color w:val="auto"/>
              </w:rPr>
              <w:t>The peer group consists of the following 20 companies.</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29"/>
        </w:trPr>
        <w:tc>
          <w:tcPr>
            <w:tcW w:w="5320" w:type="dxa"/>
            <w:vAlign w:val="bottom"/>
            <w:gridSpan w:val="2"/>
          </w:tcPr>
          <w:p>
            <w:pPr>
              <w:ind w:left="760"/>
              <w:spacing w:after="0"/>
              <w:rPr>
                <w:sz w:val="20"/>
                <w:szCs w:val="20"/>
                <w:color w:val="auto"/>
              </w:rPr>
            </w:pPr>
            <w:r>
              <w:rPr>
                <w:rFonts w:ascii="Arial" w:cs="Arial" w:eastAsia="Arial" w:hAnsi="Arial"/>
                <w:sz w:val="18"/>
                <w:szCs w:val="18"/>
                <w:color w:val="0088A6"/>
              </w:rPr>
              <w:t xml:space="preserve">•   </w:t>
            </w:r>
            <w:r>
              <w:rPr>
                <w:rFonts w:ascii="Arial" w:cs="Arial" w:eastAsia="Arial" w:hAnsi="Arial"/>
                <w:sz w:val="18"/>
                <w:szCs w:val="18"/>
                <w:color w:val="000000"/>
              </w:rPr>
              <w:t>Automatic Data Processing, Inc.</w:t>
            </w:r>
          </w:p>
        </w:tc>
        <w:tc>
          <w:tcPr>
            <w:tcW w:w="1180" w:type="dxa"/>
            <w:vAlign w:val="bottom"/>
          </w:tcPr>
          <w:p>
            <w:pPr>
              <w:ind w:left="1000"/>
              <w:spacing w:after="0"/>
              <w:rPr>
                <w:sz w:val="20"/>
                <w:szCs w:val="20"/>
                <w:color w:val="auto"/>
              </w:rPr>
            </w:pPr>
            <w:r>
              <w:rPr>
                <w:rFonts w:ascii="Arial" w:cs="Arial" w:eastAsia="Arial" w:hAnsi="Arial"/>
                <w:sz w:val="18"/>
                <w:szCs w:val="18"/>
                <w:color w:val="0088A6"/>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BGC Partners Inc.</w:t>
            </w:r>
          </w:p>
        </w:tc>
      </w:tr>
      <w:tr>
        <w:trPr>
          <w:trHeight w:val="203"/>
        </w:trPr>
        <w:tc>
          <w:tcPr>
            <w:tcW w:w="940" w:type="dxa"/>
            <w:vAlign w:val="bottom"/>
          </w:tcPr>
          <w:p>
            <w:pPr>
              <w:ind w:left="760"/>
              <w:spacing w:after="0" w:line="202" w:lineRule="exact"/>
              <w:rPr>
                <w:sz w:val="20"/>
                <w:szCs w:val="20"/>
                <w:color w:val="auto"/>
              </w:rPr>
            </w:pPr>
            <w:r>
              <w:rPr>
                <w:rFonts w:ascii="Arial" w:cs="Arial" w:eastAsia="Arial" w:hAnsi="Arial"/>
                <w:sz w:val="18"/>
                <w:szCs w:val="18"/>
                <w:color w:val="0088A6"/>
              </w:rPr>
              <w:t>•</w:t>
            </w:r>
          </w:p>
        </w:tc>
        <w:tc>
          <w:tcPr>
            <w:tcW w:w="4380" w:type="dxa"/>
            <w:vAlign w:val="bottom"/>
          </w:tcPr>
          <w:p>
            <w:pPr>
              <w:ind w:left="120"/>
              <w:spacing w:after="0" w:line="202" w:lineRule="exact"/>
              <w:rPr>
                <w:sz w:val="20"/>
                <w:szCs w:val="20"/>
                <w:color w:val="auto"/>
              </w:rPr>
            </w:pPr>
            <w:r>
              <w:rPr>
                <w:rFonts w:ascii="Arial" w:cs="Arial" w:eastAsia="Arial" w:hAnsi="Arial"/>
                <w:sz w:val="18"/>
                <w:szCs w:val="18"/>
                <w:color w:val="auto"/>
              </w:rPr>
              <w:t>CBOE Holdings, Inc.</w:t>
            </w: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0088A6"/>
              </w:rPr>
              <w:t>•</w:t>
            </w:r>
          </w:p>
        </w:tc>
        <w:tc>
          <w:tcPr>
            <w:tcW w:w="2840" w:type="dxa"/>
            <w:vAlign w:val="bottom"/>
          </w:tcPr>
          <w:p>
            <w:pPr>
              <w:ind w:left="120"/>
              <w:spacing w:after="0" w:line="202" w:lineRule="exact"/>
              <w:rPr>
                <w:sz w:val="20"/>
                <w:szCs w:val="20"/>
                <w:color w:val="auto"/>
              </w:rPr>
            </w:pPr>
            <w:r>
              <w:rPr>
                <w:rFonts w:ascii="Arial" w:cs="Arial" w:eastAsia="Arial" w:hAnsi="Arial"/>
                <w:sz w:val="18"/>
                <w:szCs w:val="18"/>
                <w:color w:val="auto"/>
              </w:rPr>
              <w:t>CME Group Inc.</w:t>
            </w:r>
          </w:p>
        </w:tc>
      </w:tr>
      <w:tr>
        <w:trPr>
          <w:trHeight w:val="203"/>
        </w:trPr>
        <w:tc>
          <w:tcPr>
            <w:tcW w:w="940" w:type="dxa"/>
            <w:vAlign w:val="bottom"/>
          </w:tcPr>
          <w:p>
            <w:pPr>
              <w:ind w:left="760"/>
              <w:spacing w:after="0" w:line="202" w:lineRule="exact"/>
              <w:rPr>
                <w:sz w:val="20"/>
                <w:szCs w:val="20"/>
                <w:color w:val="auto"/>
              </w:rPr>
            </w:pPr>
            <w:r>
              <w:rPr>
                <w:rFonts w:ascii="Arial" w:cs="Arial" w:eastAsia="Arial" w:hAnsi="Arial"/>
                <w:sz w:val="18"/>
                <w:szCs w:val="18"/>
                <w:color w:val="0088A6"/>
              </w:rPr>
              <w:t>•</w:t>
            </w:r>
          </w:p>
        </w:tc>
        <w:tc>
          <w:tcPr>
            <w:tcW w:w="4380" w:type="dxa"/>
            <w:vAlign w:val="bottom"/>
          </w:tcPr>
          <w:p>
            <w:pPr>
              <w:ind w:left="160"/>
              <w:spacing w:after="0" w:line="202" w:lineRule="exact"/>
              <w:rPr>
                <w:sz w:val="20"/>
                <w:szCs w:val="20"/>
                <w:color w:val="auto"/>
              </w:rPr>
            </w:pPr>
            <w:r>
              <w:rPr>
                <w:rFonts w:ascii="Arial" w:cs="Arial" w:eastAsia="Arial" w:hAnsi="Arial"/>
                <w:sz w:val="18"/>
                <w:szCs w:val="18"/>
                <w:color w:val="auto"/>
              </w:rPr>
              <w:t>Deutsche Börse AG</w:t>
            </w: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0088A6"/>
              </w:rPr>
              <w:t>•</w:t>
            </w:r>
          </w:p>
        </w:tc>
        <w:tc>
          <w:tcPr>
            <w:tcW w:w="2840" w:type="dxa"/>
            <w:vAlign w:val="bottom"/>
          </w:tcPr>
          <w:p>
            <w:pPr>
              <w:ind w:left="160"/>
              <w:spacing w:after="0" w:line="202" w:lineRule="exact"/>
              <w:rPr>
                <w:sz w:val="20"/>
                <w:szCs w:val="20"/>
                <w:color w:val="auto"/>
              </w:rPr>
            </w:pPr>
            <w:r>
              <w:rPr>
                <w:rFonts w:ascii="Arial" w:cs="Arial" w:eastAsia="Arial" w:hAnsi="Arial"/>
                <w:sz w:val="18"/>
                <w:szCs w:val="18"/>
                <w:color w:val="auto"/>
              </w:rPr>
              <w:t>Discover Financial Services</w:t>
            </w:r>
          </w:p>
        </w:tc>
      </w:tr>
      <w:tr>
        <w:trPr>
          <w:trHeight w:val="203"/>
        </w:trPr>
        <w:tc>
          <w:tcPr>
            <w:tcW w:w="940" w:type="dxa"/>
            <w:vAlign w:val="bottom"/>
          </w:tcPr>
          <w:p>
            <w:pPr>
              <w:ind w:left="760"/>
              <w:spacing w:after="0" w:line="202" w:lineRule="exact"/>
              <w:rPr>
                <w:sz w:val="20"/>
                <w:szCs w:val="20"/>
                <w:color w:val="auto"/>
              </w:rPr>
            </w:pPr>
            <w:r>
              <w:rPr>
                <w:rFonts w:ascii="Arial" w:cs="Arial" w:eastAsia="Arial" w:hAnsi="Arial"/>
                <w:sz w:val="18"/>
                <w:szCs w:val="18"/>
                <w:color w:val="0088A6"/>
              </w:rPr>
              <w:t>•</w:t>
            </w:r>
          </w:p>
        </w:tc>
        <w:tc>
          <w:tcPr>
            <w:tcW w:w="4380" w:type="dxa"/>
            <w:vAlign w:val="bottom"/>
          </w:tcPr>
          <w:p>
            <w:pPr>
              <w:ind w:left="160"/>
              <w:spacing w:after="0" w:line="202" w:lineRule="exact"/>
              <w:rPr>
                <w:sz w:val="20"/>
                <w:szCs w:val="20"/>
                <w:color w:val="auto"/>
              </w:rPr>
            </w:pPr>
            <w:r>
              <w:rPr>
                <w:rFonts w:ascii="Arial" w:cs="Arial" w:eastAsia="Arial" w:hAnsi="Arial"/>
                <w:sz w:val="18"/>
                <w:szCs w:val="18"/>
                <w:color w:val="auto"/>
              </w:rPr>
              <w:t>DST Systems, Inc.</w:t>
            </w: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0088A6"/>
              </w:rPr>
              <w:t>•</w:t>
            </w:r>
          </w:p>
        </w:tc>
        <w:tc>
          <w:tcPr>
            <w:tcW w:w="2840" w:type="dxa"/>
            <w:vAlign w:val="bottom"/>
          </w:tcPr>
          <w:p>
            <w:pPr>
              <w:ind w:left="160"/>
              <w:spacing w:after="0" w:line="202" w:lineRule="exact"/>
              <w:rPr>
                <w:sz w:val="20"/>
                <w:szCs w:val="20"/>
                <w:color w:val="auto"/>
              </w:rPr>
            </w:pPr>
            <w:r>
              <w:rPr>
                <w:rFonts w:ascii="Arial" w:cs="Arial" w:eastAsia="Arial" w:hAnsi="Arial"/>
                <w:sz w:val="18"/>
                <w:szCs w:val="18"/>
                <w:color w:val="auto"/>
              </w:rPr>
              <w:t>E*TRADE Financial Corporation</w:t>
            </w:r>
          </w:p>
        </w:tc>
      </w:tr>
      <w:tr>
        <w:trPr>
          <w:trHeight w:val="203"/>
        </w:trPr>
        <w:tc>
          <w:tcPr>
            <w:tcW w:w="5320" w:type="dxa"/>
            <w:vAlign w:val="bottom"/>
            <w:gridSpan w:val="2"/>
          </w:tcPr>
          <w:p>
            <w:pPr>
              <w:ind w:left="760"/>
              <w:spacing w:after="0" w:line="202" w:lineRule="exact"/>
              <w:rPr>
                <w:sz w:val="20"/>
                <w:szCs w:val="20"/>
                <w:color w:val="auto"/>
              </w:rPr>
            </w:pPr>
            <w:r>
              <w:rPr>
                <w:rFonts w:ascii="Arial" w:cs="Arial" w:eastAsia="Arial" w:hAnsi="Arial"/>
                <w:sz w:val="18"/>
                <w:szCs w:val="18"/>
                <w:color w:val="0088A6"/>
              </w:rPr>
              <w:t xml:space="preserve">•   </w:t>
            </w:r>
            <w:r>
              <w:rPr>
                <w:rFonts w:ascii="Arial" w:cs="Arial" w:eastAsia="Arial" w:hAnsi="Arial"/>
                <w:sz w:val="18"/>
                <w:szCs w:val="18"/>
                <w:color w:val="000000"/>
              </w:rPr>
              <w:t>Fidelity National Information Services, Inc.</w:t>
            </w: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0088A6"/>
              </w:rPr>
              <w:t>•</w:t>
            </w:r>
          </w:p>
        </w:tc>
        <w:tc>
          <w:tcPr>
            <w:tcW w:w="2840" w:type="dxa"/>
            <w:vAlign w:val="bottom"/>
          </w:tcPr>
          <w:p>
            <w:pPr>
              <w:ind w:left="160"/>
              <w:spacing w:after="0" w:line="202" w:lineRule="exact"/>
              <w:rPr>
                <w:sz w:val="20"/>
                <w:szCs w:val="20"/>
                <w:color w:val="auto"/>
              </w:rPr>
            </w:pPr>
            <w:r>
              <w:rPr>
                <w:rFonts w:ascii="Arial" w:cs="Arial" w:eastAsia="Arial" w:hAnsi="Arial"/>
                <w:sz w:val="18"/>
                <w:szCs w:val="18"/>
                <w:color w:val="auto"/>
              </w:rPr>
              <w:t>Fiserv, Inc.</w:t>
            </w:r>
          </w:p>
        </w:tc>
      </w:tr>
      <w:tr>
        <w:trPr>
          <w:trHeight w:val="203"/>
        </w:trPr>
        <w:tc>
          <w:tcPr>
            <w:tcW w:w="940" w:type="dxa"/>
            <w:vAlign w:val="bottom"/>
          </w:tcPr>
          <w:p>
            <w:pPr>
              <w:ind w:left="760"/>
              <w:spacing w:after="0" w:line="202" w:lineRule="exact"/>
              <w:rPr>
                <w:sz w:val="20"/>
                <w:szCs w:val="20"/>
                <w:color w:val="auto"/>
              </w:rPr>
            </w:pPr>
            <w:r>
              <w:rPr>
                <w:rFonts w:ascii="Arial" w:cs="Arial" w:eastAsia="Arial" w:hAnsi="Arial"/>
                <w:sz w:val="18"/>
                <w:szCs w:val="18"/>
                <w:color w:val="0088A6"/>
              </w:rPr>
              <w:t>•</w:t>
            </w:r>
          </w:p>
        </w:tc>
        <w:tc>
          <w:tcPr>
            <w:tcW w:w="4380" w:type="dxa"/>
            <w:vAlign w:val="bottom"/>
          </w:tcPr>
          <w:p>
            <w:pPr>
              <w:ind w:left="120"/>
              <w:spacing w:after="0" w:line="202" w:lineRule="exact"/>
              <w:rPr>
                <w:sz w:val="20"/>
                <w:szCs w:val="20"/>
                <w:color w:val="auto"/>
              </w:rPr>
            </w:pPr>
            <w:r>
              <w:rPr>
                <w:rFonts w:ascii="Arial" w:cs="Arial" w:eastAsia="Arial" w:hAnsi="Arial"/>
                <w:sz w:val="18"/>
                <w:szCs w:val="18"/>
                <w:color w:val="auto"/>
              </w:rPr>
              <w:t>IntercontinentalExchange, Inc.</w:t>
            </w: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0088A6"/>
              </w:rPr>
              <w:t>•</w:t>
            </w:r>
          </w:p>
        </w:tc>
        <w:tc>
          <w:tcPr>
            <w:tcW w:w="2840" w:type="dxa"/>
            <w:vAlign w:val="bottom"/>
          </w:tcPr>
          <w:p>
            <w:pPr>
              <w:ind w:left="120"/>
              <w:spacing w:after="0" w:line="202" w:lineRule="exact"/>
              <w:rPr>
                <w:sz w:val="20"/>
                <w:szCs w:val="20"/>
                <w:color w:val="auto"/>
              </w:rPr>
            </w:pPr>
            <w:r>
              <w:rPr>
                <w:rFonts w:ascii="Arial" w:cs="Arial" w:eastAsia="Arial" w:hAnsi="Arial"/>
                <w:sz w:val="18"/>
                <w:szCs w:val="18"/>
                <w:color w:val="auto"/>
              </w:rPr>
              <w:t>Invesco Ltd.</w:t>
            </w:r>
          </w:p>
        </w:tc>
      </w:tr>
      <w:tr>
        <w:trPr>
          <w:trHeight w:val="203"/>
        </w:trPr>
        <w:tc>
          <w:tcPr>
            <w:tcW w:w="940" w:type="dxa"/>
            <w:vAlign w:val="bottom"/>
          </w:tcPr>
          <w:p>
            <w:pPr>
              <w:ind w:left="760"/>
              <w:spacing w:after="0" w:line="202" w:lineRule="exact"/>
              <w:rPr>
                <w:sz w:val="20"/>
                <w:szCs w:val="20"/>
                <w:color w:val="auto"/>
              </w:rPr>
            </w:pPr>
            <w:r>
              <w:rPr>
                <w:rFonts w:ascii="Arial" w:cs="Arial" w:eastAsia="Arial" w:hAnsi="Arial"/>
                <w:sz w:val="18"/>
                <w:szCs w:val="18"/>
                <w:color w:val="0088A6"/>
              </w:rPr>
              <w:t>•</w:t>
            </w:r>
          </w:p>
        </w:tc>
        <w:tc>
          <w:tcPr>
            <w:tcW w:w="4380" w:type="dxa"/>
            <w:vAlign w:val="bottom"/>
          </w:tcPr>
          <w:p>
            <w:pPr>
              <w:ind w:left="160"/>
              <w:spacing w:after="0" w:line="202" w:lineRule="exact"/>
              <w:rPr>
                <w:sz w:val="20"/>
                <w:szCs w:val="20"/>
                <w:color w:val="auto"/>
              </w:rPr>
            </w:pPr>
            <w:r>
              <w:rPr>
                <w:rFonts w:ascii="Arial" w:cs="Arial" w:eastAsia="Arial" w:hAnsi="Arial"/>
                <w:sz w:val="18"/>
                <w:szCs w:val="18"/>
                <w:color w:val="auto"/>
              </w:rPr>
              <w:t>Legg Mason, Inc.</w:t>
            </w:r>
          </w:p>
        </w:tc>
        <w:tc>
          <w:tcPr>
            <w:tcW w:w="4020" w:type="dxa"/>
            <w:vAlign w:val="bottom"/>
            <w:gridSpan w:val="2"/>
          </w:tcPr>
          <w:p>
            <w:pPr>
              <w:ind w:left="1000"/>
              <w:spacing w:after="0" w:line="202" w:lineRule="exact"/>
              <w:rPr>
                <w:sz w:val="20"/>
                <w:szCs w:val="20"/>
                <w:color w:val="auto"/>
              </w:rPr>
            </w:pPr>
            <w:r>
              <w:rPr>
                <w:rFonts w:ascii="Arial" w:cs="Arial" w:eastAsia="Arial" w:hAnsi="Arial"/>
                <w:sz w:val="18"/>
                <w:szCs w:val="18"/>
                <w:color w:val="0088A6"/>
              </w:rPr>
              <w:t xml:space="preserve">•   </w:t>
            </w:r>
            <w:r>
              <w:rPr>
                <w:rFonts w:ascii="Arial" w:cs="Arial" w:eastAsia="Arial" w:hAnsi="Arial"/>
                <w:sz w:val="18"/>
                <w:szCs w:val="18"/>
                <w:color w:val="000000"/>
              </w:rPr>
              <w:t>London Stock Exchange Group plc</w:t>
            </w:r>
          </w:p>
        </w:tc>
      </w:tr>
      <w:tr>
        <w:trPr>
          <w:trHeight w:val="203"/>
        </w:trPr>
        <w:tc>
          <w:tcPr>
            <w:tcW w:w="940" w:type="dxa"/>
            <w:vAlign w:val="bottom"/>
          </w:tcPr>
          <w:p>
            <w:pPr>
              <w:ind w:left="760"/>
              <w:spacing w:after="0" w:line="202" w:lineRule="exact"/>
              <w:rPr>
                <w:sz w:val="20"/>
                <w:szCs w:val="20"/>
                <w:color w:val="auto"/>
              </w:rPr>
            </w:pPr>
            <w:r>
              <w:rPr>
                <w:rFonts w:ascii="Arial" w:cs="Arial" w:eastAsia="Arial" w:hAnsi="Arial"/>
                <w:sz w:val="18"/>
                <w:szCs w:val="18"/>
                <w:color w:val="0088A6"/>
              </w:rPr>
              <w:t>•</w:t>
            </w:r>
          </w:p>
        </w:tc>
        <w:tc>
          <w:tcPr>
            <w:tcW w:w="4380" w:type="dxa"/>
            <w:vAlign w:val="bottom"/>
          </w:tcPr>
          <w:p>
            <w:pPr>
              <w:ind w:left="120"/>
              <w:spacing w:after="0" w:line="202" w:lineRule="exact"/>
              <w:rPr>
                <w:sz w:val="20"/>
                <w:szCs w:val="20"/>
                <w:color w:val="auto"/>
              </w:rPr>
            </w:pPr>
            <w:r>
              <w:rPr>
                <w:rFonts w:ascii="Arial" w:cs="Arial" w:eastAsia="Arial" w:hAnsi="Arial"/>
                <w:sz w:val="18"/>
                <w:szCs w:val="18"/>
                <w:color w:val="auto"/>
              </w:rPr>
              <w:t>MasterCard Incorporated</w:t>
            </w: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0088A6"/>
              </w:rPr>
              <w:t>•</w:t>
            </w:r>
          </w:p>
        </w:tc>
        <w:tc>
          <w:tcPr>
            <w:tcW w:w="2840" w:type="dxa"/>
            <w:vAlign w:val="bottom"/>
          </w:tcPr>
          <w:p>
            <w:pPr>
              <w:ind w:left="160"/>
              <w:spacing w:after="0" w:line="202" w:lineRule="exact"/>
              <w:rPr>
                <w:sz w:val="20"/>
                <w:szCs w:val="20"/>
                <w:color w:val="auto"/>
              </w:rPr>
            </w:pPr>
            <w:r>
              <w:rPr>
                <w:rFonts w:ascii="Arial" w:cs="Arial" w:eastAsia="Arial" w:hAnsi="Arial"/>
                <w:sz w:val="18"/>
                <w:szCs w:val="18"/>
                <w:color w:val="auto"/>
              </w:rPr>
              <w:t>NYSE Euronext</w:t>
            </w:r>
          </w:p>
        </w:tc>
      </w:tr>
      <w:tr>
        <w:trPr>
          <w:trHeight w:val="203"/>
        </w:trPr>
        <w:tc>
          <w:tcPr>
            <w:tcW w:w="5320" w:type="dxa"/>
            <w:vAlign w:val="bottom"/>
            <w:gridSpan w:val="2"/>
          </w:tcPr>
          <w:p>
            <w:pPr>
              <w:ind w:left="760"/>
              <w:spacing w:after="0" w:line="202" w:lineRule="exact"/>
              <w:rPr>
                <w:sz w:val="20"/>
                <w:szCs w:val="20"/>
                <w:color w:val="auto"/>
              </w:rPr>
            </w:pPr>
            <w:r>
              <w:rPr>
                <w:rFonts w:ascii="Arial" w:cs="Arial" w:eastAsia="Arial" w:hAnsi="Arial"/>
                <w:sz w:val="18"/>
                <w:szCs w:val="18"/>
                <w:color w:val="0088A6"/>
              </w:rPr>
              <w:t xml:space="preserve">•   </w:t>
            </w:r>
            <w:r>
              <w:rPr>
                <w:rFonts w:ascii="Arial" w:cs="Arial" w:eastAsia="Arial" w:hAnsi="Arial"/>
                <w:sz w:val="18"/>
                <w:szCs w:val="18"/>
                <w:color w:val="000000"/>
              </w:rPr>
              <w:t>TD Ameritrade Holding Corporation</w:t>
            </w:r>
          </w:p>
        </w:tc>
        <w:tc>
          <w:tcPr>
            <w:tcW w:w="4020" w:type="dxa"/>
            <w:vAlign w:val="bottom"/>
            <w:gridSpan w:val="2"/>
          </w:tcPr>
          <w:p>
            <w:pPr>
              <w:ind w:left="1000"/>
              <w:spacing w:after="0" w:line="202" w:lineRule="exact"/>
              <w:rPr>
                <w:sz w:val="20"/>
                <w:szCs w:val="20"/>
                <w:color w:val="auto"/>
              </w:rPr>
            </w:pPr>
            <w:r>
              <w:rPr>
                <w:rFonts w:ascii="Arial" w:cs="Arial" w:eastAsia="Arial" w:hAnsi="Arial"/>
                <w:sz w:val="18"/>
                <w:szCs w:val="18"/>
                <w:color w:val="0088A6"/>
              </w:rPr>
              <w:t xml:space="preserve">•   </w:t>
            </w:r>
            <w:r>
              <w:rPr>
                <w:rFonts w:ascii="Arial" w:cs="Arial" w:eastAsia="Arial" w:hAnsi="Arial"/>
                <w:sz w:val="18"/>
                <w:szCs w:val="18"/>
                <w:color w:val="000000"/>
              </w:rPr>
              <w:t>The Charles Schwab Corporation</w:t>
            </w:r>
          </w:p>
        </w:tc>
      </w:tr>
      <w:tr>
        <w:trPr>
          <w:trHeight w:val="211"/>
        </w:trPr>
        <w:tc>
          <w:tcPr>
            <w:tcW w:w="940" w:type="dxa"/>
            <w:vAlign w:val="bottom"/>
          </w:tcPr>
          <w:p>
            <w:pPr>
              <w:ind w:left="760"/>
              <w:spacing w:after="0"/>
              <w:rPr>
                <w:sz w:val="20"/>
                <w:szCs w:val="20"/>
                <w:color w:val="auto"/>
              </w:rPr>
            </w:pPr>
            <w:r>
              <w:rPr>
                <w:rFonts w:ascii="Arial" w:cs="Arial" w:eastAsia="Arial" w:hAnsi="Arial"/>
                <w:sz w:val="18"/>
                <w:szCs w:val="18"/>
                <w:color w:val="0088A6"/>
              </w:rPr>
              <w:t>•</w:t>
            </w:r>
          </w:p>
        </w:tc>
        <w:tc>
          <w:tcPr>
            <w:tcW w:w="4380" w:type="dxa"/>
            <w:vAlign w:val="bottom"/>
          </w:tcPr>
          <w:p>
            <w:pPr>
              <w:ind w:left="160"/>
              <w:spacing w:after="0"/>
              <w:rPr>
                <w:sz w:val="20"/>
                <w:szCs w:val="20"/>
                <w:color w:val="auto"/>
              </w:rPr>
            </w:pPr>
            <w:r>
              <w:rPr>
                <w:rFonts w:ascii="Arial" w:cs="Arial" w:eastAsia="Arial" w:hAnsi="Arial"/>
                <w:sz w:val="18"/>
                <w:szCs w:val="18"/>
                <w:color w:val="auto"/>
              </w:rPr>
              <w:t>TMX Group Inc.</w:t>
            </w:r>
          </w:p>
        </w:tc>
        <w:tc>
          <w:tcPr>
            <w:tcW w:w="1180" w:type="dxa"/>
            <w:vAlign w:val="bottom"/>
          </w:tcPr>
          <w:p>
            <w:pPr>
              <w:ind w:left="1000"/>
              <w:spacing w:after="0"/>
              <w:rPr>
                <w:sz w:val="20"/>
                <w:szCs w:val="20"/>
                <w:color w:val="auto"/>
              </w:rPr>
            </w:pPr>
            <w:r>
              <w:rPr>
                <w:rFonts w:ascii="Arial" w:cs="Arial" w:eastAsia="Arial" w:hAnsi="Arial"/>
                <w:sz w:val="18"/>
                <w:szCs w:val="18"/>
                <w:color w:val="0088A6"/>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Visa Inc.</w:t>
            </w:r>
          </w:p>
        </w:tc>
      </w:tr>
    </w:tbl>
    <w:p>
      <w:pPr>
        <w:spacing w:after="0" w:line="1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addition, the committee takes into account that NASDAQ OMX faces competition for talent from private firms, such as high frequency and other small trading firms and private equity funds, for which public compensation data is not available.</w:t>
      </w:r>
    </w:p>
    <w:p>
      <w:pPr>
        <w:spacing w:after="0" w:line="1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Peer group data serves as only one reference point that the committee considers in evaluating our executive compensation program. The committee uses this data to see how various elements of our executive compensation program compare to other companies. However, the committee does not set the compensation of our executives based on this data or target NASDAQ OMX’s executive compensation to a specific percentile of the compensation set by our competitors. Instead, the comparison is conducted solely to determine if the compensation is competitive to the market, as represented by the peer group. Therefore, each executive is evaluated individually based on skills, knowledge, performance, development potential and, in the committee’s business judgment, the value he or she brings to the organization and NASDAQ OMX’s retention risk.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2012 EXECUTIVE COMPENSATION ELEMENTS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Base Salaries</w:t>
      </w:r>
    </w:p>
    <w:p>
      <w:pPr>
        <w:spacing w:after="0" w:line="13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management compensation committee normally reviews base salaries on an annual basis before the beginning of each year so that any changes will be effective on January 1. Occasionally, the committee may recommend adjustments to base salaries during the year in response to significant changes in an executive’s responsibilities or events that would impact the long-term retention of a key executive. The committee and board establish salaries at levels commensurate with each executive’s title, position and experience, recognizing that each executive is managing a component of a complex global company.</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terms of Mr. Greifeld’s employment agreement, his base salary for 2012 was $1 million, which has remained unchanged since 2006. The management compensation committee and board decided that leaving his salary unchanged for 2012 was consistent with the terms of his employment agreement and the provisions of Section 162(m) of the Internal Revenue Code of 1986, as amended (Code), that limit to $1 million the amount of non-performance-based compensation paid to the CEO that the company may deduct for federal income tax purposes.</w:t>
      </w:r>
    </w:p>
    <w:p>
      <w:pPr>
        <w:spacing w:after="0" w:line="11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Following its compensation review at the end of 2011, the committee and board did not change the base salaries for any of the other named executive officers for 2012. The committee and board believed that each base salary is within a competitive range of the market median for base salary for a comparable position.</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each named executive officer’s base salary at December 31, 2012 and 2011.</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980" w:type="dxa"/>
            <w:vAlign w:val="bottom"/>
            <w:tcBorders>
              <w:left w:val="single" w:sz="8" w:color="BFBFBF"/>
              <w:right w:val="single" w:sz="8" w:color="BFBFBF"/>
            </w:tcBorders>
            <w:vMerge w:val="restart"/>
            <w:shd w:val="clear" w:color="auto" w:fill="0088A6"/>
          </w:tcPr>
          <w:p>
            <w:pPr>
              <w:ind w:left="180"/>
              <w:spacing w:after="0"/>
              <w:rPr>
                <w:sz w:val="20"/>
                <w:szCs w:val="20"/>
                <w:color w:val="auto"/>
              </w:rPr>
            </w:pPr>
            <w:r>
              <w:rPr>
                <w:rFonts w:ascii="Arial" w:cs="Arial" w:eastAsia="Arial" w:hAnsi="Arial"/>
                <w:sz w:val="18"/>
                <w:szCs w:val="18"/>
                <w:b w:val="1"/>
                <w:bCs w:val="1"/>
                <w:color w:val="FFFFFF"/>
              </w:rPr>
              <w:t>Named Executive Officer</w:t>
            </w:r>
          </w:p>
        </w:tc>
        <w:tc>
          <w:tcPr>
            <w:tcW w:w="720" w:type="dxa"/>
            <w:vAlign w:val="bottom"/>
            <w:shd w:val="clear" w:color="auto" w:fill="0088A6"/>
          </w:tcPr>
          <w:p>
            <w:pPr>
              <w:spacing w:after="0"/>
              <w:rPr>
                <w:sz w:val="17"/>
                <w:szCs w:val="17"/>
                <w:color w:val="auto"/>
              </w:rPr>
            </w:pPr>
          </w:p>
        </w:tc>
        <w:tc>
          <w:tcPr>
            <w:tcW w:w="140" w:type="dxa"/>
            <w:vAlign w:val="bottom"/>
            <w:shd w:val="clear" w:color="auto" w:fill="0088A6"/>
          </w:tcPr>
          <w:p>
            <w:pPr>
              <w:spacing w:after="0"/>
              <w:rPr>
                <w:sz w:val="17"/>
                <w:szCs w:val="17"/>
                <w:color w:val="auto"/>
              </w:rPr>
            </w:pPr>
          </w:p>
        </w:tc>
        <w:tc>
          <w:tcPr>
            <w:tcW w:w="2340" w:type="dxa"/>
            <w:vAlign w:val="bottom"/>
            <w:tcBorders>
              <w:right w:val="single" w:sz="8" w:color="BFBFBF"/>
            </w:tcBorders>
            <w:gridSpan w:val="2"/>
            <w:shd w:val="clear" w:color="auto" w:fill="0088A6"/>
          </w:tcPr>
          <w:p>
            <w:pPr>
              <w:ind w:left="240"/>
              <w:spacing w:after="0"/>
              <w:rPr>
                <w:sz w:val="20"/>
                <w:szCs w:val="20"/>
                <w:color w:val="auto"/>
              </w:rPr>
            </w:pPr>
            <w:r>
              <w:rPr>
                <w:rFonts w:ascii="Arial" w:cs="Arial" w:eastAsia="Arial" w:hAnsi="Arial"/>
                <w:sz w:val="18"/>
                <w:szCs w:val="18"/>
                <w:b w:val="1"/>
                <w:bCs w:val="1"/>
                <w:color w:val="FFFFFF"/>
              </w:rPr>
              <w:t>Base Salary at</w:t>
            </w:r>
          </w:p>
        </w:tc>
        <w:tc>
          <w:tcPr>
            <w:tcW w:w="560" w:type="dxa"/>
            <w:vAlign w:val="bottom"/>
            <w:shd w:val="clear" w:color="auto" w:fill="0088A6"/>
          </w:tcPr>
          <w:p>
            <w:pPr>
              <w:spacing w:after="0"/>
              <w:rPr>
                <w:sz w:val="17"/>
                <w:szCs w:val="17"/>
                <w:color w:val="auto"/>
              </w:rPr>
            </w:pPr>
          </w:p>
        </w:tc>
        <w:tc>
          <w:tcPr>
            <w:tcW w:w="160" w:type="dxa"/>
            <w:vAlign w:val="bottom"/>
            <w:shd w:val="clear" w:color="auto" w:fill="0088A6"/>
          </w:tcPr>
          <w:p>
            <w:pPr>
              <w:spacing w:after="0"/>
              <w:rPr>
                <w:sz w:val="17"/>
                <w:szCs w:val="17"/>
                <w:color w:val="auto"/>
              </w:rPr>
            </w:pPr>
          </w:p>
        </w:tc>
        <w:tc>
          <w:tcPr>
            <w:tcW w:w="2540" w:type="dxa"/>
            <w:vAlign w:val="bottom"/>
            <w:tcBorders>
              <w:right w:val="single" w:sz="8" w:color="BFBFBF"/>
            </w:tcBorders>
            <w:gridSpan w:val="2"/>
            <w:shd w:val="clear" w:color="auto" w:fill="0088A6"/>
          </w:tcPr>
          <w:p>
            <w:pPr>
              <w:ind w:left="240"/>
              <w:spacing w:after="0"/>
              <w:rPr>
                <w:sz w:val="20"/>
                <w:szCs w:val="20"/>
                <w:color w:val="auto"/>
              </w:rPr>
            </w:pPr>
            <w:r>
              <w:rPr>
                <w:rFonts w:ascii="Arial" w:cs="Arial" w:eastAsia="Arial" w:hAnsi="Arial"/>
                <w:sz w:val="18"/>
                <w:szCs w:val="18"/>
                <w:b w:val="1"/>
                <w:bCs w:val="1"/>
                <w:color w:val="FFFFFF"/>
              </w:rPr>
              <w:t>Base Salary at</w:t>
            </w:r>
          </w:p>
        </w:tc>
        <w:tc>
          <w:tcPr>
            <w:tcW w:w="0" w:type="dxa"/>
            <w:vAlign w:val="bottom"/>
          </w:tcPr>
          <w:p>
            <w:pPr>
              <w:spacing w:after="0"/>
              <w:rPr>
                <w:sz w:val="1"/>
                <w:szCs w:val="1"/>
                <w:color w:val="auto"/>
              </w:rPr>
            </w:pPr>
          </w:p>
        </w:tc>
      </w:tr>
      <w:tr>
        <w:trPr>
          <w:trHeight w:val="261"/>
        </w:trPr>
        <w:tc>
          <w:tcPr>
            <w:tcW w:w="4980" w:type="dxa"/>
            <w:vAlign w:val="bottom"/>
            <w:tcBorders>
              <w:left w:val="single" w:sz="8" w:color="BFBFBF"/>
              <w:bottom w:val="single" w:sz="8" w:color="auto"/>
              <w:right w:val="single" w:sz="8" w:color="BFBFBF"/>
            </w:tcBorders>
            <w:vMerge w:val="continue"/>
            <w:shd w:val="clear" w:color="auto" w:fill="0088A6"/>
          </w:tcPr>
          <w:p>
            <w:pPr>
              <w:spacing w:after="0"/>
              <w:rPr>
                <w:sz w:val="22"/>
                <w:szCs w:val="22"/>
                <w:color w:val="auto"/>
              </w:rPr>
            </w:pPr>
          </w:p>
        </w:tc>
        <w:tc>
          <w:tcPr>
            <w:tcW w:w="720" w:type="dxa"/>
            <w:vAlign w:val="bottom"/>
            <w:tcBorders>
              <w:bottom w:val="single" w:sz="8" w:color="0088A6"/>
            </w:tcBorders>
            <w:shd w:val="clear" w:color="auto" w:fill="0088A6"/>
          </w:tcPr>
          <w:p>
            <w:pPr>
              <w:spacing w:after="0"/>
              <w:rPr>
                <w:sz w:val="22"/>
                <w:szCs w:val="22"/>
                <w:color w:val="auto"/>
              </w:rPr>
            </w:pPr>
          </w:p>
        </w:tc>
        <w:tc>
          <w:tcPr>
            <w:tcW w:w="140" w:type="dxa"/>
            <w:vAlign w:val="bottom"/>
            <w:tcBorders>
              <w:bottom w:val="single" w:sz="8" w:color="auto"/>
            </w:tcBorders>
            <w:shd w:val="clear" w:color="auto" w:fill="0088A6"/>
          </w:tcPr>
          <w:p>
            <w:pPr>
              <w:spacing w:after="0"/>
              <w:rPr>
                <w:sz w:val="22"/>
                <w:szCs w:val="22"/>
                <w:color w:val="auto"/>
              </w:rPr>
            </w:pPr>
          </w:p>
        </w:tc>
        <w:tc>
          <w:tcPr>
            <w:tcW w:w="1820" w:type="dxa"/>
            <w:vAlign w:val="bottom"/>
            <w:tcBorders>
              <w:bottom w:val="single" w:sz="8" w:color="auto"/>
            </w:tcBorders>
            <w:shd w:val="clear" w:color="auto" w:fill="0088A6"/>
          </w:tcPr>
          <w:p>
            <w:pPr>
              <w:jc w:val="right"/>
              <w:ind w:right="92"/>
              <w:spacing w:after="0"/>
              <w:rPr>
                <w:sz w:val="20"/>
                <w:szCs w:val="20"/>
                <w:color w:val="auto"/>
              </w:rPr>
            </w:pPr>
            <w:r>
              <w:rPr>
                <w:rFonts w:ascii="Arial" w:cs="Arial" w:eastAsia="Arial" w:hAnsi="Arial"/>
                <w:sz w:val="18"/>
                <w:szCs w:val="18"/>
                <w:b w:val="1"/>
                <w:bCs w:val="1"/>
                <w:color w:val="FFFFFF"/>
                <w:w w:val="99"/>
              </w:rPr>
              <w:t>December 31, 2012</w:t>
            </w:r>
          </w:p>
        </w:tc>
        <w:tc>
          <w:tcPr>
            <w:tcW w:w="520" w:type="dxa"/>
            <w:vAlign w:val="bottom"/>
            <w:tcBorders>
              <w:bottom w:val="single" w:sz="8" w:color="0088A6"/>
              <w:right w:val="single" w:sz="8" w:color="BFBFBF"/>
            </w:tcBorders>
            <w:shd w:val="clear" w:color="auto" w:fill="0088A6"/>
          </w:tcPr>
          <w:p>
            <w:pPr>
              <w:spacing w:after="0"/>
              <w:rPr>
                <w:sz w:val="22"/>
                <w:szCs w:val="22"/>
                <w:color w:val="auto"/>
              </w:rPr>
            </w:pPr>
          </w:p>
        </w:tc>
        <w:tc>
          <w:tcPr>
            <w:tcW w:w="560" w:type="dxa"/>
            <w:vAlign w:val="bottom"/>
            <w:tcBorders>
              <w:bottom w:val="single" w:sz="8" w:color="0088A6"/>
            </w:tcBorders>
            <w:shd w:val="clear" w:color="auto" w:fill="0088A6"/>
          </w:tcPr>
          <w:p>
            <w:pPr>
              <w:spacing w:after="0"/>
              <w:rPr>
                <w:sz w:val="22"/>
                <w:szCs w:val="22"/>
                <w:color w:val="auto"/>
              </w:rPr>
            </w:pPr>
          </w:p>
        </w:tc>
        <w:tc>
          <w:tcPr>
            <w:tcW w:w="160" w:type="dxa"/>
            <w:vAlign w:val="bottom"/>
            <w:tcBorders>
              <w:bottom w:val="single" w:sz="8" w:color="auto"/>
            </w:tcBorders>
            <w:shd w:val="clear" w:color="auto" w:fill="0088A6"/>
          </w:tcPr>
          <w:p>
            <w:pPr>
              <w:spacing w:after="0"/>
              <w:rPr>
                <w:sz w:val="22"/>
                <w:szCs w:val="22"/>
                <w:color w:val="auto"/>
              </w:rPr>
            </w:pPr>
          </w:p>
        </w:tc>
        <w:tc>
          <w:tcPr>
            <w:tcW w:w="1820" w:type="dxa"/>
            <w:vAlign w:val="bottom"/>
            <w:tcBorders>
              <w:bottom w:val="single" w:sz="8" w:color="auto"/>
            </w:tcBorders>
            <w:shd w:val="clear" w:color="auto" w:fill="0088A6"/>
          </w:tcPr>
          <w:p>
            <w:pPr>
              <w:jc w:val="right"/>
              <w:ind w:right="112"/>
              <w:spacing w:after="0"/>
              <w:rPr>
                <w:sz w:val="20"/>
                <w:szCs w:val="20"/>
                <w:color w:val="auto"/>
              </w:rPr>
            </w:pPr>
            <w:r>
              <w:rPr>
                <w:rFonts w:ascii="Arial" w:cs="Arial" w:eastAsia="Arial" w:hAnsi="Arial"/>
                <w:sz w:val="18"/>
                <w:szCs w:val="18"/>
                <w:b w:val="1"/>
                <w:bCs w:val="1"/>
                <w:color w:val="FFFFFF"/>
                <w:w w:val="98"/>
              </w:rPr>
              <w:t>December 31, 2011</w:t>
            </w:r>
          </w:p>
        </w:tc>
        <w:tc>
          <w:tcPr>
            <w:tcW w:w="720" w:type="dxa"/>
            <w:vAlign w:val="bottom"/>
            <w:tcBorders>
              <w:bottom w:val="single" w:sz="8" w:color="0088A6"/>
              <w:right w:val="single" w:sz="8" w:color="BFBFBF"/>
            </w:tcBorders>
            <w:shd w:val="clear" w:color="auto" w:fill="0088A6"/>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980" w:type="dxa"/>
            <w:vAlign w:val="bottom"/>
            <w:tcBorders>
              <w:left w:val="single" w:sz="8" w:color="BFBFBF"/>
              <w:bottom w:val="single" w:sz="8" w:color="BFBFBF"/>
              <w:right w:val="single" w:sz="8" w:color="BFBFBF"/>
            </w:tcBorders>
          </w:tcPr>
          <w:p>
            <w:pPr>
              <w:ind w:left="180"/>
              <w:spacing w:after="0" w:line="183" w:lineRule="exact"/>
              <w:rPr>
                <w:sz w:val="20"/>
                <w:szCs w:val="20"/>
                <w:color w:val="auto"/>
              </w:rPr>
            </w:pPr>
            <w:r>
              <w:rPr>
                <w:rFonts w:ascii="Arial" w:cs="Arial" w:eastAsia="Arial" w:hAnsi="Arial"/>
                <w:sz w:val="18"/>
                <w:szCs w:val="18"/>
                <w:color w:val="auto"/>
              </w:rPr>
              <w:t>Robert Greifeld</w:t>
            </w:r>
          </w:p>
        </w:tc>
        <w:tc>
          <w:tcPr>
            <w:tcW w:w="860" w:type="dxa"/>
            <w:vAlign w:val="bottom"/>
            <w:tcBorders>
              <w:bottom w:val="single" w:sz="8" w:color="BFBFBF"/>
            </w:tcBorders>
            <w:gridSpan w:val="2"/>
          </w:tcPr>
          <w:p>
            <w:pPr>
              <w:jc w:val="right"/>
              <w:ind w:right="40"/>
              <w:spacing w:after="0" w:line="183"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BFBFBF"/>
            </w:tcBorders>
          </w:tcPr>
          <w:p>
            <w:pPr>
              <w:jc w:val="right"/>
              <w:spacing w:after="0" w:line="183" w:lineRule="exact"/>
              <w:rPr>
                <w:sz w:val="20"/>
                <w:szCs w:val="20"/>
                <w:color w:val="auto"/>
              </w:rPr>
            </w:pPr>
            <w:r>
              <w:rPr>
                <w:rFonts w:ascii="Arial" w:cs="Arial" w:eastAsia="Arial" w:hAnsi="Arial"/>
                <w:sz w:val="18"/>
                <w:szCs w:val="18"/>
                <w:color w:val="auto"/>
              </w:rPr>
              <w:t>1,000,000</w:t>
            </w:r>
          </w:p>
        </w:tc>
        <w:tc>
          <w:tcPr>
            <w:tcW w:w="520" w:type="dxa"/>
            <w:vAlign w:val="bottom"/>
            <w:tcBorders>
              <w:bottom w:val="single" w:sz="8" w:color="BFBFBF"/>
              <w:right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160" w:type="dxa"/>
            <w:vAlign w:val="bottom"/>
            <w:tcBorders>
              <w:bottom w:val="single" w:sz="8" w:color="BFBFBF"/>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BFBFBF"/>
            </w:tcBorders>
          </w:tcPr>
          <w:p>
            <w:pPr>
              <w:jc w:val="right"/>
              <w:spacing w:after="0" w:line="183" w:lineRule="exact"/>
              <w:rPr>
                <w:sz w:val="20"/>
                <w:szCs w:val="20"/>
                <w:color w:val="auto"/>
              </w:rPr>
            </w:pPr>
            <w:r>
              <w:rPr>
                <w:rFonts w:ascii="Arial" w:cs="Arial" w:eastAsia="Arial" w:hAnsi="Arial"/>
                <w:sz w:val="18"/>
                <w:szCs w:val="18"/>
                <w:color w:val="auto"/>
              </w:rPr>
              <w:t>1,000,000</w:t>
            </w:r>
          </w:p>
        </w:tc>
        <w:tc>
          <w:tcPr>
            <w:tcW w:w="720" w:type="dxa"/>
            <w:vAlign w:val="bottom"/>
            <w:tcBorders>
              <w:bottom w:val="single" w:sz="8" w:color="BFBFBF"/>
              <w:right w:val="single" w:sz="8" w:color="BFBFB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Borders>
              <w:left w:val="single" w:sz="8" w:color="BFBFBF"/>
              <w:bottom w:val="single" w:sz="8" w:color="BFBFBF"/>
              <w:right w:val="single" w:sz="8" w:color="BFBFBF"/>
            </w:tcBorders>
          </w:tcPr>
          <w:p>
            <w:pPr>
              <w:ind w:left="180"/>
              <w:spacing w:after="0" w:line="196" w:lineRule="exact"/>
              <w:rPr>
                <w:sz w:val="20"/>
                <w:szCs w:val="20"/>
                <w:color w:val="auto"/>
              </w:rPr>
            </w:pPr>
            <w:r>
              <w:rPr>
                <w:rFonts w:ascii="Arial" w:cs="Arial" w:eastAsia="Arial" w:hAnsi="Arial"/>
                <w:sz w:val="18"/>
                <w:szCs w:val="18"/>
                <w:color w:val="auto"/>
              </w:rPr>
              <w:t>Lee Shavel</w:t>
            </w:r>
          </w:p>
        </w:tc>
        <w:tc>
          <w:tcPr>
            <w:tcW w:w="860" w:type="dxa"/>
            <w:vAlign w:val="bottom"/>
            <w:tcBorders>
              <w:bottom w:val="single" w:sz="8" w:color="BFBFBF"/>
            </w:tcBorders>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500,000</w:t>
            </w:r>
          </w:p>
        </w:tc>
        <w:tc>
          <w:tcPr>
            <w:tcW w:w="520" w:type="dxa"/>
            <w:vAlign w:val="bottom"/>
            <w:tcBorders>
              <w:bottom w:val="single" w:sz="8" w:color="BFBFBF"/>
              <w:right w:val="single" w:sz="8" w:color="BFBFBF"/>
            </w:tcBorders>
          </w:tcPr>
          <w:p>
            <w:pPr>
              <w:spacing w:after="0"/>
              <w:rPr>
                <w:sz w:val="17"/>
                <w:szCs w:val="17"/>
                <w:color w:val="auto"/>
              </w:rPr>
            </w:pPr>
          </w:p>
        </w:tc>
        <w:tc>
          <w:tcPr>
            <w:tcW w:w="560" w:type="dxa"/>
            <w:vAlign w:val="bottom"/>
            <w:tcBorders>
              <w:bottom w:val="single" w:sz="8" w:color="BFBFBF"/>
            </w:tcBorders>
          </w:tcPr>
          <w:p>
            <w:pPr>
              <w:spacing w:after="0"/>
              <w:rPr>
                <w:sz w:val="17"/>
                <w:szCs w:val="17"/>
                <w:color w:val="auto"/>
              </w:rPr>
            </w:pPr>
          </w:p>
        </w:tc>
        <w:tc>
          <w:tcPr>
            <w:tcW w:w="16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500,000</w:t>
            </w:r>
          </w:p>
        </w:tc>
        <w:tc>
          <w:tcPr>
            <w:tcW w:w="7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left w:val="single" w:sz="8" w:color="BFBFBF"/>
              <w:bottom w:val="single" w:sz="8" w:color="BFBFBF"/>
              <w:right w:val="single" w:sz="8" w:color="BFBFBF"/>
            </w:tcBorders>
          </w:tcPr>
          <w:p>
            <w:pPr>
              <w:ind w:left="160"/>
              <w:spacing w:after="0" w:line="196" w:lineRule="exact"/>
              <w:rPr>
                <w:sz w:val="20"/>
                <w:szCs w:val="20"/>
                <w:color w:val="auto"/>
              </w:rPr>
            </w:pPr>
            <w:r>
              <w:rPr>
                <w:rFonts w:ascii="Arial" w:cs="Arial" w:eastAsia="Arial" w:hAnsi="Arial"/>
                <w:sz w:val="18"/>
                <w:szCs w:val="18"/>
                <w:color w:val="auto"/>
              </w:rPr>
              <w:t>Anna M. Ewing</w:t>
            </w:r>
          </w:p>
        </w:tc>
        <w:tc>
          <w:tcPr>
            <w:tcW w:w="860" w:type="dxa"/>
            <w:vAlign w:val="bottom"/>
            <w:tcBorders>
              <w:bottom w:val="single" w:sz="8" w:color="BFBFBF"/>
            </w:tcBorders>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500,000</w:t>
            </w:r>
          </w:p>
        </w:tc>
        <w:tc>
          <w:tcPr>
            <w:tcW w:w="520" w:type="dxa"/>
            <w:vAlign w:val="bottom"/>
            <w:tcBorders>
              <w:bottom w:val="single" w:sz="8" w:color="BFBFBF"/>
              <w:right w:val="single" w:sz="8" w:color="BFBFBF"/>
            </w:tcBorders>
          </w:tcPr>
          <w:p>
            <w:pPr>
              <w:spacing w:after="0"/>
              <w:rPr>
                <w:sz w:val="17"/>
                <w:szCs w:val="17"/>
                <w:color w:val="auto"/>
              </w:rPr>
            </w:pPr>
          </w:p>
        </w:tc>
        <w:tc>
          <w:tcPr>
            <w:tcW w:w="560" w:type="dxa"/>
            <w:vAlign w:val="bottom"/>
            <w:tcBorders>
              <w:bottom w:val="single" w:sz="8" w:color="BFBFBF"/>
            </w:tcBorders>
          </w:tcPr>
          <w:p>
            <w:pPr>
              <w:spacing w:after="0"/>
              <w:rPr>
                <w:sz w:val="17"/>
                <w:szCs w:val="17"/>
                <w:color w:val="auto"/>
              </w:rPr>
            </w:pPr>
          </w:p>
        </w:tc>
        <w:tc>
          <w:tcPr>
            <w:tcW w:w="16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500,000</w:t>
            </w:r>
          </w:p>
        </w:tc>
        <w:tc>
          <w:tcPr>
            <w:tcW w:w="7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left w:val="single" w:sz="8" w:color="BFBFBF"/>
              <w:bottom w:val="single" w:sz="8" w:color="BFBFBF"/>
              <w:right w:val="single" w:sz="8" w:color="BFBFBF"/>
            </w:tcBorders>
          </w:tcPr>
          <w:p>
            <w:pPr>
              <w:ind w:left="180"/>
              <w:spacing w:after="0" w:line="196" w:lineRule="exact"/>
              <w:rPr>
                <w:sz w:val="20"/>
                <w:szCs w:val="20"/>
                <w:color w:val="auto"/>
              </w:rPr>
            </w:pPr>
            <w:r>
              <w:rPr>
                <w:rFonts w:ascii="Arial" w:cs="Arial" w:eastAsia="Arial" w:hAnsi="Arial"/>
                <w:sz w:val="18"/>
                <w:szCs w:val="18"/>
                <w:color w:val="auto"/>
              </w:rPr>
              <w:t>Hans-Ole Jochumsen(1)</w:t>
            </w:r>
          </w:p>
        </w:tc>
        <w:tc>
          <w:tcPr>
            <w:tcW w:w="860" w:type="dxa"/>
            <w:vAlign w:val="bottom"/>
            <w:tcBorders>
              <w:bottom w:val="single" w:sz="8" w:color="BFBFBF"/>
            </w:tcBorders>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496,608</w:t>
            </w:r>
          </w:p>
        </w:tc>
        <w:tc>
          <w:tcPr>
            <w:tcW w:w="520" w:type="dxa"/>
            <w:vAlign w:val="bottom"/>
            <w:tcBorders>
              <w:bottom w:val="single" w:sz="8" w:color="BFBFBF"/>
              <w:right w:val="single" w:sz="8" w:color="BFBFBF"/>
            </w:tcBorders>
          </w:tcPr>
          <w:p>
            <w:pPr>
              <w:spacing w:after="0"/>
              <w:rPr>
                <w:sz w:val="17"/>
                <w:szCs w:val="17"/>
                <w:color w:val="auto"/>
              </w:rPr>
            </w:pPr>
          </w:p>
        </w:tc>
        <w:tc>
          <w:tcPr>
            <w:tcW w:w="560" w:type="dxa"/>
            <w:vAlign w:val="bottom"/>
            <w:tcBorders>
              <w:bottom w:val="single" w:sz="8" w:color="BFBFBF"/>
            </w:tcBorders>
          </w:tcPr>
          <w:p>
            <w:pPr>
              <w:spacing w:after="0"/>
              <w:rPr>
                <w:sz w:val="17"/>
                <w:szCs w:val="17"/>
                <w:color w:val="auto"/>
              </w:rPr>
            </w:pPr>
          </w:p>
        </w:tc>
        <w:tc>
          <w:tcPr>
            <w:tcW w:w="16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518,112</w:t>
            </w:r>
          </w:p>
        </w:tc>
        <w:tc>
          <w:tcPr>
            <w:tcW w:w="7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left w:val="single" w:sz="8" w:color="BFBFBF"/>
              <w:bottom w:val="single" w:sz="8" w:color="BFBFBF"/>
              <w:right w:val="single" w:sz="8" w:color="BFBFBF"/>
            </w:tcBorders>
          </w:tcPr>
          <w:p>
            <w:pPr>
              <w:ind w:left="180"/>
              <w:spacing w:after="0" w:line="196" w:lineRule="exact"/>
              <w:rPr>
                <w:sz w:val="20"/>
                <w:szCs w:val="20"/>
                <w:color w:val="auto"/>
              </w:rPr>
            </w:pPr>
            <w:r>
              <w:rPr>
                <w:rFonts w:ascii="Arial" w:cs="Arial" w:eastAsia="Arial" w:hAnsi="Arial"/>
                <w:sz w:val="18"/>
                <w:szCs w:val="18"/>
                <w:color w:val="auto"/>
              </w:rPr>
              <w:t>Eric W. Noll</w:t>
            </w:r>
          </w:p>
        </w:tc>
        <w:tc>
          <w:tcPr>
            <w:tcW w:w="860" w:type="dxa"/>
            <w:vAlign w:val="bottom"/>
            <w:tcBorders>
              <w:bottom w:val="single" w:sz="8" w:color="BFBFBF"/>
            </w:tcBorders>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500,000</w:t>
            </w:r>
          </w:p>
        </w:tc>
        <w:tc>
          <w:tcPr>
            <w:tcW w:w="520" w:type="dxa"/>
            <w:vAlign w:val="bottom"/>
            <w:tcBorders>
              <w:bottom w:val="single" w:sz="8" w:color="BFBFBF"/>
              <w:right w:val="single" w:sz="8" w:color="BFBFBF"/>
            </w:tcBorders>
          </w:tcPr>
          <w:p>
            <w:pPr>
              <w:spacing w:after="0"/>
              <w:rPr>
                <w:sz w:val="17"/>
                <w:szCs w:val="17"/>
                <w:color w:val="auto"/>
              </w:rPr>
            </w:pPr>
          </w:p>
        </w:tc>
        <w:tc>
          <w:tcPr>
            <w:tcW w:w="560" w:type="dxa"/>
            <w:vAlign w:val="bottom"/>
            <w:tcBorders>
              <w:bottom w:val="single" w:sz="8" w:color="BFBFBF"/>
            </w:tcBorders>
          </w:tcPr>
          <w:p>
            <w:pPr>
              <w:spacing w:after="0"/>
              <w:rPr>
                <w:sz w:val="17"/>
                <w:szCs w:val="17"/>
                <w:color w:val="auto"/>
              </w:rPr>
            </w:pPr>
          </w:p>
        </w:tc>
        <w:tc>
          <w:tcPr>
            <w:tcW w:w="16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500,000</w:t>
            </w:r>
          </w:p>
        </w:tc>
        <w:tc>
          <w:tcPr>
            <w:tcW w:w="72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889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-711200</wp:posOffset>
            </wp:positionV>
            <wp:extent cx="889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23152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2" w:lineRule="exact"/>
        <w:rPr>
          <w:sz w:val="20"/>
          <w:szCs w:val="20"/>
          <w:color w:val="auto"/>
        </w:rPr>
      </w:pPr>
    </w:p>
    <w:p>
      <w:pPr>
        <w:jc w:val="both"/>
        <w:ind w:left="580" w:right="520" w:hanging="572"/>
        <w:spacing w:after="0" w:line="237"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Jochumsen’s base salary of 3,360,000 Swedish krona did not change between December 31, 2011 and December 31, 2012. The difference in the above table is due to the difference in the average foreign exchange rate, which was $0.1478 per krona for 2012 and $0.1542 per krona for 2011. These exchange rates are used throughout the “Compensation Discussion and Analysis” and “Executive Compensation” sections to convert Swedish krona to U.S. dollars.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Performance-Based Cash Incentive Awards</w:t>
      </w:r>
    </w:p>
    <w:p>
      <w:pPr>
        <w:spacing w:after="0" w:line="7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Annual performance-based cash incentives are an integral part of our executive compensation program. Mr. Greifeld and all of NASDAQ OMX’s executive vice presidents receive such awards through our stockholder-approved Executive Corporate Incentive Plan (ECIP).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Plan-Based Target Award Opportunities</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At the beginning of each year, the management compensation committee and board of directors establish the target annual cash incentive award opportunity for our named executive officers. As provided under his employment agreement, Mr. Greifeld’s target annual cash incentive award opportunity for 2012 was 210% of base salary. For 2012, the committee and board set the target annual cash incentive award opportunity for each of the other named executive officers at approximately 150% of base salary, based on an assessment of each officer’s position and responsibilities, the competitive market analysis and the company’s retention objectives.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Goals</w:t>
      </w:r>
    </w:p>
    <w:p>
      <w:pPr>
        <w:spacing w:after="0" w:line="13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annual cash incentive award payments for our executives are based on the achievement of pre-established performance goals. The CEO selects and recommends goals for each executive vice president based on their areas of responsibility and on input from each executive. The management compensation committee and the board of directors review and consider our CEO’s recommendations and approve the goals for the coming year after identifying the objectives most critical to our future growth and most likely to hold executives accountable for the operations for which they are responsible.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annual cash incentive awards are tied to results in the following areas:</w:t>
      </w:r>
    </w:p>
    <w:p>
      <w:pPr>
        <w:spacing w:after="0" w:line="131" w:lineRule="exact"/>
        <w:rPr>
          <w:sz w:val="20"/>
          <w:szCs w:val="20"/>
          <w:color w:val="auto"/>
        </w:rPr>
      </w:pPr>
    </w:p>
    <w:p>
      <w:pPr>
        <w:ind w:left="1120" w:hanging="437"/>
        <w:spacing w:after="0"/>
        <w:tabs>
          <w:tab w:leader="none" w:pos="1120" w:val="left"/>
        </w:tabs>
        <w:numPr>
          <w:ilvl w:val="0"/>
          <w:numId w:val="42"/>
        </w:numPr>
        <w:rPr>
          <w:rFonts w:ascii="Arial" w:cs="Arial" w:eastAsia="Arial" w:hAnsi="Arial"/>
          <w:sz w:val="18"/>
          <w:szCs w:val="18"/>
          <w:color w:val="0088A6"/>
        </w:rPr>
      </w:pPr>
      <w:r>
        <w:rPr>
          <w:rFonts w:ascii="Arial" w:cs="Arial" w:eastAsia="Arial" w:hAnsi="Arial"/>
          <w:sz w:val="18"/>
          <w:szCs w:val="18"/>
          <w:color w:val="auto"/>
        </w:rPr>
        <w:t>two corporate objectives, including:</w:t>
      </w:r>
    </w:p>
    <w:p>
      <w:pPr>
        <w:spacing w:after="0" w:line="130" w:lineRule="exact"/>
        <w:rPr>
          <w:rFonts w:ascii="Arial" w:cs="Arial" w:eastAsia="Arial" w:hAnsi="Arial"/>
          <w:sz w:val="18"/>
          <w:szCs w:val="18"/>
          <w:color w:val="0088A6"/>
        </w:rPr>
      </w:pPr>
    </w:p>
    <w:p>
      <w:pPr>
        <w:ind w:left="1700" w:hanging="558"/>
        <w:spacing w:after="0"/>
        <w:tabs>
          <w:tab w:leader="none" w:pos="1700" w:val="left"/>
        </w:tabs>
        <w:numPr>
          <w:ilvl w:val="1"/>
          <w:numId w:val="42"/>
        </w:numPr>
        <w:rPr>
          <w:rFonts w:ascii="Arial" w:cs="Arial" w:eastAsia="Arial" w:hAnsi="Arial"/>
          <w:sz w:val="18"/>
          <w:szCs w:val="18"/>
          <w:color w:val="0088A6"/>
        </w:rPr>
      </w:pPr>
      <w:r>
        <w:rPr>
          <w:rFonts w:ascii="Arial" w:cs="Arial" w:eastAsia="Arial" w:hAnsi="Arial"/>
          <w:sz w:val="18"/>
          <w:szCs w:val="18"/>
          <w:color w:val="auto"/>
        </w:rPr>
        <w:t>operating income (run rate), which measures business efficiency and profitability; and</w:t>
      </w:r>
    </w:p>
    <w:p>
      <w:pPr>
        <w:spacing w:after="0" w:line="130" w:lineRule="exact"/>
        <w:rPr>
          <w:rFonts w:ascii="Arial" w:cs="Arial" w:eastAsia="Arial" w:hAnsi="Arial"/>
          <w:sz w:val="18"/>
          <w:szCs w:val="18"/>
          <w:color w:val="0088A6"/>
        </w:rPr>
      </w:pPr>
    </w:p>
    <w:p>
      <w:pPr>
        <w:ind w:left="1700" w:hanging="558"/>
        <w:spacing w:after="0"/>
        <w:tabs>
          <w:tab w:leader="none" w:pos="1700" w:val="left"/>
        </w:tabs>
        <w:numPr>
          <w:ilvl w:val="1"/>
          <w:numId w:val="42"/>
        </w:numPr>
        <w:rPr>
          <w:rFonts w:ascii="Arial" w:cs="Arial" w:eastAsia="Arial" w:hAnsi="Arial"/>
          <w:sz w:val="18"/>
          <w:szCs w:val="18"/>
          <w:color w:val="0088A6"/>
        </w:rPr>
      </w:pPr>
      <w:r>
        <w:rPr>
          <w:rFonts w:ascii="Arial" w:cs="Arial" w:eastAsia="Arial" w:hAnsi="Arial"/>
          <w:sz w:val="18"/>
          <w:szCs w:val="18"/>
          <w:color w:val="auto"/>
        </w:rPr>
        <w:t>net revenue, which measures the ability to drive revenue growth;</w:t>
      </w:r>
    </w:p>
    <w:p>
      <w:pPr>
        <w:spacing w:after="0" w:line="130" w:lineRule="exact"/>
        <w:rPr>
          <w:rFonts w:ascii="Arial" w:cs="Arial" w:eastAsia="Arial" w:hAnsi="Arial"/>
          <w:sz w:val="18"/>
          <w:szCs w:val="18"/>
          <w:color w:val="0088A6"/>
        </w:rPr>
      </w:pPr>
    </w:p>
    <w:p>
      <w:pPr>
        <w:ind w:left="1120" w:right="340" w:hanging="437"/>
        <w:spacing w:after="0" w:line="239" w:lineRule="auto"/>
        <w:tabs>
          <w:tab w:leader="none" w:pos="1120" w:val="left"/>
        </w:tabs>
        <w:numPr>
          <w:ilvl w:val="0"/>
          <w:numId w:val="42"/>
        </w:numPr>
        <w:rPr>
          <w:rFonts w:ascii="Arial" w:cs="Arial" w:eastAsia="Arial" w:hAnsi="Arial"/>
          <w:sz w:val="18"/>
          <w:szCs w:val="18"/>
          <w:color w:val="0088A6"/>
        </w:rPr>
      </w:pPr>
      <w:r>
        <w:rPr>
          <w:rFonts w:ascii="Arial" w:cs="Arial" w:eastAsia="Arial" w:hAnsi="Arial"/>
          <w:sz w:val="18"/>
          <w:szCs w:val="18"/>
          <w:color w:val="auto"/>
        </w:rPr>
        <w:t>business unit strategic objectives, which are defined business unit-specific goals that contribute to the company’s short and long-term performance; and</w:t>
      </w:r>
    </w:p>
    <w:p>
      <w:pPr>
        <w:spacing w:after="0" w:line="127" w:lineRule="exact"/>
        <w:rPr>
          <w:rFonts w:ascii="Arial" w:cs="Arial" w:eastAsia="Arial" w:hAnsi="Arial"/>
          <w:sz w:val="18"/>
          <w:szCs w:val="18"/>
          <w:color w:val="0088A6"/>
        </w:rPr>
      </w:pPr>
    </w:p>
    <w:p>
      <w:pPr>
        <w:ind w:left="1120" w:right="120" w:hanging="437"/>
        <w:spacing w:after="0" w:line="239" w:lineRule="auto"/>
        <w:tabs>
          <w:tab w:leader="none" w:pos="1120" w:val="left"/>
        </w:tabs>
        <w:numPr>
          <w:ilvl w:val="0"/>
          <w:numId w:val="42"/>
        </w:numPr>
        <w:rPr>
          <w:rFonts w:ascii="Arial" w:cs="Arial" w:eastAsia="Arial" w:hAnsi="Arial"/>
          <w:sz w:val="18"/>
          <w:szCs w:val="18"/>
          <w:color w:val="0088A6"/>
        </w:rPr>
      </w:pPr>
      <w:r>
        <w:rPr>
          <w:rFonts w:ascii="Arial" w:cs="Arial" w:eastAsia="Arial" w:hAnsi="Arial"/>
          <w:sz w:val="18"/>
          <w:szCs w:val="18"/>
          <w:color w:val="auto"/>
        </w:rPr>
        <w:t>the BES, which is survey-compiled feedback from employees on a wide range of issues that impact the company’s effectiveness as an organization.</w:t>
      </w:r>
    </w:p>
    <w:p>
      <w:pPr>
        <w:spacing w:after="0" w:line="141"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44</w:t>
      </w:r>
    </w:p>
    <w:p>
      <w:pPr>
        <w:sectPr>
          <w:pgSz w:w="11900" w:h="16838" w:orient="portrait"/>
          <w:cols w:equalWidth="0" w:num="1">
            <w:col w:w="11440"/>
          </w:cols>
          <w:pgMar w:left="240" w:top="459" w:right="2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Operating income (run rate) and net revenue are the company’s primary measures of short-term business success and the key drivers of long-term stockholder value. Operating income (run rate) and net revenue targets are set at the beginning of each year, as part of the company’s annual budgeting process.</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Business unit strategic objectives also are established at the beginning of the year, and consist of financial and non-financial strategic objectives specific to the business unit. The committee and board set the business unit strategic objectives to reflect the key responsibilities of each executive and incent focus on particular objectives in 2012.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business unit strategic objectives are described below.</w:t>
      </w:r>
    </w:p>
    <w:p>
      <w:pPr>
        <w:spacing w:after="0" w:line="63" w:lineRule="exact"/>
        <w:rPr>
          <w:sz w:val="20"/>
          <w:szCs w:val="20"/>
          <w:color w:val="auto"/>
        </w:rPr>
      </w:pPr>
    </w:p>
    <w:p>
      <w:pPr>
        <w:ind w:left="900" w:right="140" w:hanging="446"/>
        <w:spacing w:after="0" w:line="238" w:lineRule="auto"/>
        <w:tabs>
          <w:tab w:leader="none" w:pos="900" w:val="left"/>
        </w:tabs>
        <w:numPr>
          <w:ilvl w:val="0"/>
          <w:numId w:val="43"/>
        </w:numPr>
        <w:rPr>
          <w:rFonts w:ascii="Arial" w:cs="Arial" w:eastAsia="Arial" w:hAnsi="Arial"/>
          <w:sz w:val="18"/>
          <w:szCs w:val="18"/>
          <w:color w:val="0088A6"/>
        </w:rPr>
      </w:pPr>
      <w:r>
        <w:rPr>
          <w:rFonts w:ascii="Arial" w:cs="Arial" w:eastAsia="Arial" w:hAnsi="Arial"/>
          <w:sz w:val="18"/>
          <w:szCs w:val="18"/>
          <w:color w:val="auto"/>
        </w:rPr>
        <w:t>Mr. Shavel’s strategic objectives related to: Corporate Strategy initiatives, including transactions; and Corporate Finance goals relating to expense management, stock price performance, risk management, NASDAQ OMX’s Growth Initiative Fund Team and return on investment capital analysis.</w:t>
      </w:r>
    </w:p>
    <w:p>
      <w:pPr>
        <w:spacing w:after="0" w:line="59" w:lineRule="exact"/>
        <w:rPr>
          <w:rFonts w:ascii="Arial" w:cs="Arial" w:eastAsia="Arial" w:hAnsi="Arial"/>
          <w:sz w:val="18"/>
          <w:szCs w:val="18"/>
          <w:color w:val="0088A6"/>
        </w:rPr>
      </w:pPr>
    </w:p>
    <w:p>
      <w:pPr>
        <w:ind w:left="900" w:right="200" w:hanging="446"/>
        <w:spacing w:after="0" w:line="239" w:lineRule="auto"/>
        <w:tabs>
          <w:tab w:leader="none" w:pos="900" w:val="left"/>
        </w:tabs>
        <w:numPr>
          <w:ilvl w:val="0"/>
          <w:numId w:val="43"/>
        </w:numPr>
        <w:rPr>
          <w:rFonts w:ascii="Arial" w:cs="Arial" w:eastAsia="Arial" w:hAnsi="Arial"/>
          <w:sz w:val="18"/>
          <w:szCs w:val="18"/>
          <w:color w:val="0088A6"/>
        </w:rPr>
      </w:pPr>
      <w:r>
        <w:rPr>
          <w:rFonts w:ascii="Arial" w:cs="Arial" w:eastAsia="Arial" w:hAnsi="Arial"/>
          <w:sz w:val="18"/>
          <w:szCs w:val="18"/>
          <w:color w:val="auto"/>
        </w:rPr>
        <w:t>Ms. Ewing’s strategic objectives related to: Global Technology Services financial results, service delivery and compliance; and Market Technology financial results and strategic initiatives goals.</w:t>
      </w:r>
    </w:p>
    <w:p>
      <w:pPr>
        <w:spacing w:after="0" w:line="60" w:lineRule="exact"/>
        <w:rPr>
          <w:rFonts w:ascii="Arial" w:cs="Arial" w:eastAsia="Arial" w:hAnsi="Arial"/>
          <w:sz w:val="18"/>
          <w:szCs w:val="18"/>
          <w:color w:val="0088A6"/>
        </w:rPr>
      </w:pPr>
    </w:p>
    <w:p>
      <w:pPr>
        <w:ind w:left="900" w:right="560" w:hanging="446"/>
        <w:spacing w:after="0" w:line="239" w:lineRule="auto"/>
        <w:tabs>
          <w:tab w:leader="none" w:pos="900" w:val="left"/>
        </w:tabs>
        <w:numPr>
          <w:ilvl w:val="0"/>
          <w:numId w:val="43"/>
        </w:numPr>
        <w:rPr>
          <w:rFonts w:ascii="Arial" w:cs="Arial" w:eastAsia="Arial" w:hAnsi="Arial"/>
          <w:sz w:val="18"/>
          <w:szCs w:val="18"/>
          <w:color w:val="0088A6"/>
        </w:rPr>
      </w:pPr>
      <w:r>
        <w:rPr>
          <w:rFonts w:ascii="Arial" w:cs="Arial" w:eastAsia="Arial" w:hAnsi="Arial"/>
          <w:sz w:val="18"/>
          <w:szCs w:val="18"/>
          <w:color w:val="auto"/>
        </w:rPr>
        <w:t>Mr. Jochumsen’s strategic objectives related to: Transaction Services Nordic financial results; and Global Data Products financial results.</w:t>
      </w:r>
    </w:p>
    <w:p>
      <w:pPr>
        <w:spacing w:after="0" w:line="60" w:lineRule="exact"/>
        <w:rPr>
          <w:rFonts w:ascii="Arial" w:cs="Arial" w:eastAsia="Arial" w:hAnsi="Arial"/>
          <w:sz w:val="18"/>
          <w:szCs w:val="18"/>
          <w:color w:val="0088A6"/>
        </w:rPr>
      </w:pPr>
    </w:p>
    <w:p>
      <w:pPr>
        <w:ind w:left="900" w:right="440" w:hanging="446"/>
        <w:spacing w:after="0" w:line="239" w:lineRule="auto"/>
        <w:tabs>
          <w:tab w:leader="none" w:pos="900" w:val="left"/>
        </w:tabs>
        <w:numPr>
          <w:ilvl w:val="0"/>
          <w:numId w:val="43"/>
        </w:numPr>
        <w:rPr>
          <w:rFonts w:ascii="Arial" w:cs="Arial" w:eastAsia="Arial" w:hAnsi="Arial"/>
          <w:sz w:val="18"/>
          <w:szCs w:val="18"/>
          <w:color w:val="0088A6"/>
        </w:rPr>
      </w:pPr>
      <w:r>
        <w:rPr>
          <w:rFonts w:ascii="Arial" w:cs="Arial" w:eastAsia="Arial" w:hAnsi="Arial"/>
          <w:sz w:val="18"/>
          <w:szCs w:val="18"/>
          <w:color w:val="auto"/>
        </w:rPr>
        <w:t>Mr. Noll’s strategic objectives related to: Transaction Services U.S. financial results and strategic goals; and a NASDAQ OMX NLX Limited strategic goal.</w:t>
      </w:r>
    </w:p>
    <w:p>
      <w:pPr>
        <w:spacing w:after="0" w:line="1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BES is conducted at the end of each year by Towers Watson, a national human resources consulting firm. The survey compiles feedback from employees on a wide range of issues that impact the company’s effectiveness as an organization. Management uses the BES on an annual basis to assess past decisions and provide an opportunity for employees to voice their views on how management is doing and how improvements to the organization can be made. This goal is measured on a sliding scale of 1 to 100 based on survey goals. A score of less than 50 resulted in 0% payout, a score of 67 to 72 resulted in a 100% payout and a score of 90 or higher resulted in a 200% payout.</w:t>
      </w:r>
    </w:p>
    <w:p>
      <w:pPr>
        <w:spacing w:after="0" w:line="11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The management compensation committee and board of directors set the targets for each of the goals at levels where the maximum payout would be difficult to achieve and beyond budget assumptions. The following table shows each named executive officer’s performance objectives for 2012 and the relative weighting of these objectives.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160" w:type="dxa"/>
            <w:vAlign w:val="bottom"/>
            <w:tcBorders>
              <w:left w:val="single" w:sz="8" w:color="BFBFBF"/>
              <w:right w:val="single" w:sz="8" w:color="BFBFBF"/>
            </w:tcBorders>
            <w:vMerge w:val="restart"/>
            <w:shd w:val="clear" w:color="auto" w:fill="0088A6"/>
          </w:tcPr>
          <w:p>
            <w:pPr>
              <w:ind w:left="900"/>
              <w:spacing w:after="0"/>
              <w:rPr>
                <w:sz w:val="20"/>
                <w:szCs w:val="20"/>
                <w:color w:val="auto"/>
              </w:rPr>
            </w:pPr>
            <w:r>
              <w:rPr>
                <w:rFonts w:ascii="Arial" w:cs="Arial" w:eastAsia="Arial" w:hAnsi="Arial"/>
                <w:sz w:val="18"/>
                <w:szCs w:val="18"/>
                <w:b w:val="1"/>
                <w:bCs w:val="1"/>
                <w:color w:val="FFFFFF"/>
              </w:rPr>
              <w:t>Named Executive</w:t>
            </w:r>
          </w:p>
        </w:tc>
        <w:tc>
          <w:tcPr>
            <w:tcW w:w="80" w:type="dxa"/>
            <w:vAlign w:val="bottom"/>
            <w:shd w:val="clear" w:color="auto" w:fill="0088A6"/>
          </w:tcPr>
          <w:p>
            <w:pPr>
              <w:spacing w:after="0"/>
              <w:rPr>
                <w:sz w:val="18"/>
                <w:szCs w:val="18"/>
                <w:color w:val="auto"/>
              </w:rPr>
            </w:pPr>
          </w:p>
        </w:tc>
        <w:tc>
          <w:tcPr>
            <w:tcW w:w="320" w:type="dxa"/>
            <w:vAlign w:val="bottom"/>
            <w:shd w:val="clear" w:color="auto" w:fill="0088A6"/>
          </w:tcPr>
          <w:p>
            <w:pPr>
              <w:spacing w:after="0"/>
              <w:rPr>
                <w:sz w:val="18"/>
                <w:szCs w:val="18"/>
                <w:color w:val="auto"/>
              </w:rPr>
            </w:pPr>
          </w:p>
        </w:tc>
        <w:tc>
          <w:tcPr>
            <w:tcW w:w="2000" w:type="dxa"/>
            <w:vAlign w:val="bottom"/>
            <w:tcBorders>
              <w:right w:val="single" w:sz="8" w:color="BFBFBF"/>
            </w:tcBorders>
            <w:gridSpan w:val="2"/>
            <w:shd w:val="clear" w:color="auto" w:fill="0088A6"/>
          </w:tcPr>
          <w:p>
            <w:pPr>
              <w:jc w:val="right"/>
              <w:ind w:right="1020"/>
              <w:spacing w:after="0"/>
              <w:rPr>
                <w:sz w:val="20"/>
                <w:szCs w:val="20"/>
                <w:color w:val="auto"/>
              </w:rPr>
            </w:pPr>
            <w:r>
              <w:rPr>
                <w:rFonts w:ascii="Arial" w:cs="Arial" w:eastAsia="Arial" w:hAnsi="Arial"/>
                <w:sz w:val="18"/>
                <w:szCs w:val="18"/>
                <w:b w:val="1"/>
                <w:bCs w:val="1"/>
                <w:color w:val="FFFFFF"/>
              </w:rPr>
              <w:t>Target</w:t>
            </w:r>
          </w:p>
        </w:tc>
        <w:tc>
          <w:tcPr>
            <w:tcW w:w="160" w:type="dxa"/>
            <w:vAlign w:val="bottom"/>
            <w:shd w:val="clear" w:color="auto" w:fill="0088A6"/>
          </w:tcPr>
          <w:p>
            <w:pPr>
              <w:spacing w:after="0"/>
              <w:rPr>
                <w:sz w:val="18"/>
                <w:szCs w:val="18"/>
                <w:color w:val="auto"/>
              </w:rPr>
            </w:pPr>
          </w:p>
        </w:tc>
        <w:tc>
          <w:tcPr>
            <w:tcW w:w="1280" w:type="dxa"/>
            <w:vAlign w:val="bottom"/>
            <w:shd w:val="clear" w:color="auto" w:fill="0088A6"/>
          </w:tcPr>
          <w:p>
            <w:pPr>
              <w:spacing w:after="0"/>
              <w:rPr>
                <w:sz w:val="18"/>
                <w:szCs w:val="18"/>
                <w:color w:val="auto"/>
              </w:rPr>
            </w:pPr>
          </w:p>
        </w:tc>
        <w:tc>
          <w:tcPr>
            <w:tcW w:w="220" w:type="dxa"/>
            <w:vAlign w:val="bottom"/>
            <w:tcBorders>
              <w:right w:val="single" w:sz="8" w:color="0088A6"/>
            </w:tcBorders>
            <w:shd w:val="clear" w:color="auto" w:fill="0088A6"/>
          </w:tcPr>
          <w:p>
            <w:pPr>
              <w:spacing w:after="0"/>
              <w:rPr>
                <w:sz w:val="18"/>
                <w:szCs w:val="18"/>
                <w:color w:val="auto"/>
              </w:rPr>
            </w:pPr>
          </w:p>
        </w:tc>
        <w:tc>
          <w:tcPr>
            <w:tcW w:w="140" w:type="dxa"/>
            <w:vAlign w:val="bottom"/>
            <w:shd w:val="clear" w:color="auto" w:fill="0088A6"/>
          </w:tcPr>
          <w:p>
            <w:pPr>
              <w:spacing w:after="0"/>
              <w:rPr>
                <w:sz w:val="18"/>
                <w:szCs w:val="18"/>
                <w:color w:val="auto"/>
              </w:rPr>
            </w:pPr>
          </w:p>
        </w:tc>
        <w:tc>
          <w:tcPr>
            <w:tcW w:w="200" w:type="dxa"/>
            <w:vAlign w:val="bottom"/>
            <w:shd w:val="clear" w:color="auto" w:fill="0088A6"/>
          </w:tcPr>
          <w:p>
            <w:pPr>
              <w:spacing w:after="0"/>
              <w:rPr>
                <w:sz w:val="18"/>
                <w:szCs w:val="18"/>
                <w:color w:val="auto"/>
              </w:rPr>
            </w:pPr>
          </w:p>
        </w:tc>
        <w:tc>
          <w:tcPr>
            <w:tcW w:w="940" w:type="dxa"/>
            <w:vAlign w:val="bottom"/>
            <w:shd w:val="clear" w:color="auto" w:fill="0088A6"/>
          </w:tcPr>
          <w:p>
            <w:pPr>
              <w:spacing w:after="0"/>
              <w:rPr>
                <w:sz w:val="18"/>
                <w:szCs w:val="18"/>
                <w:color w:val="auto"/>
              </w:rPr>
            </w:pPr>
          </w:p>
        </w:tc>
        <w:tc>
          <w:tcPr>
            <w:tcW w:w="220" w:type="dxa"/>
            <w:vAlign w:val="bottom"/>
            <w:tcBorders>
              <w:right w:val="single" w:sz="8" w:color="BFBFBF"/>
            </w:tcBorders>
            <w:shd w:val="clear" w:color="auto" w:fill="0088A6"/>
          </w:tcPr>
          <w:p>
            <w:pPr>
              <w:spacing w:after="0"/>
              <w:rPr>
                <w:sz w:val="18"/>
                <w:szCs w:val="18"/>
                <w:color w:val="auto"/>
              </w:rPr>
            </w:pPr>
          </w:p>
        </w:tc>
        <w:tc>
          <w:tcPr>
            <w:tcW w:w="140" w:type="dxa"/>
            <w:vAlign w:val="bottom"/>
            <w:shd w:val="clear" w:color="auto" w:fill="0088A6"/>
          </w:tcPr>
          <w:p>
            <w:pPr>
              <w:spacing w:after="0"/>
              <w:rPr>
                <w:sz w:val="18"/>
                <w:szCs w:val="18"/>
                <w:color w:val="auto"/>
              </w:rPr>
            </w:pPr>
          </w:p>
        </w:tc>
        <w:tc>
          <w:tcPr>
            <w:tcW w:w="1400" w:type="dxa"/>
            <w:vAlign w:val="bottom"/>
            <w:tcBorders>
              <w:right w:val="single" w:sz="8" w:color="BFBFBF"/>
            </w:tcBorders>
            <w:gridSpan w:val="2"/>
            <w:shd w:val="clear" w:color="auto" w:fill="0088A6"/>
          </w:tcPr>
          <w:p>
            <w:pPr>
              <w:jc w:val="center"/>
              <w:ind w:right="220"/>
              <w:spacing w:after="0"/>
              <w:rPr>
                <w:sz w:val="20"/>
                <w:szCs w:val="20"/>
                <w:color w:val="auto"/>
              </w:rPr>
            </w:pPr>
            <w:r>
              <w:rPr>
                <w:rFonts w:ascii="Arial" w:cs="Arial" w:eastAsia="Arial" w:hAnsi="Arial"/>
                <w:sz w:val="18"/>
                <w:szCs w:val="18"/>
                <w:b w:val="1"/>
                <w:bCs w:val="1"/>
                <w:color w:val="FFFFFF"/>
                <w:w w:val="98"/>
              </w:rPr>
              <w:t>Business Unit</w:t>
            </w:r>
          </w:p>
        </w:tc>
        <w:tc>
          <w:tcPr>
            <w:tcW w:w="180" w:type="dxa"/>
            <w:vAlign w:val="bottom"/>
            <w:shd w:val="clear" w:color="auto" w:fill="0088A6"/>
          </w:tcPr>
          <w:p>
            <w:pPr>
              <w:spacing w:after="0"/>
              <w:rPr>
                <w:sz w:val="18"/>
                <w:szCs w:val="18"/>
                <w:color w:val="auto"/>
              </w:rPr>
            </w:pPr>
          </w:p>
        </w:tc>
        <w:tc>
          <w:tcPr>
            <w:tcW w:w="760" w:type="dxa"/>
            <w:vAlign w:val="bottom"/>
            <w:shd w:val="clear" w:color="auto" w:fill="0088A6"/>
          </w:tcPr>
          <w:p>
            <w:pPr>
              <w:spacing w:after="0"/>
              <w:rPr>
                <w:sz w:val="18"/>
                <w:szCs w:val="18"/>
                <w:color w:val="auto"/>
              </w:rPr>
            </w:pPr>
          </w:p>
        </w:tc>
        <w:tc>
          <w:tcPr>
            <w:tcW w:w="240" w:type="dxa"/>
            <w:vAlign w:val="bottom"/>
            <w:tcBorders>
              <w:right w:val="single" w:sz="8" w:color="BFBFBF"/>
            </w:tcBorders>
            <w:shd w:val="clear" w:color="auto" w:fill="0088A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60" w:type="dxa"/>
            <w:vAlign w:val="bottom"/>
            <w:tcBorders>
              <w:left w:val="single" w:sz="8" w:color="BFBFBF"/>
              <w:right w:val="single" w:sz="8" w:color="BFBFBF"/>
            </w:tcBorders>
            <w:vMerge w:val="continue"/>
            <w:shd w:val="clear" w:color="auto" w:fill="0088A6"/>
          </w:tcPr>
          <w:p>
            <w:pPr>
              <w:spacing w:after="0"/>
              <w:rPr>
                <w:sz w:val="16"/>
                <w:szCs w:val="16"/>
                <w:color w:val="auto"/>
              </w:rPr>
            </w:pPr>
          </w:p>
        </w:tc>
        <w:tc>
          <w:tcPr>
            <w:tcW w:w="80" w:type="dxa"/>
            <w:vAlign w:val="bottom"/>
            <w:shd w:val="clear" w:color="auto" w:fill="0088A6"/>
          </w:tcPr>
          <w:p>
            <w:pPr>
              <w:spacing w:after="0"/>
              <w:rPr>
                <w:sz w:val="16"/>
                <w:szCs w:val="16"/>
                <w:color w:val="auto"/>
              </w:rPr>
            </w:pPr>
          </w:p>
        </w:tc>
        <w:tc>
          <w:tcPr>
            <w:tcW w:w="2320" w:type="dxa"/>
            <w:vAlign w:val="bottom"/>
            <w:tcBorders>
              <w:right w:val="single" w:sz="8" w:color="BFBFBF"/>
            </w:tcBorders>
            <w:gridSpan w:val="3"/>
            <w:shd w:val="clear" w:color="auto" w:fill="0088A6"/>
          </w:tcPr>
          <w:p>
            <w:pPr>
              <w:ind w:left="20"/>
              <w:spacing w:after="0" w:line="189" w:lineRule="exact"/>
              <w:rPr>
                <w:sz w:val="20"/>
                <w:szCs w:val="20"/>
                <w:color w:val="auto"/>
              </w:rPr>
            </w:pPr>
            <w:r>
              <w:rPr>
                <w:rFonts w:ascii="Arial" w:cs="Arial" w:eastAsia="Arial" w:hAnsi="Arial"/>
                <w:sz w:val="18"/>
                <w:szCs w:val="18"/>
                <w:b w:val="1"/>
                <w:bCs w:val="1"/>
                <w:color w:val="FFFFFF"/>
              </w:rPr>
              <w:t>Incentive Compensation</w:t>
            </w:r>
          </w:p>
        </w:tc>
        <w:tc>
          <w:tcPr>
            <w:tcW w:w="160" w:type="dxa"/>
            <w:vAlign w:val="bottom"/>
            <w:shd w:val="clear" w:color="auto" w:fill="0088A6"/>
          </w:tcPr>
          <w:p>
            <w:pPr>
              <w:spacing w:after="0"/>
              <w:rPr>
                <w:sz w:val="16"/>
                <w:szCs w:val="16"/>
                <w:color w:val="auto"/>
              </w:rPr>
            </w:pPr>
          </w:p>
        </w:tc>
        <w:tc>
          <w:tcPr>
            <w:tcW w:w="1840" w:type="dxa"/>
            <w:vAlign w:val="bottom"/>
            <w:gridSpan w:val="4"/>
            <w:shd w:val="clear" w:color="auto" w:fill="0088A6"/>
          </w:tcPr>
          <w:p>
            <w:pPr>
              <w:ind w:left="980"/>
              <w:spacing w:after="0" w:line="189" w:lineRule="exact"/>
              <w:rPr>
                <w:sz w:val="20"/>
                <w:szCs w:val="20"/>
                <w:color w:val="auto"/>
              </w:rPr>
            </w:pPr>
            <w:r>
              <w:rPr>
                <w:rFonts w:ascii="Arial" w:cs="Arial" w:eastAsia="Arial" w:hAnsi="Arial"/>
                <w:sz w:val="18"/>
                <w:szCs w:val="18"/>
                <w:b w:val="1"/>
                <w:bCs w:val="1"/>
                <w:color w:val="FFFFFF"/>
                <w:w w:val="97"/>
              </w:rPr>
              <w:t>Corporate</w:t>
            </w:r>
          </w:p>
        </w:tc>
        <w:tc>
          <w:tcPr>
            <w:tcW w:w="940" w:type="dxa"/>
            <w:vAlign w:val="bottom"/>
            <w:shd w:val="clear" w:color="auto" w:fill="0088A6"/>
          </w:tcPr>
          <w:p>
            <w:pPr>
              <w:spacing w:after="0"/>
              <w:rPr>
                <w:sz w:val="16"/>
                <w:szCs w:val="16"/>
                <w:color w:val="auto"/>
              </w:rPr>
            </w:pPr>
          </w:p>
        </w:tc>
        <w:tc>
          <w:tcPr>
            <w:tcW w:w="220" w:type="dxa"/>
            <w:vAlign w:val="bottom"/>
            <w:tcBorders>
              <w:right w:val="single" w:sz="8" w:color="BFBFBF"/>
            </w:tcBorders>
            <w:shd w:val="clear" w:color="auto" w:fill="0088A6"/>
          </w:tcPr>
          <w:p>
            <w:pPr>
              <w:spacing w:after="0"/>
              <w:rPr>
                <w:sz w:val="16"/>
                <w:szCs w:val="16"/>
                <w:color w:val="auto"/>
              </w:rPr>
            </w:pPr>
          </w:p>
        </w:tc>
        <w:tc>
          <w:tcPr>
            <w:tcW w:w="140" w:type="dxa"/>
            <w:vAlign w:val="bottom"/>
            <w:shd w:val="clear" w:color="auto" w:fill="0088A6"/>
          </w:tcPr>
          <w:p>
            <w:pPr>
              <w:spacing w:after="0"/>
              <w:rPr>
                <w:sz w:val="16"/>
                <w:szCs w:val="16"/>
                <w:color w:val="auto"/>
              </w:rPr>
            </w:pPr>
          </w:p>
        </w:tc>
        <w:tc>
          <w:tcPr>
            <w:tcW w:w="1400" w:type="dxa"/>
            <w:vAlign w:val="bottom"/>
            <w:tcBorders>
              <w:right w:val="single" w:sz="8" w:color="BFBFBF"/>
            </w:tcBorders>
            <w:gridSpan w:val="2"/>
            <w:shd w:val="clear" w:color="auto" w:fill="0088A6"/>
          </w:tcPr>
          <w:p>
            <w:pPr>
              <w:jc w:val="center"/>
              <w:ind w:right="200"/>
              <w:spacing w:after="0" w:line="189" w:lineRule="exact"/>
              <w:rPr>
                <w:sz w:val="20"/>
                <w:szCs w:val="20"/>
                <w:color w:val="auto"/>
              </w:rPr>
            </w:pPr>
            <w:r>
              <w:rPr>
                <w:rFonts w:ascii="Arial" w:cs="Arial" w:eastAsia="Arial" w:hAnsi="Arial"/>
                <w:sz w:val="18"/>
                <w:szCs w:val="18"/>
                <w:b w:val="1"/>
                <w:bCs w:val="1"/>
                <w:color w:val="FFFFFF"/>
                <w:w w:val="98"/>
              </w:rPr>
              <w:t>Strategic</w:t>
            </w:r>
          </w:p>
        </w:tc>
        <w:tc>
          <w:tcPr>
            <w:tcW w:w="180" w:type="dxa"/>
            <w:vAlign w:val="bottom"/>
            <w:shd w:val="clear" w:color="auto" w:fill="0088A6"/>
          </w:tcPr>
          <w:p>
            <w:pPr>
              <w:spacing w:after="0"/>
              <w:rPr>
                <w:sz w:val="16"/>
                <w:szCs w:val="16"/>
                <w:color w:val="auto"/>
              </w:rPr>
            </w:pPr>
          </w:p>
        </w:tc>
        <w:tc>
          <w:tcPr>
            <w:tcW w:w="760" w:type="dxa"/>
            <w:vAlign w:val="bottom"/>
            <w:shd w:val="clear" w:color="auto" w:fill="0088A6"/>
          </w:tcPr>
          <w:p>
            <w:pPr>
              <w:spacing w:after="0"/>
              <w:rPr>
                <w:sz w:val="16"/>
                <w:szCs w:val="16"/>
                <w:color w:val="auto"/>
              </w:rPr>
            </w:pPr>
          </w:p>
        </w:tc>
        <w:tc>
          <w:tcPr>
            <w:tcW w:w="240" w:type="dxa"/>
            <w:vAlign w:val="bottom"/>
            <w:tcBorders>
              <w:right w:val="single" w:sz="8" w:color="BFBFBF"/>
            </w:tcBorders>
            <w:shd w:val="clear" w:color="auto" w:fill="0088A6"/>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160" w:type="dxa"/>
            <w:vAlign w:val="bottom"/>
            <w:tcBorders>
              <w:left w:val="single" w:sz="8" w:color="BFBFBF"/>
              <w:right w:val="single" w:sz="8" w:color="BFBFBF"/>
            </w:tcBorders>
            <w:shd w:val="clear" w:color="auto" w:fill="0088A6"/>
          </w:tcPr>
          <w:p>
            <w:pPr>
              <w:ind w:left="1360"/>
              <w:spacing w:after="0"/>
              <w:rPr>
                <w:sz w:val="20"/>
                <w:szCs w:val="20"/>
                <w:color w:val="auto"/>
              </w:rPr>
            </w:pPr>
            <w:r>
              <w:rPr>
                <w:rFonts w:ascii="Arial" w:cs="Arial" w:eastAsia="Arial" w:hAnsi="Arial"/>
                <w:sz w:val="18"/>
                <w:szCs w:val="18"/>
                <w:b w:val="1"/>
                <w:bCs w:val="1"/>
                <w:color w:val="FFFFFF"/>
              </w:rPr>
              <w:t>Officer</w:t>
            </w:r>
          </w:p>
        </w:tc>
        <w:tc>
          <w:tcPr>
            <w:tcW w:w="80" w:type="dxa"/>
            <w:vAlign w:val="bottom"/>
            <w:shd w:val="clear" w:color="auto" w:fill="0088A6"/>
          </w:tcPr>
          <w:p>
            <w:pPr>
              <w:spacing w:after="0"/>
              <w:rPr>
                <w:sz w:val="22"/>
                <w:szCs w:val="22"/>
                <w:color w:val="auto"/>
              </w:rPr>
            </w:pPr>
          </w:p>
        </w:tc>
        <w:tc>
          <w:tcPr>
            <w:tcW w:w="320" w:type="dxa"/>
            <w:vAlign w:val="bottom"/>
            <w:shd w:val="clear" w:color="auto" w:fill="0088A6"/>
          </w:tcPr>
          <w:p>
            <w:pPr>
              <w:spacing w:after="0"/>
              <w:rPr>
                <w:sz w:val="22"/>
                <w:szCs w:val="22"/>
                <w:color w:val="auto"/>
              </w:rPr>
            </w:pPr>
          </w:p>
        </w:tc>
        <w:tc>
          <w:tcPr>
            <w:tcW w:w="2000" w:type="dxa"/>
            <w:vAlign w:val="bottom"/>
            <w:tcBorders>
              <w:right w:val="single" w:sz="8" w:color="BFBFBF"/>
            </w:tcBorders>
            <w:gridSpan w:val="2"/>
            <w:shd w:val="clear" w:color="auto" w:fill="0088A6"/>
          </w:tcPr>
          <w:p>
            <w:pPr>
              <w:jc w:val="right"/>
              <w:ind w:right="780"/>
              <w:spacing w:after="0"/>
              <w:rPr>
                <w:sz w:val="20"/>
                <w:szCs w:val="20"/>
                <w:color w:val="auto"/>
              </w:rPr>
            </w:pPr>
            <w:r>
              <w:rPr>
                <w:rFonts w:ascii="Arial" w:cs="Arial" w:eastAsia="Arial" w:hAnsi="Arial"/>
                <w:sz w:val="18"/>
                <w:szCs w:val="18"/>
                <w:b w:val="1"/>
                <w:bCs w:val="1"/>
                <w:color w:val="FFFFFF"/>
              </w:rPr>
              <w:t>Opportunity</w:t>
            </w:r>
          </w:p>
        </w:tc>
        <w:tc>
          <w:tcPr>
            <w:tcW w:w="160" w:type="dxa"/>
            <w:vAlign w:val="bottom"/>
            <w:shd w:val="clear" w:color="auto" w:fill="0088A6"/>
          </w:tcPr>
          <w:p>
            <w:pPr>
              <w:spacing w:after="0"/>
              <w:rPr>
                <w:sz w:val="22"/>
                <w:szCs w:val="22"/>
                <w:color w:val="auto"/>
              </w:rPr>
            </w:pPr>
          </w:p>
        </w:tc>
        <w:tc>
          <w:tcPr>
            <w:tcW w:w="1840" w:type="dxa"/>
            <w:vAlign w:val="bottom"/>
            <w:gridSpan w:val="4"/>
            <w:shd w:val="clear" w:color="auto" w:fill="0088A6"/>
          </w:tcPr>
          <w:p>
            <w:pPr>
              <w:ind w:left="940"/>
              <w:spacing w:after="0"/>
              <w:rPr>
                <w:sz w:val="20"/>
                <w:szCs w:val="20"/>
                <w:color w:val="auto"/>
              </w:rPr>
            </w:pPr>
            <w:r>
              <w:rPr>
                <w:rFonts w:ascii="Arial" w:cs="Arial" w:eastAsia="Arial" w:hAnsi="Arial"/>
                <w:sz w:val="18"/>
                <w:szCs w:val="18"/>
                <w:b w:val="1"/>
                <w:bCs w:val="1"/>
                <w:color w:val="FFFFFF"/>
                <w:w w:val="96"/>
              </w:rPr>
              <w:t>Objectives</w:t>
            </w:r>
          </w:p>
        </w:tc>
        <w:tc>
          <w:tcPr>
            <w:tcW w:w="940" w:type="dxa"/>
            <w:vAlign w:val="bottom"/>
            <w:shd w:val="clear" w:color="auto" w:fill="0088A6"/>
          </w:tcPr>
          <w:p>
            <w:pPr>
              <w:spacing w:after="0"/>
              <w:rPr>
                <w:sz w:val="22"/>
                <w:szCs w:val="22"/>
                <w:color w:val="auto"/>
              </w:rPr>
            </w:pPr>
          </w:p>
        </w:tc>
        <w:tc>
          <w:tcPr>
            <w:tcW w:w="220" w:type="dxa"/>
            <w:vAlign w:val="bottom"/>
            <w:tcBorders>
              <w:right w:val="single" w:sz="8" w:color="BFBFBF"/>
            </w:tcBorders>
            <w:shd w:val="clear" w:color="auto" w:fill="0088A6"/>
          </w:tcPr>
          <w:p>
            <w:pPr>
              <w:spacing w:after="0"/>
              <w:rPr>
                <w:sz w:val="22"/>
                <w:szCs w:val="22"/>
                <w:color w:val="auto"/>
              </w:rPr>
            </w:pPr>
          </w:p>
        </w:tc>
        <w:tc>
          <w:tcPr>
            <w:tcW w:w="140" w:type="dxa"/>
            <w:vAlign w:val="bottom"/>
            <w:shd w:val="clear" w:color="auto" w:fill="0088A6"/>
          </w:tcPr>
          <w:p>
            <w:pPr>
              <w:spacing w:after="0"/>
              <w:rPr>
                <w:sz w:val="22"/>
                <w:szCs w:val="22"/>
                <w:color w:val="auto"/>
              </w:rPr>
            </w:pPr>
          </w:p>
        </w:tc>
        <w:tc>
          <w:tcPr>
            <w:tcW w:w="1400" w:type="dxa"/>
            <w:vAlign w:val="bottom"/>
            <w:tcBorders>
              <w:right w:val="single" w:sz="8" w:color="BFBFBF"/>
            </w:tcBorders>
            <w:gridSpan w:val="2"/>
            <w:shd w:val="clear" w:color="auto" w:fill="0088A6"/>
          </w:tcPr>
          <w:p>
            <w:pPr>
              <w:jc w:val="center"/>
              <w:ind w:right="200"/>
              <w:spacing w:after="0"/>
              <w:rPr>
                <w:sz w:val="20"/>
                <w:szCs w:val="20"/>
                <w:color w:val="auto"/>
              </w:rPr>
            </w:pPr>
            <w:r>
              <w:rPr>
                <w:rFonts w:ascii="Arial" w:cs="Arial" w:eastAsia="Arial" w:hAnsi="Arial"/>
                <w:sz w:val="18"/>
                <w:szCs w:val="18"/>
                <w:b w:val="1"/>
                <w:bCs w:val="1"/>
                <w:color w:val="FFFFFF"/>
                <w:w w:val="96"/>
              </w:rPr>
              <w:t>Objectives</w:t>
            </w:r>
          </w:p>
        </w:tc>
        <w:tc>
          <w:tcPr>
            <w:tcW w:w="180" w:type="dxa"/>
            <w:vAlign w:val="bottom"/>
            <w:shd w:val="clear" w:color="auto" w:fill="0088A6"/>
          </w:tcPr>
          <w:p>
            <w:pPr>
              <w:spacing w:after="0"/>
              <w:rPr>
                <w:sz w:val="22"/>
                <w:szCs w:val="22"/>
                <w:color w:val="auto"/>
              </w:rPr>
            </w:pPr>
          </w:p>
        </w:tc>
        <w:tc>
          <w:tcPr>
            <w:tcW w:w="1000" w:type="dxa"/>
            <w:vAlign w:val="bottom"/>
            <w:tcBorders>
              <w:right w:val="single" w:sz="8" w:color="BFBFBF"/>
            </w:tcBorders>
            <w:gridSpan w:val="2"/>
            <w:shd w:val="clear" w:color="auto" w:fill="0088A6"/>
          </w:tcPr>
          <w:p>
            <w:pPr>
              <w:jc w:val="right"/>
              <w:ind w:right="440"/>
              <w:spacing w:after="0"/>
              <w:rPr>
                <w:sz w:val="20"/>
                <w:szCs w:val="20"/>
                <w:color w:val="auto"/>
              </w:rPr>
            </w:pPr>
            <w:r>
              <w:rPr>
                <w:rFonts w:ascii="Arial" w:cs="Arial" w:eastAsia="Arial" w:hAnsi="Arial"/>
                <w:sz w:val="18"/>
                <w:szCs w:val="18"/>
                <w:b w:val="1"/>
                <w:bCs w:val="1"/>
                <w:color w:val="FFFFFF"/>
              </w:rPr>
              <w:t>BES</w:t>
            </w:r>
          </w:p>
        </w:tc>
        <w:tc>
          <w:tcPr>
            <w:tcW w:w="0" w:type="dxa"/>
            <w:vAlign w:val="bottom"/>
          </w:tcPr>
          <w:p>
            <w:pPr>
              <w:spacing w:after="0"/>
              <w:rPr>
                <w:sz w:val="1"/>
                <w:szCs w:val="1"/>
                <w:color w:val="auto"/>
              </w:rPr>
            </w:pPr>
          </w:p>
        </w:tc>
      </w:tr>
      <w:tr>
        <w:trPr>
          <w:trHeight w:val="184"/>
        </w:trPr>
        <w:tc>
          <w:tcPr>
            <w:tcW w:w="3160" w:type="dxa"/>
            <w:vAlign w:val="bottom"/>
            <w:tcBorders>
              <w:top w:val="single" w:sz="8" w:color="auto"/>
              <w:left w:val="single" w:sz="8" w:color="BFBFBF"/>
              <w:right w:val="single" w:sz="8" w:color="BFBFBF"/>
            </w:tcBorders>
            <w:shd w:val="clear" w:color="auto" w:fill="0088A6"/>
          </w:tcPr>
          <w:p>
            <w:pPr>
              <w:spacing w:after="0"/>
              <w:rPr>
                <w:sz w:val="16"/>
                <w:szCs w:val="16"/>
                <w:color w:val="auto"/>
              </w:rPr>
            </w:pPr>
          </w:p>
        </w:tc>
        <w:tc>
          <w:tcPr>
            <w:tcW w:w="80" w:type="dxa"/>
            <w:vAlign w:val="bottom"/>
            <w:tcBorders>
              <w:top w:val="single" w:sz="8" w:color="0088A6"/>
            </w:tcBorders>
            <w:shd w:val="clear" w:color="auto" w:fill="0088A6"/>
          </w:tcPr>
          <w:p>
            <w:pPr>
              <w:spacing w:after="0"/>
              <w:rPr>
                <w:sz w:val="16"/>
                <w:szCs w:val="16"/>
                <w:color w:val="auto"/>
              </w:rPr>
            </w:pPr>
          </w:p>
        </w:tc>
        <w:tc>
          <w:tcPr>
            <w:tcW w:w="320" w:type="dxa"/>
            <w:vAlign w:val="bottom"/>
            <w:tcBorders>
              <w:top w:val="single" w:sz="8" w:color="auto"/>
            </w:tcBorders>
            <w:shd w:val="clear" w:color="auto" w:fill="0088A6"/>
          </w:tcPr>
          <w:p>
            <w:pPr>
              <w:spacing w:after="0"/>
              <w:rPr>
                <w:sz w:val="16"/>
                <w:szCs w:val="16"/>
                <w:color w:val="auto"/>
              </w:rPr>
            </w:pPr>
          </w:p>
        </w:tc>
        <w:tc>
          <w:tcPr>
            <w:tcW w:w="1720" w:type="dxa"/>
            <w:vAlign w:val="bottom"/>
            <w:tcBorders>
              <w:top w:val="single" w:sz="8" w:color="auto"/>
            </w:tcBorders>
            <w:shd w:val="clear" w:color="auto" w:fill="0088A6"/>
          </w:tcPr>
          <w:p>
            <w:pPr>
              <w:spacing w:after="0"/>
              <w:rPr>
                <w:sz w:val="16"/>
                <w:szCs w:val="16"/>
                <w:color w:val="auto"/>
              </w:rPr>
            </w:pPr>
          </w:p>
        </w:tc>
        <w:tc>
          <w:tcPr>
            <w:tcW w:w="280" w:type="dxa"/>
            <w:vAlign w:val="bottom"/>
            <w:tcBorders>
              <w:top w:val="single" w:sz="8" w:color="0088A6"/>
              <w:right w:val="single" w:sz="8" w:color="BFBFBF"/>
            </w:tcBorders>
            <w:shd w:val="clear" w:color="auto" w:fill="0088A6"/>
          </w:tcPr>
          <w:p>
            <w:pPr>
              <w:spacing w:after="0"/>
              <w:rPr>
                <w:sz w:val="16"/>
                <w:szCs w:val="16"/>
                <w:color w:val="auto"/>
              </w:rPr>
            </w:pPr>
          </w:p>
        </w:tc>
        <w:tc>
          <w:tcPr>
            <w:tcW w:w="160" w:type="dxa"/>
            <w:vAlign w:val="bottom"/>
            <w:tcBorders>
              <w:top w:val="single" w:sz="8" w:color="0088A6"/>
            </w:tcBorders>
            <w:shd w:val="clear" w:color="auto" w:fill="0088A6"/>
          </w:tcPr>
          <w:p>
            <w:pPr>
              <w:spacing w:after="0"/>
              <w:rPr>
                <w:sz w:val="16"/>
                <w:szCs w:val="16"/>
                <w:color w:val="auto"/>
              </w:rPr>
            </w:pPr>
          </w:p>
        </w:tc>
        <w:tc>
          <w:tcPr>
            <w:tcW w:w="1500" w:type="dxa"/>
            <w:vAlign w:val="bottom"/>
            <w:tcBorders>
              <w:top w:val="single" w:sz="8" w:color="auto"/>
              <w:right w:val="single" w:sz="8" w:color="BFBFBF"/>
            </w:tcBorders>
            <w:gridSpan w:val="2"/>
            <w:shd w:val="clear" w:color="auto" w:fill="0088A6"/>
          </w:tcPr>
          <w:p>
            <w:pPr>
              <w:jc w:val="center"/>
              <w:ind w:right="260"/>
              <w:spacing w:after="0" w:line="184" w:lineRule="exact"/>
              <w:rPr>
                <w:sz w:val="20"/>
                <w:szCs w:val="20"/>
                <w:color w:val="auto"/>
              </w:rPr>
            </w:pPr>
            <w:r>
              <w:rPr>
                <w:rFonts w:ascii="Arial" w:cs="Arial" w:eastAsia="Arial" w:hAnsi="Arial"/>
                <w:sz w:val="18"/>
                <w:szCs w:val="18"/>
                <w:b w:val="1"/>
                <w:bCs w:val="1"/>
                <w:color w:val="FFFFFF"/>
                <w:w w:val="98"/>
              </w:rPr>
              <w:t>Operating</w:t>
            </w:r>
          </w:p>
        </w:tc>
        <w:tc>
          <w:tcPr>
            <w:tcW w:w="140" w:type="dxa"/>
            <w:vAlign w:val="bottom"/>
            <w:tcBorders>
              <w:top w:val="single" w:sz="8" w:color="auto"/>
            </w:tcBorders>
            <w:shd w:val="clear" w:color="auto" w:fill="0088A6"/>
          </w:tcPr>
          <w:p>
            <w:pPr>
              <w:spacing w:after="0"/>
              <w:rPr>
                <w:sz w:val="16"/>
                <w:szCs w:val="16"/>
                <w:color w:val="auto"/>
              </w:rPr>
            </w:pPr>
          </w:p>
        </w:tc>
        <w:tc>
          <w:tcPr>
            <w:tcW w:w="200" w:type="dxa"/>
            <w:vAlign w:val="bottom"/>
            <w:tcBorders>
              <w:top w:val="single" w:sz="8" w:color="auto"/>
            </w:tcBorders>
            <w:shd w:val="clear" w:color="auto" w:fill="0088A6"/>
          </w:tcPr>
          <w:p>
            <w:pPr>
              <w:spacing w:after="0"/>
              <w:rPr>
                <w:sz w:val="16"/>
                <w:szCs w:val="16"/>
                <w:color w:val="auto"/>
              </w:rPr>
            </w:pPr>
          </w:p>
        </w:tc>
        <w:tc>
          <w:tcPr>
            <w:tcW w:w="940" w:type="dxa"/>
            <w:vAlign w:val="bottom"/>
            <w:tcBorders>
              <w:top w:val="single" w:sz="8" w:color="auto"/>
            </w:tcBorders>
            <w:shd w:val="clear" w:color="auto" w:fill="0088A6"/>
          </w:tcPr>
          <w:p>
            <w:pPr>
              <w:spacing w:after="0"/>
              <w:rPr>
                <w:sz w:val="16"/>
                <w:szCs w:val="16"/>
                <w:color w:val="auto"/>
              </w:rPr>
            </w:pPr>
          </w:p>
        </w:tc>
        <w:tc>
          <w:tcPr>
            <w:tcW w:w="220" w:type="dxa"/>
            <w:vAlign w:val="bottom"/>
            <w:tcBorders>
              <w:top w:val="single" w:sz="8" w:color="0088A6"/>
              <w:right w:val="single" w:sz="8" w:color="BFBFBF"/>
            </w:tcBorders>
            <w:shd w:val="clear" w:color="auto" w:fill="0088A6"/>
          </w:tcPr>
          <w:p>
            <w:pPr>
              <w:spacing w:after="0"/>
              <w:rPr>
                <w:sz w:val="16"/>
                <w:szCs w:val="16"/>
                <w:color w:val="auto"/>
              </w:rPr>
            </w:pPr>
          </w:p>
        </w:tc>
        <w:tc>
          <w:tcPr>
            <w:tcW w:w="140" w:type="dxa"/>
            <w:vAlign w:val="bottom"/>
            <w:tcBorders>
              <w:top w:val="single" w:sz="8" w:color="0088A6"/>
            </w:tcBorders>
            <w:shd w:val="clear" w:color="auto" w:fill="0088A6"/>
          </w:tcPr>
          <w:p>
            <w:pPr>
              <w:spacing w:after="0"/>
              <w:rPr>
                <w:sz w:val="16"/>
                <w:szCs w:val="16"/>
                <w:color w:val="auto"/>
              </w:rPr>
            </w:pPr>
          </w:p>
        </w:tc>
        <w:tc>
          <w:tcPr>
            <w:tcW w:w="1180" w:type="dxa"/>
            <w:vAlign w:val="bottom"/>
            <w:tcBorders>
              <w:top w:val="single" w:sz="8" w:color="auto"/>
            </w:tcBorders>
            <w:shd w:val="clear" w:color="auto" w:fill="0088A6"/>
          </w:tcPr>
          <w:p>
            <w:pPr>
              <w:spacing w:after="0"/>
              <w:rPr>
                <w:sz w:val="16"/>
                <w:szCs w:val="16"/>
                <w:color w:val="auto"/>
              </w:rPr>
            </w:pPr>
          </w:p>
        </w:tc>
        <w:tc>
          <w:tcPr>
            <w:tcW w:w="220" w:type="dxa"/>
            <w:vAlign w:val="bottom"/>
            <w:tcBorders>
              <w:top w:val="single" w:sz="8" w:color="0088A6"/>
              <w:right w:val="single" w:sz="8" w:color="BFBFBF"/>
            </w:tcBorders>
            <w:shd w:val="clear" w:color="auto" w:fill="0088A6"/>
          </w:tcPr>
          <w:p>
            <w:pPr>
              <w:spacing w:after="0"/>
              <w:rPr>
                <w:sz w:val="16"/>
                <w:szCs w:val="16"/>
                <w:color w:val="auto"/>
              </w:rPr>
            </w:pPr>
          </w:p>
        </w:tc>
        <w:tc>
          <w:tcPr>
            <w:tcW w:w="180" w:type="dxa"/>
            <w:vAlign w:val="bottom"/>
            <w:tcBorders>
              <w:top w:val="single" w:sz="8" w:color="0088A6"/>
            </w:tcBorders>
            <w:shd w:val="clear" w:color="auto" w:fill="0088A6"/>
          </w:tcPr>
          <w:p>
            <w:pPr>
              <w:spacing w:after="0"/>
              <w:rPr>
                <w:sz w:val="16"/>
                <w:szCs w:val="16"/>
                <w:color w:val="auto"/>
              </w:rPr>
            </w:pPr>
          </w:p>
        </w:tc>
        <w:tc>
          <w:tcPr>
            <w:tcW w:w="760" w:type="dxa"/>
            <w:vAlign w:val="bottom"/>
            <w:tcBorders>
              <w:top w:val="single" w:sz="8" w:color="auto"/>
            </w:tcBorders>
            <w:shd w:val="clear" w:color="auto" w:fill="0088A6"/>
          </w:tcPr>
          <w:p>
            <w:pPr>
              <w:spacing w:after="0"/>
              <w:rPr>
                <w:sz w:val="16"/>
                <w:szCs w:val="16"/>
                <w:color w:val="auto"/>
              </w:rPr>
            </w:pPr>
          </w:p>
        </w:tc>
        <w:tc>
          <w:tcPr>
            <w:tcW w:w="240" w:type="dxa"/>
            <w:vAlign w:val="bottom"/>
            <w:tcBorders>
              <w:top w:val="single" w:sz="8" w:color="0088A6"/>
              <w:right w:val="single" w:sz="8" w:color="BFBFBF"/>
            </w:tcBorders>
            <w:shd w:val="clear" w:color="auto" w:fill="0088A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Borders>
              <w:left w:val="single" w:sz="8" w:color="BFBFBF"/>
              <w:right w:val="single" w:sz="8" w:color="BFBFBF"/>
            </w:tcBorders>
            <w:shd w:val="clear" w:color="auto" w:fill="0088A6"/>
          </w:tcPr>
          <w:p>
            <w:pPr>
              <w:spacing w:after="0"/>
              <w:rPr>
                <w:sz w:val="17"/>
                <w:szCs w:val="17"/>
                <w:color w:val="auto"/>
              </w:rPr>
            </w:pPr>
          </w:p>
        </w:tc>
        <w:tc>
          <w:tcPr>
            <w:tcW w:w="80" w:type="dxa"/>
            <w:vAlign w:val="bottom"/>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1720" w:type="dxa"/>
            <w:vAlign w:val="bottom"/>
            <w:shd w:val="clear" w:color="auto" w:fill="0088A6"/>
          </w:tcPr>
          <w:p>
            <w:pPr>
              <w:spacing w:after="0"/>
              <w:rPr>
                <w:sz w:val="17"/>
                <w:szCs w:val="17"/>
                <w:color w:val="auto"/>
              </w:rPr>
            </w:pPr>
          </w:p>
        </w:tc>
        <w:tc>
          <w:tcPr>
            <w:tcW w:w="280" w:type="dxa"/>
            <w:vAlign w:val="bottom"/>
            <w:tcBorders>
              <w:right w:val="single" w:sz="8" w:color="BFBFBF"/>
            </w:tcBorders>
            <w:shd w:val="clear" w:color="auto" w:fill="0088A6"/>
          </w:tcPr>
          <w:p>
            <w:pPr>
              <w:spacing w:after="0"/>
              <w:rPr>
                <w:sz w:val="17"/>
                <w:szCs w:val="17"/>
                <w:color w:val="auto"/>
              </w:rPr>
            </w:pPr>
          </w:p>
        </w:tc>
        <w:tc>
          <w:tcPr>
            <w:tcW w:w="160" w:type="dxa"/>
            <w:vAlign w:val="bottom"/>
            <w:shd w:val="clear" w:color="auto" w:fill="0088A6"/>
          </w:tcPr>
          <w:p>
            <w:pPr>
              <w:spacing w:after="0"/>
              <w:rPr>
                <w:sz w:val="17"/>
                <w:szCs w:val="17"/>
                <w:color w:val="auto"/>
              </w:rPr>
            </w:pPr>
          </w:p>
        </w:tc>
        <w:tc>
          <w:tcPr>
            <w:tcW w:w="1500" w:type="dxa"/>
            <w:vAlign w:val="bottom"/>
            <w:tcBorders>
              <w:right w:val="single" w:sz="8" w:color="BFBFBF"/>
            </w:tcBorders>
            <w:gridSpan w:val="2"/>
            <w:shd w:val="clear" w:color="auto" w:fill="0088A6"/>
          </w:tcPr>
          <w:p>
            <w:pPr>
              <w:jc w:val="center"/>
              <w:ind w:right="220"/>
              <w:spacing w:after="0" w:line="202" w:lineRule="exact"/>
              <w:rPr>
                <w:sz w:val="20"/>
                <w:szCs w:val="20"/>
                <w:color w:val="auto"/>
              </w:rPr>
            </w:pPr>
            <w:r>
              <w:rPr>
                <w:rFonts w:ascii="Arial" w:cs="Arial" w:eastAsia="Arial" w:hAnsi="Arial"/>
                <w:sz w:val="18"/>
                <w:szCs w:val="18"/>
                <w:b w:val="1"/>
                <w:bCs w:val="1"/>
                <w:color w:val="FFFFFF"/>
                <w:w w:val="95"/>
              </w:rPr>
              <w:t>Income</w:t>
            </w:r>
          </w:p>
        </w:tc>
        <w:tc>
          <w:tcPr>
            <w:tcW w:w="340" w:type="dxa"/>
            <w:vAlign w:val="bottom"/>
            <w:gridSpan w:val="2"/>
            <w:shd w:val="clear" w:color="auto" w:fill="0088A6"/>
          </w:tcPr>
          <w:p>
            <w:pPr>
              <w:spacing w:after="0"/>
              <w:rPr>
                <w:sz w:val="17"/>
                <w:szCs w:val="17"/>
                <w:color w:val="auto"/>
              </w:rPr>
            </w:pPr>
          </w:p>
        </w:tc>
        <w:tc>
          <w:tcPr>
            <w:tcW w:w="940" w:type="dxa"/>
            <w:vAlign w:val="bottom"/>
            <w:shd w:val="clear" w:color="auto" w:fill="0088A6"/>
          </w:tcPr>
          <w:p>
            <w:pPr>
              <w:jc w:val="right"/>
              <w:ind w:right="332"/>
              <w:spacing w:after="0" w:line="202" w:lineRule="exact"/>
              <w:rPr>
                <w:sz w:val="20"/>
                <w:szCs w:val="20"/>
                <w:color w:val="auto"/>
              </w:rPr>
            </w:pPr>
            <w:r>
              <w:rPr>
                <w:rFonts w:ascii="Arial" w:cs="Arial" w:eastAsia="Arial" w:hAnsi="Arial"/>
                <w:sz w:val="18"/>
                <w:szCs w:val="18"/>
                <w:b w:val="1"/>
                <w:bCs w:val="1"/>
                <w:color w:val="FFFFFF"/>
              </w:rPr>
              <w:t>Net</w:t>
            </w:r>
          </w:p>
        </w:tc>
        <w:tc>
          <w:tcPr>
            <w:tcW w:w="220" w:type="dxa"/>
            <w:vAlign w:val="bottom"/>
            <w:tcBorders>
              <w:right w:val="single" w:sz="8" w:color="BFBFBF"/>
            </w:tcBorders>
            <w:shd w:val="clear" w:color="auto" w:fill="0088A6"/>
          </w:tcPr>
          <w:p>
            <w:pPr>
              <w:spacing w:after="0"/>
              <w:rPr>
                <w:sz w:val="17"/>
                <w:szCs w:val="17"/>
                <w:color w:val="auto"/>
              </w:rPr>
            </w:pPr>
          </w:p>
        </w:tc>
        <w:tc>
          <w:tcPr>
            <w:tcW w:w="140" w:type="dxa"/>
            <w:vAlign w:val="bottom"/>
            <w:shd w:val="clear" w:color="auto" w:fill="0088A6"/>
          </w:tcPr>
          <w:p>
            <w:pPr>
              <w:spacing w:after="0"/>
              <w:rPr>
                <w:sz w:val="17"/>
                <w:szCs w:val="17"/>
                <w:color w:val="auto"/>
              </w:rPr>
            </w:pPr>
          </w:p>
        </w:tc>
        <w:tc>
          <w:tcPr>
            <w:tcW w:w="1180" w:type="dxa"/>
            <w:vAlign w:val="bottom"/>
            <w:shd w:val="clear" w:color="auto" w:fill="0088A6"/>
          </w:tcPr>
          <w:p>
            <w:pPr>
              <w:spacing w:after="0"/>
              <w:rPr>
                <w:sz w:val="17"/>
                <w:szCs w:val="17"/>
                <w:color w:val="auto"/>
              </w:rPr>
            </w:pPr>
          </w:p>
        </w:tc>
        <w:tc>
          <w:tcPr>
            <w:tcW w:w="220" w:type="dxa"/>
            <w:vAlign w:val="bottom"/>
            <w:tcBorders>
              <w:right w:val="single" w:sz="8" w:color="BFBFBF"/>
            </w:tcBorders>
            <w:shd w:val="clear" w:color="auto" w:fill="0088A6"/>
          </w:tcPr>
          <w:p>
            <w:pPr>
              <w:spacing w:after="0"/>
              <w:rPr>
                <w:sz w:val="17"/>
                <w:szCs w:val="17"/>
                <w:color w:val="auto"/>
              </w:rPr>
            </w:pPr>
          </w:p>
        </w:tc>
        <w:tc>
          <w:tcPr>
            <w:tcW w:w="180" w:type="dxa"/>
            <w:vAlign w:val="bottom"/>
            <w:shd w:val="clear" w:color="auto" w:fill="0088A6"/>
          </w:tcPr>
          <w:p>
            <w:pPr>
              <w:spacing w:after="0"/>
              <w:rPr>
                <w:sz w:val="17"/>
                <w:szCs w:val="17"/>
                <w:color w:val="auto"/>
              </w:rPr>
            </w:pPr>
          </w:p>
        </w:tc>
        <w:tc>
          <w:tcPr>
            <w:tcW w:w="760" w:type="dxa"/>
            <w:vAlign w:val="bottom"/>
            <w:shd w:val="clear" w:color="auto" w:fill="0088A6"/>
          </w:tcPr>
          <w:p>
            <w:pPr>
              <w:spacing w:after="0"/>
              <w:rPr>
                <w:sz w:val="17"/>
                <w:szCs w:val="17"/>
                <w:color w:val="auto"/>
              </w:rPr>
            </w:pPr>
          </w:p>
        </w:tc>
        <w:tc>
          <w:tcPr>
            <w:tcW w:w="240" w:type="dxa"/>
            <w:vAlign w:val="bottom"/>
            <w:tcBorders>
              <w:right w:val="single" w:sz="8" w:color="BFBFBF"/>
            </w:tcBorders>
            <w:shd w:val="clear" w:color="auto" w:fill="0088A6"/>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160" w:type="dxa"/>
            <w:vAlign w:val="bottom"/>
            <w:tcBorders>
              <w:left w:val="single" w:sz="8" w:color="BFBFBF"/>
              <w:right w:val="single" w:sz="8" w:color="BFBFBF"/>
            </w:tcBorders>
            <w:shd w:val="clear" w:color="auto" w:fill="0088A6"/>
          </w:tcPr>
          <w:p>
            <w:pPr>
              <w:spacing w:after="0"/>
              <w:rPr>
                <w:sz w:val="22"/>
                <w:szCs w:val="22"/>
                <w:color w:val="auto"/>
              </w:rPr>
            </w:pPr>
          </w:p>
        </w:tc>
        <w:tc>
          <w:tcPr>
            <w:tcW w:w="80" w:type="dxa"/>
            <w:vAlign w:val="bottom"/>
            <w:shd w:val="clear" w:color="auto" w:fill="0088A6"/>
          </w:tcPr>
          <w:p>
            <w:pPr>
              <w:spacing w:after="0"/>
              <w:rPr>
                <w:sz w:val="22"/>
                <w:szCs w:val="22"/>
                <w:color w:val="auto"/>
              </w:rPr>
            </w:pPr>
          </w:p>
        </w:tc>
        <w:tc>
          <w:tcPr>
            <w:tcW w:w="320" w:type="dxa"/>
            <w:vAlign w:val="bottom"/>
            <w:shd w:val="clear" w:color="auto" w:fill="0088A6"/>
          </w:tcPr>
          <w:p>
            <w:pPr>
              <w:spacing w:after="0"/>
              <w:rPr>
                <w:sz w:val="22"/>
                <w:szCs w:val="22"/>
                <w:color w:val="auto"/>
              </w:rPr>
            </w:pPr>
          </w:p>
        </w:tc>
        <w:tc>
          <w:tcPr>
            <w:tcW w:w="1720" w:type="dxa"/>
            <w:vAlign w:val="bottom"/>
            <w:shd w:val="clear" w:color="auto" w:fill="0088A6"/>
          </w:tcPr>
          <w:p>
            <w:pPr>
              <w:spacing w:after="0"/>
              <w:rPr>
                <w:sz w:val="22"/>
                <w:szCs w:val="22"/>
                <w:color w:val="auto"/>
              </w:rPr>
            </w:pPr>
          </w:p>
        </w:tc>
        <w:tc>
          <w:tcPr>
            <w:tcW w:w="280" w:type="dxa"/>
            <w:vAlign w:val="bottom"/>
            <w:tcBorders>
              <w:right w:val="single" w:sz="8" w:color="BFBFBF"/>
            </w:tcBorders>
            <w:shd w:val="clear" w:color="auto" w:fill="0088A6"/>
          </w:tcPr>
          <w:p>
            <w:pPr>
              <w:spacing w:after="0"/>
              <w:rPr>
                <w:sz w:val="22"/>
                <w:szCs w:val="22"/>
                <w:color w:val="auto"/>
              </w:rPr>
            </w:pPr>
          </w:p>
        </w:tc>
        <w:tc>
          <w:tcPr>
            <w:tcW w:w="160" w:type="dxa"/>
            <w:vAlign w:val="bottom"/>
            <w:shd w:val="clear" w:color="auto" w:fill="0088A6"/>
          </w:tcPr>
          <w:p>
            <w:pPr>
              <w:spacing w:after="0"/>
              <w:rPr>
                <w:sz w:val="22"/>
                <w:szCs w:val="22"/>
                <w:color w:val="auto"/>
              </w:rPr>
            </w:pPr>
          </w:p>
        </w:tc>
        <w:tc>
          <w:tcPr>
            <w:tcW w:w="1500" w:type="dxa"/>
            <w:vAlign w:val="bottom"/>
            <w:tcBorders>
              <w:right w:val="single" w:sz="8" w:color="BFBFBF"/>
            </w:tcBorders>
            <w:gridSpan w:val="2"/>
            <w:shd w:val="clear" w:color="auto" w:fill="0088A6"/>
          </w:tcPr>
          <w:p>
            <w:pPr>
              <w:jc w:val="right"/>
              <w:ind w:right="420"/>
              <w:spacing w:after="0"/>
              <w:rPr>
                <w:sz w:val="20"/>
                <w:szCs w:val="20"/>
                <w:color w:val="auto"/>
              </w:rPr>
            </w:pPr>
            <w:r>
              <w:rPr>
                <w:rFonts w:ascii="Arial" w:cs="Arial" w:eastAsia="Arial" w:hAnsi="Arial"/>
                <w:sz w:val="18"/>
                <w:szCs w:val="18"/>
                <w:b w:val="1"/>
                <w:bCs w:val="1"/>
                <w:color w:val="FFFFFF"/>
              </w:rPr>
              <w:t>(Run Rate)</w:t>
            </w:r>
          </w:p>
        </w:tc>
        <w:tc>
          <w:tcPr>
            <w:tcW w:w="340" w:type="dxa"/>
            <w:vAlign w:val="bottom"/>
            <w:gridSpan w:val="2"/>
            <w:shd w:val="clear" w:color="auto" w:fill="0088A6"/>
          </w:tcPr>
          <w:p>
            <w:pPr>
              <w:spacing w:after="0"/>
              <w:rPr>
                <w:sz w:val="22"/>
                <w:szCs w:val="22"/>
                <w:color w:val="auto"/>
              </w:rPr>
            </w:pPr>
          </w:p>
        </w:tc>
        <w:tc>
          <w:tcPr>
            <w:tcW w:w="940" w:type="dxa"/>
            <w:vAlign w:val="bottom"/>
            <w:shd w:val="clear" w:color="auto" w:fill="0088A6"/>
          </w:tcPr>
          <w:p>
            <w:pPr>
              <w:jc w:val="right"/>
              <w:ind w:right="112"/>
              <w:spacing w:after="0"/>
              <w:rPr>
                <w:sz w:val="20"/>
                <w:szCs w:val="20"/>
                <w:color w:val="auto"/>
              </w:rPr>
            </w:pPr>
            <w:r>
              <w:rPr>
                <w:rFonts w:ascii="Arial" w:cs="Arial" w:eastAsia="Arial" w:hAnsi="Arial"/>
                <w:sz w:val="18"/>
                <w:szCs w:val="18"/>
                <w:b w:val="1"/>
                <w:bCs w:val="1"/>
                <w:color w:val="FFFFFF"/>
                <w:w w:val="95"/>
              </w:rPr>
              <w:t>Revenue</w:t>
            </w:r>
          </w:p>
        </w:tc>
        <w:tc>
          <w:tcPr>
            <w:tcW w:w="220" w:type="dxa"/>
            <w:vAlign w:val="bottom"/>
            <w:tcBorders>
              <w:right w:val="single" w:sz="8" w:color="BFBFBF"/>
            </w:tcBorders>
            <w:shd w:val="clear" w:color="auto" w:fill="0088A6"/>
          </w:tcPr>
          <w:p>
            <w:pPr>
              <w:spacing w:after="0"/>
              <w:rPr>
                <w:sz w:val="22"/>
                <w:szCs w:val="22"/>
                <w:color w:val="auto"/>
              </w:rPr>
            </w:pPr>
          </w:p>
        </w:tc>
        <w:tc>
          <w:tcPr>
            <w:tcW w:w="140" w:type="dxa"/>
            <w:vAlign w:val="bottom"/>
            <w:shd w:val="clear" w:color="auto" w:fill="0088A6"/>
          </w:tcPr>
          <w:p>
            <w:pPr>
              <w:spacing w:after="0"/>
              <w:rPr>
                <w:sz w:val="22"/>
                <w:szCs w:val="22"/>
                <w:color w:val="auto"/>
              </w:rPr>
            </w:pPr>
          </w:p>
        </w:tc>
        <w:tc>
          <w:tcPr>
            <w:tcW w:w="1180" w:type="dxa"/>
            <w:vAlign w:val="bottom"/>
            <w:shd w:val="clear" w:color="auto" w:fill="0088A6"/>
          </w:tcPr>
          <w:p>
            <w:pPr>
              <w:spacing w:after="0"/>
              <w:rPr>
                <w:sz w:val="22"/>
                <w:szCs w:val="22"/>
                <w:color w:val="auto"/>
              </w:rPr>
            </w:pPr>
          </w:p>
        </w:tc>
        <w:tc>
          <w:tcPr>
            <w:tcW w:w="220" w:type="dxa"/>
            <w:vAlign w:val="bottom"/>
            <w:tcBorders>
              <w:right w:val="single" w:sz="8" w:color="BFBFBF"/>
            </w:tcBorders>
            <w:shd w:val="clear" w:color="auto" w:fill="0088A6"/>
          </w:tcPr>
          <w:p>
            <w:pPr>
              <w:spacing w:after="0"/>
              <w:rPr>
                <w:sz w:val="22"/>
                <w:szCs w:val="22"/>
                <w:color w:val="auto"/>
              </w:rPr>
            </w:pPr>
          </w:p>
        </w:tc>
        <w:tc>
          <w:tcPr>
            <w:tcW w:w="180" w:type="dxa"/>
            <w:vAlign w:val="bottom"/>
            <w:shd w:val="clear" w:color="auto" w:fill="0088A6"/>
          </w:tcPr>
          <w:p>
            <w:pPr>
              <w:spacing w:after="0"/>
              <w:rPr>
                <w:sz w:val="22"/>
                <w:szCs w:val="22"/>
                <w:color w:val="auto"/>
              </w:rPr>
            </w:pPr>
          </w:p>
        </w:tc>
        <w:tc>
          <w:tcPr>
            <w:tcW w:w="760" w:type="dxa"/>
            <w:vAlign w:val="bottom"/>
            <w:shd w:val="clear" w:color="auto" w:fill="0088A6"/>
          </w:tcPr>
          <w:p>
            <w:pPr>
              <w:spacing w:after="0"/>
              <w:rPr>
                <w:sz w:val="22"/>
                <w:szCs w:val="22"/>
                <w:color w:val="auto"/>
              </w:rPr>
            </w:pPr>
          </w:p>
        </w:tc>
        <w:tc>
          <w:tcPr>
            <w:tcW w:w="240" w:type="dxa"/>
            <w:vAlign w:val="bottom"/>
            <w:tcBorders>
              <w:right w:val="single" w:sz="8" w:color="BFBFBF"/>
            </w:tcBorders>
            <w:shd w:val="clear" w:color="auto" w:fill="0088A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0088A6"/>
              <w:left w:val="single" w:sz="8" w:color="BFBFBF"/>
              <w:bottom w:val="single" w:sz="8" w:color="BFBFBF"/>
              <w:right w:val="single" w:sz="8" w:color="BFBFBF"/>
            </w:tcBorders>
          </w:tcPr>
          <w:p>
            <w:pPr>
              <w:spacing w:after="0" w:line="20" w:lineRule="exact"/>
              <w:rPr>
                <w:sz w:val="1"/>
                <w:szCs w:val="1"/>
                <w:color w:val="auto"/>
              </w:rPr>
            </w:pPr>
          </w:p>
        </w:tc>
        <w:tc>
          <w:tcPr>
            <w:tcW w:w="80" w:type="dxa"/>
            <w:vAlign w:val="bottom"/>
            <w:tcBorders>
              <w:top w:val="single" w:sz="8" w:color="0088A6"/>
              <w:bottom w:val="single" w:sz="8" w:color="BFBFBF"/>
            </w:tcBorders>
          </w:tcPr>
          <w:p>
            <w:pPr>
              <w:spacing w:after="0" w:line="20" w:lineRule="exact"/>
              <w:rPr>
                <w:sz w:val="1"/>
                <w:szCs w:val="1"/>
                <w:color w:val="auto"/>
              </w:rPr>
            </w:pPr>
          </w:p>
        </w:tc>
        <w:tc>
          <w:tcPr>
            <w:tcW w:w="320" w:type="dxa"/>
            <w:vAlign w:val="bottom"/>
            <w:tcBorders>
              <w:top w:val="single" w:sz="8" w:color="0088A6"/>
              <w:bottom w:val="single" w:sz="8" w:color="BFBFBF"/>
            </w:tcBorders>
          </w:tcPr>
          <w:p>
            <w:pPr>
              <w:spacing w:after="0" w:line="20" w:lineRule="exact"/>
              <w:rPr>
                <w:sz w:val="1"/>
                <w:szCs w:val="1"/>
                <w:color w:val="auto"/>
              </w:rPr>
            </w:pPr>
          </w:p>
        </w:tc>
        <w:tc>
          <w:tcPr>
            <w:tcW w:w="1720" w:type="dxa"/>
            <w:vAlign w:val="bottom"/>
            <w:tcBorders>
              <w:top w:val="single" w:sz="8" w:color="0088A6"/>
              <w:bottom w:val="single" w:sz="8" w:color="BFBFBF"/>
            </w:tcBorders>
          </w:tcPr>
          <w:p>
            <w:pPr>
              <w:spacing w:after="0" w:line="20" w:lineRule="exact"/>
              <w:rPr>
                <w:sz w:val="1"/>
                <w:szCs w:val="1"/>
                <w:color w:val="auto"/>
              </w:rPr>
            </w:pPr>
          </w:p>
        </w:tc>
        <w:tc>
          <w:tcPr>
            <w:tcW w:w="280" w:type="dxa"/>
            <w:vAlign w:val="bottom"/>
            <w:tcBorders>
              <w:top w:val="single" w:sz="8" w:color="0088A6"/>
              <w:bottom w:val="single" w:sz="8" w:color="BFBFBF"/>
              <w:right w:val="single" w:sz="8" w:color="BFBFBF"/>
            </w:tcBorders>
          </w:tcPr>
          <w:p>
            <w:pPr>
              <w:spacing w:after="0" w:line="20" w:lineRule="exact"/>
              <w:rPr>
                <w:sz w:val="1"/>
                <w:szCs w:val="1"/>
                <w:color w:val="auto"/>
              </w:rPr>
            </w:pPr>
          </w:p>
        </w:tc>
        <w:tc>
          <w:tcPr>
            <w:tcW w:w="160" w:type="dxa"/>
            <w:vAlign w:val="bottom"/>
            <w:tcBorders>
              <w:top w:val="single" w:sz="8" w:color="0088A6"/>
              <w:bottom w:val="single" w:sz="8" w:color="BFBFBF"/>
            </w:tcBorders>
          </w:tcPr>
          <w:p>
            <w:pPr>
              <w:spacing w:after="0" w:line="20" w:lineRule="exact"/>
              <w:rPr>
                <w:sz w:val="1"/>
                <w:szCs w:val="1"/>
                <w:color w:val="auto"/>
              </w:rPr>
            </w:pPr>
          </w:p>
        </w:tc>
        <w:tc>
          <w:tcPr>
            <w:tcW w:w="1280" w:type="dxa"/>
            <w:vAlign w:val="bottom"/>
            <w:tcBorders>
              <w:top w:val="single" w:sz="8" w:color="auto"/>
              <w:bottom w:val="single" w:sz="8" w:color="BFBFBF"/>
            </w:tcBorders>
          </w:tcPr>
          <w:p>
            <w:pPr>
              <w:spacing w:after="0" w:line="20" w:lineRule="exact"/>
              <w:rPr>
                <w:sz w:val="1"/>
                <w:szCs w:val="1"/>
                <w:color w:val="auto"/>
              </w:rPr>
            </w:pPr>
          </w:p>
        </w:tc>
        <w:tc>
          <w:tcPr>
            <w:tcW w:w="220" w:type="dxa"/>
            <w:vAlign w:val="bottom"/>
            <w:tcBorders>
              <w:top w:val="single" w:sz="8" w:color="0088A6"/>
              <w:bottom w:val="single" w:sz="8" w:color="BFBFBF"/>
              <w:right w:val="single" w:sz="8" w:color="BFBFBF"/>
            </w:tcBorders>
          </w:tcPr>
          <w:p>
            <w:pPr>
              <w:spacing w:after="0" w:line="20" w:lineRule="exact"/>
              <w:rPr>
                <w:sz w:val="1"/>
                <w:szCs w:val="1"/>
                <w:color w:val="auto"/>
              </w:rPr>
            </w:pPr>
          </w:p>
        </w:tc>
        <w:tc>
          <w:tcPr>
            <w:tcW w:w="140" w:type="dxa"/>
            <w:vAlign w:val="bottom"/>
            <w:tcBorders>
              <w:top w:val="single" w:sz="8" w:color="0088A6"/>
              <w:bottom w:val="single" w:sz="8" w:color="BFBFBF"/>
            </w:tcBorders>
          </w:tcPr>
          <w:p>
            <w:pPr>
              <w:spacing w:after="0" w:line="20" w:lineRule="exact"/>
              <w:rPr>
                <w:sz w:val="1"/>
                <w:szCs w:val="1"/>
                <w:color w:val="auto"/>
              </w:rPr>
            </w:pPr>
          </w:p>
        </w:tc>
        <w:tc>
          <w:tcPr>
            <w:tcW w:w="200" w:type="dxa"/>
            <w:vAlign w:val="bottom"/>
            <w:tcBorders>
              <w:top w:val="single" w:sz="8" w:color="auto"/>
              <w:bottom w:val="single" w:sz="8" w:color="BFBFBF"/>
            </w:tcBorders>
          </w:tcPr>
          <w:p>
            <w:pPr>
              <w:spacing w:after="0" w:line="20" w:lineRule="exact"/>
              <w:rPr>
                <w:sz w:val="1"/>
                <w:szCs w:val="1"/>
                <w:color w:val="auto"/>
              </w:rPr>
            </w:pPr>
          </w:p>
        </w:tc>
        <w:tc>
          <w:tcPr>
            <w:tcW w:w="940" w:type="dxa"/>
            <w:vAlign w:val="bottom"/>
            <w:tcBorders>
              <w:top w:val="single" w:sz="8" w:color="auto"/>
              <w:bottom w:val="single" w:sz="8" w:color="BFBFBF"/>
            </w:tcBorders>
          </w:tcPr>
          <w:p>
            <w:pPr>
              <w:spacing w:after="0" w:line="20" w:lineRule="exact"/>
              <w:rPr>
                <w:sz w:val="1"/>
                <w:szCs w:val="1"/>
                <w:color w:val="auto"/>
              </w:rPr>
            </w:pPr>
          </w:p>
        </w:tc>
        <w:tc>
          <w:tcPr>
            <w:tcW w:w="220" w:type="dxa"/>
            <w:vAlign w:val="bottom"/>
            <w:tcBorders>
              <w:top w:val="single" w:sz="8" w:color="0088A6"/>
              <w:bottom w:val="single" w:sz="8" w:color="BFBFBF"/>
              <w:right w:val="single" w:sz="8" w:color="BFBFBF"/>
            </w:tcBorders>
          </w:tcPr>
          <w:p>
            <w:pPr>
              <w:spacing w:after="0" w:line="20" w:lineRule="exact"/>
              <w:rPr>
                <w:sz w:val="1"/>
                <w:szCs w:val="1"/>
                <w:color w:val="auto"/>
              </w:rPr>
            </w:pPr>
          </w:p>
        </w:tc>
        <w:tc>
          <w:tcPr>
            <w:tcW w:w="140" w:type="dxa"/>
            <w:vAlign w:val="bottom"/>
            <w:tcBorders>
              <w:top w:val="single" w:sz="8" w:color="0088A6"/>
              <w:bottom w:val="single" w:sz="8" w:color="BFBFBF"/>
            </w:tcBorders>
          </w:tcPr>
          <w:p>
            <w:pPr>
              <w:spacing w:after="0" w:line="20" w:lineRule="exact"/>
              <w:rPr>
                <w:sz w:val="1"/>
                <w:szCs w:val="1"/>
                <w:color w:val="auto"/>
              </w:rPr>
            </w:pPr>
          </w:p>
        </w:tc>
        <w:tc>
          <w:tcPr>
            <w:tcW w:w="1180" w:type="dxa"/>
            <w:vAlign w:val="bottom"/>
            <w:tcBorders>
              <w:top w:val="single" w:sz="8" w:color="0088A6"/>
              <w:bottom w:val="single" w:sz="8" w:color="BFBFBF"/>
            </w:tcBorders>
          </w:tcPr>
          <w:p>
            <w:pPr>
              <w:spacing w:after="0" w:line="20" w:lineRule="exact"/>
              <w:rPr>
                <w:sz w:val="1"/>
                <w:szCs w:val="1"/>
                <w:color w:val="auto"/>
              </w:rPr>
            </w:pPr>
          </w:p>
        </w:tc>
        <w:tc>
          <w:tcPr>
            <w:tcW w:w="220" w:type="dxa"/>
            <w:vAlign w:val="bottom"/>
            <w:tcBorders>
              <w:top w:val="single" w:sz="8" w:color="0088A6"/>
              <w:bottom w:val="single" w:sz="8" w:color="BFBFBF"/>
              <w:right w:val="single" w:sz="8" w:color="BFBFBF"/>
            </w:tcBorders>
          </w:tcPr>
          <w:p>
            <w:pPr>
              <w:spacing w:after="0" w:line="20" w:lineRule="exact"/>
              <w:rPr>
                <w:sz w:val="1"/>
                <w:szCs w:val="1"/>
                <w:color w:val="auto"/>
              </w:rPr>
            </w:pPr>
          </w:p>
        </w:tc>
        <w:tc>
          <w:tcPr>
            <w:tcW w:w="180" w:type="dxa"/>
            <w:vAlign w:val="bottom"/>
            <w:tcBorders>
              <w:top w:val="single" w:sz="8" w:color="0088A6"/>
              <w:bottom w:val="single" w:sz="8" w:color="BFBFBF"/>
            </w:tcBorders>
          </w:tcPr>
          <w:p>
            <w:pPr>
              <w:spacing w:after="0" w:line="20" w:lineRule="exact"/>
              <w:rPr>
                <w:sz w:val="1"/>
                <w:szCs w:val="1"/>
                <w:color w:val="auto"/>
              </w:rPr>
            </w:pPr>
          </w:p>
        </w:tc>
        <w:tc>
          <w:tcPr>
            <w:tcW w:w="760" w:type="dxa"/>
            <w:vAlign w:val="bottom"/>
            <w:tcBorders>
              <w:top w:val="single" w:sz="8" w:color="0088A6"/>
              <w:bottom w:val="single" w:sz="8" w:color="BFBFBF"/>
            </w:tcBorders>
          </w:tcPr>
          <w:p>
            <w:pPr>
              <w:spacing w:after="0" w:line="20" w:lineRule="exact"/>
              <w:rPr>
                <w:sz w:val="1"/>
                <w:szCs w:val="1"/>
                <w:color w:val="auto"/>
              </w:rPr>
            </w:pPr>
          </w:p>
        </w:tc>
        <w:tc>
          <w:tcPr>
            <w:tcW w:w="240" w:type="dxa"/>
            <w:vAlign w:val="bottom"/>
            <w:tcBorders>
              <w:top w:val="single" w:sz="8" w:color="0088A6"/>
              <w:bottom w:val="single" w:sz="8" w:color="BFBFBF"/>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160" w:type="dxa"/>
            <w:vAlign w:val="bottom"/>
            <w:tcBorders>
              <w:left w:val="single" w:sz="8" w:color="BFBFBF"/>
              <w:bottom w:val="single" w:sz="8" w:color="BFBFBF"/>
              <w:right w:val="single" w:sz="8" w:color="BFBFBF"/>
            </w:tcBorders>
          </w:tcPr>
          <w:p>
            <w:pPr>
              <w:ind w:left="120"/>
              <w:spacing w:after="0" w:line="170" w:lineRule="exact"/>
              <w:rPr>
                <w:sz w:val="20"/>
                <w:szCs w:val="20"/>
                <w:color w:val="auto"/>
              </w:rPr>
            </w:pPr>
            <w:r>
              <w:rPr>
                <w:rFonts w:ascii="Arial" w:cs="Arial" w:eastAsia="Arial" w:hAnsi="Arial"/>
                <w:sz w:val="18"/>
                <w:szCs w:val="18"/>
                <w:color w:val="auto"/>
              </w:rPr>
              <w:t>Robert Greifeld</w:t>
            </w:r>
          </w:p>
        </w:tc>
        <w:tc>
          <w:tcPr>
            <w:tcW w:w="400" w:type="dxa"/>
            <w:vAlign w:val="bottom"/>
            <w:tcBorders>
              <w:bottom w:val="single" w:sz="8" w:color="BFBFBF"/>
            </w:tcBorders>
            <w:gridSpan w:val="2"/>
          </w:tcPr>
          <w:p>
            <w:pPr>
              <w:ind w:left="80"/>
              <w:spacing w:after="0" w:line="170"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BFBFBF"/>
              <w:right w:val="single" w:sz="8" w:color="BFBFBF"/>
            </w:tcBorders>
            <w:gridSpan w:val="2"/>
          </w:tcPr>
          <w:p>
            <w:pPr>
              <w:jc w:val="right"/>
              <w:ind w:right="280"/>
              <w:spacing w:after="0" w:line="170" w:lineRule="exact"/>
              <w:rPr>
                <w:sz w:val="20"/>
                <w:szCs w:val="20"/>
                <w:color w:val="auto"/>
              </w:rPr>
            </w:pPr>
            <w:r>
              <w:rPr>
                <w:rFonts w:ascii="Arial" w:cs="Arial" w:eastAsia="Arial" w:hAnsi="Arial"/>
                <w:sz w:val="18"/>
                <w:szCs w:val="18"/>
                <w:color w:val="auto"/>
              </w:rPr>
              <w:t>2,100,000</w:t>
            </w:r>
          </w:p>
        </w:tc>
        <w:tc>
          <w:tcPr>
            <w:tcW w:w="160" w:type="dxa"/>
            <w:vAlign w:val="bottom"/>
            <w:tcBorders>
              <w:bottom w:val="single" w:sz="8" w:color="BFBFBF"/>
            </w:tcBorders>
          </w:tcPr>
          <w:p>
            <w:pPr>
              <w:spacing w:after="0"/>
              <w:rPr>
                <w:sz w:val="14"/>
                <w:szCs w:val="14"/>
                <w:color w:val="auto"/>
              </w:rPr>
            </w:pPr>
          </w:p>
        </w:tc>
        <w:tc>
          <w:tcPr>
            <w:tcW w:w="1280" w:type="dxa"/>
            <w:vAlign w:val="bottom"/>
            <w:tcBorders>
              <w:bottom w:val="single" w:sz="8" w:color="BFBFBF"/>
            </w:tcBorders>
          </w:tcPr>
          <w:p>
            <w:pPr>
              <w:jc w:val="right"/>
              <w:ind w:right="112"/>
              <w:spacing w:after="0" w:line="170" w:lineRule="exact"/>
              <w:rPr>
                <w:sz w:val="20"/>
                <w:szCs w:val="20"/>
                <w:color w:val="auto"/>
              </w:rPr>
            </w:pPr>
            <w:r>
              <w:rPr>
                <w:rFonts w:ascii="Arial" w:cs="Arial" w:eastAsia="Arial" w:hAnsi="Arial"/>
                <w:sz w:val="18"/>
                <w:szCs w:val="18"/>
                <w:color w:val="auto"/>
              </w:rPr>
              <w:t>55%</w:t>
            </w:r>
          </w:p>
        </w:tc>
        <w:tc>
          <w:tcPr>
            <w:tcW w:w="220" w:type="dxa"/>
            <w:vAlign w:val="bottom"/>
            <w:tcBorders>
              <w:bottom w:val="single" w:sz="8" w:color="BFBFBF"/>
              <w:right w:val="single" w:sz="8" w:color="BFBFBF"/>
            </w:tcBorders>
          </w:tcPr>
          <w:p>
            <w:pPr>
              <w:spacing w:after="0"/>
              <w:rPr>
                <w:sz w:val="14"/>
                <w:szCs w:val="14"/>
                <w:color w:val="auto"/>
              </w:rPr>
            </w:pPr>
          </w:p>
        </w:tc>
        <w:tc>
          <w:tcPr>
            <w:tcW w:w="140" w:type="dxa"/>
            <w:vAlign w:val="bottom"/>
            <w:tcBorders>
              <w:bottom w:val="single" w:sz="8" w:color="BFBFBF"/>
            </w:tcBorders>
          </w:tcPr>
          <w:p>
            <w:pPr>
              <w:spacing w:after="0"/>
              <w:rPr>
                <w:sz w:val="14"/>
                <w:szCs w:val="14"/>
                <w:color w:val="auto"/>
              </w:rPr>
            </w:pPr>
          </w:p>
        </w:tc>
        <w:tc>
          <w:tcPr>
            <w:tcW w:w="200" w:type="dxa"/>
            <w:vAlign w:val="bottom"/>
            <w:tcBorders>
              <w:bottom w:val="single" w:sz="8" w:color="BFBFBF"/>
            </w:tcBorders>
          </w:tcPr>
          <w:p>
            <w:pPr>
              <w:spacing w:after="0"/>
              <w:rPr>
                <w:sz w:val="14"/>
                <w:szCs w:val="14"/>
                <w:color w:val="auto"/>
              </w:rPr>
            </w:pPr>
          </w:p>
        </w:tc>
        <w:tc>
          <w:tcPr>
            <w:tcW w:w="940" w:type="dxa"/>
            <w:vAlign w:val="bottom"/>
            <w:tcBorders>
              <w:bottom w:val="single" w:sz="8" w:color="BFBFBF"/>
            </w:tcBorders>
          </w:tcPr>
          <w:p>
            <w:pPr>
              <w:jc w:val="right"/>
              <w:ind w:right="112"/>
              <w:spacing w:after="0" w:line="170" w:lineRule="exact"/>
              <w:rPr>
                <w:sz w:val="20"/>
                <w:szCs w:val="20"/>
                <w:color w:val="auto"/>
              </w:rPr>
            </w:pPr>
            <w:r>
              <w:rPr>
                <w:rFonts w:ascii="Arial" w:cs="Arial" w:eastAsia="Arial" w:hAnsi="Arial"/>
                <w:sz w:val="18"/>
                <w:szCs w:val="18"/>
                <w:color w:val="auto"/>
              </w:rPr>
              <w:t>35%</w:t>
            </w:r>
          </w:p>
        </w:tc>
        <w:tc>
          <w:tcPr>
            <w:tcW w:w="220" w:type="dxa"/>
            <w:vAlign w:val="bottom"/>
            <w:tcBorders>
              <w:bottom w:val="single" w:sz="8" w:color="BFBFBF"/>
              <w:right w:val="single" w:sz="8" w:color="BFBFBF"/>
            </w:tcBorders>
          </w:tcPr>
          <w:p>
            <w:pPr>
              <w:spacing w:after="0"/>
              <w:rPr>
                <w:sz w:val="14"/>
                <w:szCs w:val="14"/>
                <w:color w:val="auto"/>
              </w:rPr>
            </w:pPr>
          </w:p>
        </w:tc>
        <w:tc>
          <w:tcPr>
            <w:tcW w:w="140" w:type="dxa"/>
            <w:vAlign w:val="bottom"/>
            <w:tcBorders>
              <w:bottom w:val="single" w:sz="8" w:color="BFBFBF"/>
            </w:tcBorders>
          </w:tcPr>
          <w:p>
            <w:pPr>
              <w:spacing w:after="0"/>
              <w:rPr>
                <w:sz w:val="14"/>
                <w:szCs w:val="14"/>
                <w:color w:val="auto"/>
              </w:rPr>
            </w:pPr>
          </w:p>
        </w:tc>
        <w:tc>
          <w:tcPr>
            <w:tcW w:w="1400" w:type="dxa"/>
            <w:vAlign w:val="bottom"/>
            <w:tcBorders>
              <w:bottom w:val="single" w:sz="8" w:color="BFBFBF"/>
              <w:right w:val="single" w:sz="8" w:color="BFBFBF"/>
            </w:tcBorders>
            <w:gridSpan w:val="2"/>
          </w:tcPr>
          <w:p>
            <w:pPr>
              <w:ind w:left="660"/>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BFBFBF"/>
            </w:tcBorders>
          </w:tcPr>
          <w:p>
            <w:pPr>
              <w:spacing w:after="0"/>
              <w:rPr>
                <w:sz w:val="14"/>
                <w:szCs w:val="14"/>
                <w:color w:val="auto"/>
              </w:rPr>
            </w:pPr>
          </w:p>
        </w:tc>
        <w:tc>
          <w:tcPr>
            <w:tcW w:w="760" w:type="dxa"/>
            <w:vAlign w:val="bottom"/>
            <w:tcBorders>
              <w:bottom w:val="single" w:sz="8" w:color="BFBFBF"/>
            </w:tcBorders>
          </w:tcPr>
          <w:p>
            <w:pPr>
              <w:jc w:val="right"/>
              <w:ind w:right="112"/>
              <w:spacing w:after="0" w:line="170" w:lineRule="exact"/>
              <w:rPr>
                <w:sz w:val="20"/>
                <w:szCs w:val="20"/>
                <w:color w:val="auto"/>
              </w:rPr>
            </w:pPr>
            <w:r>
              <w:rPr>
                <w:rFonts w:ascii="Arial" w:cs="Arial" w:eastAsia="Arial" w:hAnsi="Arial"/>
                <w:sz w:val="18"/>
                <w:szCs w:val="18"/>
                <w:color w:val="auto"/>
              </w:rPr>
              <w:t>10%</w:t>
            </w:r>
          </w:p>
        </w:tc>
        <w:tc>
          <w:tcPr>
            <w:tcW w:w="24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6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Lee Shavel</w:t>
            </w:r>
          </w:p>
        </w:tc>
        <w:tc>
          <w:tcPr>
            <w:tcW w:w="400" w:type="dxa"/>
            <w:vAlign w:val="bottom"/>
            <w:tcBorders>
              <w:bottom w:val="single" w:sz="8" w:color="BFBFBF"/>
            </w:tcBorders>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BFBFBF"/>
              <w:right w:val="single" w:sz="8" w:color="BFBFBF"/>
            </w:tcBorders>
            <w:gridSpan w:val="2"/>
          </w:tcPr>
          <w:p>
            <w:pPr>
              <w:jc w:val="right"/>
              <w:ind w:right="280"/>
              <w:spacing w:after="0" w:line="196" w:lineRule="exact"/>
              <w:rPr>
                <w:sz w:val="20"/>
                <w:szCs w:val="20"/>
                <w:color w:val="auto"/>
              </w:rPr>
            </w:pPr>
            <w:r>
              <w:rPr>
                <w:rFonts w:ascii="Arial" w:cs="Arial" w:eastAsia="Arial" w:hAnsi="Arial"/>
                <w:sz w:val="18"/>
                <w:szCs w:val="18"/>
                <w:color w:val="auto"/>
              </w:rPr>
              <w:t>750,000</w:t>
            </w:r>
          </w:p>
        </w:tc>
        <w:tc>
          <w:tcPr>
            <w:tcW w:w="16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40%</w:t>
            </w:r>
          </w:p>
        </w:tc>
        <w:tc>
          <w:tcPr>
            <w:tcW w:w="220" w:type="dxa"/>
            <w:vAlign w:val="bottom"/>
            <w:tcBorders>
              <w:bottom w:val="single" w:sz="8" w:color="BFBFBF"/>
              <w:right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94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15%</w:t>
            </w:r>
          </w:p>
        </w:tc>
        <w:tc>
          <w:tcPr>
            <w:tcW w:w="220" w:type="dxa"/>
            <w:vAlign w:val="bottom"/>
            <w:tcBorders>
              <w:bottom w:val="single" w:sz="8" w:color="BFBFBF"/>
              <w:right w:val="single" w:sz="8" w:color="BFBFBF"/>
            </w:tcBorders>
          </w:tcPr>
          <w:p>
            <w:pPr>
              <w:spacing w:after="0"/>
              <w:rPr>
                <w:sz w:val="17"/>
                <w:szCs w:val="17"/>
                <w:color w:val="auto"/>
              </w:rPr>
            </w:pPr>
          </w:p>
        </w:tc>
        <w:tc>
          <w:tcPr>
            <w:tcW w:w="1320" w:type="dxa"/>
            <w:vAlign w:val="bottom"/>
            <w:tcBorders>
              <w:bottom w:val="single" w:sz="8" w:color="BFBFBF"/>
            </w:tcBorders>
            <w:gridSpan w:val="2"/>
          </w:tcPr>
          <w:p>
            <w:pPr>
              <w:jc w:val="right"/>
              <w:ind w:right="112"/>
              <w:spacing w:after="0" w:line="196" w:lineRule="exact"/>
              <w:rPr>
                <w:sz w:val="20"/>
                <w:szCs w:val="20"/>
                <w:color w:val="auto"/>
              </w:rPr>
            </w:pPr>
            <w:r>
              <w:rPr>
                <w:rFonts w:ascii="Arial" w:cs="Arial" w:eastAsia="Arial" w:hAnsi="Arial"/>
                <w:sz w:val="18"/>
                <w:szCs w:val="18"/>
                <w:color w:val="auto"/>
              </w:rPr>
              <w:t>35%</w:t>
            </w:r>
          </w:p>
        </w:tc>
        <w:tc>
          <w:tcPr>
            <w:tcW w:w="220" w:type="dxa"/>
            <w:vAlign w:val="bottom"/>
            <w:tcBorders>
              <w:bottom w:val="single" w:sz="8" w:color="BFBFBF"/>
              <w:right w:val="single" w:sz="8" w:color="BFBFBF"/>
            </w:tcBorders>
          </w:tcPr>
          <w:p>
            <w:pPr>
              <w:spacing w:after="0"/>
              <w:rPr>
                <w:sz w:val="17"/>
                <w:szCs w:val="17"/>
                <w:color w:val="auto"/>
              </w:rPr>
            </w:pPr>
          </w:p>
        </w:tc>
        <w:tc>
          <w:tcPr>
            <w:tcW w:w="180" w:type="dxa"/>
            <w:vAlign w:val="bottom"/>
            <w:tcBorders>
              <w:bottom w:val="single" w:sz="8" w:color="BFBFBF"/>
            </w:tcBorders>
          </w:tcPr>
          <w:p>
            <w:pPr>
              <w:spacing w:after="0"/>
              <w:rPr>
                <w:sz w:val="17"/>
                <w:szCs w:val="17"/>
                <w:color w:val="auto"/>
              </w:rPr>
            </w:pPr>
          </w:p>
        </w:tc>
        <w:tc>
          <w:tcPr>
            <w:tcW w:w="76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10%</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Anna M. Ewing</w:t>
            </w:r>
          </w:p>
        </w:tc>
        <w:tc>
          <w:tcPr>
            <w:tcW w:w="400" w:type="dxa"/>
            <w:vAlign w:val="bottom"/>
            <w:tcBorders>
              <w:bottom w:val="single" w:sz="8" w:color="BFBFBF"/>
            </w:tcBorders>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BFBFBF"/>
              <w:right w:val="single" w:sz="8" w:color="BFBFBF"/>
            </w:tcBorders>
            <w:gridSpan w:val="2"/>
          </w:tcPr>
          <w:p>
            <w:pPr>
              <w:jc w:val="right"/>
              <w:ind w:right="280"/>
              <w:spacing w:after="0" w:line="196" w:lineRule="exact"/>
              <w:rPr>
                <w:sz w:val="20"/>
                <w:szCs w:val="20"/>
                <w:color w:val="auto"/>
              </w:rPr>
            </w:pPr>
            <w:r>
              <w:rPr>
                <w:rFonts w:ascii="Arial" w:cs="Arial" w:eastAsia="Arial" w:hAnsi="Arial"/>
                <w:sz w:val="18"/>
                <w:szCs w:val="18"/>
                <w:color w:val="auto"/>
              </w:rPr>
              <w:t>750,000</w:t>
            </w:r>
          </w:p>
        </w:tc>
        <w:tc>
          <w:tcPr>
            <w:tcW w:w="16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15%</w:t>
            </w:r>
          </w:p>
        </w:tc>
        <w:tc>
          <w:tcPr>
            <w:tcW w:w="220" w:type="dxa"/>
            <w:vAlign w:val="bottom"/>
            <w:tcBorders>
              <w:bottom w:val="single" w:sz="8" w:color="BFBFBF"/>
              <w:right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94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15%</w:t>
            </w:r>
          </w:p>
        </w:tc>
        <w:tc>
          <w:tcPr>
            <w:tcW w:w="220" w:type="dxa"/>
            <w:vAlign w:val="bottom"/>
            <w:tcBorders>
              <w:bottom w:val="single" w:sz="8" w:color="BFBFBF"/>
              <w:right w:val="single" w:sz="8" w:color="BFBFBF"/>
            </w:tcBorders>
          </w:tcPr>
          <w:p>
            <w:pPr>
              <w:spacing w:after="0"/>
              <w:rPr>
                <w:sz w:val="17"/>
                <w:szCs w:val="17"/>
                <w:color w:val="auto"/>
              </w:rPr>
            </w:pPr>
          </w:p>
        </w:tc>
        <w:tc>
          <w:tcPr>
            <w:tcW w:w="1320" w:type="dxa"/>
            <w:vAlign w:val="bottom"/>
            <w:tcBorders>
              <w:bottom w:val="single" w:sz="8" w:color="BFBFBF"/>
            </w:tcBorders>
            <w:gridSpan w:val="2"/>
          </w:tcPr>
          <w:p>
            <w:pPr>
              <w:jc w:val="right"/>
              <w:ind w:right="112"/>
              <w:spacing w:after="0" w:line="196" w:lineRule="exact"/>
              <w:rPr>
                <w:sz w:val="20"/>
                <w:szCs w:val="20"/>
                <w:color w:val="auto"/>
              </w:rPr>
            </w:pPr>
            <w:r>
              <w:rPr>
                <w:rFonts w:ascii="Arial" w:cs="Arial" w:eastAsia="Arial" w:hAnsi="Arial"/>
                <w:sz w:val="18"/>
                <w:szCs w:val="18"/>
                <w:color w:val="auto"/>
              </w:rPr>
              <w:t>60%</w:t>
            </w:r>
          </w:p>
        </w:tc>
        <w:tc>
          <w:tcPr>
            <w:tcW w:w="220" w:type="dxa"/>
            <w:vAlign w:val="bottom"/>
            <w:tcBorders>
              <w:bottom w:val="single" w:sz="8" w:color="BFBFBF"/>
              <w:right w:val="single" w:sz="8" w:color="BFBFBF"/>
            </w:tcBorders>
          </w:tcPr>
          <w:p>
            <w:pPr>
              <w:spacing w:after="0"/>
              <w:rPr>
                <w:sz w:val="17"/>
                <w:szCs w:val="17"/>
                <w:color w:val="auto"/>
              </w:rPr>
            </w:pPr>
          </w:p>
        </w:tc>
        <w:tc>
          <w:tcPr>
            <w:tcW w:w="180" w:type="dxa"/>
            <w:vAlign w:val="bottom"/>
            <w:tcBorders>
              <w:bottom w:val="single" w:sz="8" w:color="BFBFBF"/>
            </w:tcBorders>
          </w:tcPr>
          <w:p>
            <w:pPr>
              <w:spacing w:after="0"/>
              <w:rPr>
                <w:sz w:val="17"/>
                <w:szCs w:val="17"/>
                <w:color w:val="auto"/>
              </w:rPr>
            </w:pPr>
          </w:p>
        </w:tc>
        <w:tc>
          <w:tcPr>
            <w:tcW w:w="76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10%</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Hans-Ole Jochumsen</w:t>
            </w:r>
          </w:p>
        </w:tc>
        <w:tc>
          <w:tcPr>
            <w:tcW w:w="400" w:type="dxa"/>
            <w:vAlign w:val="bottom"/>
            <w:tcBorders>
              <w:bottom w:val="single" w:sz="8" w:color="BFBFBF"/>
            </w:tcBorders>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BFBFBF"/>
              <w:right w:val="single" w:sz="8" w:color="BFBFBF"/>
            </w:tcBorders>
            <w:gridSpan w:val="2"/>
          </w:tcPr>
          <w:p>
            <w:pPr>
              <w:jc w:val="right"/>
              <w:ind w:right="280"/>
              <w:spacing w:after="0" w:line="196" w:lineRule="exact"/>
              <w:rPr>
                <w:sz w:val="20"/>
                <w:szCs w:val="20"/>
                <w:color w:val="auto"/>
              </w:rPr>
            </w:pPr>
            <w:r>
              <w:rPr>
                <w:rFonts w:ascii="Arial" w:cs="Arial" w:eastAsia="Arial" w:hAnsi="Arial"/>
                <w:sz w:val="18"/>
                <w:szCs w:val="18"/>
                <w:color w:val="auto"/>
              </w:rPr>
              <w:t>739,000</w:t>
            </w:r>
          </w:p>
        </w:tc>
        <w:tc>
          <w:tcPr>
            <w:tcW w:w="16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10%</w:t>
            </w:r>
          </w:p>
        </w:tc>
        <w:tc>
          <w:tcPr>
            <w:tcW w:w="220" w:type="dxa"/>
            <w:vAlign w:val="bottom"/>
            <w:tcBorders>
              <w:bottom w:val="single" w:sz="8" w:color="BFBFBF"/>
              <w:right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94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10%</w:t>
            </w:r>
          </w:p>
        </w:tc>
        <w:tc>
          <w:tcPr>
            <w:tcW w:w="220" w:type="dxa"/>
            <w:vAlign w:val="bottom"/>
            <w:tcBorders>
              <w:bottom w:val="single" w:sz="8" w:color="BFBFBF"/>
              <w:right w:val="single" w:sz="8" w:color="BFBFBF"/>
            </w:tcBorders>
          </w:tcPr>
          <w:p>
            <w:pPr>
              <w:spacing w:after="0"/>
              <w:rPr>
                <w:sz w:val="17"/>
                <w:szCs w:val="17"/>
                <w:color w:val="auto"/>
              </w:rPr>
            </w:pPr>
          </w:p>
        </w:tc>
        <w:tc>
          <w:tcPr>
            <w:tcW w:w="1320" w:type="dxa"/>
            <w:vAlign w:val="bottom"/>
            <w:tcBorders>
              <w:bottom w:val="single" w:sz="8" w:color="BFBFBF"/>
            </w:tcBorders>
            <w:gridSpan w:val="2"/>
          </w:tcPr>
          <w:p>
            <w:pPr>
              <w:jc w:val="right"/>
              <w:ind w:right="112"/>
              <w:spacing w:after="0" w:line="196" w:lineRule="exact"/>
              <w:rPr>
                <w:sz w:val="20"/>
                <w:szCs w:val="20"/>
                <w:color w:val="auto"/>
              </w:rPr>
            </w:pPr>
            <w:r>
              <w:rPr>
                <w:rFonts w:ascii="Arial" w:cs="Arial" w:eastAsia="Arial" w:hAnsi="Arial"/>
                <w:sz w:val="18"/>
                <w:szCs w:val="18"/>
                <w:color w:val="auto"/>
              </w:rPr>
              <w:t>70%</w:t>
            </w:r>
          </w:p>
        </w:tc>
        <w:tc>
          <w:tcPr>
            <w:tcW w:w="220" w:type="dxa"/>
            <w:vAlign w:val="bottom"/>
            <w:tcBorders>
              <w:bottom w:val="single" w:sz="8" w:color="BFBFBF"/>
              <w:right w:val="single" w:sz="8" w:color="BFBFBF"/>
            </w:tcBorders>
          </w:tcPr>
          <w:p>
            <w:pPr>
              <w:spacing w:after="0"/>
              <w:rPr>
                <w:sz w:val="17"/>
                <w:szCs w:val="17"/>
                <w:color w:val="auto"/>
              </w:rPr>
            </w:pPr>
          </w:p>
        </w:tc>
        <w:tc>
          <w:tcPr>
            <w:tcW w:w="180" w:type="dxa"/>
            <w:vAlign w:val="bottom"/>
            <w:tcBorders>
              <w:bottom w:val="single" w:sz="8" w:color="BFBFBF"/>
            </w:tcBorders>
          </w:tcPr>
          <w:p>
            <w:pPr>
              <w:spacing w:after="0"/>
              <w:rPr>
                <w:sz w:val="17"/>
                <w:szCs w:val="17"/>
                <w:color w:val="auto"/>
              </w:rPr>
            </w:pPr>
          </w:p>
        </w:tc>
        <w:tc>
          <w:tcPr>
            <w:tcW w:w="76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10%</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Eric W. Noll</w:t>
            </w:r>
          </w:p>
        </w:tc>
        <w:tc>
          <w:tcPr>
            <w:tcW w:w="400" w:type="dxa"/>
            <w:vAlign w:val="bottom"/>
            <w:tcBorders>
              <w:bottom w:val="single" w:sz="8" w:color="BFBFBF"/>
            </w:tcBorders>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2000" w:type="dxa"/>
            <w:vAlign w:val="bottom"/>
            <w:tcBorders>
              <w:bottom w:val="single" w:sz="8" w:color="BFBFBF"/>
              <w:right w:val="single" w:sz="8" w:color="BFBFBF"/>
            </w:tcBorders>
            <w:gridSpan w:val="2"/>
          </w:tcPr>
          <w:p>
            <w:pPr>
              <w:jc w:val="right"/>
              <w:ind w:right="280"/>
              <w:spacing w:after="0" w:line="196" w:lineRule="exact"/>
              <w:rPr>
                <w:sz w:val="20"/>
                <w:szCs w:val="20"/>
                <w:color w:val="auto"/>
              </w:rPr>
            </w:pPr>
            <w:r>
              <w:rPr>
                <w:rFonts w:ascii="Arial" w:cs="Arial" w:eastAsia="Arial" w:hAnsi="Arial"/>
                <w:sz w:val="18"/>
                <w:szCs w:val="18"/>
                <w:color w:val="auto"/>
              </w:rPr>
              <w:t>750,000</w:t>
            </w:r>
          </w:p>
        </w:tc>
        <w:tc>
          <w:tcPr>
            <w:tcW w:w="16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10%</w:t>
            </w:r>
          </w:p>
        </w:tc>
        <w:tc>
          <w:tcPr>
            <w:tcW w:w="220" w:type="dxa"/>
            <w:vAlign w:val="bottom"/>
            <w:tcBorders>
              <w:bottom w:val="single" w:sz="8" w:color="BFBFBF"/>
              <w:right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94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10%</w:t>
            </w:r>
          </w:p>
        </w:tc>
        <w:tc>
          <w:tcPr>
            <w:tcW w:w="220" w:type="dxa"/>
            <w:vAlign w:val="bottom"/>
            <w:tcBorders>
              <w:bottom w:val="single" w:sz="8" w:color="BFBFBF"/>
              <w:right w:val="single" w:sz="8" w:color="BFBFBF"/>
            </w:tcBorders>
          </w:tcPr>
          <w:p>
            <w:pPr>
              <w:spacing w:after="0"/>
              <w:rPr>
                <w:sz w:val="17"/>
                <w:szCs w:val="17"/>
                <w:color w:val="auto"/>
              </w:rPr>
            </w:pPr>
          </w:p>
        </w:tc>
        <w:tc>
          <w:tcPr>
            <w:tcW w:w="1320" w:type="dxa"/>
            <w:vAlign w:val="bottom"/>
            <w:tcBorders>
              <w:bottom w:val="single" w:sz="8" w:color="BFBFBF"/>
            </w:tcBorders>
            <w:gridSpan w:val="2"/>
          </w:tcPr>
          <w:p>
            <w:pPr>
              <w:jc w:val="right"/>
              <w:ind w:right="112"/>
              <w:spacing w:after="0" w:line="196" w:lineRule="exact"/>
              <w:rPr>
                <w:sz w:val="20"/>
                <w:szCs w:val="20"/>
                <w:color w:val="auto"/>
              </w:rPr>
            </w:pPr>
            <w:r>
              <w:rPr>
                <w:rFonts w:ascii="Arial" w:cs="Arial" w:eastAsia="Arial" w:hAnsi="Arial"/>
                <w:sz w:val="18"/>
                <w:szCs w:val="18"/>
                <w:color w:val="auto"/>
              </w:rPr>
              <w:t>70%</w:t>
            </w:r>
          </w:p>
        </w:tc>
        <w:tc>
          <w:tcPr>
            <w:tcW w:w="220" w:type="dxa"/>
            <w:vAlign w:val="bottom"/>
            <w:tcBorders>
              <w:bottom w:val="single" w:sz="8" w:color="BFBFBF"/>
              <w:right w:val="single" w:sz="8" w:color="BFBFBF"/>
            </w:tcBorders>
          </w:tcPr>
          <w:p>
            <w:pPr>
              <w:spacing w:after="0"/>
              <w:rPr>
                <w:sz w:val="17"/>
                <w:szCs w:val="17"/>
                <w:color w:val="auto"/>
              </w:rPr>
            </w:pPr>
          </w:p>
        </w:tc>
        <w:tc>
          <w:tcPr>
            <w:tcW w:w="180" w:type="dxa"/>
            <w:vAlign w:val="bottom"/>
            <w:tcBorders>
              <w:bottom w:val="single" w:sz="8" w:color="BFBFBF"/>
            </w:tcBorders>
          </w:tcPr>
          <w:p>
            <w:pPr>
              <w:spacing w:after="0"/>
              <w:rPr>
                <w:sz w:val="17"/>
                <w:szCs w:val="17"/>
                <w:color w:val="auto"/>
              </w:rPr>
            </w:pPr>
          </w:p>
        </w:tc>
        <w:tc>
          <w:tcPr>
            <w:tcW w:w="76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10%</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-711200</wp:posOffset>
            </wp:positionV>
            <wp:extent cx="889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-711200</wp:posOffset>
            </wp:positionV>
            <wp:extent cx="889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-711200</wp:posOffset>
            </wp:positionV>
            <wp:extent cx="889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-711200</wp:posOffset>
            </wp:positionV>
            <wp:extent cx="889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-711200</wp:posOffset>
            </wp:positionV>
            <wp:extent cx="889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889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-711200</wp:posOffset>
            </wp:positionV>
            <wp:extent cx="889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-1139825</wp:posOffset>
            </wp:positionV>
            <wp:extent cx="889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889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-1139825</wp:posOffset>
            </wp:positionV>
            <wp:extent cx="889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32"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45</w:t>
      </w:r>
    </w:p>
    <w:p>
      <w:pPr>
        <w:sectPr>
          <w:pgSz w:w="11900" w:h="16838" w:orient="portrait"/>
          <w:cols w:equalWidth="0" w:num="1">
            <w:col w:w="11440"/>
          </w:cols>
          <w:pgMar w:left="240" w:top="459" w:right="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Payouts</w:t>
      </w:r>
    </w:p>
    <w:p>
      <w:pPr>
        <w:spacing w:after="0" w:line="13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Payouts are determined by the management compensation committee and board of directors after the end of the year and are based on the sum of (i) actual performance under each corporate objective, (ii) where applicable, actual performance against an executive’s business unit strategic objectives and (iii) the results of the BES. Each goal applicable to the named executive officers for 2012 had a minimum, target and maximum performance level.</w:t>
      </w:r>
    </w:p>
    <w:p>
      <w:pPr>
        <w:spacing w:after="0" w:line="114" w:lineRule="exact"/>
        <w:rPr>
          <w:sz w:val="20"/>
          <w:szCs w:val="20"/>
          <w:color w:val="auto"/>
        </w:rPr>
      </w:pPr>
    </w:p>
    <w:p>
      <w:pPr>
        <w:jc w:val="both"/>
        <w:ind w:right="360"/>
        <w:spacing w:after="0" w:line="299" w:lineRule="auto"/>
        <w:rPr>
          <w:sz w:val="20"/>
          <w:szCs w:val="20"/>
          <w:color w:val="auto"/>
        </w:rPr>
      </w:pPr>
      <w:r>
        <w:rPr>
          <w:rFonts w:ascii="Arial" w:cs="Arial" w:eastAsia="Arial" w:hAnsi="Arial"/>
          <w:sz w:val="16"/>
          <w:szCs w:val="16"/>
          <w:color w:val="auto"/>
        </w:rPr>
        <w:t>Scoring of each goal is based on actual goal achievement compared to the target. In 2012, as in past years, payouts on most goals could vary between 0% and 200% of the target. However, funding of non-financial business unit strategic objectives was limited to 160% of target in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Objectives Performance vs. Goals</w:t>
      </w:r>
    </w:p>
    <w:p>
      <w:pPr>
        <w:spacing w:after="0" w:line="135"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With respect to the corporate objectives, the minimum, target and maximum performance levels, NASDAQ OMX’s actual performance for 2012 and the resultant payout percentage of the target incentive award amounts were as follows: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540" w:type="dxa"/>
            <w:vAlign w:val="bottom"/>
            <w:tcBorders>
              <w:left w:val="single" w:sz="8" w:color="BFBFBF"/>
            </w:tcBorders>
            <w:shd w:val="clear" w:color="auto" w:fill="0088A6"/>
          </w:tcPr>
          <w:p>
            <w:pPr>
              <w:spacing w:after="0"/>
              <w:rPr>
                <w:sz w:val="17"/>
                <w:szCs w:val="17"/>
                <w:color w:val="auto"/>
              </w:rPr>
            </w:pPr>
          </w:p>
        </w:tc>
        <w:tc>
          <w:tcPr>
            <w:tcW w:w="14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1120" w:type="dxa"/>
            <w:vAlign w:val="bottom"/>
            <w:shd w:val="clear" w:color="auto" w:fill="0088A6"/>
          </w:tcPr>
          <w:p>
            <w:pPr>
              <w:spacing w:after="0"/>
              <w:rPr>
                <w:sz w:val="17"/>
                <w:szCs w:val="17"/>
                <w:color w:val="auto"/>
              </w:rPr>
            </w:pPr>
          </w:p>
        </w:tc>
        <w:tc>
          <w:tcPr>
            <w:tcW w:w="10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1100" w:type="dxa"/>
            <w:vAlign w:val="bottom"/>
            <w:tcBorders>
              <w:right w:val="single" w:sz="8" w:color="BFBFBF"/>
            </w:tcBorders>
            <w:shd w:val="clear" w:color="auto" w:fill="0088A6"/>
          </w:tcPr>
          <w:p>
            <w:pPr>
              <w:spacing w:after="0"/>
              <w:rPr>
                <w:sz w:val="17"/>
                <w:szCs w:val="17"/>
                <w:color w:val="auto"/>
              </w:rPr>
            </w:pPr>
          </w:p>
        </w:tc>
        <w:tc>
          <w:tcPr>
            <w:tcW w:w="300" w:type="dxa"/>
            <w:vAlign w:val="bottom"/>
            <w:shd w:val="clear" w:color="auto" w:fill="0088A6"/>
          </w:tcPr>
          <w:p>
            <w:pPr>
              <w:spacing w:after="0"/>
              <w:rPr>
                <w:sz w:val="17"/>
                <w:szCs w:val="17"/>
                <w:color w:val="auto"/>
              </w:rPr>
            </w:pPr>
          </w:p>
        </w:tc>
        <w:tc>
          <w:tcPr>
            <w:tcW w:w="1140" w:type="dxa"/>
            <w:vAlign w:val="bottom"/>
            <w:shd w:val="clear" w:color="auto" w:fill="0088A6"/>
          </w:tcPr>
          <w:p>
            <w:pPr>
              <w:spacing w:after="0"/>
              <w:rPr>
                <w:sz w:val="17"/>
                <w:szCs w:val="17"/>
                <w:color w:val="auto"/>
              </w:rPr>
            </w:pPr>
          </w:p>
        </w:tc>
        <w:tc>
          <w:tcPr>
            <w:tcW w:w="10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80" w:type="dxa"/>
            <w:vAlign w:val="bottom"/>
            <w:shd w:val="clear" w:color="auto" w:fill="0088A6"/>
          </w:tcPr>
          <w:p>
            <w:pPr>
              <w:spacing w:after="0"/>
              <w:rPr>
                <w:sz w:val="17"/>
                <w:szCs w:val="17"/>
                <w:color w:val="auto"/>
              </w:rPr>
            </w:pPr>
          </w:p>
        </w:tc>
        <w:tc>
          <w:tcPr>
            <w:tcW w:w="1420" w:type="dxa"/>
            <w:vAlign w:val="bottom"/>
            <w:tcBorders>
              <w:right w:val="single" w:sz="8" w:color="BFBFBF"/>
            </w:tcBorders>
            <w:gridSpan w:val="2"/>
            <w:shd w:val="clear" w:color="auto" w:fill="0088A6"/>
          </w:tcPr>
          <w:p>
            <w:pPr>
              <w:jc w:val="center"/>
              <w:ind w:right="180"/>
              <w:spacing w:after="0"/>
              <w:rPr>
                <w:sz w:val="20"/>
                <w:szCs w:val="20"/>
                <w:color w:val="auto"/>
              </w:rPr>
            </w:pPr>
            <w:r>
              <w:rPr>
                <w:rFonts w:ascii="Arial" w:cs="Arial" w:eastAsia="Arial" w:hAnsi="Arial"/>
                <w:sz w:val="18"/>
                <w:szCs w:val="18"/>
                <w:b w:val="1"/>
                <w:bCs w:val="1"/>
                <w:color w:val="FFFFFF"/>
                <w:w w:val="97"/>
              </w:rPr>
              <w:t>NASDAQ</w:t>
            </w:r>
          </w:p>
        </w:tc>
        <w:tc>
          <w:tcPr>
            <w:tcW w:w="100" w:type="dxa"/>
            <w:vAlign w:val="bottom"/>
            <w:shd w:val="clear" w:color="auto" w:fill="0088A6"/>
          </w:tcPr>
          <w:p>
            <w:pPr>
              <w:spacing w:after="0"/>
              <w:rPr>
                <w:sz w:val="17"/>
                <w:szCs w:val="17"/>
                <w:color w:val="auto"/>
              </w:rPr>
            </w:pPr>
          </w:p>
        </w:tc>
        <w:tc>
          <w:tcPr>
            <w:tcW w:w="1340" w:type="dxa"/>
            <w:vAlign w:val="bottom"/>
            <w:tcBorders>
              <w:right w:val="single" w:sz="8" w:color="BFBFBF"/>
            </w:tcBorders>
            <w:shd w:val="clear" w:color="auto" w:fill="0088A6"/>
          </w:tcPr>
          <w:p>
            <w:pPr>
              <w:jc w:val="center"/>
              <w:ind w:right="37"/>
              <w:spacing w:after="0"/>
              <w:rPr>
                <w:sz w:val="20"/>
                <w:szCs w:val="20"/>
                <w:color w:val="auto"/>
              </w:rPr>
            </w:pPr>
            <w:r>
              <w:rPr>
                <w:rFonts w:ascii="Arial" w:cs="Arial" w:eastAsia="Arial" w:hAnsi="Arial"/>
                <w:sz w:val="18"/>
                <w:szCs w:val="18"/>
                <w:b w:val="1"/>
                <w:bCs w:val="1"/>
                <w:color w:val="FFFFFF"/>
                <w:w w:val="96"/>
              </w:rPr>
              <w:t>Payout</w:t>
            </w:r>
          </w:p>
        </w:tc>
        <w:tc>
          <w:tcPr>
            <w:tcW w:w="0" w:type="dxa"/>
            <w:vAlign w:val="bottom"/>
          </w:tcPr>
          <w:p>
            <w:pPr>
              <w:spacing w:after="0"/>
              <w:rPr>
                <w:sz w:val="1"/>
                <w:szCs w:val="1"/>
                <w:color w:val="auto"/>
              </w:rPr>
            </w:pPr>
          </w:p>
        </w:tc>
      </w:tr>
      <w:tr>
        <w:trPr>
          <w:trHeight w:val="203"/>
        </w:trPr>
        <w:tc>
          <w:tcPr>
            <w:tcW w:w="3540" w:type="dxa"/>
            <w:vAlign w:val="bottom"/>
            <w:tcBorders>
              <w:left w:val="single" w:sz="8" w:color="BFBFBF"/>
            </w:tcBorders>
            <w:shd w:val="clear" w:color="auto" w:fill="0088A6"/>
          </w:tcPr>
          <w:p>
            <w:pPr>
              <w:spacing w:after="0"/>
              <w:rPr>
                <w:sz w:val="17"/>
                <w:szCs w:val="17"/>
                <w:color w:val="auto"/>
              </w:rPr>
            </w:pPr>
          </w:p>
        </w:tc>
        <w:tc>
          <w:tcPr>
            <w:tcW w:w="14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1120" w:type="dxa"/>
            <w:vAlign w:val="bottom"/>
            <w:shd w:val="clear" w:color="auto" w:fill="0088A6"/>
          </w:tcPr>
          <w:p>
            <w:pPr>
              <w:spacing w:after="0"/>
              <w:rPr>
                <w:sz w:val="17"/>
                <w:szCs w:val="17"/>
                <w:color w:val="auto"/>
              </w:rPr>
            </w:pPr>
          </w:p>
        </w:tc>
        <w:tc>
          <w:tcPr>
            <w:tcW w:w="10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1100" w:type="dxa"/>
            <w:vAlign w:val="bottom"/>
            <w:tcBorders>
              <w:right w:val="single" w:sz="8" w:color="BFBFBF"/>
            </w:tcBorders>
            <w:shd w:val="clear" w:color="auto" w:fill="0088A6"/>
          </w:tcPr>
          <w:p>
            <w:pPr>
              <w:spacing w:after="0"/>
              <w:rPr>
                <w:sz w:val="17"/>
                <w:szCs w:val="17"/>
                <w:color w:val="auto"/>
              </w:rPr>
            </w:pPr>
          </w:p>
        </w:tc>
        <w:tc>
          <w:tcPr>
            <w:tcW w:w="300" w:type="dxa"/>
            <w:vAlign w:val="bottom"/>
            <w:shd w:val="clear" w:color="auto" w:fill="0088A6"/>
          </w:tcPr>
          <w:p>
            <w:pPr>
              <w:spacing w:after="0"/>
              <w:rPr>
                <w:sz w:val="17"/>
                <w:szCs w:val="17"/>
                <w:color w:val="auto"/>
              </w:rPr>
            </w:pPr>
          </w:p>
        </w:tc>
        <w:tc>
          <w:tcPr>
            <w:tcW w:w="1140" w:type="dxa"/>
            <w:vAlign w:val="bottom"/>
            <w:shd w:val="clear" w:color="auto" w:fill="0088A6"/>
          </w:tcPr>
          <w:p>
            <w:pPr>
              <w:spacing w:after="0"/>
              <w:rPr>
                <w:sz w:val="17"/>
                <w:szCs w:val="17"/>
                <w:color w:val="auto"/>
              </w:rPr>
            </w:pPr>
          </w:p>
        </w:tc>
        <w:tc>
          <w:tcPr>
            <w:tcW w:w="10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80" w:type="dxa"/>
            <w:vAlign w:val="bottom"/>
            <w:shd w:val="clear" w:color="auto" w:fill="0088A6"/>
          </w:tcPr>
          <w:p>
            <w:pPr>
              <w:spacing w:after="0"/>
              <w:rPr>
                <w:sz w:val="17"/>
                <w:szCs w:val="17"/>
                <w:color w:val="auto"/>
              </w:rPr>
            </w:pPr>
          </w:p>
        </w:tc>
        <w:tc>
          <w:tcPr>
            <w:tcW w:w="1420" w:type="dxa"/>
            <w:vAlign w:val="bottom"/>
            <w:tcBorders>
              <w:right w:val="single" w:sz="8" w:color="BFBFBF"/>
            </w:tcBorders>
            <w:gridSpan w:val="2"/>
            <w:shd w:val="clear" w:color="auto" w:fill="0088A6"/>
          </w:tcPr>
          <w:p>
            <w:pPr>
              <w:jc w:val="center"/>
              <w:ind w:right="160"/>
              <w:spacing w:after="0" w:line="202" w:lineRule="exact"/>
              <w:rPr>
                <w:sz w:val="20"/>
                <w:szCs w:val="20"/>
                <w:color w:val="auto"/>
              </w:rPr>
            </w:pPr>
            <w:r>
              <w:rPr>
                <w:rFonts w:ascii="Arial" w:cs="Arial" w:eastAsia="Arial" w:hAnsi="Arial"/>
                <w:sz w:val="18"/>
                <w:szCs w:val="18"/>
                <w:b w:val="1"/>
                <w:bCs w:val="1"/>
                <w:color w:val="FFFFFF"/>
                <w:w w:val="96"/>
              </w:rPr>
              <w:t>OMX’s</w:t>
            </w:r>
          </w:p>
        </w:tc>
        <w:tc>
          <w:tcPr>
            <w:tcW w:w="100" w:type="dxa"/>
            <w:vAlign w:val="bottom"/>
            <w:shd w:val="clear" w:color="auto" w:fill="0088A6"/>
          </w:tcPr>
          <w:p>
            <w:pPr>
              <w:spacing w:after="0"/>
              <w:rPr>
                <w:sz w:val="17"/>
                <w:szCs w:val="17"/>
                <w:color w:val="auto"/>
              </w:rPr>
            </w:pPr>
          </w:p>
        </w:tc>
        <w:tc>
          <w:tcPr>
            <w:tcW w:w="1340" w:type="dxa"/>
            <w:vAlign w:val="bottom"/>
            <w:tcBorders>
              <w:right w:val="single" w:sz="8" w:color="BFBFBF"/>
            </w:tcBorders>
            <w:shd w:val="clear" w:color="auto" w:fill="0088A6"/>
          </w:tcPr>
          <w:p>
            <w:pPr>
              <w:jc w:val="center"/>
              <w:ind w:right="57"/>
              <w:spacing w:after="0" w:line="202" w:lineRule="exact"/>
              <w:rPr>
                <w:sz w:val="20"/>
                <w:szCs w:val="20"/>
                <w:color w:val="auto"/>
              </w:rPr>
            </w:pPr>
            <w:r>
              <w:rPr>
                <w:rFonts w:ascii="Arial" w:cs="Arial" w:eastAsia="Arial" w:hAnsi="Arial"/>
                <w:sz w:val="18"/>
                <w:szCs w:val="18"/>
                <w:b w:val="1"/>
                <w:bCs w:val="1"/>
                <w:color w:val="FFFFFF"/>
                <w:w w:val="97"/>
              </w:rPr>
              <w:t>Percentage of</w:t>
            </w:r>
          </w:p>
        </w:tc>
        <w:tc>
          <w:tcPr>
            <w:tcW w:w="0" w:type="dxa"/>
            <w:vAlign w:val="bottom"/>
          </w:tcPr>
          <w:p>
            <w:pPr>
              <w:spacing w:after="0"/>
              <w:rPr>
                <w:sz w:val="1"/>
                <w:szCs w:val="1"/>
                <w:color w:val="auto"/>
              </w:rPr>
            </w:pPr>
          </w:p>
        </w:tc>
      </w:tr>
      <w:tr>
        <w:trPr>
          <w:trHeight w:val="203"/>
        </w:trPr>
        <w:tc>
          <w:tcPr>
            <w:tcW w:w="3540" w:type="dxa"/>
            <w:vAlign w:val="bottom"/>
            <w:tcBorders>
              <w:left w:val="single" w:sz="8" w:color="BFBFBF"/>
            </w:tcBorders>
            <w:shd w:val="clear" w:color="auto" w:fill="0088A6"/>
          </w:tcPr>
          <w:p>
            <w:pPr>
              <w:spacing w:after="0"/>
              <w:rPr>
                <w:sz w:val="17"/>
                <w:szCs w:val="17"/>
                <w:color w:val="auto"/>
              </w:rPr>
            </w:pPr>
          </w:p>
        </w:tc>
        <w:tc>
          <w:tcPr>
            <w:tcW w:w="14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1120" w:type="dxa"/>
            <w:vAlign w:val="bottom"/>
            <w:shd w:val="clear" w:color="auto" w:fill="0088A6"/>
          </w:tcPr>
          <w:p>
            <w:pPr>
              <w:spacing w:after="0"/>
              <w:rPr>
                <w:sz w:val="17"/>
                <w:szCs w:val="17"/>
                <w:color w:val="auto"/>
              </w:rPr>
            </w:pPr>
          </w:p>
        </w:tc>
        <w:tc>
          <w:tcPr>
            <w:tcW w:w="10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1100" w:type="dxa"/>
            <w:vAlign w:val="bottom"/>
            <w:tcBorders>
              <w:right w:val="single" w:sz="8" w:color="BFBFBF"/>
            </w:tcBorders>
            <w:shd w:val="clear" w:color="auto" w:fill="0088A6"/>
          </w:tcPr>
          <w:p>
            <w:pPr>
              <w:spacing w:after="0"/>
              <w:rPr>
                <w:sz w:val="17"/>
                <w:szCs w:val="17"/>
                <w:color w:val="auto"/>
              </w:rPr>
            </w:pPr>
          </w:p>
        </w:tc>
        <w:tc>
          <w:tcPr>
            <w:tcW w:w="300" w:type="dxa"/>
            <w:vAlign w:val="bottom"/>
            <w:shd w:val="clear" w:color="auto" w:fill="0088A6"/>
          </w:tcPr>
          <w:p>
            <w:pPr>
              <w:spacing w:after="0"/>
              <w:rPr>
                <w:sz w:val="17"/>
                <w:szCs w:val="17"/>
                <w:color w:val="auto"/>
              </w:rPr>
            </w:pPr>
          </w:p>
        </w:tc>
        <w:tc>
          <w:tcPr>
            <w:tcW w:w="1140" w:type="dxa"/>
            <w:vAlign w:val="bottom"/>
            <w:shd w:val="clear" w:color="auto" w:fill="0088A6"/>
          </w:tcPr>
          <w:p>
            <w:pPr>
              <w:spacing w:after="0"/>
              <w:rPr>
                <w:sz w:val="17"/>
                <w:szCs w:val="17"/>
                <w:color w:val="auto"/>
              </w:rPr>
            </w:pPr>
          </w:p>
        </w:tc>
        <w:tc>
          <w:tcPr>
            <w:tcW w:w="10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1500" w:type="dxa"/>
            <w:vAlign w:val="bottom"/>
            <w:tcBorders>
              <w:right w:val="single" w:sz="8" w:color="BFBFBF"/>
            </w:tcBorders>
            <w:gridSpan w:val="3"/>
            <w:shd w:val="clear" w:color="auto" w:fill="0088A6"/>
          </w:tcPr>
          <w:p>
            <w:pPr>
              <w:jc w:val="center"/>
              <w:ind w:right="100"/>
              <w:spacing w:after="0" w:line="202" w:lineRule="exact"/>
              <w:rPr>
                <w:sz w:val="20"/>
                <w:szCs w:val="20"/>
                <w:color w:val="auto"/>
              </w:rPr>
            </w:pPr>
            <w:r>
              <w:rPr>
                <w:rFonts w:ascii="Arial" w:cs="Arial" w:eastAsia="Arial" w:hAnsi="Arial"/>
                <w:sz w:val="18"/>
                <w:szCs w:val="18"/>
                <w:b w:val="1"/>
                <w:bCs w:val="1"/>
                <w:color w:val="FFFFFF"/>
                <w:w w:val="97"/>
              </w:rPr>
              <w:t>Results for 2012</w:t>
            </w:r>
          </w:p>
        </w:tc>
        <w:tc>
          <w:tcPr>
            <w:tcW w:w="100" w:type="dxa"/>
            <w:vAlign w:val="bottom"/>
            <w:shd w:val="clear" w:color="auto" w:fill="0088A6"/>
          </w:tcPr>
          <w:p>
            <w:pPr>
              <w:spacing w:after="0"/>
              <w:rPr>
                <w:sz w:val="17"/>
                <w:szCs w:val="17"/>
                <w:color w:val="auto"/>
              </w:rPr>
            </w:pPr>
          </w:p>
        </w:tc>
        <w:tc>
          <w:tcPr>
            <w:tcW w:w="1340" w:type="dxa"/>
            <w:vAlign w:val="bottom"/>
            <w:tcBorders>
              <w:right w:val="single" w:sz="8" w:color="BFBFBF"/>
            </w:tcBorders>
            <w:shd w:val="clear" w:color="auto" w:fill="0088A6"/>
          </w:tcPr>
          <w:p>
            <w:pPr>
              <w:jc w:val="center"/>
              <w:ind w:right="57"/>
              <w:spacing w:after="0" w:line="202" w:lineRule="exact"/>
              <w:rPr>
                <w:sz w:val="20"/>
                <w:szCs w:val="20"/>
                <w:color w:val="auto"/>
              </w:rPr>
            </w:pPr>
            <w:r>
              <w:rPr>
                <w:rFonts w:ascii="Arial" w:cs="Arial" w:eastAsia="Arial" w:hAnsi="Arial"/>
                <w:sz w:val="18"/>
                <w:szCs w:val="18"/>
                <w:b w:val="1"/>
                <w:bCs w:val="1"/>
                <w:color w:val="FFFFFF"/>
                <w:w w:val="94"/>
              </w:rPr>
              <w:t>Target</w:t>
            </w:r>
          </w:p>
        </w:tc>
        <w:tc>
          <w:tcPr>
            <w:tcW w:w="0" w:type="dxa"/>
            <w:vAlign w:val="bottom"/>
          </w:tcPr>
          <w:p>
            <w:pPr>
              <w:spacing w:after="0"/>
              <w:rPr>
                <w:sz w:val="1"/>
                <w:szCs w:val="1"/>
                <w:color w:val="auto"/>
              </w:rPr>
            </w:pPr>
          </w:p>
        </w:tc>
      </w:tr>
      <w:tr>
        <w:trPr>
          <w:trHeight w:val="203"/>
        </w:trPr>
        <w:tc>
          <w:tcPr>
            <w:tcW w:w="3540" w:type="dxa"/>
            <w:vAlign w:val="bottom"/>
            <w:tcBorders>
              <w:left w:val="single" w:sz="8" w:color="BFBFBF"/>
            </w:tcBorders>
            <w:shd w:val="clear" w:color="auto" w:fill="0088A6"/>
          </w:tcPr>
          <w:p>
            <w:pPr>
              <w:spacing w:after="0"/>
              <w:rPr>
                <w:sz w:val="17"/>
                <w:szCs w:val="17"/>
                <w:color w:val="auto"/>
              </w:rPr>
            </w:pPr>
          </w:p>
        </w:tc>
        <w:tc>
          <w:tcPr>
            <w:tcW w:w="14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1120" w:type="dxa"/>
            <w:vAlign w:val="bottom"/>
            <w:shd w:val="clear" w:color="auto" w:fill="0088A6"/>
          </w:tcPr>
          <w:p>
            <w:pPr>
              <w:spacing w:after="0"/>
              <w:rPr>
                <w:sz w:val="17"/>
                <w:szCs w:val="17"/>
                <w:color w:val="auto"/>
              </w:rPr>
            </w:pPr>
          </w:p>
        </w:tc>
        <w:tc>
          <w:tcPr>
            <w:tcW w:w="10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1100" w:type="dxa"/>
            <w:vAlign w:val="bottom"/>
            <w:tcBorders>
              <w:right w:val="single" w:sz="8" w:color="BFBFBF"/>
            </w:tcBorders>
            <w:shd w:val="clear" w:color="auto" w:fill="0088A6"/>
          </w:tcPr>
          <w:p>
            <w:pPr>
              <w:spacing w:after="0"/>
              <w:rPr>
                <w:sz w:val="17"/>
                <w:szCs w:val="17"/>
                <w:color w:val="auto"/>
              </w:rPr>
            </w:pPr>
          </w:p>
        </w:tc>
        <w:tc>
          <w:tcPr>
            <w:tcW w:w="300" w:type="dxa"/>
            <w:vAlign w:val="bottom"/>
            <w:shd w:val="clear" w:color="auto" w:fill="0088A6"/>
          </w:tcPr>
          <w:p>
            <w:pPr>
              <w:spacing w:after="0"/>
              <w:rPr>
                <w:sz w:val="17"/>
                <w:szCs w:val="17"/>
                <w:color w:val="auto"/>
              </w:rPr>
            </w:pPr>
          </w:p>
        </w:tc>
        <w:tc>
          <w:tcPr>
            <w:tcW w:w="1240" w:type="dxa"/>
            <w:vAlign w:val="bottom"/>
            <w:tcBorders>
              <w:right w:val="single" w:sz="8" w:color="BFBFBF"/>
            </w:tcBorders>
            <w:gridSpan w:val="2"/>
            <w:shd w:val="clear" w:color="auto" w:fill="0088A6"/>
          </w:tcPr>
          <w:p>
            <w:pPr>
              <w:jc w:val="center"/>
              <w:ind w:right="80"/>
              <w:spacing w:after="0" w:line="202" w:lineRule="exact"/>
              <w:rPr>
                <w:sz w:val="20"/>
                <w:szCs w:val="20"/>
                <w:color w:val="auto"/>
              </w:rPr>
            </w:pPr>
            <w:r>
              <w:rPr>
                <w:rFonts w:ascii="Arial" w:cs="Arial" w:eastAsia="Arial" w:hAnsi="Arial"/>
                <w:sz w:val="18"/>
                <w:szCs w:val="18"/>
                <w:b w:val="1"/>
                <w:bCs w:val="1"/>
                <w:color w:val="FFFFFF"/>
                <w:w w:val="96"/>
              </w:rPr>
              <w:t>Maximum</w:t>
            </w:r>
          </w:p>
        </w:tc>
        <w:tc>
          <w:tcPr>
            <w:tcW w:w="320" w:type="dxa"/>
            <w:vAlign w:val="bottom"/>
            <w:shd w:val="clear" w:color="auto" w:fill="0088A6"/>
          </w:tcPr>
          <w:p>
            <w:pPr>
              <w:spacing w:after="0"/>
              <w:rPr>
                <w:sz w:val="17"/>
                <w:szCs w:val="17"/>
                <w:color w:val="auto"/>
              </w:rPr>
            </w:pPr>
          </w:p>
        </w:tc>
        <w:tc>
          <w:tcPr>
            <w:tcW w:w="1500" w:type="dxa"/>
            <w:vAlign w:val="bottom"/>
            <w:tcBorders>
              <w:right w:val="single" w:sz="8" w:color="BFBFBF"/>
            </w:tcBorders>
            <w:gridSpan w:val="3"/>
            <w:shd w:val="clear" w:color="auto" w:fill="0088A6"/>
          </w:tcPr>
          <w:p>
            <w:pPr>
              <w:jc w:val="center"/>
              <w:ind w:right="80"/>
              <w:spacing w:after="0" w:line="202" w:lineRule="exact"/>
              <w:rPr>
                <w:sz w:val="20"/>
                <w:szCs w:val="20"/>
                <w:color w:val="auto"/>
              </w:rPr>
            </w:pPr>
            <w:r>
              <w:rPr>
                <w:rFonts w:ascii="Arial" w:cs="Arial" w:eastAsia="Arial" w:hAnsi="Arial"/>
                <w:sz w:val="18"/>
                <w:szCs w:val="18"/>
                <w:b w:val="1"/>
                <w:bCs w:val="1"/>
                <w:color w:val="FFFFFF"/>
                <w:w w:val="97"/>
              </w:rPr>
              <w:t>as Measured for</w:t>
            </w:r>
          </w:p>
        </w:tc>
        <w:tc>
          <w:tcPr>
            <w:tcW w:w="100" w:type="dxa"/>
            <w:vAlign w:val="bottom"/>
            <w:shd w:val="clear" w:color="auto" w:fill="0088A6"/>
          </w:tcPr>
          <w:p>
            <w:pPr>
              <w:spacing w:after="0"/>
              <w:rPr>
                <w:sz w:val="17"/>
                <w:szCs w:val="17"/>
                <w:color w:val="auto"/>
              </w:rPr>
            </w:pPr>
          </w:p>
        </w:tc>
        <w:tc>
          <w:tcPr>
            <w:tcW w:w="1340" w:type="dxa"/>
            <w:vAlign w:val="bottom"/>
            <w:tcBorders>
              <w:right w:val="single" w:sz="8" w:color="BFBFBF"/>
            </w:tcBorders>
            <w:shd w:val="clear" w:color="auto" w:fill="0088A6"/>
          </w:tcPr>
          <w:p>
            <w:pPr>
              <w:jc w:val="center"/>
              <w:ind w:right="57"/>
              <w:spacing w:after="0" w:line="202" w:lineRule="exact"/>
              <w:rPr>
                <w:sz w:val="20"/>
                <w:szCs w:val="20"/>
                <w:color w:val="auto"/>
              </w:rPr>
            </w:pPr>
            <w:r>
              <w:rPr>
                <w:rFonts w:ascii="Arial" w:cs="Arial" w:eastAsia="Arial" w:hAnsi="Arial"/>
                <w:sz w:val="18"/>
                <w:szCs w:val="18"/>
                <w:b w:val="1"/>
                <w:bCs w:val="1"/>
                <w:color w:val="FFFFFF"/>
                <w:w w:val="97"/>
              </w:rPr>
              <w:t>Incentive</w:t>
            </w:r>
          </w:p>
        </w:tc>
        <w:tc>
          <w:tcPr>
            <w:tcW w:w="0" w:type="dxa"/>
            <w:vAlign w:val="bottom"/>
          </w:tcPr>
          <w:p>
            <w:pPr>
              <w:spacing w:after="0"/>
              <w:rPr>
                <w:sz w:val="1"/>
                <w:szCs w:val="1"/>
                <w:color w:val="auto"/>
              </w:rPr>
            </w:pPr>
          </w:p>
        </w:tc>
      </w:tr>
      <w:tr>
        <w:trPr>
          <w:trHeight w:val="203"/>
        </w:trPr>
        <w:tc>
          <w:tcPr>
            <w:tcW w:w="3680" w:type="dxa"/>
            <w:vAlign w:val="bottom"/>
            <w:tcBorders>
              <w:left w:val="single" w:sz="8" w:color="BFBFBF"/>
              <w:right w:val="single" w:sz="8" w:color="BFBFBF"/>
            </w:tcBorders>
            <w:gridSpan w:val="2"/>
            <w:vMerge w:val="restart"/>
            <w:shd w:val="clear" w:color="auto" w:fill="0088A6"/>
          </w:tcPr>
          <w:p>
            <w:pPr>
              <w:ind w:left="220"/>
              <w:spacing w:after="0"/>
              <w:rPr>
                <w:sz w:val="20"/>
                <w:szCs w:val="20"/>
                <w:color w:val="auto"/>
              </w:rPr>
            </w:pPr>
            <w:r>
              <w:rPr>
                <w:rFonts w:ascii="Arial" w:cs="Arial" w:eastAsia="Arial" w:hAnsi="Arial"/>
                <w:sz w:val="18"/>
                <w:szCs w:val="18"/>
                <w:b w:val="1"/>
                <w:bCs w:val="1"/>
                <w:color w:val="FFFFFF"/>
              </w:rPr>
              <w:t>Corporate Objective</w:t>
            </w:r>
          </w:p>
        </w:tc>
        <w:tc>
          <w:tcPr>
            <w:tcW w:w="320" w:type="dxa"/>
            <w:vAlign w:val="bottom"/>
            <w:shd w:val="clear" w:color="auto" w:fill="0088A6"/>
          </w:tcPr>
          <w:p>
            <w:pPr>
              <w:spacing w:after="0"/>
              <w:rPr>
                <w:sz w:val="17"/>
                <w:szCs w:val="17"/>
                <w:color w:val="auto"/>
              </w:rPr>
            </w:pPr>
          </w:p>
        </w:tc>
        <w:tc>
          <w:tcPr>
            <w:tcW w:w="1120" w:type="dxa"/>
            <w:vAlign w:val="bottom"/>
            <w:shd w:val="clear" w:color="auto" w:fill="0088A6"/>
          </w:tcPr>
          <w:p>
            <w:pPr>
              <w:spacing w:after="0"/>
              <w:rPr>
                <w:sz w:val="17"/>
                <w:szCs w:val="17"/>
                <w:color w:val="auto"/>
              </w:rPr>
            </w:pPr>
          </w:p>
        </w:tc>
        <w:tc>
          <w:tcPr>
            <w:tcW w:w="100" w:type="dxa"/>
            <w:vAlign w:val="bottom"/>
            <w:tcBorders>
              <w:right w:val="single" w:sz="8" w:color="BFBFBF"/>
            </w:tcBorders>
            <w:shd w:val="clear" w:color="auto" w:fill="0088A6"/>
          </w:tcPr>
          <w:p>
            <w:pPr>
              <w:spacing w:after="0"/>
              <w:rPr>
                <w:sz w:val="17"/>
                <w:szCs w:val="17"/>
                <w:color w:val="auto"/>
              </w:rPr>
            </w:pPr>
          </w:p>
        </w:tc>
        <w:tc>
          <w:tcPr>
            <w:tcW w:w="320" w:type="dxa"/>
            <w:vAlign w:val="bottom"/>
            <w:shd w:val="clear" w:color="auto" w:fill="0088A6"/>
          </w:tcPr>
          <w:p>
            <w:pPr>
              <w:spacing w:after="0"/>
              <w:rPr>
                <w:sz w:val="17"/>
                <w:szCs w:val="17"/>
                <w:color w:val="auto"/>
              </w:rPr>
            </w:pPr>
          </w:p>
        </w:tc>
        <w:tc>
          <w:tcPr>
            <w:tcW w:w="1100" w:type="dxa"/>
            <w:vAlign w:val="bottom"/>
            <w:tcBorders>
              <w:right w:val="single" w:sz="8" w:color="BFBFBF"/>
            </w:tcBorders>
            <w:shd w:val="clear" w:color="auto" w:fill="0088A6"/>
          </w:tcPr>
          <w:p>
            <w:pPr>
              <w:spacing w:after="0"/>
              <w:rPr>
                <w:sz w:val="17"/>
                <w:szCs w:val="17"/>
                <w:color w:val="auto"/>
              </w:rPr>
            </w:pPr>
          </w:p>
        </w:tc>
        <w:tc>
          <w:tcPr>
            <w:tcW w:w="300" w:type="dxa"/>
            <w:vAlign w:val="bottom"/>
            <w:shd w:val="clear" w:color="auto" w:fill="0088A6"/>
          </w:tcPr>
          <w:p>
            <w:pPr>
              <w:spacing w:after="0"/>
              <w:rPr>
                <w:sz w:val="17"/>
                <w:szCs w:val="17"/>
                <w:color w:val="auto"/>
              </w:rPr>
            </w:pPr>
          </w:p>
        </w:tc>
        <w:tc>
          <w:tcPr>
            <w:tcW w:w="1240" w:type="dxa"/>
            <w:vAlign w:val="bottom"/>
            <w:tcBorders>
              <w:right w:val="single" w:sz="8" w:color="BFBFBF"/>
            </w:tcBorders>
            <w:gridSpan w:val="2"/>
            <w:shd w:val="clear" w:color="auto" w:fill="0088A6"/>
          </w:tcPr>
          <w:p>
            <w:pPr>
              <w:jc w:val="center"/>
              <w:ind w:right="80"/>
              <w:spacing w:after="0" w:line="202" w:lineRule="exact"/>
              <w:rPr>
                <w:sz w:val="20"/>
                <w:szCs w:val="20"/>
                <w:color w:val="auto"/>
              </w:rPr>
            </w:pPr>
            <w:r>
              <w:rPr>
                <w:rFonts w:ascii="Arial" w:cs="Arial" w:eastAsia="Arial" w:hAnsi="Arial"/>
                <w:sz w:val="18"/>
                <w:szCs w:val="18"/>
                <w:b w:val="1"/>
                <w:bCs w:val="1"/>
                <w:color w:val="FFFFFF"/>
                <w:w w:val="98"/>
              </w:rPr>
              <w:t>(for 200%</w:t>
            </w:r>
          </w:p>
        </w:tc>
        <w:tc>
          <w:tcPr>
            <w:tcW w:w="320" w:type="dxa"/>
            <w:vAlign w:val="bottom"/>
            <w:shd w:val="clear" w:color="auto" w:fill="0088A6"/>
          </w:tcPr>
          <w:p>
            <w:pPr>
              <w:spacing w:after="0"/>
              <w:rPr>
                <w:sz w:val="17"/>
                <w:szCs w:val="17"/>
                <w:color w:val="auto"/>
              </w:rPr>
            </w:pPr>
          </w:p>
        </w:tc>
        <w:tc>
          <w:tcPr>
            <w:tcW w:w="80" w:type="dxa"/>
            <w:vAlign w:val="bottom"/>
            <w:shd w:val="clear" w:color="auto" w:fill="0088A6"/>
          </w:tcPr>
          <w:p>
            <w:pPr>
              <w:spacing w:after="0"/>
              <w:rPr>
                <w:sz w:val="17"/>
                <w:szCs w:val="17"/>
                <w:color w:val="auto"/>
              </w:rPr>
            </w:pPr>
          </w:p>
        </w:tc>
        <w:tc>
          <w:tcPr>
            <w:tcW w:w="1420" w:type="dxa"/>
            <w:vAlign w:val="bottom"/>
            <w:tcBorders>
              <w:right w:val="single" w:sz="8" w:color="BFBFBF"/>
            </w:tcBorders>
            <w:gridSpan w:val="2"/>
            <w:shd w:val="clear" w:color="auto" w:fill="0088A6"/>
          </w:tcPr>
          <w:p>
            <w:pPr>
              <w:jc w:val="center"/>
              <w:ind w:right="160"/>
              <w:spacing w:after="0" w:line="202" w:lineRule="exact"/>
              <w:rPr>
                <w:sz w:val="20"/>
                <w:szCs w:val="20"/>
                <w:color w:val="auto"/>
              </w:rPr>
            </w:pPr>
            <w:r>
              <w:rPr>
                <w:rFonts w:ascii="Arial" w:cs="Arial" w:eastAsia="Arial" w:hAnsi="Arial"/>
                <w:sz w:val="18"/>
                <w:szCs w:val="18"/>
                <w:b w:val="1"/>
                <w:bCs w:val="1"/>
                <w:color w:val="FFFFFF"/>
                <w:w w:val="97"/>
              </w:rPr>
              <w:t>Compensation</w:t>
            </w:r>
          </w:p>
        </w:tc>
        <w:tc>
          <w:tcPr>
            <w:tcW w:w="100" w:type="dxa"/>
            <w:vAlign w:val="bottom"/>
            <w:shd w:val="clear" w:color="auto" w:fill="0088A6"/>
          </w:tcPr>
          <w:p>
            <w:pPr>
              <w:spacing w:after="0"/>
              <w:rPr>
                <w:sz w:val="17"/>
                <w:szCs w:val="17"/>
                <w:color w:val="auto"/>
              </w:rPr>
            </w:pPr>
          </w:p>
        </w:tc>
        <w:tc>
          <w:tcPr>
            <w:tcW w:w="1340" w:type="dxa"/>
            <w:vAlign w:val="bottom"/>
            <w:tcBorders>
              <w:right w:val="single" w:sz="8" w:color="BFBFBF"/>
            </w:tcBorders>
            <w:shd w:val="clear" w:color="auto" w:fill="0088A6"/>
          </w:tcPr>
          <w:p>
            <w:pPr>
              <w:jc w:val="center"/>
              <w:ind w:right="37"/>
              <w:spacing w:after="0" w:line="202" w:lineRule="exact"/>
              <w:rPr>
                <w:sz w:val="20"/>
                <w:szCs w:val="20"/>
                <w:color w:val="auto"/>
              </w:rPr>
            </w:pPr>
            <w:r>
              <w:rPr>
                <w:rFonts w:ascii="Arial" w:cs="Arial" w:eastAsia="Arial" w:hAnsi="Arial"/>
                <w:sz w:val="18"/>
                <w:szCs w:val="18"/>
                <w:b w:val="1"/>
                <w:bCs w:val="1"/>
                <w:color w:val="FFFFFF"/>
                <w:w w:val="98"/>
              </w:rPr>
              <w:t>Award</w:t>
            </w:r>
          </w:p>
        </w:tc>
        <w:tc>
          <w:tcPr>
            <w:tcW w:w="0" w:type="dxa"/>
            <w:vAlign w:val="bottom"/>
          </w:tcPr>
          <w:p>
            <w:pPr>
              <w:spacing w:after="0"/>
              <w:rPr>
                <w:sz w:val="1"/>
                <w:szCs w:val="1"/>
                <w:color w:val="auto"/>
              </w:rPr>
            </w:pPr>
          </w:p>
        </w:tc>
      </w:tr>
      <w:tr>
        <w:trPr>
          <w:trHeight w:val="261"/>
        </w:trPr>
        <w:tc>
          <w:tcPr>
            <w:tcW w:w="3680" w:type="dxa"/>
            <w:vAlign w:val="bottom"/>
            <w:tcBorders>
              <w:left w:val="single" w:sz="8" w:color="BFBFBF"/>
              <w:right w:val="single" w:sz="8" w:color="BFBFBF"/>
            </w:tcBorders>
            <w:gridSpan w:val="2"/>
            <w:vMerge w:val="continue"/>
            <w:shd w:val="clear" w:color="auto" w:fill="0088A6"/>
          </w:tcPr>
          <w:p>
            <w:pPr>
              <w:spacing w:after="0"/>
              <w:rPr>
                <w:sz w:val="22"/>
                <w:szCs w:val="22"/>
                <w:color w:val="auto"/>
              </w:rPr>
            </w:pPr>
          </w:p>
        </w:tc>
        <w:tc>
          <w:tcPr>
            <w:tcW w:w="320" w:type="dxa"/>
            <w:vAlign w:val="bottom"/>
            <w:shd w:val="clear" w:color="auto" w:fill="0088A6"/>
          </w:tcPr>
          <w:p>
            <w:pPr>
              <w:spacing w:after="0"/>
              <w:rPr>
                <w:sz w:val="22"/>
                <w:szCs w:val="22"/>
                <w:color w:val="auto"/>
              </w:rPr>
            </w:pPr>
          </w:p>
        </w:tc>
        <w:tc>
          <w:tcPr>
            <w:tcW w:w="1220" w:type="dxa"/>
            <w:vAlign w:val="bottom"/>
            <w:tcBorders>
              <w:right w:val="single" w:sz="8" w:color="BFBFBF"/>
            </w:tcBorders>
            <w:gridSpan w:val="2"/>
            <w:shd w:val="clear" w:color="auto" w:fill="0088A6"/>
          </w:tcPr>
          <w:p>
            <w:pPr>
              <w:jc w:val="right"/>
              <w:ind w:right="280"/>
              <w:spacing w:after="0"/>
              <w:rPr>
                <w:sz w:val="20"/>
                <w:szCs w:val="20"/>
                <w:color w:val="auto"/>
              </w:rPr>
            </w:pPr>
            <w:r>
              <w:rPr>
                <w:rFonts w:ascii="Arial" w:cs="Arial" w:eastAsia="Arial" w:hAnsi="Arial"/>
                <w:sz w:val="18"/>
                <w:szCs w:val="18"/>
                <w:b w:val="1"/>
                <w:bCs w:val="1"/>
                <w:color w:val="FFFFFF"/>
              </w:rPr>
              <w:t>Minimum</w:t>
            </w:r>
          </w:p>
        </w:tc>
        <w:tc>
          <w:tcPr>
            <w:tcW w:w="320" w:type="dxa"/>
            <w:vAlign w:val="bottom"/>
            <w:shd w:val="clear" w:color="auto" w:fill="0088A6"/>
          </w:tcPr>
          <w:p>
            <w:pPr>
              <w:spacing w:after="0"/>
              <w:rPr>
                <w:sz w:val="22"/>
                <w:szCs w:val="22"/>
                <w:color w:val="auto"/>
              </w:rPr>
            </w:pPr>
          </w:p>
        </w:tc>
        <w:tc>
          <w:tcPr>
            <w:tcW w:w="1100" w:type="dxa"/>
            <w:vAlign w:val="bottom"/>
            <w:tcBorders>
              <w:right w:val="single" w:sz="8" w:color="BFBFBF"/>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4"/>
              </w:rPr>
              <w:t>Target</w:t>
            </w:r>
          </w:p>
        </w:tc>
        <w:tc>
          <w:tcPr>
            <w:tcW w:w="300" w:type="dxa"/>
            <w:vAlign w:val="bottom"/>
            <w:shd w:val="clear" w:color="auto" w:fill="0088A6"/>
          </w:tcPr>
          <w:p>
            <w:pPr>
              <w:spacing w:after="0"/>
              <w:rPr>
                <w:sz w:val="22"/>
                <w:szCs w:val="22"/>
                <w:color w:val="auto"/>
              </w:rPr>
            </w:pPr>
          </w:p>
        </w:tc>
        <w:tc>
          <w:tcPr>
            <w:tcW w:w="1240" w:type="dxa"/>
            <w:vAlign w:val="bottom"/>
            <w:tcBorders>
              <w:right w:val="single" w:sz="8" w:color="BFBFBF"/>
            </w:tcBorders>
            <w:gridSpan w:val="2"/>
            <w:shd w:val="clear" w:color="auto" w:fill="0088A6"/>
          </w:tcPr>
          <w:p>
            <w:pPr>
              <w:jc w:val="center"/>
              <w:ind w:right="80"/>
              <w:spacing w:after="0"/>
              <w:rPr>
                <w:sz w:val="20"/>
                <w:szCs w:val="20"/>
                <w:color w:val="auto"/>
              </w:rPr>
            </w:pPr>
            <w:r>
              <w:rPr>
                <w:rFonts w:ascii="Arial" w:cs="Arial" w:eastAsia="Arial" w:hAnsi="Arial"/>
                <w:sz w:val="18"/>
                <w:szCs w:val="18"/>
                <w:b w:val="1"/>
                <w:bCs w:val="1"/>
                <w:color w:val="FFFFFF"/>
                <w:w w:val="98"/>
              </w:rPr>
              <w:t>payout)</w:t>
            </w:r>
          </w:p>
        </w:tc>
        <w:tc>
          <w:tcPr>
            <w:tcW w:w="320" w:type="dxa"/>
            <w:vAlign w:val="bottom"/>
            <w:shd w:val="clear" w:color="auto" w:fill="0088A6"/>
          </w:tcPr>
          <w:p>
            <w:pPr>
              <w:spacing w:after="0"/>
              <w:rPr>
                <w:sz w:val="22"/>
                <w:szCs w:val="22"/>
                <w:color w:val="auto"/>
              </w:rPr>
            </w:pPr>
          </w:p>
        </w:tc>
        <w:tc>
          <w:tcPr>
            <w:tcW w:w="80" w:type="dxa"/>
            <w:vAlign w:val="bottom"/>
            <w:shd w:val="clear" w:color="auto" w:fill="0088A6"/>
          </w:tcPr>
          <w:p>
            <w:pPr>
              <w:spacing w:after="0"/>
              <w:rPr>
                <w:sz w:val="22"/>
                <w:szCs w:val="22"/>
                <w:color w:val="auto"/>
              </w:rPr>
            </w:pPr>
          </w:p>
        </w:tc>
        <w:tc>
          <w:tcPr>
            <w:tcW w:w="1420" w:type="dxa"/>
            <w:vAlign w:val="bottom"/>
            <w:tcBorders>
              <w:right w:val="single" w:sz="8" w:color="BFBFBF"/>
            </w:tcBorders>
            <w:gridSpan w:val="2"/>
            <w:shd w:val="clear" w:color="auto" w:fill="0088A6"/>
          </w:tcPr>
          <w:p>
            <w:pPr>
              <w:jc w:val="center"/>
              <w:ind w:right="180"/>
              <w:spacing w:after="0"/>
              <w:rPr>
                <w:sz w:val="20"/>
                <w:szCs w:val="20"/>
                <w:color w:val="auto"/>
              </w:rPr>
            </w:pPr>
            <w:r>
              <w:rPr>
                <w:rFonts w:ascii="Arial" w:cs="Arial" w:eastAsia="Arial" w:hAnsi="Arial"/>
                <w:sz w:val="18"/>
                <w:szCs w:val="18"/>
                <w:b w:val="1"/>
                <w:bCs w:val="1"/>
                <w:color w:val="FFFFFF"/>
                <w:w w:val="97"/>
              </w:rPr>
              <w:t>Purposes</w:t>
            </w:r>
          </w:p>
        </w:tc>
        <w:tc>
          <w:tcPr>
            <w:tcW w:w="100" w:type="dxa"/>
            <w:vAlign w:val="bottom"/>
            <w:shd w:val="clear" w:color="auto" w:fill="0088A6"/>
          </w:tcPr>
          <w:p>
            <w:pPr>
              <w:spacing w:after="0"/>
              <w:rPr>
                <w:sz w:val="22"/>
                <w:szCs w:val="22"/>
                <w:color w:val="auto"/>
              </w:rPr>
            </w:pPr>
          </w:p>
        </w:tc>
        <w:tc>
          <w:tcPr>
            <w:tcW w:w="1340" w:type="dxa"/>
            <w:vAlign w:val="bottom"/>
            <w:tcBorders>
              <w:right w:val="single" w:sz="8" w:color="BFBFBF"/>
            </w:tcBorders>
            <w:shd w:val="clear" w:color="auto" w:fill="0088A6"/>
          </w:tcPr>
          <w:p>
            <w:pPr>
              <w:jc w:val="center"/>
              <w:ind w:right="37"/>
              <w:spacing w:after="0"/>
              <w:rPr>
                <w:sz w:val="20"/>
                <w:szCs w:val="20"/>
                <w:color w:val="auto"/>
              </w:rPr>
            </w:pPr>
            <w:r>
              <w:rPr>
                <w:rFonts w:ascii="Arial" w:cs="Arial" w:eastAsia="Arial" w:hAnsi="Arial"/>
                <w:sz w:val="18"/>
                <w:szCs w:val="18"/>
                <w:b w:val="1"/>
                <w:bCs w:val="1"/>
                <w:color w:val="FFFFFF"/>
                <w:w w:val="97"/>
              </w:rPr>
              <w:t>Amount</w:t>
            </w:r>
          </w:p>
        </w:tc>
        <w:tc>
          <w:tcPr>
            <w:tcW w:w="0" w:type="dxa"/>
            <w:vAlign w:val="bottom"/>
          </w:tcPr>
          <w:p>
            <w:pPr>
              <w:spacing w:after="0"/>
              <w:rPr>
                <w:sz w:val="1"/>
                <w:szCs w:val="1"/>
                <w:color w:val="auto"/>
              </w:rPr>
            </w:pPr>
          </w:p>
        </w:tc>
      </w:tr>
      <w:tr>
        <w:trPr>
          <w:trHeight w:val="128"/>
        </w:trPr>
        <w:tc>
          <w:tcPr>
            <w:tcW w:w="3540" w:type="dxa"/>
            <w:vAlign w:val="bottom"/>
            <w:tcBorders>
              <w:top w:val="single" w:sz="8" w:color="auto"/>
              <w:left w:val="single" w:sz="8" w:color="BFBFBF"/>
            </w:tcBorders>
          </w:tcPr>
          <w:p>
            <w:pPr>
              <w:spacing w:after="0"/>
              <w:rPr>
                <w:sz w:val="11"/>
                <w:szCs w:val="11"/>
                <w:color w:val="auto"/>
              </w:rPr>
            </w:pPr>
          </w:p>
        </w:tc>
        <w:tc>
          <w:tcPr>
            <w:tcW w:w="140" w:type="dxa"/>
            <w:vAlign w:val="bottom"/>
            <w:tcBorders>
              <w:top w:val="single" w:sz="8" w:color="auto"/>
              <w:right w:val="single" w:sz="8" w:color="BFBFBF"/>
            </w:tcBorders>
          </w:tcPr>
          <w:p>
            <w:pPr>
              <w:spacing w:after="0"/>
              <w:rPr>
                <w:sz w:val="11"/>
                <w:szCs w:val="11"/>
                <w:color w:val="auto"/>
              </w:rPr>
            </w:pPr>
          </w:p>
        </w:tc>
        <w:tc>
          <w:tcPr>
            <w:tcW w:w="320" w:type="dxa"/>
            <w:vAlign w:val="bottom"/>
            <w:tcBorders>
              <w:top w:val="single" w:sz="8" w:color="0088A6"/>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0088A6"/>
              <w:right w:val="single" w:sz="8" w:color="BFBFBF"/>
            </w:tcBorders>
          </w:tcPr>
          <w:p>
            <w:pPr>
              <w:spacing w:after="0"/>
              <w:rPr>
                <w:sz w:val="11"/>
                <w:szCs w:val="11"/>
                <w:color w:val="auto"/>
              </w:rPr>
            </w:pPr>
          </w:p>
        </w:tc>
        <w:tc>
          <w:tcPr>
            <w:tcW w:w="320" w:type="dxa"/>
            <w:vAlign w:val="bottom"/>
            <w:tcBorders>
              <w:top w:val="single" w:sz="8" w:color="0088A6"/>
            </w:tcBorders>
          </w:tcPr>
          <w:p>
            <w:pPr>
              <w:spacing w:after="0"/>
              <w:rPr>
                <w:sz w:val="11"/>
                <w:szCs w:val="11"/>
                <w:color w:val="auto"/>
              </w:rPr>
            </w:pPr>
          </w:p>
        </w:tc>
        <w:tc>
          <w:tcPr>
            <w:tcW w:w="1100" w:type="dxa"/>
            <w:vAlign w:val="bottom"/>
            <w:tcBorders>
              <w:top w:val="single" w:sz="8" w:color="auto"/>
              <w:right w:val="single" w:sz="8" w:color="BFBFBF"/>
            </w:tcBorders>
          </w:tcPr>
          <w:p>
            <w:pPr>
              <w:jc w:val="center"/>
              <w:spacing w:after="0" w:line="129" w:lineRule="exact"/>
              <w:rPr>
                <w:sz w:val="20"/>
                <w:szCs w:val="20"/>
                <w:color w:val="auto"/>
              </w:rPr>
            </w:pPr>
            <w:r>
              <w:rPr>
                <w:rFonts w:ascii="Arial" w:cs="Arial" w:eastAsia="Arial" w:hAnsi="Arial"/>
                <w:sz w:val="14"/>
                <w:szCs w:val="14"/>
                <w:color w:val="auto"/>
                <w:w w:val="96"/>
              </w:rPr>
              <w:t>$730.2 million -</w:t>
            </w:r>
          </w:p>
        </w:tc>
        <w:tc>
          <w:tcPr>
            <w:tcW w:w="300" w:type="dxa"/>
            <w:vAlign w:val="bottom"/>
            <w:tcBorders>
              <w:top w:val="single" w:sz="8" w:color="0088A6"/>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0088A6"/>
              <w:right w:val="single" w:sz="8" w:color="BFBFBF"/>
            </w:tcBorders>
          </w:tcPr>
          <w:p>
            <w:pPr>
              <w:spacing w:after="0"/>
              <w:rPr>
                <w:sz w:val="11"/>
                <w:szCs w:val="11"/>
                <w:color w:val="auto"/>
              </w:rPr>
            </w:pPr>
          </w:p>
        </w:tc>
        <w:tc>
          <w:tcPr>
            <w:tcW w:w="320" w:type="dxa"/>
            <w:vAlign w:val="bottom"/>
            <w:tcBorders>
              <w:top w:val="single" w:sz="8" w:color="0088A6"/>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0088A6"/>
              <w:right w:val="single" w:sz="8" w:color="BFBFBF"/>
            </w:tcBorders>
          </w:tcPr>
          <w:p>
            <w:pPr>
              <w:spacing w:after="0"/>
              <w:rPr>
                <w:sz w:val="11"/>
                <w:szCs w:val="11"/>
                <w:color w:val="auto"/>
              </w:rPr>
            </w:pPr>
          </w:p>
        </w:tc>
        <w:tc>
          <w:tcPr>
            <w:tcW w:w="100" w:type="dxa"/>
            <w:vAlign w:val="bottom"/>
            <w:tcBorders>
              <w:top w:val="single" w:sz="8" w:color="0088A6"/>
            </w:tcBorders>
          </w:tcPr>
          <w:p>
            <w:pPr>
              <w:spacing w:after="0"/>
              <w:rPr>
                <w:sz w:val="11"/>
                <w:szCs w:val="11"/>
                <w:color w:val="auto"/>
              </w:rPr>
            </w:pPr>
          </w:p>
        </w:tc>
        <w:tc>
          <w:tcPr>
            <w:tcW w:w="1340" w:type="dxa"/>
            <w:vAlign w:val="bottom"/>
            <w:tcBorders>
              <w:top w:val="single" w:sz="8" w:color="auto"/>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680" w:type="dxa"/>
            <w:vAlign w:val="bottom"/>
            <w:tcBorders>
              <w:left w:val="single" w:sz="8" w:color="BFBFBF"/>
              <w:bottom w:val="single" w:sz="8" w:color="BFBFBF"/>
              <w:right w:val="single" w:sz="8" w:color="BFBFBF"/>
            </w:tcBorders>
            <w:gridSpan w:val="2"/>
          </w:tcPr>
          <w:p>
            <w:pPr>
              <w:ind w:left="200"/>
              <w:spacing w:after="0"/>
              <w:rPr>
                <w:sz w:val="20"/>
                <w:szCs w:val="20"/>
                <w:color w:val="auto"/>
              </w:rPr>
            </w:pPr>
            <w:r>
              <w:rPr>
                <w:rFonts w:ascii="Arial" w:cs="Arial" w:eastAsia="Arial" w:hAnsi="Arial"/>
                <w:sz w:val="14"/>
                <w:szCs w:val="14"/>
                <w:color w:val="auto"/>
              </w:rPr>
              <w:t>Operating Income (Run Rate)(1)</w:t>
            </w:r>
          </w:p>
        </w:tc>
        <w:tc>
          <w:tcPr>
            <w:tcW w:w="320" w:type="dxa"/>
            <w:vAlign w:val="bottom"/>
            <w:tcBorders>
              <w:bottom w:val="single" w:sz="8" w:color="BFBFBF"/>
            </w:tcBorders>
          </w:tcPr>
          <w:p>
            <w:pPr>
              <w:spacing w:after="0"/>
              <w:rPr>
                <w:sz w:val="14"/>
                <w:szCs w:val="14"/>
                <w:color w:val="auto"/>
              </w:rPr>
            </w:pPr>
          </w:p>
        </w:tc>
        <w:tc>
          <w:tcPr>
            <w:tcW w:w="1220" w:type="dxa"/>
            <w:vAlign w:val="bottom"/>
            <w:tcBorders>
              <w:bottom w:val="single" w:sz="8" w:color="BFBFBF"/>
              <w:right w:val="single" w:sz="8" w:color="BFBFBF"/>
            </w:tcBorders>
            <w:gridSpan w:val="2"/>
          </w:tcPr>
          <w:p>
            <w:pPr>
              <w:jc w:val="right"/>
              <w:ind w:right="100"/>
              <w:spacing w:after="0"/>
              <w:rPr>
                <w:sz w:val="20"/>
                <w:szCs w:val="20"/>
                <w:color w:val="auto"/>
              </w:rPr>
            </w:pPr>
            <w:r>
              <w:rPr>
                <w:rFonts w:ascii="Arial" w:cs="Arial" w:eastAsia="Arial" w:hAnsi="Arial"/>
                <w:sz w:val="14"/>
                <w:szCs w:val="14"/>
                <w:color w:val="auto"/>
              </w:rPr>
              <w:t>$696.0 million</w:t>
            </w:r>
          </w:p>
        </w:tc>
        <w:tc>
          <w:tcPr>
            <w:tcW w:w="320" w:type="dxa"/>
            <w:vAlign w:val="bottom"/>
            <w:tcBorders>
              <w:bottom w:val="single" w:sz="8" w:color="BFBFBF"/>
            </w:tcBorders>
          </w:tcPr>
          <w:p>
            <w:pPr>
              <w:spacing w:after="0"/>
              <w:rPr>
                <w:sz w:val="14"/>
                <w:szCs w:val="14"/>
                <w:color w:val="auto"/>
              </w:rPr>
            </w:pPr>
          </w:p>
        </w:tc>
        <w:tc>
          <w:tcPr>
            <w:tcW w:w="1100" w:type="dxa"/>
            <w:vAlign w:val="bottom"/>
            <w:tcBorders>
              <w:bottom w:val="single" w:sz="8" w:color="BFBFBF"/>
              <w:right w:val="single" w:sz="8" w:color="BFBFBF"/>
            </w:tcBorders>
          </w:tcPr>
          <w:p>
            <w:pPr>
              <w:jc w:val="center"/>
              <w:spacing w:after="0"/>
              <w:rPr>
                <w:sz w:val="20"/>
                <w:szCs w:val="20"/>
                <w:color w:val="auto"/>
              </w:rPr>
            </w:pPr>
            <w:r>
              <w:rPr>
                <w:rFonts w:ascii="Arial" w:cs="Arial" w:eastAsia="Arial" w:hAnsi="Arial"/>
                <w:sz w:val="14"/>
                <w:szCs w:val="14"/>
                <w:color w:val="auto"/>
                <w:w w:val="97"/>
              </w:rPr>
              <w:t>$750.2 million</w:t>
            </w:r>
          </w:p>
        </w:tc>
        <w:tc>
          <w:tcPr>
            <w:tcW w:w="300" w:type="dxa"/>
            <w:vAlign w:val="bottom"/>
            <w:tcBorders>
              <w:bottom w:val="single" w:sz="8" w:color="BFBFBF"/>
            </w:tcBorders>
          </w:tcPr>
          <w:p>
            <w:pPr>
              <w:spacing w:after="0"/>
              <w:rPr>
                <w:sz w:val="14"/>
                <w:szCs w:val="14"/>
                <w:color w:val="auto"/>
              </w:rPr>
            </w:pPr>
          </w:p>
        </w:tc>
        <w:tc>
          <w:tcPr>
            <w:tcW w:w="1240" w:type="dxa"/>
            <w:vAlign w:val="bottom"/>
            <w:tcBorders>
              <w:bottom w:val="single" w:sz="8" w:color="BFBFBF"/>
              <w:right w:val="single" w:sz="8" w:color="BFBFBF"/>
            </w:tcBorders>
            <w:gridSpan w:val="2"/>
          </w:tcPr>
          <w:p>
            <w:pPr>
              <w:ind w:left="320"/>
              <w:spacing w:after="0"/>
              <w:rPr>
                <w:sz w:val="20"/>
                <w:szCs w:val="20"/>
                <w:color w:val="auto"/>
              </w:rPr>
            </w:pPr>
            <w:r>
              <w:rPr>
                <w:rFonts w:ascii="Arial" w:cs="Arial" w:eastAsia="Arial" w:hAnsi="Arial"/>
                <w:sz w:val="14"/>
                <w:szCs w:val="14"/>
                <w:color w:val="auto"/>
              </w:rPr>
              <w:t>$795.0 million</w:t>
            </w:r>
          </w:p>
        </w:tc>
        <w:tc>
          <w:tcPr>
            <w:tcW w:w="320" w:type="dxa"/>
            <w:vAlign w:val="bottom"/>
            <w:tcBorders>
              <w:bottom w:val="single" w:sz="8" w:color="BFBFBF"/>
            </w:tcBorders>
          </w:tcPr>
          <w:p>
            <w:pPr>
              <w:spacing w:after="0"/>
              <w:rPr>
                <w:sz w:val="14"/>
                <w:szCs w:val="14"/>
                <w:color w:val="auto"/>
              </w:rPr>
            </w:pPr>
          </w:p>
        </w:tc>
        <w:tc>
          <w:tcPr>
            <w:tcW w:w="80" w:type="dxa"/>
            <w:vAlign w:val="bottom"/>
            <w:tcBorders>
              <w:bottom w:val="single" w:sz="8" w:color="BFBFBF"/>
            </w:tcBorders>
          </w:tcPr>
          <w:p>
            <w:pPr>
              <w:spacing w:after="0"/>
              <w:rPr>
                <w:sz w:val="14"/>
                <w:szCs w:val="14"/>
                <w:color w:val="auto"/>
              </w:rPr>
            </w:pPr>
          </w:p>
        </w:tc>
        <w:tc>
          <w:tcPr>
            <w:tcW w:w="1420" w:type="dxa"/>
            <w:vAlign w:val="bottom"/>
            <w:tcBorders>
              <w:bottom w:val="single" w:sz="8" w:color="BFBFBF"/>
              <w:right w:val="single" w:sz="8" w:color="BFBFBF"/>
            </w:tcBorders>
            <w:gridSpan w:val="2"/>
          </w:tcPr>
          <w:p>
            <w:pPr>
              <w:jc w:val="right"/>
              <w:ind w:right="100"/>
              <w:spacing w:after="0"/>
              <w:rPr>
                <w:sz w:val="20"/>
                <w:szCs w:val="20"/>
                <w:color w:val="auto"/>
              </w:rPr>
            </w:pPr>
            <w:r>
              <w:rPr>
                <w:rFonts w:ascii="Arial" w:cs="Arial" w:eastAsia="Arial" w:hAnsi="Arial"/>
                <w:sz w:val="14"/>
                <w:szCs w:val="14"/>
                <w:color w:val="auto"/>
              </w:rPr>
              <w:t>$757.0 million</w:t>
            </w:r>
          </w:p>
        </w:tc>
        <w:tc>
          <w:tcPr>
            <w:tcW w:w="100" w:type="dxa"/>
            <w:vAlign w:val="bottom"/>
            <w:tcBorders>
              <w:bottom w:val="single" w:sz="8" w:color="BFBFBF"/>
            </w:tcBorders>
          </w:tcPr>
          <w:p>
            <w:pPr>
              <w:spacing w:after="0"/>
              <w:rPr>
                <w:sz w:val="14"/>
                <w:szCs w:val="14"/>
                <w:color w:val="auto"/>
              </w:rPr>
            </w:pPr>
          </w:p>
        </w:tc>
        <w:tc>
          <w:tcPr>
            <w:tcW w:w="1340" w:type="dxa"/>
            <w:vAlign w:val="bottom"/>
            <w:tcBorders>
              <w:bottom w:val="single" w:sz="8" w:color="BFBFBF"/>
              <w:right w:val="single" w:sz="8" w:color="BFBFBF"/>
            </w:tcBorders>
          </w:tcPr>
          <w:p>
            <w:pPr>
              <w:jc w:val="right"/>
              <w:ind w:right="417"/>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1"/>
        </w:trPr>
        <w:tc>
          <w:tcPr>
            <w:tcW w:w="3540" w:type="dxa"/>
            <w:vAlign w:val="bottom"/>
            <w:tcBorders>
              <w:left w:val="single" w:sz="8" w:color="BFBFBF"/>
            </w:tcBorders>
          </w:tcPr>
          <w:p>
            <w:pPr>
              <w:spacing w:after="0"/>
              <w:rPr>
                <w:sz w:val="12"/>
                <w:szCs w:val="12"/>
                <w:color w:val="auto"/>
              </w:rPr>
            </w:pPr>
          </w:p>
        </w:tc>
        <w:tc>
          <w:tcPr>
            <w:tcW w:w="140" w:type="dxa"/>
            <w:vAlign w:val="bottom"/>
            <w:tcBorders>
              <w:right w:val="single" w:sz="8" w:color="BFBFBF"/>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right w:val="single" w:sz="8" w:color="BFBFBF"/>
            </w:tcBorders>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Borders>
              <w:right w:val="single" w:sz="8" w:color="BFBFBF"/>
            </w:tcBorders>
          </w:tcPr>
          <w:p>
            <w:pPr>
              <w:jc w:val="center"/>
              <w:spacing w:after="0" w:line="141" w:lineRule="exact"/>
              <w:rPr>
                <w:sz w:val="20"/>
                <w:szCs w:val="20"/>
                <w:color w:val="auto"/>
              </w:rPr>
            </w:pPr>
            <w:r>
              <w:rPr>
                <w:rFonts w:ascii="Arial" w:cs="Arial" w:eastAsia="Arial" w:hAnsi="Arial"/>
                <w:sz w:val="14"/>
                <w:szCs w:val="14"/>
                <w:color w:val="auto"/>
                <w:w w:val="97"/>
              </w:rPr>
              <w:t>$1,682.7 million -</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right w:val="single" w:sz="8" w:color="BFBFBF"/>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right w:val="single" w:sz="8" w:color="BFBFBF"/>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80" w:type="dxa"/>
            <w:vAlign w:val="bottom"/>
            <w:tcBorders>
              <w:left w:val="single" w:sz="8" w:color="BFBFBF"/>
              <w:bottom w:val="single" w:sz="8" w:color="BFBFBF"/>
              <w:right w:val="single" w:sz="8" w:color="BFBFBF"/>
            </w:tcBorders>
            <w:gridSpan w:val="2"/>
          </w:tcPr>
          <w:p>
            <w:pPr>
              <w:ind w:left="200"/>
              <w:spacing w:after="0"/>
              <w:rPr>
                <w:sz w:val="20"/>
                <w:szCs w:val="20"/>
                <w:color w:val="auto"/>
              </w:rPr>
            </w:pPr>
            <w:r>
              <w:rPr>
                <w:rFonts w:ascii="Arial" w:cs="Arial" w:eastAsia="Arial" w:hAnsi="Arial"/>
                <w:sz w:val="14"/>
                <w:szCs w:val="14"/>
                <w:color w:val="auto"/>
              </w:rPr>
              <w:t>Net Revenue(1)</w:t>
            </w:r>
          </w:p>
        </w:tc>
        <w:tc>
          <w:tcPr>
            <w:tcW w:w="1540" w:type="dxa"/>
            <w:vAlign w:val="bottom"/>
            <w:tcBorders>
              <w:bottom w:val="single" w:sz="8" w:color="BFBFBF"/>
              <w:right w:val="single" w:sz="8" w:color="BFBFBF"/>
            </w:tcBorders>
            <w:gridSpan w:val="3"/>
          </w:tcPr>
          <w:p>
            <w:pPr>
              <w:jc w:val="right"/>
              <w:ind w:right="100"/>
              <w:spacing w:after="0"/>
              <w:rPr>
                <w:sz w:val="20"/>
                <w:szCs w:val="20"/>
                <w:color w:val="auto"/>
              </w:rPr>
            </w:pPr>
            <w:r>
              <w:rPr>
                <w:rFonts w:ascii="Arial" w:cs="Arial" w:eastAsia="Arial" w:hAnsi="Arial"/>
                <w:sz w:val="14"/>
                <w:szCs w:val="14"/>
                <w:color w:val="auto"/>
              </w:rPr>
              <w:t>$   1,630.2 million</w:t>
            </w:r>
          </w:p>
        </w:tc>
        <w:tc>
          <w:tcPr>
            <w:tcW w:w="320" w:type="dxa"/>
            <w:vAlign w:val="bottom"/>
            <w:tcBorders>
              <w:bottom w:val="single" w:sz="8" w:color="BFBFBF"/>
            </w:tcBorders>
          </w:tcPr>
          <w:p>
            <w:pPr>
              <w:spacing w:after="0"/>
              <w:rPr>
                <w:sz w:val="14"/>
                <w:szCs w:val="14"/>
                <w:color w:val="auto"/>
              </w:rPr>
            </w:pPr>
          </w:p>
        </w:tc>
        <w:tc>
          <w:tcPr>
            <w:tcW w:w="1100" w:type="dxa"/>
            <w:vAlign w:val="bottom"/>
            <w:tcBorders>
              <w:bottom w:val="single" w:sz="8" w:color="BFBFBF"/>
              <w:right w:val="single" w:sz="8" w:color="BFBFBF"/>
            </w:tcBorders>
          </w:tcPr>
          <w:p>
            <w:pPr>
              <w:jc w:val="center"/>
              <w:spacing w:after="0"/>
              <w:rPr>
                <w:sz w:val="20"/>
                <w:szCs w:val="20"/>
                <w:color w:val="auto"/>
              </w:rPr>
            </w:pPr>
            <w:r>
              <w:rPr>
                <w:rFonts w:ascii="Arial" w:cs="Arial" w:eastAsia="Arial" w:hAnsi="Arial"/>
                <w:sz w:val="14"/>
                <w:szCs w:val="14"/>
                <w:color w:val="auto"/>
                <w:w w:val="97"/>
              </w:rPr>
              <w:t>$1,712.7 million</w:t>
            </w:r>
          </w:p>
        </w:tc>
        <w:tc>
          <w:tcPr>
            <w:tcW w:w="300" w:type="dxa"/>
            <w:vAlign w:val="bottom"/>
            <w:tcBorders>
              <w:bottom w:val="single" w:sz="8" w:color="BFBFBF"/>
            </w:tcBorders>
          </w:tcPr>
          <w:p>
            <w:pPr>
              <w:spacing w:after="0"/>
              <w:rPr>
                <w:sz w:val="14"/>
                <w:szCs w:val="14"/>
                <w:color w:val="auto"/>
              </w:rPr>
            </w:pPr>
          </w:p>
        </w:tc>
        <w:tc>
          <w:tcPr>
            <w:tcW w:w="1240" w:type="dxa"/>
            <w:vAlign w:val="bottom"/>
            <w:tcBorders>
              <w:bottom w:val="single" w:sz="8" w:color="BFBFBF"/>
              <w:right w:val="single" w:sz="8" w:color="BFBFBF"/>
            </w:tcBorders>
            <w:gridSpan w:val="2"/>
          </w:tcPr>
          <w:p>
            <w:pPr>
              <w:jc w:val="center"/>
              <w:ind w:right="100"/>
              <w:spacing w:after="0"/>
              <w:rPr>
                <w:sz w:val="20"/>
                <w:szCs w:val="20"/>
                <w:color w:val="auto"/>
              </w:rPr>
            </w:pPr>
            <w:r>
              <w:rPr>
                <w:rFonts w:ascii="Arial" w:cs="Arial" w:eastAsia="Arial" w:hAnsi="Arial"/>
                <w:sz w:val="14"/>
                <w:szCs w:val="14"/>
                <w:color w:val="auto"/>
              </w:rPr>
              <w:t>$   1,770.2 million</w:t>
            </w:r>
          </w:p>
        </w:tc>
        <w:tc>
          <w:tcPr>
            <w:tcW w:w="40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FBFBF"/>
              <w:right w:val="single" w:sz="8" w:color="BFBFBF"/>
            </w:tcBorders>
            <w:gridSpan w:val="2"/>
          </w:tcPr>
          <w:p>
            <w:pPr>
              <w:jc w:val="right"/>
              <w:ind w:right="100"/>
              <w:spacing w:after="0"/>
              <w:rPr>
                <w:sz w:val="20"/>
                <w:szCs w:val="20"/>
                <w:color w:val="auto"/>
              </w:rPr>
            </w:pPr>
            <w:r>
              <w:rPr>
                <w:rFonts w:ascii="Arial" w:cs="Arial" w:eastAsia="Arial" w:hAnsi="Arial"/>
                <w:sz w:val="14"/>
                <w:szCs w:val="14"/>
                <w:color w:val="auto"/>
              </w:rPr>
              <w:t>1,651.6 million</w:t>
            </w:r>
          </w:p>
        </w:tc>
        <w:tc>
          <w:tcPr>
            <w:tcW w:w="100" w:type="dxa"/>
            <w:vAlign w:val="bottom"/>
            <w:tcBorders>
              <w:bottom w:val="single" w:sz="8" w:color="BFBFBF"/>
            </w:tcBorders>
          </w:tcPr>
          <w:p>
            <w:pPr>
              <w:spacing w:after="0"/>
              <w:rPr>
                <w:sz w:val="14"/>
                <w:szCs w:val="14"/>
                <w:color w:val="auto"/>
              </w:rPr>
            </w:pPr>
          </w:p>
        </w:tc>
        <w:tc>
          <w:tcPr>
            <w:tcW w:w="1340" w:type="dxa"/>
            <w:vAlign w:val="bottom"/>
            <w:tcBorders>
              <w:bottom w:val="single" w:sz="8" w:color="BFBFBF"/>
              <w:right w:val="single" w:sz="8" w:color="BFBFBF"/>
            </w:tcBorders>
          </w:tcPr>
          <w:p>
            <w:pPr>
              <w:jc w:val="right"/>
              <w:ind w:right="457"/>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02"/>
        </w:trPr>
        <w:tc>
          <w:tcPr>
            <w:tcW w:w="3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-513715</wp:posOffset>
            </wp:positionV>
            <wp:extent cx="889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-513715</wp:posOffset>
            </wp:positionV>
            <wp:extent cx="889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889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-513715</wp:posOffset>
            </wp:positionV>
            <wp:extent cx="889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78" w:lineRule="exact"/>
        <w:rPr>
          <w:sz w:val="20"/>
          <w:szCs w:val="20"/>
          <w:color w:val="auto"/>
        </w:rPr>
      </w:pPr>
    </w:p>
    <w:p>
      <w:pPr>
        <w:ind w:left="580" w:right="180" w:hanging="572"/>
        <w:spacing w:after="0" w:line="236"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these purposes, operating income (run rate) and net revenue exclude the effects of foreign exchange and extraordinary transactions. Operating income (run rate) also excludes certain non-recurring expense items, such as charges relating to restructuring, special legal expenses, mergers and strategic initiatives, sublease reserves and other expenses, as well as a gain relating to a value-added tax refund. Net revenue also excludes gains from open positions relating to the operations of The NASDAQ Stock Market. As a result, these calculations differ from the GAAP calculations of operating income and revenues less transaction rebates, brokerage, clearance and exchange fees reported in our Form 10-K.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about NASDAQ OMX’s financial results in 2012, see “Compensation Discussion and Analysis – 2012 Business Highlights.”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Unit Strategic Objectives Performance vs. Goals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and board assessed each officer’s achievement of the business unit strategic objectives in 2012, as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Shavel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Shavel’s business unit strategic objectives were scored as follows: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220" w:type="dxa"/>
            <w:vAlign w:val="bottom"/>
            <w:tcBorders>
              <w:left w:val="single" w:sz="8" w:color="BFBFBF"/>
              <w:right w:val="single" w:sz="8" w:color="BFBFBF"/>
            </w:tcBorders>
            <w:shd w:val="clear" w:color="auto" w:fill="0088A6"/>
          </w:tcPr>
          <w:p>
            <w:pPr>
              <w:spacing w:after="0"/>
              <w:rPr>
                <w:sz w:val="18"/>
                <w:szCs w:val="18"/>
                <w:color w:val="auto"/>
              </w:rPr>
            </w:pPr>
          </w:p>
        </w:tc>
        <w:tc>
          <w:tcPr>
            <w:tcW w:w="640" w:type="dxa"/>
            <w:vAlign w:val="bottom"/>
            <w:shd w:val="clear" w:color="auto" w:fill="0088A6"/>
          </w:tcPr>
          <w:p>
            <w:pPr>
              <w:spacing w:after="0"/>
              <w:rPr>
                <w:sz w:val="18"/>
                <w:szCs w:val="18"/>
                <w:color w:val="auto"/>
              </w:rPr>
            </w:pPr>
          </w:p>
        </w:tc>
        <w:tc>
          <w:tcPr>
            <w:tcW w:w="1320" w:type="dxa"/>
            <w:vAlign w:val="bottom"/>
            <w:tcBorders>
              <w:right w:val="single" w:sz="8" w:color="BFBFBF"/>
            </w:tcBorders>
            <w:shd w:val="clear" w:color="auto" w:fill="0088A6"/>
          </w:tcPr>
          <w:p>
            <w:pPr>
              <w:spacing w:after="0"/>
              <w:rPr>
                <w:sz w:val="18"/>
                <w:szCs w:val="18"/>
                <w:color w:val="auto"/>
              </w:rPr>
            </w:pPr>
          </w:p>
        </w:tc>
        <w:tc>
          <w:tcPr>
            <w:tcW w:w="760" w:type="dxa"/>
            <w:vAlign w:val="bottom"/>
            <w:shd w:val="clear" w:color="auto" w:fill="0088A6"/>
          </w:tcPr>
          <w:p>
            <w:pPr>
              <w:spacing w:after="0"/>
              <w:rPr>
                <w:sz w:val="18"/>
                <w:szCs w:val="18"/>
                <w:color w:val="auto"/>
              </w:rPr>
            </w:pPr>
          </w:p>
        </w:tc>
        <w:tc>
          <w:tcPr>
            <w:tcW w:w="1500" w:type="dxa"/>
            <w:vAlign w:val="bottom"/>
            <w:tcBorders>
              <w:right w:val="single" w:sz="8" w:color="BFBFBF"/>
            </w:tcBorders>
            <w:shd w:val="clear" w:color="auto" w:fill="0088A6"/>
          </w:tcPr>
          <w:p>
            <w:pPr>
              <w:jc w:val="center"/>
              <w:ind w:right="32"/>
              <w:spacing w:after="0"/>
              <w:rPr>
                <w:sz w:val="20"/>
                <w:szCs w:val="20"/>
                <w:color w:val="auto"/>
              </w:rPr>
            </w:pPr>
            <w:r>
              <w:rPr>
                <w:rFonts w:ascii="Arial" w:cs="Arial" w:eastAsia="Arial" w:hAnsi="Arial"/>
                <w:sz w:val="18"/>
                <w:szCs w:val="18"/>
                <w:b w:val="1"/>
                <w:bCs w:val="1"/>
                <w:color w:val="FFFFFF"/>
                <w:w w:val="95"/>
              </w:rPr>
              <w:t>Score as a</w:t>
            </w:r>
          </w:p>
        </w:tc>
        <w:tc>
          <w:tcPr>
            <w:tcW w:w="0" w:type="dxa"/>
            <w:vAlign w:val="bottom"/>
          </w:tcPr>
          <w:p>
            <w:pPr>
              <w:spacing w:after="0"/>
              <w:rPr>
                <w:sz w:val="1"/>
                <w:szCs w:val="1"/>
                <w:color w:val="auto"/>
              </w:rPr>
            </w:pPr>
          </w:p>
        </w:tc>
      </w:tr>
      <w:tr>
        <w:trPr>
          <w:trHeight w:val="203"/>
        </w:trPr>
        <w:tc>
          <w:tcPr>
            <w:tcW w:w="7220" w:type="dxa"/>
            <w:vAlign w:val="bottom"/>
            <w:tcBorders>
              <w:left w:val="single" w:sz="8" w:color="BFBFBF"/>
              <w:right w:val="single" w:sz="8" w:color="BFBFBF"/>
            </w:tcBorders>
            <w:vMerge w:val="restart"/>
            <w:shd w:val="clear" w:color="auto" w:fill="0088A6"/>
          </w:tcPr>
          <w:p>
            <w:pPr>
              <w:ind w:left="280"/>
              <w:spacing w:after="0"/>
              <w:rPr>
                <w:sz w:val="20"/>
                <w:szCs w:val="20"/>
                <w:color w:val="auto"/>
              </w:rPr>
            </w:pPr>
            <w:r>
              <w:rPr>
                <w:rFonts w:ascii="Arial" w:cs="Arial" w:eastAsia="Arial" w:hAnsi="Arial"/>
                <w:sz w:val="18"/>
                <w:szCs w:val="18"/>
                <w:b w:val="1"/>
                <w:bCs w:val="1"/>
                <w:color w:val="FFFFFF"/>
              </w:rPr>
              <w:t>Goal</w:t>
            </w:r>
          </w:p>
        </w:tc>
        <w:tc>
          <w:tcPr>
            <w:tcW w:w="640" w:type="dxa"/>
            <w:vAlign w:val="bottom"/>
            <w:shd w:val="clear" w:color="auto" w:fill="0088A6"/>
          </w:tcPr>
          <w:p>
            <w:pPr>
              <w:spacing w:after="0"/>
              <w:rPr>
                <w:sz w:val="17"/>
                <w:szCs w:val="17"/>
                <w:color w:val="auto"/>
              </w:rPr>
            </w:pPr>
          </w:p>
        </w:tc>
        <w:tc>
          <w:tcPr>
            <w:tcW w:w="1320" w:type="dxa"/>
            <w:vAlign w:val="bottom"/>
            <w:tcBorders>
              <w:right w:val="single" w:sz="8" w:color="BFBFBF"/>
            </w:tcBorders>
            <w:shd w:val="clear" w:color="auto" w:fill="0088A6"/>
          </w:tcPr>
          <w:p>
            <w:pPr>
              <w:ind w:left="460"/>
              <w:spacing w:after="0" w:line="202" w:lineRule="exact"/>
              <w:rPr>
                <w:sz w:val="20"/>
                <w:szCs w:val="20"/>
                <w:color w:val="auto"/>
              </w:rPr>
            </w:pPr>
            <w:r>
              <w:rPr>
                <w:rFonts w:ascii="Arial" w:cs="Arial" w:eastAsia="Arial" w:hAnsi="Arial"/>
                <w:sz w:val="18"/>
                <w:szCs w:val="18"/>
                <w:b w:val="1"/>
                <w:bCs w:val="1"/>
                <w:color w:val="FFFFFF"/>
              </w:rPr>
              <w:t>Goal</w:t>
            </w:r>
          </w:p>
        </w:tc>
        <w:tc>
          <w:tcPr>
            <w:tcW w:w="760" w:type="dxa"/>
            <w:vAlign w:val="bottom"/>
            <w:shd w:val="clear" w:color="auto" w:fill="0088A6"/>
          </w:tcPr>
          <w:p>
            <w:pPr>
              <w:spacing w:after="0"/>
              <w:rPr>
                <w:sz w:val="17"/>
                <w:szCs w:val="17"/>
                <w:color w:val="auto"/>
              </w:rPr>
            </w:pPr>
          </w:p>
        </w:tc>
        <w:tc>
          <w:tcPr>
            <w:tcW w:w="1500" w:type="dxa"/>
            <w:vAlign w:val="bottom"/>
            <w:tcBorders>
              <w:right w:val="single" w:sz="8" w:color="BFBFBF"/>
            </w:tcBorders>
            <w:shd w:val="clear" w:color="auto" w:fill="0088A6"/>
          </w:tcPr>
          <w:p>
            <w:pPr>
              <w:jc w:val="center"/>
              <w:ind w:right="32"/>
              <w:spacing w:after="0" w:line="202" w:lineRule="exact"/>
              <w:rPr>
                <w:sz w:val="20"/>
                <w:szCs w:val="20"/>
                <w:color w:val="auto"/>
              </w:rPr>
            </w:pPr>
            <w:r>
              <w:rPr>
                <w:rFonts w:ascii="Arial" w:cs="Arial" w:eastAsia="Arial" w:hAnsi="Arial"/>
                <w:sz w:val="18"/>
                <w:szCs w:val="18"/>
                <w:b w:val="1"/>
                <w:bCs w:val="1"/>
                <w:color w:val="FFFFFF"/>
                <w:w w:val="97"/>
              </w:rPr>
              <w:t>Percent of</w:t>
            </w:r>
          </w:p>
        </w:tc>
        <w:tc>
          <w:tcPr>
            <w:tcW w:w="0" w:type="dxa"/>
            <w:vAlign w:val="bottom"/>
          </w:tcPr>
          <w:p>
            <w:pPr>
              <w:spacing w:after="0"/>
              <w:rPr>
                <w:sz w:val="1"/>
                <w:szCs w:val="1"/>
                <w:color w:val="auto"/>
              </w:rPr>
            </w:pPr>
          </w:p>
        </w:tc>
      </w:tr>
      <w:tr>
        <w:trPr>
          <w:trHeight w:val="261"/>
        </w:trPr>
        <w:tc>
          <w:tcPr>
            <w:tcW w:w="7220" w:type="dxa"/>
            <w:vAlign w:val="bottom"/>
            <w:tcBorders>
              <w:left w:val="single" w:sz="8" w:color="BFBFBF"/>
              <w:bottom w:val="single" w:sz="8" w:color="auto"/>
              <w:right w:val="single" w:sz="8" w:color="BFBFBF"/>
            </w:tcBorders>
            <w:vMerge w:val="continue"/>
            <w:shd w:val="clear" w:color="auto" w:fill="0088A6"/>
          </w:tcPr>
          <w:p>
            <w:pPr>
              <w:spacing w:after="0"/>
              <w:rPr>
                <w:sz w:val="22"/>
                <w:szCs w:val="22"/>
                <w:color w:val="auto"/>
              </w:rPr>
            </w:pPr>
          </w:p>
        </w:tc>
        <w:tc>
          <w:tcPr>
            <w:tcW w:w="640" w:type="dxa"/>
            <w:vAlign w:val="bottom"/>
            <w:tcBorders>
              <w:bottom w:val="single" w:sz="8" w:color="0088A6"/>
            </w:tcBorders>
            <w:shd w:val="clear" w:color="auto" w:fill="0088A6"/>
          </w:tcPr>
          <w:p>
            <w:pPr>
              <w:spacing w:after="0"/>
              <w:rPr>
                <w:sz w:val="22"/>
                <w:szCs w:val="22"/>
                <w:color w:val="auto"/>
              </w:rPr>
            </w:pPr>
          </w:p>
        </w:tc>
        <w:tc>
          <w:tcPr>
            <w:tcW w:w="1320" w:type="dxa"/>
            <w:vAlign w:val="bottom"/>
            <w:tcBorders>
              <w:bottom w:val="single" w:sz="8" w:color="auto"/>
              <w:right w:val="single" w:sz="8" w:color="BFBFBF"/>
            </w:tcBorders>
            <w:shd w:val="clear" w:color="auto" w:fill="0088A6"/>
          </w:tcPr>
          <w:p>
            <w:pPr>
              <w:ind w:left="220"/>
              <w:spacing w:after="0"/>
              <w:rPr>
                <w:sz w:val="20"/>
                <w:szCs w:val="20"/>
                <w:color w:val="auto"/>
              </w:rPr>
            </w:pPr>
            <w:r>
              <w:rPr>
                <w:rFonts w:ascii="Arial" w:cs="Arial" w:eastAsia="Arial" w:hAnsi="Arial"/>
                <w:sz w:val="18"/>
                <w:szCs w:val="18"/>
                <w:b w:val="1"/>
                <w:bCs w:val="1"/>
                <w:color w:val="FFFFFF"/>
              </w:rPr>
              <w:t>Weighting</w:t>
            </w:r>
          </w:p>
        </w:tc>
        <w:tc>
          <w:tcPr>
            <w:tcW w:w="760" w:type="dxa"/>
            <w:vAlign w:val="bottom"/>
            <w:tcBorders>
              <w:bottom w:val="single" w:sz="8" w:color="0088A6"/>
            </w:tcBorders>
            <w:shd w:val="clear" w:color="auto" w:fill="0088A6"/>
          </w:tcPr>
          <w:p>
            <w:pPr>
              <w:spacing w:after="0"/>
              <w:rPr>
                <w:sz w:val="22"/>
                <w:szCs w:val="22"/>
                <w:color w:val="auto"/>
              </w:rPr>
            </w:pPr>
          </w:p>
        </w:tc>
        <w:tc>
          <w:tcPr>
            <w:tcW w:w="1500" w:type="dxa"/>
            <w:vAlign w:val="bottom"/>
            <w:tcBorders>
              <w:bottom w:val="single" w:sz="8" w:color="auto"/>
              <w:right w:val="single" w:sz="8" w:color="BFBFBF"/>
            </w:tcBorders>
            <w:shd w:val="clear" w:color="auto" w:fill="0088A6"/>
          </w:tcPr>
          <w:p>
            <w:pPr>
              <w:jc w:val="center"/>
              <w:ind w:right="32"/>
              <w:spacing w:after="0"/>
              <w:rPr>
                <w:sz w:val="20"/>
                <w:szCs w:val="20"/>
                <w:color w:val="auto"/>
              </w:rPr>
            </w:pPr>
            <w:r>
              <w:rPr>
                <w:rFonts w:ascii="Arial" w:cs="Arial" w:eastAsia="Arial" w:hAnsi="Arial"/>
                <w:sz w:val="18"/>
                <w:szCs w:val="18"/>
                <w:b w:val="1"/>
                <w:bCs w:val="1"/>
                <w:color w:val="FFFFFF"/>
                <w:w w:val="98"/>
              </w:rPr>
              <w:t>Target</w:t>
            </w:r>
          </w:p>
        </w:tc>
        <w:tc>
          <w:tcPr>
            <w:tcW w:w="0" w:type="dxa"/>
            <w:vAlign w:val="bottom"/>
          </w:tcPr>
          <w:p>
            <w:pPr>
              <w:spacing w:after="0"/>
              <w:rPr>
                <w:sz w:val="1"/>
                <w:szCs w:val="1"/>
                <w:color w:val="auto"/>
              </w:rPr>
            </w:pPr>
          </w:p>
        </w:tc>
      </w:tr>
      <w:tr>
        <w:trPr>
          <w:trHeight w:val="183"/>
        </w:trPr>
        <w:tc>
          <w:tcPr>
            <w:tcW w:w="7220" w:type="dxa"/>
            <w:vAlign w:val="bottom"/>
            <w:tcBorders>
              <w:top w:val="single" w:sz="8" w:color="0088A6"/>
              <w:left w:val="single" w:sz="8" w:color="BFBFBF"/>
              <w:bottom w:val="single" w:sz="8" w:color="BFBFBF"/>
              <w:right w:val="single" w:sz="8" w:color="BFBFBF"/>
            </w:tcBorders>
          </w:tcPr>
          <w:p>
            <w:pPr>
              <w:ind w:left="220"/>
              <w:spacing w:after="0" w:line="183" w:lineRule="exact"/>
              <w:rPr>
                <w:sz w:val="20"/>
                <w:szCs w:val="20"/>
                <w:color w:val="auto"/>
              </w:rPr>
            </w:pPr>
            <w:r>
              <w:rPr>
                <w:rFonts w:ascii="Arial" w:cs="Arial" w:eastAsia="Arial" w:hAnsi="Arial"/>
                <w:sz w:val="18"/>
                <w:szCs w:val="18"/>
                <w:color w:val="auto"/>
              </w:rPr>
              <w:t>Corporate Strategy initiatives, including transactions</w:t>
            </w:r>
          </w:p>
        </w:tc>
        <w:tc>
          <w:tcPr>
            <w:tcW w:w="1960" w:type="dxa"/>
            <w:vAlign w:val="bottom"/>
            <w:tcBorders>
              <w:top w:val="single" w:sz="8" w:color="0088A6"/>
              <w:bottom w:val="single" w:sz="8" w:color="BFBFBF"/>
              <w:right w:val="single" w:sz="8" w:color="BFBFBF"/>
            </w:tcBorders>
            <w:gridSpan w:val="2"/>
          </w:tcPr>
          <w:p>
            <w:pPr>
              <w:ind w:left="1120"/>
              <w:spacing w:after="0" w:line="183" w:lineRule="exact"/>
              <w:rPr>
                <w:sz w:val="20"/>
                <w:szCs w:val="20"/>
                <w:color w:val="auto"/>
              </w:rPr>
            </w:pPr>
            <w:r>
              <w:rPr>
                <w:rFonts w:ascii="Arial" w:cs="Arial" w:eastAsia="Arial" w:hAnsi="Arial"/>
                <w:sz w:val="18"/>
                <w:szCs w:val="18"/>
                <w:color w:val="auto"/>
              </w:rPr>
              <w:t>10%</w:t>
            </w:r>
          </w:p>
        </w:tc>
        <w:tc>
          <w:tcPr>
            <w:tcW w:w="2260" w:type="dxa"/>
            <w:vAlign w:val="bottom"/>
            <w:tcBorders>
              <w:top w:val="single" w:sz="8" w:color="0088A6"/>
              <w:bottom w:val="single" w:sz="8" w:color="BFBFBF"/>
              <w:right w:val="single" w:sz="8" w:color="BFBFBF"/>
            </w:tcBorders>
            <w:gridSpan w:val="2"/>
          </w:tcPr>
          <w:p>
            <w:pPr>
              <w:jc w:val="right"/>
              <w:ind w:right="452"/>
              <w:spacing w:after="0" w:line="183"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99"/>
        </w:trPr>
        <w:tc>
          <w:tcPr>
            <w:tcW w:w="7220" w:type="dxa"/>
            <w:vAlign w:val="bottom"/>
            <w:tcBorders>
              <w:left w:val="single" w:sz="8" w:color="BFBFBF"/>
              <w:right w:val="single" w:sz="8" w:color="BFBFBF"/>
            </w:tcBorders>
          </w:tcPr>
          <w:p>
            <w:pPr>
              <w:ind w:left="220"/>
              <w:spacing w:after="0" w:line="200" w:lineRule="exact"/>
              <w:rPr>
                <w:sz w:val="20"/>
                <w:szCs w:val="20"/>
                <w:color w:val="auto"/>
              </w:rPr>
            </w:pPr>
            <w:r>
              <w:rPr>
                <w:rFonts w:ascii="Arial" w:cs="Arial" w:eastAsia="Arial" w:hAnsi="Arial"/>
                <w:sz w:val="18"/>
                <w:szCs w:val="18"/>
                <w:color w:val="auto"/>
                <w:w w:val="98"/>
              </w:rPr>
              <w:t>Corporate Finance goals relating to expense management, stock price performance, risk</w:t>
            </w:r>
          </w:p>
        </w:tc>
        <w:tc>
          <w:tcPr>
            <w:tcW w:w="1960" w:type="dxa"/>
            <w:vAlign w:val="bottom"/>
            <w:tcBorders>
              <w:right w:val="single" w:sz="8" w:color="BFBFBF"/>
            </w:tcBorders>
            <w:gridSpan w:val="2"/>
          </w:tcPr>
          <w:p>
            <w:pPr>
              <w:ind w:left="1120"/>
              <w:spacing w:after="0" w:line="200" w:lineRule="exact"/>
              <w:rPr>
                <w:sz w:val="20"/>
                <w:szCs w:val="20"/>
                <w:color w:val="auto"/>
              </w:rPr>
            </w:pPr>
            <w:r>
              <w:rPr>
                <w:rFonts w:ascii="Arial" w:cs="Arial" w:eastAsia="Arial" w:hAnsi="Arial"/>
                <w:sz w:val="18"/>
                <w:szCs w:val="18"/>
                <w:color w:val="auto"/>
              </w:rPr>
              <w:t>25%</w:t>
            </w:r>
          </w:p>
        </w:tc>
        <w:tc>
          <w:tcPr>
            <w:tcW w:w="2260" w:type="dxa"/>
            <w:vAlign w:val="bottom"/>
            <w:tcBorders>
              <w:right w:val="single" w:sz="8" w:color="BFBFBF"/>
            </w:tcBorders>
            <w:gridSpan w:val="2"/>
          </w:tcPr>
          <w:p>
            <w:pPr>
              <w:jc w:val="right"/>
              <w:ind w:right="452"/>
              <w:spacing w:after="0" w:line="200"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7220" w:type="dxa"/>
            <w:vAlign w:val="bottom"/>
            <w:tcBorders>
              <w:left w:val="single" w:sz="8" w:color="BFBFBF"/>
              <w:right w:val="single" w:sz="8" w:color="BFBFBF"/>
            </w:tcBorders>
          </w:tcPr>
          <w:p>
            <w:pPr>
              <w:ind w:left="340"/>
              <w:spacing w:after="0" w:line="202" w:lineRule="exact"/>
              <w:rPr>
                <w:sz w:val="20"/>
                <w:szCs w:val="20"/>
                <w:color w:val="auto"/>
              </w:rPr>
            </w:pPr>
            <w:r>
              <w:rPr>
                <w:rFonts w:ascii="Arial" w:cs="Arial" w:eastAsia="Arial" w:hAnsi="Arial"/>
                <w:sz w:val="18"/>
                <w:szCs w:val="18"/>
                <w:color w:val="auto"/>
                <w:w w:val="99"/>
              </w:rPr>
              <w:t>management, NASDAQ OMX’s Growth Initiative Fund Team and return on investment</w:t>
            </w:r>
          </w:p>
        </w:tc>
        <w:tc>
          <w:tcPr>
            <w:tcW w:w="640" w:type="dxa"/>
            <w:vAlign w:val="bottom"/>
          </w:tcPr>
          <w:p>
            <w:pPr>
              <w:spacing w:after="0"/>
              <w:rPr>
                <w:sz w:val="17"/>
                <w:szCs w:val="17"/>
                <w:color w:val="auto"/>
              </w:rPr>
            </w:pPr>
          </w:p>
        </w:tc>
        <w:tc>
          <w:tcPr>
            <w:tcW w:w="1320" w:type="dxa"/>
            <w:vAlign w:val="bottom"/>
            <w:tcBorders>
              <w:right w:val="single" w:sz="8" w:color="BFBFBF"/>
            </w:tcBorders>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220" w:type="dxa"/>
            <w:vAlign w:val="bottom"/>
            <w:tcBorders>
              <w:left w:val="single" w:sz="8" w:color="BFBFBF"/>
              <w:bottom w:val="single" w:sz="8" w:color="BFBFBF"/>
              <w:right w:val="single" w:sz="8" w:color="BFBFBF"/>
            </w:tcBorders>
          </w:tcPr>
          <w:p>
            <w:pPr>
              <w:ind w:left="340"/>
              <w:spacing w:after="0" w:line="200" w:lineRule="exact"/>
              <w:rPr>
                <w:sz w:val="20"/>
                <w:szCs w:val="20"/>
                <w:color w:val="auto"/>
              </w:rPr>
            </w:pPr>
            <w:r>
              <w:rPr>
                <w:rFonts w:ascii="Arial" w:cs="Arial" w:eastAsia="Arial" w:hAnsi="Arial"/>
                <w:sz w:val="18"/>
                <w:szCs w:val="18"/>
                <w:color w:val="auto"/>
              </w:rPr>
              <w:t>capital analysis</w:t>
            </w:r>
          </w:p>
        </w:tc>
        <w:tc>
          <w:tcPr>
            <w:tcW w:w="640" w:type="dxa"/>
            <w:vAlign w:val="bottom"/>
            <w:tcBorders>
              <w:bottom w:val="single" w:sz="8" w:color="BFBFBF"/>
            </w:tcBorders>
          </w:tcPr>
          <w:p>
            <w:pPr>
              <w:spacing w:after="0"/>
              <w:rPr>
                <w:sz w:val="17"/>
                <w:szCs w:val="17"/>
                <w:color w:val="auto"/>
              </w:rPr>
            </w:pPr>
          </w:p>
        </w:tc>
        <w:tc>
          <w:tcPr>
            <w:tcW w:w="1320" w:type="dxa"/>
            <w:vAlign w:val="bottom"/>
            <w:tcBorders>
              <w:bottom w:val="single" w:sz="8" w:color="BFBFBF"/>
              <w:right w:val="single" w:sz="8" w:color="BFBFBF"/>
            </w:tcBorders>
          </w:tcPr>
          <w:p>
            <w:pPr>
              <w:spacing w:after="0"/>
              <w:rPr>
                <w:sz w:val="17"/>
                <w:szCs w:val="17"/>
                <w:color w:val="auto"/>
              </w:rPr>
            </w:pPr>
          </w:p>
        </w:tc>
        <w:tc>
          <w:tcPr>
            <w:tcW w:w="760" w:type="dxa"/>
            <w:vAlign w:val="bottom"/>
            <w:tcBorders>
              <w:bottom w:val="single" w:sz="8" w:color="BFBFBF"/>
            </w:tcBorders>
          </w:tcPr>
          <w:p>
            <w:pPr>
              <w:spacing w:after="0"/>
              <w:rPr>
                <w:sz w:val="17"/>
                <w:szCs w:val="17"/>
                <w:color w:val="auto"/>
              </w:rPr>
            </w:pPr>
          </w:p>
        </w:tc>
        <w:tc>
          <w:tcPr>
            <w:tcW w:w="150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7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gridSpan w:val="3"/>
          </w:tcPr>
          <w:p>
            <w:pPr>
              <w:ind w:left="460"/>
              <w:spacing w:after="0"/>
              <w:rPr>
                <w:sz w:val="20"/>
                <w:szCs w:val="20"/>
                <w:color w:val="auto"/>
              </w:rPr>
            </w:pPr>
            <w:r>
              <w:rPr>
                <w:rFonts w:ascii="Arial" w:cs="Arial" w:eastAsia="Arial" w:hAnsi="Arial"/>
                <w:sz w:val="18"/>
                <w:szCs w:val="18"/>
                <w:color w:val="0088A6"/>
                <w:w w:val="99"/>
              </w:rPr>
              <w:t>THE NASDAQ OMX GROUP, INC.  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-786765</wp:posOffset>
            </wp:positionV>
            <wp:extent cx="889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-786765</wp:posOffset>
            </wp:positionV>
            <wp:extent cx="889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-786765</wp:posOffset>
            </wp:positionV>
            <wp:extent cx="889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-786765</wp:posOffset>
            </wp:positionV>
            <wp:extent cx="889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 Ewing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Ms. Ewing’s business unit strategic objectives were scored as follows: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00" w:type="dxa"/>
            <w:vAlign w:val="bottom"/>
            <w:tcBorders>
              <w:left w:val="single" w:sz="8" w:color="BFBFBF"/>
            </w:tcBorders>
            <w:shd w:val="clear" w:color="auto" w:fill="0088A6"/>
          </w:tcPr>
          <w:p>
            <w:pPr>
              <w:spacing w:after="0"/>
              <w:rPr>
                <w:sz w:val="17"/>
                <w:szCs w:val="17"/>
                <w:color w:val="auto"/>
              </w:rPr>
            </w:pPr>
          </w:p>
        </w:tc>
        <w:tc>
          <w:tcPr>
            <w:tcW w:w="600" w:type="dxa"/>
            <w:vAlign w:val="bottom"/>
            <w:shd w:val="clear" w:color="auto" w:fill="0088A6"/>
          </w:tcPr>
          <w:p>
            <w:pPr>
              <w:spacing w:after="0"/>
              <w:rPr>
                <w:sz w:val="17"/>
                <w:szCs w:val="17"/>
                <w:color w:val="auto"/>
              </w:rPr>
            </w:pPr>
          </w:p>
        </w:tc>
        <w:tc>
          <w:tcPr>
            <w:tcW w:w="6020" w:type="dxa"/>
            <w:vAlign w:val="bottom"/>
            <w:tcBorders>
              <w:right w:val="single" w:sz="8" w:color="BFBFBF"/>
            </w:tcBorders>
            <w:shd w:val="clear" w:color="auto" w:fill="0088A6"/>
          </w:tcPr>
          <w:p>
            <w:pPr>
              <w:spacing w:after="0"/>
              <w:rPr>
                <w:sz w:val="17"/>
                <w:szCs w:val="17"/>
                <w:color w:val="auto"/>
              </w:rPr>
            </w:pPr>
          </w:p>
        </w:tc>
        <w:tc>
          <w:tcPr>
            <w:tcW w:w="640" w:type="dxa"/>
            <w:vAlign w:val="bottom"/>
            <w:shd w:val="clear" w:color="auto" w:fill="0088A6"/>
          </w:tcPr>
          <w:p>
            <w:pPr>
              <w:spacing w:after="0"/>
              <w:rPr>
                <w:sz w:val="17"/>
                <w:szCs w:val="17"/>
                <w:color w:val="auto"/>
              </w:rPr>
            </w:pPr>
          </w:p>
        </w:tc>
        <w:tc>
          <w:tcPr>
            <w:tcW w:w="1320" w:type="dxa"/>
            <w:vAlign w:val="bottom"/>
            <w:tcBorders>
              <w:right w:val="single" w:sz="8" w:color="BFBFBF"/>
            </w:tcBorders>
            <w:shd w:val="clear" w:color="auto" w:fill="0088A6"/>
          </w:tcPr>
          <w:p>
            <w:pPr>
              <w:spacing w:after="0"/>
              <w:rPr>
                <w:sz w:val="17"/>
                <w:szCs w:val="17"/>
                <w:color w:val="auto"/>
              </w:rPr>
            </w:pPr>
          </w:p>
        </w:tc>
        <w:tc>
          <w:tcPr>
            <w:tcW w:w="760" w:type="dxa"/>
            <w:vAlign w:val="bottom"/>
            <w:shd w:val="clear" w:color="auto" w:fill="0088A6"/>
          </w:tcPr>
          <w:p>
            <w:pPr>
              <w:spacing w:after="0"/>
              <w:rPr>
                <w:sz w:val="17"/>
                <w:szCs w:val="17"/>
                <w:color w:val="auto"/>
              </w:rPr>
            </w:pPr>
          </w:p>
        </w:tc>
        <w:tc>
          <w:tcPr>
            <w:tcW w:w="1500" w:type="dxa"/>
            <w:vAlign w:val="bottom"/>
            <w:tcBorders>
              <w:right w:val="single" w:sz="8" w:color="BFBFBF"/>
            </w:tcBorders>
            <w:shd w:val="clear" w:color="auto" w:fill="0088A6"/>
          </w:tcPr>
          <w:p>
            <w:pPr>
              <w:jc w:val="center"/>
              <w:ind w:right="32"/>
              <w:spacing w:after="0"/>
              <w:rPr>
                <w:sz w:val="20"/>
                <w:szCs w:val="20"/>
                <w:color w:val="auto"/>
              </w:rPr>
            </w:pPr>
            <w:r>
              <w:rPr>
                <w:rFonts w:ascii="Arial" w:cs="Arial" w:eastAsia="Arial" w:hAnsi="Arial"/>
                <w:sz w:val="18"/>
                <w:szCs w:val="18"/>
                <w:b w:val="1"/>
                <w:bCs w:val="1"/>
                <w:color w:val="FFFFFF"/>
                <w:w w:val="95"/>
              </w:rPr>
              <w:t>Score as a</w:t>
            </w:r>
          </w:p>
        </w:tc>
        <w:tc>
          <w:tcPr>
            <w:tcW w:w="0" w:type="dxa"/>
            <w:vAlign w:val="bottom"/>
          </w:tcPr>
          <w:p>
            <w:pPr>
              <w:spacing w:after="0"/>
              <w:rPr>
                <w:sz w:val="1"/>
                <w:szCs w:val="1"/>
                <w:color w:val="auto"/>
              </w:rPr>
            </w:pPr>
          </w:p>
        </w:tc>
      </w:tr>
      <w:tr>
        <w:trPr>
          <w:trHeight w:val="203"/>
        </w:trPr>
        <w:tc>
          <w:tcPr>
            <w:tcW w:w="7220" w:type="dxa"/>
            <w:vAlign w:val="bottom"/>
            <w:tcBorders>
              <w:left w:val="single" w:sz="8" w:color="BFBFBF"/>
              <w:right w:val="single" w:sz="8" w:color="BFBFBF"/>
            </w:tcBorders>
            <w:gridSpan w:val="3"/>
            <w:vMerge w:val="restart"/>
            <w:shd w:val="clear" w:color="auto" w:fill="0088A6"/>
          </w:tcPr>
          <w:p>
            <w:pPr>
              <w:ind w:left="280"/>
              <w:spacing w:after="0"/>
              <w:rPr>
                <w:sz w:val="20"/>
                <w:szCs w:val="20"/>
                <w:color w:val="auto"/>
              </w:rPr>
            </w:pPr>
            <w:r>
              <w:rPr>
                <w:rFonts w:ascii="Arial" w:cs="Arial" w:eastAsia="Arial" w:hAnsi="Arial"/>
                <w:sz w:val="18"/>
                <w:szCs w:val="18"/>
                <w:b w:val="1"/>
                <w:bCs w:val="1"/>
                <w:color w:val="FFFFFF"/>
              </w:rPr>
              <w:t>Goal</w:t>
            </w:r>
          </w:p>
        </w:tc>
        <w:tc>
          <w:tcPr>
            <w:tcW w:w="640" w:type="dxa"/>
            <w:vAlign w:val="bottom"/>
            <w:shd w:val="clear" w:color="auto" w:fill="0088A6"/>
          </w:tcPr>
          <w:p>
            <w:pPr>
              <w:spacing w:after="0"/>
              <w:rPr>
                <w:sz w:val="17"/>
                <w:szCs w:val="17"/>
                <w:color w:val="auto"/>
              </w:rPr>
            </w:pPr>
          </w:p>
        </w:tc>
        <w:tc>
          <w:tcPr>
            <w:tcW w:w="1320" w:type="dxa"/>
            <w:vAlign w:val="bottom"/>
            <w:tcBorders>
              <w:right w:val="single" w:sz="8" w:color="BFBFBF"/>
            </w:tcBorders>
            <w:shd w:val="clear" w:color="auto" w:fill="0088A6"/>
          </w:tcPr>
          <w:p>
            <w:pPr>
              <w:jc w:val="center"/>
              <w:spacing w:after="0" w:line="202" w:lineRule="exact"/>
              <w:rPr>
                <w:sz w:val="20"/>
                <w:szCs w:val="20"/>
                <w:color w:val="auto"/>
              </w:rPr>
            </w:pPr>
            <w:r>
              <w:rPr>
                <w:rFonts w:ascii="Arial" w:cs="Arial" w:eastAsia="Arial" w:hAnsi="Arial"/>
                <w:sz w:val="18"/>
                <w:szCs w:val="18"/>
                <w:b w:val="1"/>
                <w:bCs w:val="1"/>
                <w:color w:val="FFFFFF"/>
                <w:w w:val="94"/>
              </w:rPr>
              <w:t>Goal</w:t>
            </w:r>
          </w:p>
        </w:tc>
        <w:tc>
          <w:tcPr>
            <w:tcW w:w="760" w:type="dxa"/>
            <w:vAlign w:val="bottom"/>
            <w:shd w:val="clear" w:color="auto" w:fill="0088A6"/>
          </w:tcPr>
          <w:p>
            <w:pPr>
              <w:spacing w:after="0"/>
              <w:rPr>
                <w:sz w:val="17"/>
                <w:szCs w:val="17"/>
                <w:color w:val="auto"/>
              </w:rPr>
            </w:pPr>
          </w:p>
        </w:tc>
        <w:tc>
          <w:tcPr>
            <w:tcW w:w="1500" w:type="dxa"/>
            <w:vAlign w:val="bottom"/>
            <w:tcBorders>
              <w:right w:val="single" w:sz="8" w:color="BFBFBF"/>
            </w:tcBorders>
            <w:shd w:val="clear" w:color="auto" w:fill="0088A6"/>
          </w:tcPr>
          <w:p>
            <w:pPr>
              <w:jc w:val="center"/>
              <w:ind w:right="32"/>
              <w:spacing w:after="0" w:line="202" w:lineRule="exact"/>
              <w:rPr>
                <w:sz w:val="20"/>
                <w:szCs w:val="20"/>
                <w:color w:val="auto"/>
              </w:rPr>
            </w:pPr>
            <w:r>
              <w:rPr>
                <w:rFonts w:ascii="Arial" w:cs="Arial" w:eastAsia="Arial" w:hAnsi="Arial"/>
                <w:sz w:val="18"/>
                <w:szCs w:val="18"/>
                <w:b w:val="1"/>
                <w:bCs w:val="1"/>
                <w:color w:val="FFFFFF"/>
                <w:w w:val="97"/>
              </w:rPr>
              <w:t>Percent of</w:t>
            </w:r>
          </w:p>
        </w:tc>
        <w:tc>
          <w:tcPr>
            <w:tcW w:w="0" w:type="dxa"/>
            <w:vAlign w:val="bottom"/>
          </w:tcPr>
          <w:p>
            <w:pPr>
              <w:spacing w:after="0"/>
              <w:rPr>
                <w:sz w:val="1"/>
                <w:szCs w:val="1"/>
                <w:color w:val="auto"/>
              </w:rPr>
            </w:pPr>
          </w:p>
        </w:tc>
      </w:tr>
      <w:tr>
        <w:trPr>
          <w:trHeight w:val="261"/>
        </w:trPr>
        <w:tc>
          <w:tcPr>
            <w:tcW w:w="7220" w:type="dxa"/>
            <w:vAlign w:val="bottom"/>
            <w:tcBorders>
              <w:left w:val="single" w:sz="8" w:color="BFBFBF"/>
              <w:bottom w:val="single" w:sz="8" w:color="auto"/>
              <w:right w:val="single" w:sz="8" w:color="BFBFBF"/>
            </w:tcBorders>
            <w:gridSpan w:val="3"/>
            <w:vMerge w:val="continue"/>
            <w:shd w:val="clear" w:color="auto" w:fill="0088A6"/>
          </w:tcPr>
          <w:p>
            <w:pPr>
              <w:spacing w:after="0"/>
              <w:rPr>
                <w:sz w:val="22"/>
                <w:szCs w:val="22"/>
                <w:color w:val="auto"/>
              </w:rPr>
            </w:pPr>
          </w:p>
        </w:tc>
        <w:tc>
          <w:tcPr>
            <w:tcW w:w="640" w:type="dxa"/>
            <w:vAlign w:val="bottom"/>
            <w:tcBorders>
              <w:bottom w:val="single" w:sz="8" w:color="0088A6"/>
            </w:tcBorders>
            <w:shd w:val="clear" w:color="auto" w:fill="0088A6"/>
          </w:tcPr>
          <w:p>
            <w:pPr>
              <w:spacing w:after="0"/>
              <w:rPr>
                <w:sz w:val="22"/>
                <w:szCs w:val="22"/>
                <w:color w:val="auto"/>
              </w:rPr>
            </w:pPr>
          </w:p>
        </w:tc>
        <w:tc>
          <w:tcPr>
            <w:tcW w:w="1320" w:type="dxa"/>
            <w:vAlign w:val="bottom"/>
            <w:tcBorders>
              <w:bottom w:val="single" w:sz="8" w:color="auto"/>
              <w:right w:val="single" w:sz="8" w:color="BFBFBF"/>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8"/>
              </w:rPr>
              <w:t>Weighting</w:t>
            </w:r>
          </w:p>
        </w:tc>
        <w:tc>
          <w:tcPr>
            <w:tcW w:w="760" w:type="dxa"/>
            <w:vAlign w:val="bottom"/>
            <w:tcBorders>
              <w:bottom w:val="single" w:sz="8" w:color="0088A6"/>
            </w:tcBorders>
            <w:shd w:val="clear" w:color="auto" w:fill="0088A6"/>
          </w:tcPr>
          <w:p>
            <w:pPr>
              <w:spacing w:after="0"/>
              <w:rPr>
                <w:sz w:val="22"/>
                <w:szCs w:val="22"/>
                <w:color w:val="auto"/>
              </w:rPr>
            </w:pPr>
          </w:p>
        </w:tc>
        <w:tc>
          <w:tcPr>
            <w:tcW w:w="1500" w:type="dxa"/>
            <w:vAlign w:val="bottom"/>
            <w:tcBorders>
              <w:bottom w:val="single" w:sz="8" w:color="auto"/>
              <w:right w:val="single" w:sz="8" w:color="BFBFBF"/>
            </w:tcBorders>
            <w:shd w:val="clear" w:color="auto" w:fill="0088A6"/>
          </w:tcPr>
          <w:p>
            <w:pPr>
              <w:jc w:val="center"/>
              <w:ind w:right="32"/>
              <w:spacing w:after="0"/>
              <w:rPr>
                <w:sz w:val="20"/>
                <w:szCs w:val="20"/>
                <w:color w:val="auto"/>
              </w:rPr>
            </w:pPr>
            <w:r>
              <w:rPr>
                <w:rFonts w:ascii="Arial" w:cs="Arial" w:eastAsia="Arial" w:hAnsi="Arial"/>
                <w:sz w:val="18"/>
                <w:szCs w:val="18"/>
                <w:b w:val="1"/>
                <w:bCs w:val="1"/>
                <w:color w:val="FFFFFF"/>
                <w:w w:val="98"/>
              </w:rPr>
              <w:t>Target</w:t>
            </w:r>
          </w:p>
        </w:tc>
        <w:tc>
          <w:tcPr>
            <w:tcW w:w="0" w:type="dxa"/>
            <w:vAlign w:val="bottom"/>
          </w:tcPr>
          <w:p>
            <w:pPr>
              <w:spacing w:after="0"/>
              <w:rPr>
                <w:sz w:val="1"/>
                <w:szCs w:val="1"/>
                <w:color w:val="auto"/>
              </w:rPr>
            </w:pPr>
          </w:p>
        </w:tc>
      </w:tr>
      <w:tr>
        <w:trPr>
          <w:trHeight w:val="183"/>
        </w:trPr>
        <w:tc>
          <w:tcPr>
            <w:tcW w:w="7220" w:type="dxa"/>
            <w:vAlign w:val="bottom"/>
            <w:tcBorders>
              <w:top w:val="single" w:sz="8" w:color="0088A6"/>
              <w:left w:val="single" w:sz="8" w:color="BFBFBF"/>
              <w:bottom w:val="single" w:sz="8" w:color="BFBFBF"/>
              <w:right w:val="single" w:sz="8" w:color="BFBFBF"/>
            </w:tcBorders>
            <w:gridSpan w:val="3"/>
          </w:tcPr>
          <w:p>
            <w:pPr>
              <w:ind w:left="220"/>
              <w:spacing w:after="0" w:line="183" w:lineRule="exact"/>
              <w:rPr>
                <w:sz w:val="20"/>
                <w:szCs w:val="20"/>
                <w:color w:val="auto"/>
              </w:rPr>
            </w:pPr>
            <w:r>
              <w:rPr>
                <w:rFonts w:ascii="Arial" w:cs="Arial" w:eastAsia="Arial" w:hAnsi="Arial"/>
                <w:sz w:val="18"/>
                <w:szCs w:val="18"/>
                <w:color w:val="auto"/>
              </w:rPr>
              <w:t>Global Technology Services financial results, service delivery and compliance</w:t>
            </w:r>
          </w:p>
        </w:tc>
        <w:tc>
          <w:tcPr>
            <w:tcW w:w="1960" w:type="dxa"/>
            <w:vAlign w:val="bottom"/>
            <w:tcBorders>
              <w:top w:val="single" w:sz="8" w:color="0088A6"/>
              <w:bottom w:val="single" w:sz="8" w:color="BFBFBF"/>
              <w:right w:val="single" w:sz="8" w:color="BFBFBF"/>
            </w:tcBorders>
            <w:gridSpan w:val="2"/>
          </w:tcPr>
          <w:p>
            <w:pPr>
              <w:jc w:val="center"/>
              <w:ind w:left="532"/>
              <w:spacing w:after="0" w:line="183" w:lineRule="exact"/>
              <w:rPr>
                <w:sz w:val="20"/>
                <w:szCs w:val="20"/>
                <w:color w:val="auto"/>
              </w:rPr>
            </w:pPr>
            <w:r>
              <w:rPr>
                <w:rFonts w:ascii="Arial" w:cs="Arial" w:eastAsia="Arial" w:hAnsi="Arial"/>
                <w:sz w:val="18"/>
                <w:szCs w:val="18"/>
                <w:color w:val="auto"/>
                <w:w w:val="94"/>
              </w:rPr>
              <w:t>45%</w:t>
            </w:r>
          </w:p>
        </w:tc>
        <w:tc>
          <w:tcPr>
            <w:tcW w:w="2260" w:type="dxa"/>
            <w:vAlign w:val="bottom"/>
            <w:tcBorders>
              <w:top w:val="single" w:sz="8" w:color="0088A6"/>
              <w:bottom w:val="single" w:sz="8" w:color="BFBFBF"/>
              <w:right w:val="single" w:sz="8" w:color="BFBFBF"/>
            </w:tcBorders>
            <w:gridSpan w:val="2"/>
          </w:tcPr>
          <w:p>
            <w:pPr>
              <w:jc w:val="center"/>
              <w:ind w:left="652"/>
              <w:spacing w:after="0" w:line="183" w:lineRule="exact"/>
              <w:rPr>
                <w:sz w:val="20"/>
                <w:szCs w:val="20"/>
                <w:color w:val="auto"/>
              </w:rPr>
            </w:pPr>
            <w:r>
              <w:rPr>
                <w:rFonts w:ascii="Arial" w:cs="Arial" w:eastAsia="Arial" w:hAnsi="Arial"/>
                <w:sz w:val="18"/>
                <w:szCs w:val="18"/>
                <w:color w:val="auto"/>
                <w:w w:val="95"/>
              </w:rPr>
              <w:t>132%</w:t>
            </w:r>
          </w:p>
        </w:tc>
        <w:tc>
          <w:tcPr>
            <w:tcW w:w="0" w:type="dxa"/>
            <w:vAlign w:val="bottom"/>
          </w:tcPr>
          <w:p>
            <w:pPr>
              <w:spacing w:after="0"/>
              <w:rPr>
                <w:sz w:val="1"/>
                <w:szCs w:val="1"/>
                <w:color w:val="auto"/>
              </w:rPr>
            </w:pPr>
          </w:p>
        </w:tc>
      </w:tr>
      <w:tr>
        <w:trPr>
          <w:trHeight w:val="196"/>
        </w:trPr>
        <w:tc>
          <w:tcPr>
            <w:tcW w:w="7220" w:type="dxa"/>
            <w:vAlign w:val="bottom"/>
            <w:tcBorders>
              <w:left w:val="single" w:sz="8" w:color="BFBFBF"/>
              <w:bottom w:val="single" w:sz="8" w:color="BFBFBF"/>
              <w:right w:val="single" w:sz="8" w:color="BFBFBF"/>
            </w:tcBorders>
            <w:gridSpan w:val="3"/>
          </w:tcPr>
          <w:p>
            <w:pPr>
              <w:ind w:left="220"/>
              <w:spacing w:after="0" w:line="196" w:lineRule="exact"/>
              <w:rPr>
                <w:sz w:val="20"/>
                <w:szCs w:val="20"/>
                <w:color w:val="auto"/>
              </w:rPr>
            </w:pPr>
            <w:r>
              <w:rPr>
                <w:rFonts w:ascii="Arial" w:cs="Arial" w:eastAsia="Arial" w:hAnsi="Arial"/>
                <w:sz w:val="18"/>
                <w:szCs w:val="18"/>
                <w:color w:val="auto"/>
              </w:rPr>
              <w:t>Market Technology financial results and strategic initiatives goals</w:t>
            </w:r>
          </w:p>
        </w:tc>
        <w:tc>
          <w:tcPr>
            <w:tcW w:w="1960" w:type="dxa"/>
            <w:vAlign w:val="bottom"/>
            <w:tcBorders>
              <w:bottom w:val="single" w:sz="8" w:color="BFBFBF"/>
              <w:right w:val="single" w:sz="8" w:color="BFBFBF"/>
            </w:tcBorders>
            <w:gridSpan w:val="2"/>
          </w:tcPr>
          <w:p>
            <w:pPr>
              <w:jc w:val="center"/>
              <w:ind w:left="532"/>
              <w:spacing w:after="0" w:line="196" w:lineRule="exact"/>
              <w:rPr>
                <w:sz w:val="20"/>
                <w:szCs w:val="20"/>
                <w:color w:val="auto"/>
              </w:rPr>
            </w:pPr>
            <w:r>
              <w:rPr>
                <w:rFonts w:ascii="Arial" w:cs="Arial" w:eastAsia="Arial" w:hAnsi="Arial"/>
                <w:sz w:val="18"/>
                <w:szCs w:val="18"/>
                <w:color w:val="auto"/>
                <w:w w:val="94"/>
              </w:rPr>
              <w:t>15%</w:t>
            </w:r>
          </w:p>
        </w:tc>
        <w:tc>
          <w:tcPr>
            <w:tcW w:w="2260" w:type="dxa"/>
            <w:vAlign w:val="bottom"/>
            <w:tcBorders>
              <w:bottom w:val="single" w:sz="8" w:color="BFBFBF"/>
              <w:right w:val="single" w:sz="8" w:color="BFBFBF"/>
            </w:tcBorders>
            <w:gridSpan w:val="2"/>
          </w:tcPr>
          <w:p>
            <w:pPr>
              <w:jc w:val="center"/>
              <w:ind w:left="652"/>
              <w:spacing w:after="0" w:line="196" w:lineRule="exact"/>
              <w:rPr>
                <w:sz w:val="20"/>
                <w:szCs w:val="20"/>
                <w:color w:val="auto"/>
              </w:rPr>
            </w:pPr>
            <w:r>
              <w:rPr>
                <w:rFonts w:ascii="Arial" w:cs="Arial" w:eastAsia="Arial" w:hAnsi="Arial"/>
                <w:sz w:val="18"/>
                <w:szCs w:val="18"/>
                <w:color w:val="auto"/>
                <w:w w:val="95"/>
              </w:rPr>
              <w:t>111%</w:t>
            </w:r>
          </w:p>
        </w:tc>
        <w:tc>
          <w:tcPr>
            <w:tcW w:w="0" w:type="dxa"/>
            <w:vAlign w:val="bottom"/>
          </w:tcPr>
          <w:p>
            <w:pPr>
              <w:spacing w:after="0"/>
              <w:rPr>
                <w:sz w:val="1"/>
                <w:szCs w:val="1"/>
                <w:color w:val="auto"/>
              </w:rPr>
            </w:pPr>
          </w:p>
        </w:tc>
      </w:tr>
      <w:tr>
        <w:trPr>
          <w:trHeight w:val="304"/>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Mr. Jochumsen</w:t>
            </w:r>
          </w:p>
        </w:tc>
        <w:tc>
          <w:tcPr>
            <w:tcW w:w="6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220" w:type="dxa"/>
            <w:vAlign w:val="bottom"/>
            <w:gridSpan w:val="3"/>
          </w:tcPr>
          <w:p>
            <w:pPr>
              <w:spacing w:after="0"/>
              <w:rPr>
                <w:sz w:val="20"/>
                <w:szCs w:val="20"/>
                <w:color w:val="auto"/>
              </w:rPr>
            </w:pPr>
            <w:r>
              <w:rPr>
                <w:rFonts w:ascii="Arial" w:cs="Arial" w:eastAsia="Arial" w:hAnsi="Arial"/>
                <w:sz w:val="18"/>
                <w:szCs w:val="18"/>
                <w:color w:val="auto"/>
              </w:rPr>
              <w:t>Mr. Jochumsen’s business unit strategic objectives were scored as follows:</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BFBFBF"/>
            </w:tcBorders>
            <w:shd w:val="clear" w:color="auto" w:fill="0088A6"/>
          </w:tcPr>
          <w:p>
            <w:pPr>
              <w:spacing w:after="0"/>
              <w:rPr>
                <w:sz w:val="17"/>
                <w:szCs w:val="17"/>
                <w:color w:val="auto"/>
              </w:rPr>
            </w:pPr>
          </w:p>
        </w:tc>
        <w:tc>
          <w:tcPr>
            <w:tcW w:w="600" w:type="dxa"/>
            <w:vAlign w:val="bottom"/>
            <w:shd w:val="clear" w:color="auto" w:fill="0088A6"/>
          </w:tcPr>
          <w:p>
            <w:pPr>
              <w:spacing w:after="0"/>
              <w:rPr>
                <w:sz w:val="17"/>
                <w:szCs w:val="17"/>
                <w:color w:val="auto"/>
              </w:rPr>
            </w:pPr>
          </w:p>
        </w:tc>
        <w:tc>
          <w:tcPr>
            <w:tcW w:w="6020" w:type="dxa"/>
            <w:vAlign w:val="bottom"/>
            <w:tcBorders>
              <w:right w:val="single" w:sz="8" w:color="BFBFBF"/>
            </w:tcBorders>
            <w:shd w:val="clear" w:color="auto" w:fill="0088A6"/>
          </w:tcPr>
          <w:p>
            <w:pPr>
              <w:spacing w:after="0"/>
              <w:rPr>
                <w:sz w:val="17"/>
                <w:szCs w:val="17"/>
                <w:color w:val="auto"/>
              </w:rPr>
            </w:pPr>
          </w:p>
        </w:tc>
        <w:tc>
          <w:tcPr>
            <w:tcW w:w="640" w:type="dxa"/>
            <w:vAlign w:val="bottom"/>
            <w:shd w:val="clear" w:color="auto" w:fill="0088A6"/>
          </w:tcPr>
          <w:p>
            <w:pPr>
              <w:spacing w:after="0"/>
              <w:rPr>
                <w:sz w:val="17"/>
                <w:szCs w:val="17"/>
                <w:color w:val="auto"/>
              </w:rPr>
            </w:pPr>
          </w:p>
        </w:tc>
        <w:tc>
          <w:tcPr>
            <w:tcW w:w="1320" w:type="dxa"/>
            <w:vAlign w:val="bottom"/>
            <w:tcBorders>
              <w:right w:val="single" w:sz="8" w:color="BFBFBF"/>
            </w:tcBorders>
            <w:shd w:val="clear" w:color="auto" w:fill="0088A6"/>
          </w:tcPr>
          <w:p>
            <w:pPr>
              <w:spacing w:after="0"/>
              <w:rPr>
                <w:sz w:val="17"/>
                <w:szCs w:val="17"/>
                <w:color w:val="auto"/>
              </w:rPr>
            </w:pPr>
          </w:p>
        </w:tc>
        <w:tc>
          <w:tcPr>
            <w:tcW w:w="760" w:type="dxa"/>
            <w:vAlign w:val="bottom"/>
            <w:shd w:val="clear" w:color="auto" w:fill="0088A6"/>
          </w:tcPr>
          <w:p>
            <w:pPr>
              <w:spacing w:after="0"/>
              <w:rPr>
                <w:sz w:val="17"/>
                <w:szCs w:val="17"/>
                <w:color w:val="auto"/>
              </w:rPr>
            </w:pPr>
          </w:p>
        </w:tc>
        <w:tc>
          <w:tcPr>
            <w:tcW w:w="1500" w:type="dxa"/>
            <w:vAlign w:val="bottom"/>
            <w:tcBorders>
              <w:right w:val="single" w:sz="8" w:color="BFBFBF"/>
            </w:tcBorders>
            <w:shd w:val="clear" w:color="auto" w:fill="0088A6"/>
          </w:tcPr>
          <w:p>
            <w:pPr>
              <w:jc w:val="center"/>
              <w:ind w:right="32"/>
              <w:spacing w:after="0" w:line="197" w:lineRule="exact"/>
              <w:rPr>
                <w:sz w:val="20"/>
                <w:szCs w:val="20"/>
                <w:color w:val="auto"/>
              </w:rPr>
            </w:pPr>
            <w:r>
              <w:rPr>
                <w:rFonts w:ascii="Arial" w:cs="Arial" w:eastAsia="Arial" w:hAnsi="Arial"/>
                <w:sz w:val="18"/>
                <w:szCs w:val="18"/>
                <w:b w:val="1"/>
                <w:bCs w:val="1"/>
                <w:color w:val="FFFFFF"/>
                <w:w w:val="95"/>
              </w:rPr>
              <w:t>Score as a</w:t>
            </w:r>
          </w:p>
        </w:tc>
        <w:tc>
          <w:tcPr>
            <w:tcW w:w="0" w:type="dxa"/>
            <w:vAlign w:val="bottom"/>
          </w:tcPr>
          <w:p>
            <w:pPr>
              <w:spacing w:after="0"/>
              <w:rPr>
                <w:sz w:val="1"/>
                <w:szCs w:val="1"/>
                <w:color w:val="auto"/>
              </w:rPr>
            </w:pPr>
          </w:p>
        </w:tc>
      </w:tr>
      <w:tr>
        <w:trPr>
          <w:trHeight w:val="203"/>
        </w:trPr>
        <w:tc>
          <w:tcPr>
            <w:tcW w:w="7220" w:type="dxa"/>
            <w:vAlign w:val="bottom"/>
            <w:tcBorders>
              <w:left w:val="single" w:sz="8" w:color="BFBFBF"/>
              <w:right w:val="single" w:sz="8" w:color="BFBFBF"/>
            </w:tcBorders>
            <w:gridSpan w:val="3"/>
            <w:vMerge w:val="restart"/>
            <w:shd w:val="clear" w:color="auto" w:fill="0088A6"/>
          </w:tcPr>
          <w:p>
            <w:pPr>
              <w:ind w:left="280"/>
              <w:spacing w:after="0"/>
              <w:rPr>
                <w:sz w:val="20"/>
                <w:szCs w:val="20"/>
                <w:color w:val="auto"/>
              </w:rPr>
            </w:pPr>
            <w:r>
              <w:rPr>
                <w:rFonts w:ascii="Arial" w:cs="Arial" w:eastAsia="Arial" w:hAnsi="Arial"/>
                <w:sz w:val="18"/>
                <w:szCs w:val="18"/>
                <w:b w:val="1"/>
                <w:bCs w:val="1"/>
                <w:color w:val="FFFFFF"/>
              </w:rPr>
              <w:t>Goal</w:t>
            </w:r>
          </w:p>
        </w:tc>
        <w:tc>
          <w:tcPr>
            <w:tcW w:w="640" w:type="dxa"/>
            <w:vAlign w:val="bottom"/>
            <w:shd w:val="clear" w:color="auto" w:fill="0088A6"/>
          </w:tcPr>
          <w:p>
            <w:pPr>
              <w:spacing w:after="0"/>
              <w:rPr>
                <w:sz w:val="17"/>
                <w:szCs w:val="17"/>
                <w:color w:val="auto"/>
              </w:rPr>
            </w:pPr>
          </w:p>
        </w:tc>
        <w:tc>
          <w:tcPr>
            <w:tcW w:w="1320" w:type="dxa"/>
            <w:vAlign w:val="bottom"/>
            <w:tcBorders>
              <w:right w:val="single" w:sz="8" w:color="BFBFBF"/>
            </w:tcBorders>
            <w:shd w:val="clear" w:color="auto" w:fill="0088A6"/>
          </w:tcPr>
          <w:p>
            <w:pPr>
              <w:jc w:val="center"/>
              <w:spacing w:after="0" w:line="202" w:lineRule="exact"/>
              <w:rPr>
                <w:sz w:val="20"/>
                <w:szCs w:val="20"/>
                <w:color w:val="auto"/>
              </w:rPr>
            </w:pPr>
            <w:r>
              <w:rPr>
                <w:rFonts w:ascii="Arial" w:cs="Arial" w:eastAsia="Arial" w:hAnsi="Arial"/>
                <w:sz w:val="18"/>
                <w:szCs w:val="18"/>
                <w:b w:val="1"/>
                <w:bCs w:val="1"/>
                <w:color w:val="FFFFFF"/>
                <w:w w:val="94"/>
              </w:rPr>
              <w:t>Goal</w:t>
            </w:r>
          </w:p>
        </w:tc>
        <w:tc>
          <w:tcPr>
            <w:tcW w:w="760" w:type="dxa"/>
            <w:vAlign w:val="bottom"/>
            <w:shd w:val="clear" w:color="auto" w:fill="0088A6"/>
          </w:tcPr>
          <w:p>
            <w:pPr>
              <w:spacing w:after="0"/>
              <w:rPr>
                <w:sz w:val="17"/>
                <w:szCs w:val="17"/>
                <w:color w:val="auto"/>
              </w:rPr>
            </w:pPr>
          </w:p>
        </w:tc>
        <w:tc>
          <w:tcPr>
            <w:tcW w:w="1500" w:type="dxa"/>
            <w:vAlign w:val="bottom"/>
            <w:tcBorders>
              <w:right w:val="single" w:sz="8" w:color="BFBFBF"/>
            </w:tcBorders>
            <w:shd w:val="clear" w:color="auto" w:fill="0088A6"/>
          </w:tcPr>
          <w:p>
            <w:pPr>
              <w:jc w:val="center"/>
              <w:ind w:right="32"/>
              <w:spacing w:after="0" w:line="202" w:lineRule="exact"/>
              <w:rPr>
                <w:sz w:val="20"/>
                <w:szCs w:val="20"/>
                <w:color w:val="auto"/>
              </w:rPr>
            </w:pPr>
            <w:r>
              <w:rPr>
                <w:rFonts w:ascii="Arial" w:cs="Arial" w:eastAsia="Arial" w:hAnsi="Arial"/>
                <w:sz w:val="18"/>
                <w:szCs w:val="18"/>
                <w:b w:val="1"/>
                <w:bCs w:val="1"/>
                <w:color w:val="FFFFFF"/>
                <w:w w:val="97"/>
              </w:rPr>
              <w:t>Percent of</w:t>
            </w:r>
          </w:p>
        </w:tc>
        <w:tc>
          <w:tcPr>
            <w:tcW w:w="0" w:type="dxa"/>
            <w:vAlign w:val="bottom"/>
          </w:tcPr>
          <w:p>
            <w:pPr>
              <w:spacing w:after="0"/>
              <w:rPr>
                <w:sz w:val="1"/>
                <w:szCs w:val="1"/>
                <w:color w:val="auto"/>
              </w:rPr>
            </w:pPr>
          </w:p>
        </w:tc>
      </w:tr>
      <w:tr>
        <w:trPr>
          <w:trHeight w:val="261"/>
        </w:trPr>
        <w:tc>
          <w:tcPr>
            <w:tcW w:w="7220" w:type="dxa"/>
            <w:vAlign w:val="bottom"/>
            <w:tcBorders>
              <w:left w:val="single" w:sz="8" w:color="BFBFBF"/>
              <w:bottom w:val="single" w:sz="8" w:color="auto"/>
              <w:right w:val="single" w:sz="8" w:color="BFBFBF"/>
            </w:tcBorders>
            <w:gridSpan w:val="3"/>
            <w:vMerge w:val="continue"/>
            <w:shd w:val="clear" w:color="auto" w:fill="0088A6"/>
          </w:tcPr>
          <w:p>
            <w:pPr>
              <w:spacing w:after="0"/>
              <w:rPr>
                <w:sz w:val="22"/>
                <w:szCs w:val="22"/>
                <w:color w:val="auto"/>
              </w:rPr>
            </w:pPr>
          </w:p>
        </w:tc>
        <w:tc>
          <w:tcPr>
            <w:tcW w:w="640" w:type="dxa"/>
            <w:vAlign w:val="bottom"/>
            <w:tcBorders>
              <w:bottom w:val="single" w:sz="8" w:color="0088A6"/>
            </w:tcBorders>
            <w:shd w:val="clear" w:color="auto" w:fill="0088A6"/>
          </w:tcPr>
          <w:p>
            <w:pPr>
              <w:spacing w:after="0"/>
              <w:rPr>
                <w:sz w:val="22"/>
                <w:szCs w:val="22"/>
                <w:color w:val="auto"/>
              </w:rPr>
            </w:pPr>
          </w:p>
        </w:tc>
        <w:tc>
          <w:tcPr>
            <w:tcW w:w="1320" w:type="dxa"/>
            <w:vAlign w:val="bottom"/>
            <w:tcBorders>
              <w:bottom w:val="single" w:sz="8" w:color="auto"/>
              <w:right w:val="single" w:sz="8" w:color="BFBFBF"/>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8"/>
              </w:rPr>
              <w:t>Weighting</w:t>
            </w:r>
          </w:p>
        </w:tc>
        <w:tc>
          <w:tcPr>
            <w:tcW w:w="760" w:type="dxa"/>
            <w:vAlign w:val="bottom"/>
            <w:tcBorders>
              <w:bottom w:val="single" w:sz="8" w:color="0088A6"/>
            </w:tcBorders>
            <w:shd w:val="clear" w:color="auto" w:fill="0088A6"/>
          </w:tcPr>
          <w:p>
            <w:pPr>
              <w:spacing w:after="0"/>
              <w:rPr>
                <w:sz w:val="22"/>
                <w:szCs w:val="22"/>
                <w:color w:val="auto"/>
              </w:rPr>
            </w:pPr>
          </w:p>
        </w:tc>
        <w:tc>
          <w:tcPr>
            <w:tcW w:w="1500" w:type="dxa"/>
            <w:vAlign w:val="bottom"/>
            <w:tcBorders>
              <w:bottom w:val="single" w:sz="8" w:color="auto"/>
              <w:right w:val="single" w:sz="8" w:color="BFBFBF"/>
            </w:tcBorders>
            <w:shd w:val="clear" w:color="auto" w:fill="0088A6"/>
          </w:tcPr>
          <w:p>
            <w:pPr>
              <w:jc w:val="center"/>
              <w:ind w:right="32"/>
              <w:spacing w:after="0"/>
              <w:rPr>
                <w:sz w:val="20"/>
                <w:szCs w:val="20"/>
                <w:color w:val="auto"/>
              </w:rPr>
            </w:pPr>
            <w:r>
              <w:rPr>
                <w:rFonts w:ascii="Arial" w:cs="Arial" w:eastAsia="Arial" w:hAnsi="Arial"/>
                <w:sz w:val="18"/>
                <w:szCs w:val="18"/>
                <w:b w:val="1"/>
                <w:bCs w:val="1"/>
                <w:color w:val="FFFFFF"/>
                <w:w w:val="98"/>
              </w:rPr>
              <w:t>Target</w:t>
            </w:r>
          </w:p>
        </w:tc>
        <w:tc>
          <w:tcPr>
            <w:tcW w:w="0" w:type="dxa"/>
            <w:vAlign w:val="bottom"/>
          </w:tcPr>
          <w:p>
            <w:pPr>
              <w:spacing w:after="0"/>
              <w:rPr>
                <w:sz w:val="1"/>
                <w:szCs w:val="1"/>
                <w:color w:val="auto"/>
              </w:rPr>
            </w:pPr>
          </w:p>
        </w:tc>
      </w:tr>
      <w:tr>
        <w:trPr>
          <w:trHeight w:val="183"/>
        </w:trPr>
        <w:tc>
          <w:tcPr>
            <w:tcW w:w="7220" w:type="dxa"/>
            <w:vAlign w:val="bottom"/>
            <w:tcBorders>
              <w:top w:val="single" w:sz="8" w:color="0088A6"/>
              <w:left w:val="single" w:sz="8" w:color="BFBFBF"/>
              <w:bottom w:val="single" w:sz="8" w:color="BFBFBF"/>
              <w:right w:val="single" w:sz="8" w:color="BFBFBF"/>
            </w:tcBorders>
            <w:gridSpan w:val="3"/>
          </w:tcPr>
          <w:p>
            <w:pPr>
              <w:ind w:left="220"/>
              <w:spacing w:after="0" w:line="183" w:lineRule="exact"/>
              <w:rPr>
                <w:sz w:val="20"/>
                <w:szCs w:val="20"/>
                <w:color w:val="auto"/>
              </w:rPr>
            </w:pPr>
            <w:r>
              <w:rPr>
                <w:rFonts w:ascii="Arial" w:cs="Arial" w:eastAsia="Arial" w:hAnsi="Arial"/>
                <w:sz w:val="18"/>
                <w:szCs w:val="18"/>
                <w:color w:val="auto"/>
              </w:rPr>
              <w:t>Transaction Services Nordic financial results</w:t>
            </w:r>
          </w:p>
        </w:tc>
        <w:tc>
          <w:tcPr>
            <w:tcW w:w="1960" w:type="dxa"/>
            <w:vAlign w:val="bottom"/>
            <w:tcBorders>
              <w:top w:val="single" w:sz="8" w:color="0088A6"/>
              <w:bottom w:val="single" w:sz="8" w:color="BFBFBF"/>
              <w:right w:val="single" w:sz="8" w:color="BFBFBF"/>
            </w:tcBorders>
            <w:gridSpan w:val="2"/>
          </w:tcPr>
          <w:p>
            <w:pPr>
              <w:jc w:val="center"/>
              <w:ind w:left="532"/>
              <w:spacing w:after="0" w:line="183" w:lineRule="exact"/>
              <w:rPr>
                <w:sz w:val="20"/>
                <w:szCs w:val="20"/>
                <w:color w:val="auto"/>
              </w:rPr>
            </w:pPr>
            <w:r>
              <w:rPr>
                <w:rFonts w:ascii="Arial" w:cs="Arial" w:eastAsia="Arial" w:hAnsi="Arial"/>
                <w:sz w:val="18"/>
                <w:szCs w:val="18"/>
                <w:color w:val="auto"/>
                <w:w w:val="94"/>
              </w:rPr>
              <w:t>40%</w:t>
            </w:r>
          </w:p>
        </w:tc>
        <w:tc>
          <w:tcPr>
            <w:tcW w:w="2260" w:type="dxa"/>
            <w:vAlign w:val="bottom"/>
            <w:tcBorders>
              <w:top w:val="single" w:sz="8" w:color="0088A6"/>
              <w:bottom w:val="single" w:sz="8" w:color="BFBFBF"/>
              <w:right w:val="single" w:sz="8" w:color="BFBFBF"/>
            </w:tcBorders>
            <w:gridSpan w:val="2"/>
          </w:tcPr>
          <w:p>
            <w:pPr>
              <w:jc w:val="center"/>
              <w:ind w:left="652"/>
              <w:spacing w:after="0" w:line="183"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196"/>
        </w:trPr>
        <w:tc>
          <w:tcPr>
            <w:tcW w:w="7220" w:type="dxa"/>
            <w:vAlign w:val="bottom"/>
            <w:tcBorders>
              <w:left w:val="single" w:sz="8" w:color="BFBFBF"/>
              <w:bottom w:val="single" w:sz="8" w:color="BFBFBF"/>
              <w:right w:val="single" w:sz="8" w:color="BFBFBF"/>
            </w:tcBorders>
            <w:gridSpan w:val="3"/>
          </w:tcPr>
          <w:p>
            <w:pPr>
              <w:ind w:left="220"/>
              <w:spacing w:after="0" w:line="196" w:lineRule="exact"/>
              <w:rPr>
                <w:sz w:val="20"/>
                <w:szCs w:val="20"/>
                <w:color w:val="auto"/>
              </w:rPr>
            </w:pPr>
            <w:r>
              <w:rPr>
                <w:rFonts w:ascii="Arial" w:cs="Arial" w:eastAsia="Arial" w:hAnsi="Arial"/>
                <w:sz w:val="18"/>
                <w:szCs w:val="18"/>
                <w:color w:val="auto"/>
              </w:rPr>
              <w:t>Global Data Products financial results</w:t>
            </w:r>
          </w:p>
        </w:tc>
        <w:tc>
          <w:tcPr>
            <w:tcW w:w="1960" w:type="dxa"/>
            <w:vAlign w:val="bottom"/>
            <w:tcBorders>
              <w:bottom w:val="single" w:sz="8" w:color="BFBFBF"/>
              <w:right w:val="single" w:sz="8" w:color="BFBFBF"/>
            </w:tcBorders>
            <w:gridSpan w:val="2"/>
          </w:tcPr>
          <w:p>
            <w:pPr>
              <w:jc w:val="center"/>
              <w:ind w:left="532"/>
              <w:spacing w:after="0" w:line="196" w:lineRule="exact"/>
              <w:rPr>
                <w:sz w:val="20"/>
                <w:szCs w:val="20"/>
                <w:color w:val="auto"/>
              </w:rPr>
            </w:pPr>
            <w:r>
              <w:rPr>
                <w:rFonts w:ascii="Arial" w:cs="Arial" w:eastAsia="Arial" w:hAnsi="Arial"/>
                <w:sz w:val="18"/>
                <w:szCs w:val="18"/>
                <w:color w:val="auto"/>
                <w:w w:val="94"/>
              </w:rPr>
              <w:t>30%</w:t>
            </w:r>
          </w:p>
        </w:tc>
        <w:tc>
          <w:tcPr>
            <w:tcW w:w="2260" w:type="dxa"/>
            <w:vAlign w:val="bottom"/>
            <w:tcBorders>
              <w:bottom w:val="single" w:sz="8" w:color="BFBFBF"/>
              <w:right w:val="single" w:sz="8" w:color="BFBFBF"/>
            </w:tcBorders>
            <w:gridSpan w:val="2"/>
          </w:tcPr>
          <w:p>
            <w:pPr>
              <w:jc w:val="center"/>
              <w:ind w:left="652"/>
              <w:spacing w:after="0" w:line="196" w:lineRule="exact"/>
              <w:rPr>
                <w:sz w:val="20"/>
                <w:szCs w:val="20"/>
                <w:color w:val="auto"/>
              </w:rPr>
            </w:pPr>
            <w:r>
              <w:rPr>
                <w:rFonts w:ascii="Arial" w:cs="Arial" w:eastAsia="Arial" w:hAnsi="Arial"/>
                <w:sz w:val="18"/>
                <w:szCs w:val="18"/>
                <w:color w:val="auto"/>
                <w:w w:val="95"/>
              </w:rPr>
              <w:t>200%</w:t>
            </w:r>
          </w:p>
        </w:tc>
        <w:tc>
          <w:tcPr>
            <w:tcW w:w="0" w:type="dxa"/>
            <w:vAlign w:val="bottom"/>
          </w:tcPr>
          <w:p>
            <w:pPr>
              <w:spacing w:after="0"/>
              <w:rPr>
                <w:sz w:val="1"/>
                <w:szCs w:val="1"/>
                <w:color w:val="auto"/>
              </w:rPr>
            </w:pPr>
          </w:p>
        </w:tc>
      </w:tr>
      <w:tr>
        <w:trPr>
          <w:trHeight w:val="304"/>
        </w:trPr>
        <w:tc>
          <w:tcPr>
            <w:tcW w:w="7220" w:type="dxa"/>
            <w:vAlign w:val="bottom"/>
            <w:gridSpan w:val="3"/>
          </w:tcPr>
          <w:p>
            <w:pPr>
              <w:spacing w:after="0"/>
              <w:rPr>
                <w:sz w:val="20"/>
                <w:szCs w:val="20"/>
                <w:color w:val="auto"/>
              </w:rPr>
            </w:pPr>
            <w:r>
              <w:rPr>
                <w:rFonts w:ascii="Arial" w:cs="Arial" w:eastAsia="Arial" w:hAnsi="Arial"/>
                <w:sz w:val="18"/>
                <w:szCs w:val="18"/>
                <w:color w:val="auto"/>
              </w:rPr>
              <w:t>Mr. Noll</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shd w:val="clear" w:color="auto" w:fill="000000"/>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7220" w:type="dxa"/>
            <w:vAlign w:val="bottom"/>
            <w:gridSpan w:val="3"/>
          </w:tcPr>
          <w:p>
            <w:pPr>
              <w:spacing w:after="0"/>
              <w:rPr>
                <w:sz w:val="20"/>
                <w:szCs w:val="20"/>
                <w:color w:val="auto"/>
              </w:rPr>
            </w:pPr>
            <w:r>
              <w:rPr>
                <w:rFonts w:ascii="Arial" w:cs="Arial" w:eastAsia="Arial" w:hAnsi="Arial"/>
                <w:sz w:val="18"/>
                <w:szCs w:val="18"/>
                <w:color w:val="auto"/>
              </w:rPr>
              <w:t>Mr. Noll’s business unit strategic objectives were scored as follows:</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BFBFBF"/>
            </w:tcBorders>
            <w:shd w:val="clear" w:color="auto" w:fill="0088A6"/>
          </w:tcPr>
          <w:p>
            <w:pPr>
              <w:spacing w:after="0"/>
              <w:rPr>
                <w:sz w:val="17"/>
                <w:szCs w:val="17"/>
                <w:color w:val="auto"/>
              </w:rPr>
            </w:pPr>
          </w:p>
        </w:tc>
        <w:tc>
          <w:tcPr>
            <w:tcW w:w="600" w:type="dxa"/>
            <w:vAlign w:val="bottom"/>
            <w:shd w:val="clear" w:color="auto" w:fill="0088A6"/>
          </w:tcPr>
          <w:p>
            <w:pPr>
              <w:spacing w:after="0"/>
              <w:rPr>
                <w:sz w:val="17"/>
                <w:szCs w:val="17"/>
                <w:color w:val="auto"/>
              </w:rPr>
            </w:pPr>
          </w:p>
        </w:tc>
        <w:tc>
          <w:tcPr>
            <w:tcW w:w="6020" w:type="dxa"/>
            <w:vAlign w:val="bottom"/>
            <w:tcBorders>
              <w:right w:val="single" w:sz="8" w:color="BFBFBF"/>
            </w:tcBorders>
            <w:shd w:val="clear" w:color="auto" w:fill="0088A6"/>
          </w:tcPr>
          <w:p>
            <w:pPr>
              <w:spacing w:after="0"/>
              <w:rPr>
                <w:sz w:val="17"/>
                <w:szCs w:val="17"/>
                <w:color w:val="auto"/>
              </w:rPr>
            </w:pPr>
          </w:p>
        </w:tc>
        <w:tc>
          <w:tcPr>
            <w:tcW w:w="640" w:type="dxa"/>
            <w:vAlign w:val="bottom"/>
            <w:shd w:val="clear" w:color="auto" w:fill="0088A6"/>
          </w:tcPr>
          <w:p>
            <w:pPr>
              <w:spacing w:after="0"/>
              <w:rPr>
                <w:sz w:val="17"/>
                <w:szCs w:val="17"/>
                <w:color w:val="auto"/>
              </w:rPr>
            </w:pPr>
          </w:p>
        </w:tc>
        <w:tc>
          <w:tcPr>
            <w:tcW w:w="1320" w:type="dxa"/>
            <w:vAlign w:val="bottom"/>
            <w:tcBorders>
              <w:right w:val="single" w:sz="8" w:color="BFBFBF"/>
            </w:tcBorders>
            <w:shd w:val="clear" w:color="auto" w:fill="0088A6"/>
          </w:tcPr>
          <w:p>
            <w:pPr>
              <w:spacing w:after="0"/>
              <w:rPr>
                <w:sz w:val="17"/>
                <w:szCs w:val="17"/>
                <w:color w:val="auto"/>
              </w:rPr>
            </w:pPr>
          </w:p>
        </w:tc>
        <w:tc>
          <w:tcPr>
            <w:tcW w:w="760" w:type="dxa"/>
            <w:vAlign w:val="bottom"/>
            <w:shd w:val="clear" w:color="auto" w:fill="0088A6"/>
          </w:tcPr>
          <w:p>
            <w:pPr>
              <w:spacing w:after="0"/>
              <w:rPr>
                <w:sz w:val="17"/>
                <w:szCs w:val="17"/>
                <w:color w:val="auto"/>
              </w:rPr>
            </w:pPr>
          </w:p>
        </w:tc>
        <w:tc>
          <w:tcPr>
            <w:tcW w:w="1500" w:type="dxa"/>
            <w:vAlign w:val="bottom"/>
            <w:tcBorders>
              <w:right w:val="single" w:sz="8" w:color="BFBFBF"/>
            </w:tcBorders>
            <w:shd w:val="clear" w:color="auto" w:fill="0088A6"/>
          </w:tcPr>
          <w:p>
            <w:pPr>
              <w:jc w:val="center"/>
              <w:ind w:right="32"/>
              <w:spacing w:after="0" w:line="197" w:lineRule="exact"/>
              <w:rPr>
                <w:sz w:val="20"/>
                <w:szCs w:val="20"/>
                <w:color w:val="auto"/>
              </w:rPr>
            </w:pPr>
            <w:r>
              <w:rPr>
                <w:rFonts w:ascii="Arial" w:cs="Arial" w:eastAsia="Arial" w:hAnsi="Arial"/>
                <w:sz w:val="18"/>
                <w:szCs w:val="18"/>
                <w:b w:val="1"/>
                <w:bCs w:val="1"/>
                <w:color w:val="FFFFFF"/>
                <w:w w:val="95"/>
              </w:rPr>
              <w:t>Score as a</w:t>
            </w:r>
          </w:p>
        </w:tc>
        <w:tc>
          <w:tcPr>
            <w:tcW w:w="0" w:type="dxa"/>
            <w:vAlign w:val="bottom"/>
          </w:tcPr>
          <w:p>
            <w:pPr>
              <w:spacing w:after="0"/>
              <w:rPr>
                <w:sz w:val="1"/>
                <w:szCs w:val="1"/>
                <w:color w:val="auto"/>
              </w:rPr>
            </w:pPr>
          </w:p>
        </w:tc>
      </w:tr>
      <w:tr>
        <w:trPr>
          <w:trHeight w:val="203"/>
        </w:trPr>
        <w:tc>
          <w:tcPr>
            <w:tcW w:w="7220" w:type="dxa"/>
            <w:vAlign w:val="bottom"/>
            <w:tcBorders>
              <w:left w:val="single" w:sz="8" w:color="BFBFBF"/>
              <w:right w:val="single" w:sz="8" w:color="BFBFBF"/>
            </w:tcBorders>
            <w:gridSpan w:val="3"/>
            <w:vMerge w:val="restart"/>
            <w:shd w:val="clear" w:color="auto" w:fill="0088A6"/>
          </w:tcPr>
          <w:p>
            <w:pPr>
              <w:ind w:left="280"/>
              <w:spacing w:after="0"/>
              <w:rPr>
                <w:sz w:val="20"/>
                <w:szCs w:val="20"/>
                <w:color w:val="auto"/>
              </w:rPr>
            </w:pPr>
            <w:r>
              <w:rPr>
                <w:rFonts w:ascii="Arial" w:cs="Arial" w:eastAsia="Arial" w:hAnsi="Arial"/>
                <w:sz w:val="18"/>
                <w:szCs w:val="18"/>
                <w:b w:val="1"/>
                <w:bCs w:val="1"/>
                <w:color w:val="FFFFFF"/>
              </w:rPr>
              <w:t>Goal</w:t>
            </w:r>
          </w:p>
        </w:tc>
        <w:tc>
          <w:tcPr>
            <w:tcW w:w="640" w:type="dxa"/>
            <w:vAlign w:val="bottom"/>
            <w:shd w:val="clear" w:color="auto" w:fill="0088A6"/>
          </w:tcPr>
          <w:p>
            <w:pPr>
              <w:spacing w:after="0"/>
              <w:rPr>
                <w:sz w:val="17"/>
                <w:szCs w:val="17"/>
                <w:color w:val="auto"/>
              </w:rPr>
            </w:pPr>
          </w:p>
        </w:tc>
        <w:tc>
          <w:tcPr>
            <w:tcW w:w="1320" w:type="dxa"/>
            <w:vAlign w:val="bottom"/>
            <w:tcBorders>
              <w:right w:val="single" w:sz="8" w:color="BFBFBF"/>
            </w:tcBorders>
            <w:shd w:val="clear" w:color="auto" w:fill="0088A6"/>
          </w:tcPr>
          <w:p>
            <w:pPr>
              <w:jc w:val="center"/>
              <w:spacing w:after="0" w:line="202" w:lineRule="exact"/>
              <w:rPr>
                <w:sz w:val="20"/>
                <w:szCs w:val="20"/>
                <w:color w:val="auto"/>
              </w:rPr>
            </w:pPr>
            <w:r>
              <w:rPr>
                <w:rFonts w:ascii="Arial" w:cs="Arial" w:eastAsia="Arial" w:hAnsi="Arial"/>
                <w:sz w:val="18"/>
                <w:szCs w:val="18"/>
                <w:b w:val="1"/>
                <w:bCs w:val="1"/>
                <w:color w:val="FFFFFF"/>
                <w:w w:val="94"/>
              </w:rPr>
              <w:t>Goal</w:t>
            </w:r>
          </w:p>
        </w:tc>
        <w:tc>
          <w:tcPr>
            <w:tcW w:w="760" w:type="dxa"/>
            <w:vAlign w:val="bottom"/>
            <w:shd w:val="clear" w:color="auto" w:fill="0088A6"/>
          </w:tcPr>
          <w:p>
            <w:pPr>
              <w:spacing w:after="0"/>
              <w:rPr>
                <w:sz w:val="17"/>
                <w:szCs w:val="17"/>
                <w:color w:val="auto"/>
              </w:rPr>
            </w:pPr>
          </w:p>
        </w:tc>
        <w:tc>
          <w:tcPr>
            <w:tcW w:w="1500" w:type="dxa"/>
            <w:vAlign w:val="bottom"/>
            <w:tcBorders>
              <w:right w:val="single" w:sz="8" w:color="BFBFBF"/>
            </w:tcBorders>
            <w:shd w:val="clear" w:color="auto" w:fill="0088A6"/>
          </w:tcPr>
          <w:p>
            <w:pPr>
              <w:jc w:val="center"/>
              <w:ind w:right="32"/>
              <w:spacing w:after="0" w:line="202" w:lineRule="exact"/>
              <w:rPr>
                <w:sz w:val="20"/>
                <w:szCs w:val="20"/>
                <w:color w:val="auto"/>
              </w:rPr>
            </w:pPr>
            <w:r>
              <w:rPr>
                <w:rFonts w:ascii="Arial" w:cs="Arial" w:eastAsia="Arial" w:hAnsi="Arial"/>
                <w:sz w:val="18"/>
                <w:szCs w:val="18"/>
                <w:b w:val="1"/>
                <w:bCs w:val="1"/>
                <w:color w:val="FFFFFF"/>
                <w:w w:val="97"/>
              </w:rPr>
              <w:t>Percent of</w:t>
            </w:r>
          </w:p>
        </w:tc>
        <w:tc>
          <w:tcPr>
            <w:tcW w:w="0" w:type="dxa"/>
            <w:vAlign w:val="bottom"/>
          </w:tcPr>
          <w:p>
            <w:pPr>
              <w:spacing w:after="0"/>
              <w:rPr>
                <w:sz w:val="1"/>
                <w:szCs w:val="1"/>
                <w:color w:val="auto"/>
              </w:rPr>
            </w:pPr>
          </w:p>
        </w:tc>
      </w:tr>
      <w:tr>
        <w:trPr>
          <w:trHeight w:val="261"/>
        </w:trPr>
        <w:tc>
          <w:tcPr>
            <w:tcW w:w="7220" w:type="dxa"/>
            <w:vAlign w:val="bottom"/>
            <w:tcBorders>
              <w:left w:val="single" w:sz="8" w:color="BFBFBF"/>
              <w:bottom w:val="single" w:sz="8" w:color="auto"/>
              <w:right w:val="single" w:sz="8" w:color="BFBFBF"/>
            </w:tcBorders>
            <w:gridSpan w:val="3"/>
            <w:vMerge w:val="continue"/>
            <w:shd w:val="clear" w:color="auto" w:fill="0088A6"/>
          </w:tcPr>
          <w:p>
            <w:pPr>
              <w:spacing w:after="0"/>
              <w:rPr>
                <w:sz w:val="22"/>
                <w:szCs w:val="22"/>
                <w:color w:val="auto"/>
              </w:rPr>
            </w:pPr>
          </w:p>
        </w:tc>
        <w:tc>
          <w:tcPr>
            <w:tcW w:w="640" w:type="dxa"/>
            <w:vAlign w:val="bottom"/>
            <w:tcBorders>
              <w:bottom w:val="single" w:sz="8" w:color="0088A6"/>
            </w:tcBorders>
            <w:shd w:val="clear" w:color="auto" w:fill="0088A6"/>
          </w:tcPr>
          <w:p>
            <w:pPr>
              <w:spacing w:after="0"/>
              <w:rPr>
                <w:sz w:val="22"/>
                <w:szCs w:val="22"/>
                <w:color w:val="auto"/>
              </w:rPr>
            </w:pPr>
          </w:p>
        </w:tc>
        <w:tc>
          <w:tcPr>
            <w:tcW w:w="1320" w:type="dxa"/>
            <w:vAlign w:val="bottom"/>
            <w:tcBorders>
              <w:bottom w:val="single" w:sz="8" w:color="auto"/>
              <w:right w:val="single" w:sz="8" w:color="BFBFBF"/>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8"/>
              </w:rPr>
              <w:t>Weighting</w:t>
            </w:r>
          </w:p>
        </w:tc>
        <w:tc>
          <w:tcPr>
            <w:tcW w:w="760" w:type="dxa"/>
            <w:vAlign w:val="bottom"/>
            <w:tcBorders>
              <w:bottom w:val="single" w:sz="8" w:color="0088A6"/>
            </w:tcBorders>
            <w:shd w:val="clear" w:color="auto" w:fill="0088A6"/>
          </w:tcPr>
          <w:p>
            <w:pPr>
              <w:spacing w:after="0"/>
              <w:rPr>
                <w:sz w:val="22"/>
                <w:szCs w:val="22"/>
                <w:color w:val="auto"/>
              </w:rPr>
            </w:pPr>
          </w:p>
        </w:tc>
        <w:tc>
          <w:tcPr>
            <w:tcW w:w="1500" w:type="dxa"/>
            <w:vAlign w:val="bottom"/>
            <w:tcBorders>
              <w:bottom w:val="single" w:sz="8" w:color="auto"/>
              <w:right w:val="single" w:sz="8" w:color="BFBFBF"/>
            </w:tcBorders>
            <w:shd w:val="clear" w:color="auto" w:fill="0088A6"/>
          </w:tcPr>
          <w:p>
            <w:pPr>
              <w:jc w:val="center"/>
              <w:ind w:right="32"/>
              <w:spacing w:after="0"/>
              <w:rPr>
                <w:sz w:val="20"/>
                <w:szCs w:val="20"/>
                <w:color w:val="auto"/>
              </w:rPr>
            </w:pPr>
            <w:r>
              <w:rPr>
                <w:rFonts w:ascii="Arial" w:cs="Arial" w:eastAsia="Arial" w:hAnsi="Arial"/>
                <w:sz w:val="18"/>
                <w:szCs w:val="18"/>
                <w:b w:val="1"/>
                <w:bCs w:val="1"/>
                <w:color w:val="FFFFFF"/>
                <w:w w:val="98"/>
              </w:rPr>
              <w:t>Target</w:t>
            </w:r>
          </w:p>
        </w:tc>
        <w:tc>
          <w:tcPr>
            <w:tcW w:w="0" w:type="dxa"/>
            <w:vAlign w:val="bottom"/>
          </w:tcPr>
          <w:p>
            <w:pPr>
              <w:spacing w:after="0"/>
              <w:rPr>
                <w:sz w:val="1"/>
                <w:szCs w:val="1"/>
                <w:color w:val="auto"/>
              </w:rPr>
            </w:pPr>
          </w:p>
        </w:tc>
      </w:tr>
      <w:tr>
        <w:trPr>
          <w:trHeight w:val="183"/>
        </w:trPr>
        <w:tc>
          <w:tcPr>
            <w:tcW w:w="7220" w:type="dxa"/>
            <w:vAlign w:val="bottom"/>
            <w:tcBorders>
              <w:top w:val="single" w:sz="8" w:color="0088A6"/>
              <w:left w:val="single" w:sz="8" w:color="BFBFBF"/>
              <w:bottom w:val="single" w:sz="8" w:color="BFBFBF"/>
              <w:right w:val="single" w:sz="8" w:color="BFBFBF"/>
            </w:tcBorders>
            <w:gridSpan w:val="3"/>
          </w:tcPr>
          <w:p>
            <w:pPr>
              <w:ind w:left="220"/>
              <w:spacing w:after="0" w:line="183" w:lineRule="exact"/>
              <w:rPr>
                <w:sz w:val="20"/>
                <w:szCs w:val="20"/>
                <w:color w:val="auto"/>
              </w:rPr>
            </w:pPr>
            <w:r>
              <w:rPr>
                <w:rFonts w:ascii="Arial" w:cs="Arial" w:eastAsia="Arial" w:hAnsi="Arial"/>
                <w:sz w:val="18"/>
                <w:szCs w:val="18"/>
                <w:color w:val="auto"/>
              </w:rPr>
              <w:t>Transaction Services U.S. financial results and strategic goals</w:t>
            </w:r>
          </w:p>
        </w:tc>
        <w:tc>
          <w:tcPr>
            <w:tcW w:w="1960" w:type="dxa"/>
            <w:vAlign w:val="bottom"/>
            <w:tcBorders>
              <w:top w:val="single" w:sz="8" w:color="0088A6"/>
              <w:bottom w:val="single" w:sz="8" w:color="BFBFBF"/>
              <w:right w:val="single" w:sz="8" w:color="BFBFBF"/>
            </w:tcBorders>
            <w:gridSpan w:val="2"/>
          </w:tcPr>
          <w:p>
            <w:pPr>
              <w:jc w:val="center"/>
              <w:ind w:left="532"/>
              <w:spacing w:after="0" w:line="183" w:lineRule="exact"/>
              <w:rPr>
                <w:sz w:val="20"/>
                <w:szCs w:val="20"/>
                <w:color w:val="auto"/>
              </w:rPr>
            </w:pPr>
            <w:r>
              <w:rPr>
                <w:rFonts w:ascii="Arial" w:cs="Arial" w:eastAsia="Arial" w:hAnsi="Arial"/>
                <w:sz w:val="18"/>
                <w:szCs w:val="18"/>
                <w:color w:val="auto"/>
                <w:w w:val="94"/>
              </w:rPr>
              <w:t>60%</w:t>
            </w:r>
          </w:p>
        </w:tc>
        <w:tc>
          <w:tcPr>
            <w:tcW w:w="2260" w:type="dxa"/>
            <w:vAlign w:val="bottom"/>
            <w:tcBorders>
              <w:top w:val="single" w:sz="8" w:color="0088A6"/>
              <w:bottom w:val="single" w:sz="8" w:color="BFBFBF"/>
              <w:right w:val="single" w:sz="8" w:color="BFBFBF"/>
            </w:tcBorders>
            <w:gridSpan w:val="2"/>
          </w:tcPr>
          <w:p>
            <w:pPr>
              <w:jc w:val="center"/>
              <w:ind w:left="652"/>
              <w:spacing w:after="0" w:line="183" w:lineRule="exact"/>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196"/>
        </w:trPr>
        <w:tc>
          <w:tcPr>
            <w:tcW w:w="7220" w:type="dxa"/>
            <w:vAlign w:val="bottom"/>
            <w:tcBorders>
              <w:left w:val="single" w:sz="8" w:color="BFBFBF"/>
              <w:bottom w:val="single" w:sz="8" w:color="BFBFBF"/>
              <w:right w:val="single" w:sz="8" w:color="BFBFBF"/>
            </w:tcBorders>
            <w:gridSpan w:val="3"/>
          </w:tcPr>
          <w:p>
            <w:pPr>
              <w:ind w:left="220"/>
              <w:spacing w:after="0" w:line="196" w:lineRule="exact"/>
              <w:rPr>
                <w:sz w:val="20"/>
                <w:szCs w:val="20"/>
                <w:color w:val="auto"/>
              </w:rPr>
            </w:pPr>
            <w:r>
              <w:rPr>
                <w:rFonts w:ascii="Arial" w:cs="Arial" w:eastAsia="Arial" w:hAnsi="Arial"/>
                <w:sz w:val="18"/>
                <w:szCs w:val="18"/>
                <w:color w:val="auto"/>
              </w:rPr>
              <w:t>NASDAQ OMX NLX Limited strategic goal</w:t>
            </w:r>
          </w:p>
        </w:tc>
        <w:tc>
          <w:tcPr>
            <w:tcW w:w="1960" w:type="dxa"/>
            <w:vAlign w:val="bottom"/>
            <w:tcBorders>
              <w:bottom w:val="single" w:sz="8" w:color="BFBFBF"/>
              <w:right w:val="single" w:sz="8" w:color="BFBFBF"/>
            </w:tcBorders>
            <w:gridSpan w:val="2"/>
          </w:tcPr>
          <w:p>
            <w:pPr>
              <w:jc w:val="center"/>
              <w:ind w:left="532"/>
              <w:spacing w:after="0" w:line="196" w:lineRule="exact"/>
              <w:rPr>
                <w:sz w:val="20"/>
                <w:szCs w:val="20"/>
                <w:color w:val="auto"/>
              </w:rPr>
            </w:pPr>
            <w:r>
              <w:rPr>
                <w:rFonts w:ascii="Arial" w:cs="Arial" w:eastAsia="Arial" w:hAnsi="Arial"/>
                <w:sz w:val="18"/>
                <w:szCs w:val="18"/>
                <w:color w:val="auto"/>
                <w:w w:val="94"/>
              </w:rPr>
              <w:t>10%</w:t>
            </w:r>
          </w:p>
        </w:tc>
        <w:tc>
          <w:tcPr>
            <w:tcW w:w="2260" w:type="dxa"/>
            <w:vAlign w:val="bottom"/>
            <w:tcBorders>
              <w:bottom w:val="single" w:sz="8" w:color="BFBFBF"/>
              <w:right w:val="single" w:sz="8" w:color="BFBFBF"/>
            </w:tcBorders>
            <w:gridSpan w:val="2"/>
          </w:tcPr>
          <w:p>
            <w:pPr>
              <w:jc w:val="center"/>
              <w:ind w:left="652"/>
              <w:spacing w:after="0" w:line="196" w:lineRule="exact"/>
              <w:rPr>
                <w:sz w:val="20"/>
                <w:szCs w:val="20"/>
                <w:color w:val="auto"/>
              </w:rPr>
            </w:pPr>
            <w:r>
              <w:rPr>
                <w:rFonts w:ascii="Arial" w:cs="Arial" w:eastAsia="Arial" w:hAnsi="Arial"/>
                <w:sz w:val="18"/>
                <w:szCs w:val="18"/>
                <w:color w:val="auto"/>
                <w:w w:val="95"/>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-2803525</wp:posOffset>
            </wp:positionV>
            <wp:extent cx="889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-2803525</wp:posOffset>
            </wp:positionV>
            <wp:extent cx="889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-2803525</wp:posOffset>
            </wp:positionV>
            <wp:extent cx="889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-2803525</wp:posOffset>
            </wp:positionV>
            <wp:extent cx="889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-1551305</wp:posOffset>
            </wp:positionV>
            <wp:extent cx="889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-1551305</wp:posOffset>
            </wp:positionV>
            <wp:extent cx="889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-1551305</wp:posOffset>
            </wp:positionV>
            <wp:extent cx="889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-1551305</wp:posOffset>
            </wp:positionV>
            <wp:extent cx="889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-299720</wp:posOffset>
            </wp:positionV>
            <wp:extent cx="889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-299720</wp:posOffset>
            </wp:positionV>
            <wp:extent cx="889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889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-299720</wp:posOffset>
            </wp:positionV>
            <wp:extent cx="889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 Performance vs. Goals</w:t>
      </w:r>
    </w:p>
    <w:p>
      <w:pPr>
        <w:spacing w:after="0" w:line="13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With respect to the BES goal, the named executive officers received a range of payouts from 125% to 175% of the target incentive award amounts allocated to this goal.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Payouts</w:t>
      </w:r>
    </w:p>
    <w:p>
      <w:pPr>
        <w:spacing w:after="0" w:line="13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early 2013, the committee and board received a final report on the level of achievement on each goal, and on the basis of this report, it approved payouts for 2012.</w:t>
      </w:r>
    </w:p>
    <w:p>
      <w:pPr>
        <w:spacing w:after="0" w:line="11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Under the ECIP, the management compensation committee may, in its sole discretion, reduce some or all of the amount that would otherwise be payable with respect to an award. For 2012, the committee and board reduced Mr. Greifeld’s ECIP payout by $542,100 and Ms. Ewing’s ECIP payout by $263,625. The committee and board explicitly considered the Facebook IPO in connection with their review and determination of these reduced payouts.</w:t>
      </w:r>
    </w:p>
    <w:p>
      <w:pPr>
        <w:spacing w:after="0" w:line="141"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47</w:t>
      </w:r>
    </w:p>
    <w:p>
      <w:pPr>
        <w:sectPr>
          <w:pgSz w:w="11900" w:h="16838" w:orient="portrait"/>
          <w:cols w:equalWidth="0" w:num="1">
            <w:col w:w="11440"/>
          </w:cols>
          <w:pgMar w:left="240" w:top="459" w:right="2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actual annual cash incentive award payouts to the named executive officers for 2012 and 2011 are set forth in the following table.</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060" w:type="dxa"/>
            <w:vAlign w:val="bottom"/>
            <w:tcBorders>
              <w:left w:val="single" w:sz="8" w:color="BFBFBF"/>
              <w:right w:val="single" w:sz="8" w:color="BFBFBF"/>
            </w:tcBorders>
            <w:shd w:val="clear" w:color="auto" w:fill="0088A6"/>
          </w:tcPr>
          <w:p>
            <w:pPr>
              <w:spacing w:after="0"/>
              <w:rPr>
                <w:sz w:val="17"/>
                <w:szCs w:val="17"/>
                <w:color w:val="auto"/>
              </w:rPr>
            </w:pPr>
          </w:p>
        </w:tc>
        <w:tc>
          <w:tcPr>
            <w:tcW w:w="80" w:type="dxa"/>
            <w:vAlign w:val="bottom"/>
            <w:shd w:val="clear" w:color="auto" w:fill="0088A6"/>
          </w:tcPr>
          <w:p>
            <w:pPr>
              <w:spacing w:after="0"/>
              <w:rPr>
                <w:sz w:val="17"/>
                <w:szCs w:val="17"/>
                <w:color w:val="auto"/>
              </w:rPr>
            </w:pPr>
          </w:p>
        </w:tc>
        <w:tc>
          <w:tcPr>
            <w:tcW w:w="200" w:type="dxa"/>
            <w:vAlign w:val="bottom"/>
            <w:shd w:val="clear" w:color="auto" w:fill="0088A6"/>
          </w:tcPr>
          <w:p>
            <w:pPr>
              <w:spacing w:after="0"/>
              <w:rPr>
                <w:sz w:val="17"/>
                <w:szCs w:val="17"/>
                <w:color w:val="auto"/>
              </w:rPr>
            </w:pPr>
          </w:p>
        </w:tc>
        <w:tc>
          <w:tcPr>
            <w:tcW w:w="1520" w:type="dxa"/>
            <w:vAlign w:val="bottom"/>
            <w:shd w:val="clear" w:color="auto" w:fill="0088A6"/>
          </w:tcPr>
          <w:p>
            <w:pPr>
              <w:jc w:val="right"/>
              <w:ind w:right="352"/>
              <w:spacing w:after="0"/>
              <w:rPr>
                <w:sz w:val="20"/>
                <w:szCs w:val="20"/>
                <w:color w:val="auto"/>
              </w:rPr>
            </w:pPr>
            <w:r>
              <w:rPr>
                <w:rFonts w:ascii="Arial" w:cs="Arial" w:eastAsia="Arial" w:hAnsi="Arial"/>
                <w:sz w:val="18"/>
                <w:szCs w:val="18"/>
                <w:b w:val="1"/>
                <w:bCs w:val="1"/>
                <w:color w:val="FFFFFF"/>
              </w:rPr>
              <w:t>2012 ECIP</w:t>
            </w:r>
          </w:p>
        </w:tc>
        <w:tc>
          <w:tcPr>
            <w:tcW w:w="200" w:type="dxa"/>
            <w:vAlign w:val="bottom"/>
            <w:tcBorders>
              <w:right w:val="single" w:sz="8" w:color="BFBFBF"/>
            </w:tcBorders>
            <w:shd w:val="clear" w:color="auto" w:fill="0088A6"/>
          </w:tcPr>
          <w:p>
            <w:pPr>
              <w:spacing w:after="0"/>
              <w:rPr>
                <w:sz w:val="17"/>
                <w:szCs w:val="17"/>
                <w:color w:val="auto"/>
              </w:rPr>
            </w:pPr>
          </w:p>
        </w:tc>
        <w:tc>
          <w:tcPr>
            <w:tcW w:w="140" w:type="dxa"/>
            <w:vAlign w:val="bottom"/>
            <w:shd w:val="clear" w:color="auto" w:fill="0088A6"/>
          </w:tcPr>
          <w:p>
            <w:pPr>
              <w:spacing w:after="0"/>
              <w:rPr>
                <w:sz w:val="17"/>
                <w:szCs w:val="17"/>
                <w:color w:val="auto"/>
              </w:rPr>
            </w:pPr>
          </w:p>
        </w:tc>
        <w:tc>
          <w:tcPr>
            <w:tcW w:w="140" w:type="dxa"/>
            <w:vAlign w:val="bottom"/>
            <w:shd w:val="clear" w:color="auto" w:fill="0088A6"/>
          </w:tcPr>
          <w:p>
            <w:pPr>
              <w:spacing w:after="0"/>
              <w:rPr>
                <w:sz w:val="17"/>
                <w:szCs w:val="17"/>
                <w:color w:val="auto"/>
              </w:rPr>
            </w:pPr>
          </w:p>
        </w:tc>
        <w:tc>
          <w:tcPr>
            <w:tcW w:w="1420" w:type="dxa"/>
            <w:vAlign w:val="bottom"/>
            <w:tcBorders>
              <w:right w:val="single" w:sz="8" w:color="BFBFBF"/>
            </w:tcBorders>
            <w:gridSpan w:val="2"/>
            <w:shd w:val="clear" w:color="auto" w:fill="0088A6"/>
          </w:tcPr>
          <w:p>
            <w:pPr>
              <w:ind w:left="100"/>
              <w:spacing w:after="0"/>
              <w:rPr>
                <w:sz w:val="20"/>
                <w:szCs w:val="20"/>
                <w:color w:val="auto"/>
              </w:rPr>
            </w:pPr>
            <w:r>
              <w:rPr>
                <w:rFonts w:ascii="Arial" w:cs="Arial" w:eastAsia="Arial" w:hAnsi="Arial"/>
                <w:sz w:val="18"/>
                <w:szCs w:val="18"/>
                <w:b w:val="1"/>
                <w:bCs w:val="1"/>
                <w:color w:val="FFFFFF"/>
              </w:rPr>
              <w:t>2011 ECIP</w:t>
            </w:r>
          </w:p>
        </w:tc>
        <w:tc>
          <w:tcPr>
            <w:tcW w:w="120" w:type="dxa"/>
            <w:vAlign w:val="bottom"/>
            <w:shd w:val="clear" w:color="auto" w:fill="0088A6"/>
          </w:tcPr>
          <w:p>
            <w:pPr>
              <w:spacing w:after="0"/>
              <w:rPr>
                <w:sz w:val="17"/>
                <w:szCs w:val="17"/>
                <w:color w:val="auto"/>
              </w:rPr>
            </w:pPr>
          </w:p>
        </w:tc>
        <w:tc>
          <w:tcPr>
            <w:tcW w:w="1560" w:type="dxa"/>
            <w:vAlign w:val="bottom"/>
            <w:tcBorders>
              <w:right w:val="single" w:sz="8" w:color="BFBFBF"/>
            </w:tcBorders>
            <w:gridSpan w:val="2"/>
            <w:shd w:val="clear" w:color="auto" w:fill="0088A6"/>
          </w:tcPr>
          <w:p>
            <w:pPr>
              <w:spacing w:after="0"/>
              <w:rPr>
                <w:sz w:val="20"/>
                <w:szCs w:val="20"/>
                <w:color w:val="auto"/>
              </w:rPr>
            </w:pPr>
            <w:r>
              <w:rPr>
                <w:rFonts w:ascii="Arial" w:cs="Arial" w:eastAsia="Arial" w:hAnsi="Arial"/>
                <w:sz w:val="18"/>
                <w:szCs w:val="18"/>
                <w:b w:val="1"/>
                <w:bCs w:val="1"/>
                <w:color w:val="FFFFFF"/>
              </w:rPr>
              <w:t>2012 Payout vs.</w:t>
            </w:r>
          </w:p>
        </w:tc>
      </w:tr>
      <w:tr>
        <w:trPr>
          <w:trHeight w:val="286"/>
        </w:trPr>
        <w:tc>
          <w:tcPr>
            <w:tcW w:w="6060" w:type="dxa"/>
            <w:vAlign w:val="bottom"/>
            <w:tcBorders>
              <w:left w:val="single" w:sz="8" w:color="BFBFBF"/>
              <w:bottom w:val="single" w:sz="8" w:color="auto"/>
              <w:right w:val="single" w:sz="8" w:color="BFBFBF"/>
            </w:tcBorders>
            <w:shd w:val="clear" w:color="auto" w:fill="0088A6"/>
          </w:tcPr>
          <w:p>
            <w:pPr>
              <w:ind w:left="220"/>
              <w:spacing w:after="0"/>
              <w:rPr>
                <w:sz w:val="20"/>
                <w:szCs w:val="20"/>
                <w:color w:val="auto"/>
              </w:rPr>
            </w:pPr>
            <w:r>
              <w:rPr>
                <w:rFonts w:ascii="Arial" w:cs="Arial" w:eastAsia="Arial" w:hAnsi="Arial"/>
                <w:sz w:val="18"/>
                <w:szCs w:val="18"/>
                <w:b w:val="1"/>
                <w:bCs w:val="1"/>
                <w:color w:val="FFFFFF"/>
              </w:rPr>
              <w:t>Named Executive Officer</w:t>
            </w:r>
          </w:p>
        </w:tc>
        <w:tc>
          <w:tcPr>
            <w:tcW w:w="80" w:type="dxa"/>
            <w:vAlign w:val="bottom"/>
            <w:tcBorders>
              <w:bottom w:val="single" w:sz="8" w:color="0088A6"/>
            </w:tcBorders>
            <w:shd w:val="clear" w:color="auto" w:fill="0088A6"/>
          </w:tcPr>
          <w:p>
            <w:pPr>
              <w:spacing w:after="0"/>
              <w:rPr>
                <w:sz w:val="24"/>
                <w:szCs w:val="24"/>
                <w:color w:val="auto"/>
              </w:rPr>
            </w:pPr>
          </w:p>
        </w:tc>
        <w:tc>
          <w:tcPr>
            <w:tcW w:w="200" w:type="dxa"/>
            <w:vAlign w:val="bottom"/>
            <w:tcBorders>
              <w:bottom w:val="single" w:sz="8" w:color="auto"/>
            </w:tcBorders>
            <w:shd w:val="clear" w:color="auto" w:fill="0088A6"/>
          </w:tcPr>
          <w:p>
            <w:pPr>
              <w:spacing w:after="0"/>
              <w:rPr>
                <w:sz w:val="24"/>
                <w:szCs w:val="24"/>
                <w:color w:val="auto"/>
              </w:rPr>
            </w:pPr>
          </w:p>
        </w:tc>
        <w:tc>
          <w:tcPr>
            <w:tcW w:w="1520" w:type="dxa"/>
            <w:vAlign w:val="bottom"/>
            <w:tcBorders>
              <w:bottom w:val="single" w:sz="8" w:color="auto"/>
            </w:tcBorders>
            <w:shd w:val="clear" w:color="auto" w:fill="0088A6"/>
          </w:tcPr>
          <w:p>
            <w:pPr>
              <w:jc w:val="right"/>
              <w:ind w:right="172"/>
              <w:spacing w:after="0"/>
              <w:rPr>
                <w:sz w:val="20"/>
                <w:szCs w:val="20"/>
                <w:color w:val="auto"/>
              </w:rPr>
            </w:pPr>
            <w:r>
              <w:rPr>
                <w:rFonts w:ascii="Arial" w:cs="Arial" w:eastAsia="Arial" w:hAnsi="Arial"/>
                <w:sz w:val="18"/>
                <w:szCs w:val="18"/>
                <w:b w:val="1"/>
                <w:bCs w:val="1"/>
                <w:color w:val="FFFFFF"/>
              </w:rPr>
              <w:t>Award Payout</w:t>
            </w:r>
          </w:p>
        </w:tc>
        <w:tc>
          <w:tcPr>
            <w:tcW w:w="200" w:type="dxa"/>
            <w:vAlign w:val="bottom"/>
            <w:tcBorders>
              <w:bottom w:val="single" w:sz="8" w:color="0088A6"/>
              <w:right w:val="single" w:sz="8" w:color="BFBFBF"/>
            </w:tcBorders>
            <w:shd w:val="clear" w:color="auto" w:fill="0088A6"/>
          </w:tcPr>
          <w:p>
            <w:pPr>
              <w:spacing w:after="0"/>
              <w:rPr>
                <w:sz w:val="24"/>
                <w:szCs w:val="24"/>
                <w:color w:val="auto"/>
              </w:rPr>
            </w:pPr>
          </w:p>
        </w:tc>
        <w:tc>
          <w:tcPr>
            <w:tcW w:w="140" w:type="dxa"/>
            <w:vAlign w:val="bottom"/>
            <w:tcBorders>
              <w:bottom w:val="single" w:sz="8" w:color="0088A6"/>
            </w:tcBorders>
            <w:shd w:val="clear" w:color="auto" w:fill="0088A6"/>
          </w:tcPr>
          <w:p>
            <w:pPr>
              <w:spacing w:after="0"/>
              <w:rPr>
                <w:sz w:val="24"/>
                <w:szCs w:val="24"/>
                <w:color w:val="auto"/>
              </w:rPr>
            </w:pPr>
          </w:p>
        </w:tc>
        <w:tc>
          <w:tcPr>
            <w:tcW w:w="140" w:type="dxa"/>
            <w:vAlign w:val="bottom"/>
            <w:tcBorders>
              <w:bottom w:val="single" w:sz="8" w:color="auto"/>
            </w:tcBorders>
            <w:shd w:val="clear" w:color="auto" w:fill="0088A6"/>
          </w:tcPr>
          <w:p>
            <w:pPr>
              <w:spacing w:after="0"/>
              <w:rPr>
                <w:sz w:val="24"/>
                <w:szCs w:val="24"/>
                <w:color w:val="auto"/>
              </w:rPr>
            </w:pPr>
          </w:p>
        </w:tc>
        <w:tc>
          <w:tcPr>
            <w:tcW w:w="1220" w:type="dxa"/>
            <w:vAlign w:val="bottom"/>
            <w:tcBorders>
              <w:bottom w:val="single" w:sz="8" w:color="auto"/>
            </w:tcBorders>
            <w:shd w:val="clear" w:color="auto" w:fill="0088A6"/>
          </w:tcPr>
          <w:p>
            <w:pPr>
              <w:jc w:val="right"/>
              <w:spacing w:after="0"/>
              <w:rPr>
                <w:sz w:val="20"/>
                <w:szCs w:val="20"/>
                <w:color w:val="auto"/>
              </w:rPr>
            </w:pPr>
            <w:r>
              <w:rPr>
                <w:rFonts w:ascii="Arial" w:cs="Arial" w:eastAsia="Arial" w:hAnsi="Arial"/>
                <w:sz w:val="18"/>
                <w:szCs w:val="18"/>
                <w:b w:val="1"/>
                <w:bCs w:val="1"/>
                <w:color w:val="FFFFFF"/>
                <w:w w:val="99"/>
              </w:rPr>
              <w:t>Award Payout</w:t>
            </w:r>
          </w:p>
        </w:tc>
        <w:tc>
          <w:tcPr>
            <w:tcW w:w="200" w:type="dxa"/>
            <w:vAlign w:val="bottom"/>
            <w:tcBorders>
              <w:bottom w:val="single" w:sz="8" w:color="0088A6"/>
              <w:right w:val="single" w:sz="8" w:color="BFBFBF"/>
            </w:tcBorders>
            <w:shd w:val="clear" w:color="auto" w:fill="0088A6"/>
          </w:tcPr>
          <w:p>
            <w:pPr>
              <w:spacing w:after="0"/>
              <w:rPr>
                <w:sz w:val="24"/>
                <w:szCs w:val="24"/>
                <w:color w:val="auto"/>
              </w:rPr>
            </w:pPr>
          </w:p>
        </w:tc>
        <w:tc>
          <w:tcPr>
            <w:tcW w:w="120" w:type="dxa"/>
            <w:vAlign w:val="bottom"/>
            <w:tcBorders>
              <w:bottom w:val="single" w:sz="8" w:color="0088A6"/>
            </w:tcBorders>
            <w:shd w:val="clear" w:color="auto" w:fill="0088A6"/>
          </w:tcPr>
          <w:p>
            <w:pPr>
              <w:spacing w:after="0"/>
              <w:rPr>
                <w:sz w:val="24"/>
                <w:szCs w:val="24"/>
                <w:color w:val="auto"/>
              </w:rPr>
            </w:pPr>
          </w:p>
        </w:tc>
        <w:tc>
          <w:tcPr>
            <w:tcW w:w="1320" w:type="dxa"/>
            <w:vAlign w:val="bottom"/>
            <w:tcBorders>
              <w:bottom w:val="single" w:sz="8" w:color="auto"/>
            </w:tcBorders>
            <w:shd w:val="clear" w:color="auto" w:fill="0088A6"/>
          </w:tcPr>
          <w:p>
            <w:pPr>
              <w:jc w:val="right"/>
              <w:ind w:right="52"/>
              <w:spacing w:after="0"/>
              <w:rPr>
                <w:sz w:val="20"/>
                <w:szCs w:val="20"/>
                <w:color w:val="auto"/>
              </w:rPr>
            </w:pPr>
            <w:r>
              <w:rPr>
                <w:rFonts w:ascii="Arial" w:cs="Arial" w:eastAsia="Arial" w:hAnsi="Arial"/>
                <w:sz w:val="18"/>
                <w:szCs w:val="18"/>
                <w:b w:val="1"/>
                <w:bCs w:val="1"/>
                <w:color w:val="FFFFFF"/>
              </w:rPr>
              <w:t>2011 Payout</w:t>
            </w:r>
          </w:p>
        </w:tc>
        <w:tc>
          <w:tcPr>
            <w:tcW w:w="240" w:type="dxa"/>
            <w:vAlign w:val="bottom"/>
            <w:tcBorders>
              <w:bottom w:val="single" w:sz="8" w:color="0088A6"/>
              <w:right w:val="single" w:sz="8" w:color="BFBFBF"/>
            </w:tcBorders>
            <w:shd w:val="clear" w:color="auto" w:fill="0088A6"/>
          </w:tcPr>
          <w:p>
            <w:pPr>
              <w:spacing w:after="0"/>
              <w:rPr>
                <w:sz w:val="24"/>
                <w:szCs w:val="24"/>
                <w:color w:val="auto"/>
              </w:rPr>
            </w:pPr>
          </w:p>
        </w:tc>
      </w:tr>
      <w:tr>
        <w:trPr>
          <w:trHeight w:val="177"/>
        </w:trPr>
        <w:tc>
          <w:tcPr>
            <w:tcW w:w="6060" w:type="dxa"/>
            <w:vAlign w:val="bottom"/>
            <w:tcBorders>
              <w:top w:val="single" w:sz="8" w:color="BFBFBF"/>
              <w:left w:val="single" w:sz="8" w:color="BFBFBF"/>
              <w:bottom w:val="single" w:sz="8" w:color="BFBFBF"/>
              <w:right w:val="single" w:sz="8" w:color="BFBFBF"/>
            </w:tcBorders>
          </w:tcPr>
          <w:p>
            <w:pPr>
              <w:ind w:left="220"/>
              <w:spacing w:after="0" w:line="176" w:lineRule="exact"/>
              <w:rPr>
                <w:sz w:val="20"/>
                <w:szCs w:val="20"/>
                <w:color w:val="auto"/>
              </w:rPr>
            </w:pPr>
            <w:r>
              <w:rPr>
                <w:rFonts w:ascii="Arial" w:cs="Arial" w:eastAsia="Arial" w:hAnsi="Arial"/>
                <w:sz w:val="18"/>
                <w:szCs w:val="18"/>
                <w:color w:val="auto"/>
              </w:rPr>
              <w:t>Robert Greifeld</w:t>
            </w:r>
          </w:p>
        </w:tc>
        <w:tc>
          <w:tcPr>
            <w:tcW w:w="280" w:type="dxa"/>
            <w:vAlign w:val="bottom"/>
            <w:tcBorders>
              <w:top w:val="single" w:sz="8" w:color="BFBFBF"/>
              <w:bottom w:val="single" w:sz="8" w:color="BFBFBF"/>
            </w:tcBorders>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1720" w:type="dxa"/>
            <w:vAlign w:val="bottom"/>
            <w:tcBorders>
              <w:top w:val="single" w:sz="8" w:color="BFBFBF"/>
              <w:bottom w:val="single" w:sz="8" w:color="BFBFBF"/>
              <w:right w:val="single" w:sz="8" w:color="BFBFBF"/>
            </w:tcBorders>
            <w:gridSpan w:val="2"/>
          </w:tcPr>
          <w:p>
            <w:pPr>
              <w:jc w:val="right"/>
              <w:ind w:right="200"/>
              <w:spacing w:after="0" w:line="176" w:lineRule="exact"/>
              <w:rPr>
                <w:sz w:val="20"/>
                <w:szCs w:val="20"/>
                <w:color w:val="auto"/>
              </w:rPr>
            </w:pPr>
            <w:r>
              <w:rPr>
                <w:rFonts w:ascii="Arial" w:cs="Arial" w:eastAsia="Arial" w:hAnsi="Arial"/>
                <w:sz w:val="18"/>
                <w:szCs w:val="18"/>
                <w:color w:val="auto"/>
              </w:rPr>
              <w:t>1,350,000</w:t>
            </w:r>
          </w:p>
        </w:tc>
        <w:tc>
          <w:tcPr>
            <w:tcW w:w="280" w:type="dxa"/>
            <w:vAlign w:val="bottom"/>
            <w:tcBorders>
              <w:top w:val="single" w:sz="8" w:color="BFBFBF"/>
              <w:bottom w:val="single" w:sz="8" w:color="BFBFBF"/>
            </w:tcBorders>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BFBFBF"/>
              <w:bottom w:val="single" w:sz="8" w:color="BFBFBF"/>
              <w:right w:val="single" w:sz="8" w:color="BFBFBF"/>
            </w:tcBorders>
            <w:gridSpan w:val="2"/>
          </w:tcPr>
          <w:p>
            <w:pPr>
              <w:jc w:val="right"/>
              <w:ind w:right="200"/>
              <w:spacing w:after="0" w:line="176" w:lineRule="exact"/>
              <w:rPr>
                <w:sz w:val="20"/>
                <w:szCs w:val="20"/>
                <w:color w:val="auto"/>
              </w:rPr>
            </w:pPr>
            <w:r>
              <w:rPr>
                <w:rFonts w:ascii="Arial" w:cs="Arial" w:eastAsia="Arial" w:hAnsi="Arial"/>
                <w:sz w:val="18"/>
                <w:szCs w:val="18"/>
                <w:color w:val="auto"/>
              </w:rPr>
              <w:t>3,591,000</w:t>
            </w:r>
          </w:p>
        </w:tc>
        <w:tc>
          <w:tcPr>
            <w:tcW w:w="120" w:type="dxa"/>
            <w:vAlign w:val="bottom"/>
            <w:tcBorders>
              <w:top w:val="single" w:sz="8" w:color="BFBFBF"/>
              <w:bottom w:val="single" w:sz="8" w:color="BFBFBF"/>
            </w:tcBorders>
          </w:tcPr>
          <w:p>
            <w:pPr>
              <w:spacing w:after="0"/>
              <w:rPr>
                <w:sz w:val="15"/>
                <w:szCs w:val="15"/>
                <w:color w:val="auto"/>
              </w:rPr>
            </w:pPr>
          </w:p>
        </w:tc>
        <w:tc>
          <w:tcPr>
            <w:tcW w:w="1320" w:type="dxa"/>
            <w:vAlign w:val="bottom"/>
            <w:tcBorders>
              <w:top w:val="single" w:sz="8" w:color="BFBFBF"/>
              <w:bottom w:val="single" w:sz="8" w:color="BFBFBF"/>
            </w:tcBorders>
          </w:tcPr>
          <w:p>
            <w:pPr>
              <w:jc w:val="right"/>
              <w:ind w:right="492"/>
              <w:spacing w:after="0" w:line="176" w:lineRule="exact"/>
              <w:rPr>
                <w:sz w:val="20"/>
                <w:szCs w:val="20"/>
                <w:color w:val="auto"/>
              </w:rPr>
            </w:pPr>
            <w:r>
              <w:rPr>
                <w:rFonts w:ascii="Arial" w:cs="Arial" w:eastAsia="Arial" w:hAnsi="Arial"/>
                <w:sz w:val="18"/>
                <w:szCs w:val="18"/>
                <w:color w:val="auto"/>
              </w:rPr>
              <w:t>(62)%</w:t>
            </w:r>
          </w:p>
        </w:tc>
        <w:tc>
          <w:tcPr>
            <w:tcW w:w="240" w:type="dxa"/>
            <w:vAlign w:val="bottom"/>
            <w:tcBorders>
              <w:top w:val="single" w:sz="8" w:color="BFBFBF"/>
              <w:bottom w:val="single" w:sz="8" w:color="BFBFBF"/>
              <w:right w:val="single" w:sz="8" w:color="BFBFBF"/>
            </w:tcBorders>
          </w:tcPr>
          <w:p>
            <w:pPr>
              <w:spacing w:after="0"/>
              <w:rPr>
                <w:sz w:val="15"/>
                <w:szCs w:val="15"/>
                <w:color w:val="auto"/>
              </w:rPr>
            </w:pPr>
          </w:p>
        </w:tc>
      </w:tr>
      <w:tr>
        <w:trPr>
          <w:trHeight w:val="196"/>
        </w:trPr>
        <w:tc>
          <w:tcPr>
            <w:tcW w:w="606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Lee Shavel</w:t>
            </w:r>
          </w:p>
        </w:tc>
        <w:tc>
          <w:tcPr>
            <w:tcW w:w="280" w:type="dxa"/>
            <w:vAlign w:val="bottom"/>
            <w:tcBorders>
              <w:bottom w:val="single" w:sz="8" w:color="BFBFBF"/>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878,625</w:t>
            </w:r>
          </w:p>
        </w:tc>
        <w:tc>
          <w:tcPr>
            <w:tcW w:w="200" w:type="dxa"/>
            <w:vAlign w:val="bottom"/>
            <w:tcBorders>
              <w:bottom w:val="single" w:sz="8" w:color="BFBFBF"/>
              <w:right w:val="single" w:sz="8" w:color="BFBFBF"/>
            </w:tcBorders>
          </w:tcPr>
          <w:p>
            <w:pPr>
              <w:spacing w:after="0"/>
              <w:rPr>
                <w:sz w:val="17"/>
                <w:szCs w:val="17"/>
                <w:color w:val="auto"/>
              </w:rPr>
            </w:pPr>
          </w:p>
        </w:tc>
        <w:tc>
          <w:tcPr>
            <w:tcW w:w="28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1,290,000</w:t>
            </w:r>
          </w:p>
        </w:tc>
        <w:tc>
          <w:tcPr>
            <w:tcW w:w="20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320" w:type="dxa"/>
            <w:vAlign w:val="bottom"/>
            <w:tcBorders>
              <w:bottom w:val="single" w:sz="8" w:color="BFBFBF"/>
            </w:tcBorders>
          </w:tcPr>
          <w:p>
            <w:pPr>
              <w:jc w:val="right"/>
              <w:ind w:right="492"/>
              <w:spacing w:after="0" w:line="196" w:lineRule="exact"/>
              <w:rPr>
                <w:sz w:val="20"/>
                <w:szCs w:val="20"/>
                <w:color w:val="auto"/>
              </w:rPr>
            </w:pPr>
            <w:r>
              <w:rPr>
                <w:rFonts w:ascii="Arial" w:cs="Arial" w:eastAsia="Arial" w:hAnsi="Arial"/>
                <w:sz w:val="18"/>
                <w:szCs w:val="18"/>
                <w:color w:val="auto"/>
              </w:rPr>
              <w:t>(32)%</w:t>
            </w:r>
          </w:p>
        </w:tc>
        <w:tc>
          <w:tcPr>
            <w:tcW w:w="240" w:type="dxa"/>
            <w:vAlign w:val="bottom"/>
            <w:tcBorders>
              <w:bottom w:val="single" w:sz="8" w:color="BFBFBF"/>
              <w:right w:val="single" w:sz="8" w:color="BFBFBF"/>
            </w:tcBorders>
          </w:tcPr>
          <w:p>
            <w:pPr>
              <w:spacing w:after="0"/>
              <w:rPr>
                <w:sz w:val="17"/>
                <w:szCs w:val="17"/>
                <w:color w:val="auto"/>
              </w:rPr>
            </w:pPr>
          </w:p>
        </w:tc>
      </w:tr>
      <w:tr>
        <w:trPr>
          <w:trHeight w:val="196"/>
        </w:trPr>
        <w:tc>
          <w:tcPr>
            <w:tcW w:w="606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Anna M. Ewing</w:t>
            </w:r>
          </w:p>
        </w:tc>
        <w:tc>
          <w:tcPr>
            <w:tcW w:w="280" w:type="dxa"/>
            <w:vAlign w:val="bottom"/>
            <w:tcBorders>
              <w:bottom w:val="single" w:sz="8" w:color="BFBFBF"/>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574,125</w:t>
            </w:r>
          </w:p>
        </w:tc>
        <w:tc>
          <w:tcPr>
            <w:tcW w:w="200" w:type="dxa"/>
            <w:vAlign w:val="bottom"/>
            <w:tcBorders>
              <w:bottom w:val="single" w:sz="8" w:color="BFBFBF"/>
              <w:right w:val="single" w:sz="8" w:color="BFBFBF"/>
            </w:tcBorders>
          </w:tcPr>
          <w:p>
            <w:pPr>
              <w:spacing w:after="0"/>
              <w:rPr>
                <w:sz w:val="17"/>
                <w:szCs w:val="17"/>
                <w:color w:val="auto"/>
              </w:rPr>
            </w:pPr>
          </w:p>
        </w:tc>
        <w:tc>
          <w:tcPr>
            <w:tcW w:w="28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1,210,500</w:t>
            </w:r>
          </w:p>
        </w:tc>
        <w:tc>
          <w:tcPr>
            <w:tcW w:w="20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320" w:type="dxa"/>
            <w:vAlign w:val="bottom"/>
            <w:tcBorders>
              <w:bottom w:val="single" w:sz="8" w:color="BFBFBF"/>
            </w:tcBorders>
          </w:tcPr>
          <w:p>
            <w:pPr>
              <w:jc w:val="right"/>
              <w:ind w:right="492"/>
              <w:spacing w:after="0" w:line="196" w:lineRule="exact"/>
              <w:rPr>
                <w:sz w:val="20"/>
                <w:szCs w:val="20"/>
                <w:color w:val="auto"/>
              </w:rPr>
            </w:pPr>
            <w:r>
              <w:rPr>
                <w:rFonts w:ascii="Arial" w:cs="Arial" w:eastAsia="Arial" w:hAnsi="Arial"/>
                <w:sz w:val="18"/>
                <w:szCs w:val="18"/>
                <w:color w:val="auto"/>
              </w:rPr>
              <w:t>(53)%</w:t>
            </w:r>
          </w:p>
        </w:tc>
        <w:tc>
          <w:tcPr>
            <w:tcW w:w="240" w:type="dxa"/>
            <w:vAlign w:val="bottom"/>
            <w:tcBorders>
              <w:bottom w:val="single" w:sz="8" w:color="BFBFBF"/>
              <w:right w:val="single" w:sz="8" w:color="BFBFBF"/>
            </w:tcBorders>
          </w:tcPr>
          <w:p>
            <w:pPr>
              <w:spacing w:after="0"/>
              <w:rPr>
                <w:sz w:val="17"/>
                <w:szCs w:val="17"/>
                <w:color w:val="auto"/>
              </w:rPr>
            </w:pPr>
          </w:p>
        </w:tc>
      </w:tr>
      <w:tr>
        <w:trPr>
          <w:trHeight w:val="196"/>
        </w:trPr>
        <w:tc>
          <w:tcPr>
            <w:tcW w:w="606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Hans-Ole Jochumsen</w:t>
            </w:r>
          </w:p>
        </w:tc>
        <w:tc>
          <w:tcPr>
            <w:tcW w:w="280" w:type="dxa"/>
            <w:vAlign w:val="bottom"/>
            <w:tcBorders>
              <w:bottom w:val="single" w:sz="8" w:color="BFBFBF"/>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889,387</w:t>
            </w:r>
          </w:p>
        </w:tc>
        <w:tc>
          <w:tcPr>
            <w:tcW w:w="200" w:type="dxa"/>
            <w:vAlign w:val="bottom"/>
            <w:tcBorders>
              <w:bottom w:val="single" w:sz="8" w:color="BFBFBF"/>
              <w:right w:val="single" w:sz="8" w:color="BFBFBF"/>
            </w:tcBorders>
          </w:tcPr>
          <w:p>
            <w:pPr>
              <w:spacing w:after="0"/>
              <w:rPr>
                <w:sz w:val="17"/>
                <w:szCs w:val="17"/>
                <w:color w:val="auto"/>
              </w:rPr>
            </w:pPr>
          </w:p>
        </w:tc>
        <w:tc>
          <w:tcPr>
            <w:tcW w:w="28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858,431</w:t>
            </w:r>
          </w:p>
        </w:tc>
        <w:tc>
          <w:tcPr>
            <w:tcW w:w="20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320" w:type="dxa"/>
            <w:vAlign w:val="bottom"/>
            <w:tcBorders>
              <w:bottom w:val="single" w:sz="8" w:color="BFBFBF"/>
            </w:tcBorders>
          </w:tcPr>
          <w:p>
            <w:pPr>
              <w:jc w:val="right"/>
              <w:ind w:right="492"/>
              <w:spacing w:after="0" w:line="196" w:lineRule="exact"/>
              <w:rPr>
                <w:sz w:val="20"/>
                <w:szCs w:val="20"/>
                <w:color w:val="auto"/>
              </w:rPr>
            </w:pPr>
            <w:r>
              <w:rPr>
                <w:rFonts w:ascii="Arial" w:cs="Arial" w:eastAsia="Arial" w:hAnsi="Arial"/>
                <w:sz w:val="18"/>
                <w:szCs w:val="18"/>
                <w:color w:val="auto"/>
              </w:rPr>
              <w:t>4%</w:t>
            </w:r>
          </w:p>
        </w:tc>
        <w:tc>
          <w:tcPr>
            <w:tcW w:w="240" w:type="dxa"/>
            <w:vAlign w:val="bottom"/>
            <w:tcBorders>
              <w:bottom w:val="single" w:sz="8" w:color="BFBFBF"/>
              <w:right w:val="single" w:sz="8" w:color="BFBFBF"/>
            </w:tcBorders>
          </w:tcPr>
          <w:p>
            <w:pPr>
              <w:spacing w:after="0"/>
              <w:rPr>
                <w:sz w:val="17"/>
                <w:szCs w:val="17"/>
                <w:color w:val="auto"/>
              </w:rPr>
            </w:pPr>
          </w:p>
        </w:tc>
      </w:tr>
      <w:tr>
        <w:trPr>
          <w:trHeight w:val="196"/>
        </w:trPr>
        <w:tc>
          <w:tcPr>
            <w:tcW w:w="606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Eric W. Noll</w:t>
            </w:r>
          </w:p>
        </w:tc>
        <w:tc>
          <w:tcPr>
            <w:tcW w:w="280" w:type="dxa"/>
            <w:vAlign w:val="bottom"/>
            <w:tcBorders>
              <w:bottom w:val="single" w:sz="8" w:color="BFBFBF"/>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688,500</w:t>
            </w:r>
          </w:p>
        </w:tc>
        <w:tc>
          <w:tcPr>
            <w:tcW w:w="200" w:type="dxa"/>
            <w:vAlign w:val="bottom"/>
            <w:tcBorders>
              <w:bottom w:val="single" w:sz="8" w:color="BFBFBF"/>
              <w:right w:val="single" w:sz="8" w:color="BFBFBF"/>
            </w:tcBorders>
          </w:tcPr>
          <w:p>
            <w:pPr>
              <w:spacing w:after="0"/>
              <w:rPr>
                <w:sz w:val="17"/>
                <w:szCs w:val="17"/>
                <w:color w:val="auto"/>
              </w:rPr>
            </w:pPr>
          </w:p>
        </w:tc>
        <w:tc>
          <w:tcPr>
            <w:tcW w:w="28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1,300,000</w:t>
            </w:r>
          </w:p>
        </w:tc>
        <w:tc>
          <w:tcPr>
            <w:tcW w:w="20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320" w:type="dxa"/>
            <w:vAlign w:val="bottom"/>
            <w:tcBorders>
              <w:bottom w:val="single" w:sz="8" w:color="BFBFBF"/>
            </w:tcBorders>
          </w:tcPr>
          <w:p>
            <w:pPr>
              <w:jc w:val="right"/>
              <w:ind w:right="492"/>
              <w:spacing w:after="0" w:line="196" w:lineRule="exact"/>
              <w:rPr>
                <w:sz w:val="20"/>
                <w:szCs w:val="20"/>
                <w:color w:val="auto"/>
              </w:rPr>
            </w:pPr>
            <w:r>
              <w:rPr>
                <w:rFonts w:ascii="Arial" w:cs="Arial" w:eastAsia="Arial" w:hAnsi="Arial"/>
                <w:sz w:val="18"/>
                <w:szCs w:val="18"/>
                <w:color w:val="auto"/>
              </w:rPr>
              <w:t>(47)%</w:t>
            </w:r>
          </w:p>
        </w:tc>
        <w:tc>
          <w:tcPr>
            <w:tcW w:w="240" w:type="dxa"/>
            <w:vAlign w:val="bottom"/>
            <w:tcBorders>
              <w:bottom w:val="single" w:sz="8" w:color="BFBFBF"/>
              <w:right w:val="single" w:sz="8" w:color="BFBFBF"/>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889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-711200</wp:posOffset>
            </wp:positionV>
            <wp:extent cx="889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Stock-Based Compensation</w:t>
      </w:r>
    </w:p>
    <w:p>
      <w:pPr>
        <w:spacing w:after="0" w:line="139"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Long-term incentive compensation consists entirely of equity awards. The management compensation committee and board of directors believe that equity awards align the interests of our employees with those of our stockholders by rewarding outstanding performance and providing incentives to increase the value of our stockholders’ investments.</w:t>
      </w:r>
    </w:p>
    <w:p>
      <w:pPr>
        <w:spacing w:after="0" w:line="9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 xml:space="preserve">New Performance-Based Long-Term Incentive Program. </w:t>
      </w:r>
      <w:r>
        <w:rPr>
          <w:rFonts w:ascii="Arial" w:cs="Arial" w:eastAsia="Arial" w:hAnsi="Arial"/>
          <w:sz w:val="18"/>
          <w:szCs w:val="18"/>
          <w:color w:val="auto"/>
        </w:rPr>
        <w:t>On March 16, 2012, the committee and board approved a new performance-based long-term incentive program for our CEO, executive vice presidents and senior vice presidents that focuses on TSR. Consistent with our pay for performance philosophy, this program represents 100% of our CEO and executive vice presidents’ long-term stock-based compensation and 50% of our senior vice presidents’ long-term stock-based compensation. In any event, all of the long-term stock-based compensation awarded to these individuals is performance-based.</w:t>
      </w:r>
    </w:p>
    <w:p>
      <w:pPr>
        <w:spacing w:after="0" w:line="113" w:lineRule="exact"/>
        <w:rPr>
          <w:sz w:val="20"/>
          <w:szCs w:val="20"/>
          <w:color w:val="auto"/>
        </w:rPr>
      </w:pPr>
    </w:p>
    <w:p>
      <w:pPr>
        <w:ind w:right="920"/>
        <w:spacing w:after="0" w:line="299" w:lineRule="auto"/>
        <w:rPr>
          <w:sz w:val="20"/>
          <w:szCs w:val="20"/>
          <w:color w:val="auto"/>
        </w:rPr>
      </w:pPr>
      <w:r>
        <w:rPr>
          <w:rFonts w:ascii="Arial" w:cs="Arial" w:eastAsia="Arial" w:hAnsi="Arial"/>
          <w:sz w:val="16"/>
          <w:szCs w:val="16"/>
          <w:color w:val="auto"/>
        </w:rPr>
        <w:t>The committee and board believe that the new program better aligns the equity structure for the CEO with the executive and senior vice presidents, optimizes the retention value of equity awards and better utilizes the accounting expense associated with equity awards.</w:t>
      </w:r>
    </w:p>
    <w:p>
      <w:pPr>
        <w:spacing w:after="0" w:line="6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Under the program, each individual received a grant of PSUs subject to a three-year cumulative performance period beginning on January 1, 2012 and ending on December 31, 2014. Performance is determined by comparing NASDAQ OMX’s TSR to two groups of companies, each weighted 50%. One group consists of all S&amp;P 500 companies, and the other group consists of the following 13 exchange companies.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8"/>
                <w:szCs w:val="18"/>
                <w:color w:val="0088A6"/>
              </w:rPr>
              <w:t>•</w:t>
            </w:r>
          </w:p>
        </w:tc>
        <w:tc>
          <w:tcPr>
            <w:tcW w:w="4340" w:type="dxa"/>
            <w:vAlign w:val="bottom"/>
          </w:tcPr>
          <w:p>
            <w:pPr>
              <w:ind w:left="140"/>
              <w:spacing w:after="0"/>
              <w:rPr>
                <w:sz w:val="20"/>
                <w:szCs w:val="20"/>
                <w:color w:val="auto"/>
              </w:rPr>
            </w:pPr>
            <w:r>
              <w:rPr>
                <w:rFonts w:ascii="Arial" w:cs="Arial" w:eastAsia="Arial" w:hAnsi="Arial"/>
                <w:sz w:val="18"/>
                <w:szCs w:val="18"/>
                <w:color w:val="auto"/>
              </w:rPr>
              <w:t>ASX Ltd</w:t>
            </w:r>
          </w:p>
        </w:tc>
        <w:tc>
          <w:tcPr>
            <w:tcW w:w="1700" w:type="dxa"/>
            <w:vAlign w:val="bottom"/>
          </w:tcPr>
          <w:p>
            <w:pPr>
              <w:ind w:left="1500"/>
              <w:spacing w:after="0"/>
              <w:rPr>
                <w:sz w:val="20"/>
                <w:szCs w:val="20"/>
                <w:color w:val="auto"/>
              </w:rPr>
            </w:pPr>
            <w:r>
              <w:rPr>
                <w:rFonts w:ascii="Arial" w:cs="Arial" w:eastAsia="Arial" w:hAnsi="Arial"/>
                <w:sz w:val="18"/>
                <w:szCs w:val="18"/>
                <w:color w:val="0088A6"/>
              </w:rPr>
              <w:t>•</w:t>
            </w:r>
          </w:p>
        </w:tc>
        <w:tc>
          <w:tcPr>
            <w:tcW w:w="2540" w:type="dxa"/>
            <w:vAlign w:val="bottom"/>
          </w:tcPr>
          <w:p>
            <w:pPr>
              <w:ind w:left="160"/>
              <w:spacing w:after="0"/>
              <w:rPr>
                <w:sz w:val="20"/>
                <w:szCs w:val="20"/>
                <w:color w:val="auto"/>
              </w:rPr>
            </w:pPr>
            <w:r>
              <w:rPr>
                <w:rFonts w:ascii="Arial" w:cs="Arial" w:eastAsia="Arial" w:hAnsi="Arial"/>
                <w:sz w:val="18"/>
                <w:szCs w:val="18"/>
                <w:color w:val="auto"/>
              </w:rPr>
              <w:t>BGC Partners Inc.</w:t>
            </w: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0088A6"/>
              </w:rPr>
              <w:t xml:space="preserve">•   </w:t>
            </w:r>
            <w:r>
              <w:rPr>
                <w:rFonts w:ascii="Arial" w:cs="Arial" w:eastAsia="Arial" w:hAnsi="Arial"/>
                <w:sz w:val="18"/>
                <w:szCs w:val="18"/>
                <w:color w:val="000000"/>
              </w:rPr>
              <w:t>Bolsa Mexicana de Valores</w:t>
            </w:r>
          </w:p>
        </w:tc>
        <w:tc>
          <w:tcPr>
            <w:tcW w:w="4240" w:type="dxa"/>
            <w:vAlign w:val="bottom"/>
            <w:gridSpan w:val="2"/>
          </w:tcPr>
          <w:p>
            <w:pPr>
              <w:ind w:left="1500"/>
              <w:spacing w:after="0" w:line="202" w:lineRule="exact"/>
              <w:rPr>
                <w:sz w:val="20"/>
                <w:szCs w:val="20"/>
                <w:color w:val="auto"/>
              </w:rPr>
            </w:pPr>
            <w:r>
              <w:rPr>
                <w:rFonts w:ascii="Arial" w:cs="Arial" w:eastAsia="Arial" w:hAnsi="Arial"/>
                <w:sz w:val="18"/>
                <w:szCs w:val="18"/>
                <w:color w:val="0088A6"/>
              </w:rPr>
              <w:t xml:space="preserve">•   </w:t>
            </w:r>
            <w:r>
              <w:rPr>
                <w:rFonts w:ascii="Arial" w:cs="Arial" w:eastAsia="Arial" w:hAnsi="Arial"/>
                <w:sz w:val="18"/>
                <w:szCs w:val="18"/>
                <w:color w:val="000000"/>
              </w:rPr>
              <w:t>Bolsas Y Mercados Espanoles</w:t>
            </w:r>
          </w:p>
        </w:tc>
      </w:tr>
      <w:tr>
        <w:trPr>
          <w:trHeight w:val="203"/>
        </w:trPr>
        <w:tc>
          <w:tcPr>
            <w:tcW w:w="220" w:type="dxa"/>
            <w:vAlign w:val="bottom"/>
          </w:tcPr>
          <w:p>
            <w:pPr>
              <w:spacing w:after="0" w:line="202" w:lineRule="exact"/>
              <w:rPr>
                <w:sz w:val="20"/>
                <w:szCs w:val="20"/>
                <w:color w:val="auto"/>
              </w:rPr>
            </w:pPr>
            <w:r>
              <w:rPr>
                <w:rFonts w:ascii="Arial" w:cs="Arial" w:eastAsia="Arial" w:hAnsi="Arial"/>
                <w:sz w:val="18"/>
                <w:szCs w:val="18"/>
                <w:color w:val="0088A6"/>
              </w:rPr>
              <w:t>•</w:t>
            </w: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CBOE Holdings, Inc.</w:t>
            </w:r>
          </w:p>
        </w:tc>
        <w:tc>
          <w:tcPr>
            <w:tcW w:w="1700" w:type="dxa"/>
            <w:vAlign w:val="bottom"/>
          </w:tcPr>
          <w:p>
            <w:pPr>
              <w:ind w:left="1500"/>
              <w:spacing w:after="0" w:line="202" w:lineRule="exact"/>
              <w:rPr>
                <w:sz w:val="20"/>
                <w:szCs w:val="20"/>
                <w:color w:val="auto"/>
              </w:rPr>
            </w:pPr>
            <w:r>
              <w:rPr>
                <w:rFonts w:ascii="Arial" w:cs="Arial" w:eastAsia="Arial" w:hAnsi="Arial"/>
                <w:sz w:val="18"/>
                <w:szCs w:val="18"/>
                <w:color w:val="0088A6"/>
              </w:rPr>
              <w:t>•</w:t>
            </w:r>
          </w:p>
        </w:tc>
        <w:tc>
          <w:tcPr>
            <w:tcW w:w="2540" w:type="dxa"/>
            <w:vAlign w:val="bottom"/>
          </w:tcPr>
          <w:p>
            <w:pPr>
              <w:ind w:left="160"/>
              <w:spacing w:after="0" w:line="202" w:lineRule="exact"/>
              <w:rPr>
                <w:sz w:val="20"/>
                <w:szCs w:val="20"/>
                <w:color w:val="auto"/>
              </w:rPr>
            </w:pPr>
            <w:r>
              <w:rPr>
                <w:rFonts w:ascii="Arial" w:cs="Arial" w:eastAsia="Arial" w:hAnsi="Arial"/>
                <w:sz w:val="18"/>
                <w:szCs w:val="18"/>
                <w:color w:val="auto"/>
              </w:rPr>
              <w:t>CME Group Inc.</w:t>
            </w:r>
          </w:p>
        </w:tc>
      </w:tr>
      <w:tr>
        <w:trPr>
          <w:trHeight w:val="203"/>
        </w:trPr>
        <w:tc>
          <w:tcPr>
            <w:tcW w:w="220" w:type="dxa"/>
            <w:vAlign w:val="bottom"/>
          </w:tcPr>
          <w:p>
            <w:pPr>
              <w:spacing w:after="0" w:line="202" w:lineRule="exact"/>
              <w:rPr>
                <w:sz w:val="20"/>
                <w:szCs w:val="20"/>
                <w:color w:val="auto"/>
              </w:rPr>
            </w:pPr>
            <w:r>
              <w:rPr>
                <w:rFonts w:ascii="Arial" w:cs="Arial" w:eastAsia="Arial" w:hAnsi="Arial"/>
                <w:sz w:val="18"/>
                <w:szCs w:val="18"/>
                <w:color w:val="0088A6"/>
              </w:rPr>
              <w:t>•</w:t>
            </w: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Deutsche Börse AG</w:t>
            </w:r>
          </w:p>
        </w:tc>
        <w:tc>
          <w:tcPr>
            <w:tcW w:w="1700" w:type="dxa"/>
            <w:vAlign w:val="bottom"/>
          </w:tcPr>
          <w:p>
            <w:pPr>
              <w:ind w:left="1500"/>
              <w:spacing w:after="0" w:line="202" w:lineRule="exact"/>
              <w:rPr>
                <w:sz w:val="20"/>
                <w:szCs w:val="20"/>
                <w:color w:val="auto"/>
              </w:rPr>
            </w:pPr>
            <w:r>
              <w:rPr>
                <w:rFonts w:ascii="Arial" w:cs="Arial" w:eastAsia="Arial" w:hAnsi="Arial"/>
                <w:sz w:val="18"/>
                <w:szCs w:val="18"/>
                <w:color w:val="0088A6"/>
              </w:rPr>
              <w:t>•</w:t>
            </w:r>
          </w:p>
        </w:tc>
        <w:tc>
          <w:tcPr>
            <w:tcW w:w="2540" w:type="dxa"/>
            <w:vAlign w:val="bottom"/>
          </w:tcPr>
          <w:p>
            <w:pPr>
              <w:ind w:left="160"/>
              <w:spacing w:after="0" w:line="202" w:lineRule="exact"/>
              <w:rPr>
                <w:sz w:val="20"/>
                <w:szCs w:val="20"/>
                <w:color w:val="auto"/>
              </w:rPr>
            </w:pPr>
            <w:r>
              <w:rPr>
                <w:rFonts w:ascii="Arial" w:cs="Arial" w:eastAsia="Arial" w:hAnsi="Arial"/>
                <w:sz w:val="18"/>
                <w:szCs w:val="18"/>
                <w:color w:val="auto"/>
              </w:rPr>
              <w:t>ICAP plc</w:t>
            </w:r>
          </w:p>
        </w:tc>
      </w:tr>
      <w:tr>
        <w:trPr>
          <w:trHeight w:val="203"/>
        </w:trPr>
        <w:tc>
          <w:tcPr>
            <w:tcW w:w="220" w:type="dxa"/>
            <w:vAlign w:val="bottom"/>
          </w:tcPr>
          <w:p>
            <w:pPr>
              <w:spacing w:after="0" w:line="202" w:lineRule="exact"/>
              <w:rPr>
                <w:sz w:val="20"/>
                <w:szCs w:val="20"/>
                <w:color w:val="auto"/>
              </w:rPr>
            </w:pPr>
            <w:r>
              <w:rPr>
                <w:rFonts w:ascii="Arial" w:cs="Arial" w:eastAsia="Arial" w:hAnsi="Arial"/>
                <w:sz w:val="18"/>
                <w:szCs w:val="18"/>
                <w:color w:val="0088A6"/>
              </w:rPr>
              <w:t>•</w:t>
            </w: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Interactive Brokers Group</w:t>
            </w:r>
          </w:p>
        </w:tc>
        <w:tc>
          <w:tcPr>
            <w:tcW w:w="1700" w:type="dxa"/>
            <w:vAlign w:val="bottom"/>
          </w:tcPr>
          <w:p>
            <w:pPr>
              <w:ind w:left="1500"/>
              <w:spacing w:after="0" w:line="202" w:lineRule="exact"/>
              <w:rPr>
                <w:sz w:val="20"/>
                <w:szCs w:val="20"/>
                <w:color w:val="auto"/>
              </w:rPr>
            </w:pPr>
            <w:r>
              <w:rPr>
                <w:rFonts w:ascii="Arial" w:cs="Arial" w:eastAsia="Arial" w:hAnsi="Arial"/>
                <w:sz w:val="18"/>
                <w:szCs w:val="18"/>
                <w:color w:val="0088A6"/>
              </w:rPr>
              <w:t>•</w:t>
            </w:r>
          </w:p>
        </w:tc>
        <w:tc>
          <w:tcPr>
            <w:tcW w:w="2540" w:type="dxa"/>
            <w:vAlign w:val="bottom"/>
          </w:tcPr>
          <w:p>
            <w:pPr>
              <w:ind w:left="160"/>
              <w:spacing w:after="0" w:line="202" w:lineRule="exact"/>
              <w:rPr>
                <w:sz w:val="20"/>
                <w:szCs w:val="20"/>
                <w:color w:val="auto"/>
              </w:rPr>
            </w:pPr>
            <w:r>
              <w:rPr>
                <w:rFonts w:ascii="Arial" w:cs="Arial" w:eastAsia="Arial" w:hAnsi="Arial"/>
                <w:sz w:val="18"/>
                <w:szCs w:val="18"/>
                <w:color w:val="auto"/>
                <w:w w:val="97"/>
              </w:rPr>
              <w:t>IntercontinentalExchange, Inc.</w:t>
            </w: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0088A6"/>
              </w:rPr>
              <w:t xml:space="preserve">•   </w:t>
            </w:r>
            <w:r>
              <w:rPr>
                <w:rFonts w:ascii="Arial" w:cs="Arial" w:eastAsia="Arial" w:hAnsi="Arial"/>
                <w:sz w:val="18"/>
                <w:szCs w:val="18"/>
                <w:color w:val="000000"/>
              </w:rPr>
              <w:t>London Stock Exchange Group plc</w:t>
            </w:r>
          </w:p>
        </w:tc>
        <w:tc>
          <w:tcPr>
            <w:tcW w:w="1700" w:type="dxa"/>
            <w:vAlign w:val="bottom"/>
          </w:tcPr>
          <w:p>
            <w:pPr>
              <w:ind w:left="1500"/>
              <w:spacing w:after="0" w:line="202" w:lineRule="exact"/>
              <w:rPr>
                <w:sz w:val="20"/>
                <w:szCs w:val="20"/>
                <w:color w:val="auto"/>
              </w:rPr>
            </w:pPr>
            <w:r>
              <w:rPr>
                <w:rFonts w:ascii="Arial" w:cs="Arial" w:eastAsia="Arial" w:hAnsi="Arial"/>
                <w:sz w:val="18"/>
                <w:szCs w:val="18"/>
                <w:color w:val="0088A6"/>
              </w:rPr>
              <w:t>•</w:t>
            </w:r>
          </w:p>
        </w:tc>
        <w:tc>
          <w:tcPr>
            <w:tcW w:w="2540" w:type="dxa"/>
            <w:vAlign w:val="bottom"/>
          </w:tcPr>
          <w:p>
            <w:pPr>
              <w:ind w:left="160"/>
              <w:spacing w:after="0" w:line="202" w:lineRule="exact"/>
              <w:rPr>
                <w:sz w:val="20"/>
                <w:szCs w:val="20"/>
                <w:color w:val="auto"/>
              </w:rPr>
            </w:pPr>
            <w:r>
              <w:rPr>
                <w:rFonts w:ascii="Arial" w:cs="Arial" w:eastAsia="Arial" w:hAnsi="Arial"/>
                <w:sz w:val="18"/>
                <w:szCs w:val="18"/>
                <w:color w:val="auto"/>
              </w:rPr>
              <w:t>NYSE Euronext</w:t>
            </w:r>
          </w:p>
        </w:tc>
      </w:tr>
    </w:tbl>
    <w:p>
      <w:pPr>
        <w:ind w:left="360" w:hanging="352"/>
        <w:spacing w:after="0"/>
        <w:tabs>
          <w:tab w:leader="none" w:pos="360" w:val="left"/>
        </w:tabs>
        <w:numPr>
          <w:ilvl w:val="0"/>
          <w:numId w:val="45"/>
        </w:numPr>
        <w:rPr>
          <w:rFonts w:ascii="Arial" w:cs="Arial" w:eastAsia="Arial" w:hAnsi="Arial"/>
          <w:sz w:val="18"/>
          <w:szCs w:val="18"/>
          <w:color w:val="0088A6"/>
        </w:rPr>
      </w:pPr>
      <w:r>
        <w:rPr>
          <w:rFonts w:ascii="Arial" w:cs="Arial" w:eastAsia="Arial" w:hAnsi="Arial"/>
          <w:sz w:val="18"/>
          <w:szCs w:val="18"/>
          <w:color w:val="auto"/>
        </w:rPr>
        <w:t>TMX Group Inc.</w:t>
      </w:r>
    </w:p>
    <w:p>
      <w:pPr>
        <w:spacing w:after="0" w:line="21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NASDAQ OMX’s relative performance ranking against each of these groups will determine the final number of shares delivered to each individual under the program. The maximum payout will be 200% of the number of PSUs granted if NASDAQ OMX ranks at the 85th percentile or above of both groups. However, if NASDAQ OMX’s TSR is negative for the three-year performance period, regardless of TSR ranking, the payout will not exceed 100% of the number of PSUs granted.</w:t>
      </w:r>
    </w:p>
    <w:p>
      <w:pPr>
        <w:spacing w:after="0" w:line="141"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48</w:t>
      </w:r>
    </w:p>
    <w:p>
      <w:pPr>
        <w:sectPr>
          <w:pgSz w:w="11900" w:h="16838" w:orient="portrait"/>
          <w:cols w:equalWidth="0" w:num="1">
            <w:col w:w="11440"/>
          </w:cols>
          <w:pgMar w:left="240" w:top="459" w:right="2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Below is a table showing the amount of shares a grantee may receive based upon different levels of achievement against each of the groups.</w:t>
      </w:r>
    </w:p>
    <w:p>
      <w:pPr>
        <w:spacing w:after="0" w:line="185"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8500" w:type="dxa"/>
            <w:vAlign w:val="bottom"/>
            <w:tcBorders>
              <w:left w:val="single" w:sz="8" w:color="BFBFBF"/>
              <w:right w:val="single" w:sz="8" w:color="BFBFBF"/>
            </w:tcBorders>
            <w:shd w:val="clear" w:color="auto" w:fill="0088A6"/>
          </w:tcPr>
          <w:p>
            <w:pPr>
              <w:spacing w:after="0"/>
              <w:rPr>
                <w:sz w:val="17"/>
                <w:szCs w:val="17"/>
                <w:color w:val="auto"/>
              </w:rPr>
            </w:pPr>
          </w:p>
        </w:tc>
        <w:tc>
          <w:tcPr>
            <w:tcW w:w="620" w:type="dxa"/>
            <w:vAlign w:val="bottom"/>
            <w:shd w:val="clear" w:color="auto" w:fill="0088A6"/>
          </w:tcPr>
          <w:p>
            <w:pPr>
              <w:spacing w:after="0"/>
              <w:rPr>
                <w:sz w:val="17"/>
                <w:szCs w:val="17"/>
                <w:color w:val="auto"/>
              </w:rPr>
            </w:pPr>
          </w:p>
        </w:tc>
        <w:tc>
          <w:tcPr>
            <w:tcW w:w="1960" w:type="dxa"/>
            <w:vAlign w:val="bottom"/>
            <w:tcBorders>
              <w:right w:val="single" w:sz="8" w:color="BFBFBF"/>
            </w:tcBorders>
            <w:gridSpan w:val="2"/>
            <w:shd w:val="clear" w:color="auto" w:fill="0088A6"/>
          </w:tcPr>
          <w:p>
            <w:pPr>
              <w:jc w:val="center"/>
              <w:ind w:right="880"/>
              <w:spacing w:after="0"/>
              <w:rPr>
                <w:sz w:val="20"/>
                <w:szCs w:val="20"/>
                <w:color w:val="auto"/>
              </w:rPr>
            </w:pPr>
            <w:r>
              <w:rPr>
                <w:rFonts w:ascii="Arial" w:cs="Arial" w:eastAsia="Arial" w:hAnsi="Arial"/>
                <w:sz w:val="18"/>
                <w:szCs w:val="18"/>
                <w:b w:val="1"/>
                <w:bCs w:val="1"/>
                <w:color w:val="FFFFFF"/>
                <w:w w:val="97"/>
              </w:rPr>
              <w:t>Resulting</w:t>
            </w:r>
          </w:p>
        </w:tc>
        <w:tc>
          <w:tcPr>
            <w:tcW w:w="0" w:type="dxa"/>
            <w:vAlign w:val="bottom"/>
          </w:tcPr>
          <w:p>
            <w:pPr>
              <w:spacing w:after="0"/>
              <w:rPr>
                <w:sz w:val="1"/>
                <w:szCs w:val="1"/>
                <w:color w:val="auto"/>
              </w:rPr>
            </w:pPr>
          </w:p>
        </w:tc>
      </w:tr>
      <w:tr>
        <w:trPr>
          <w:trHeight w:val="203"/>
        </w:trPr>
        <w:tc>
          <w:tcPr>
            <w:tcW w:w="8500" w:type="dxa"/>
            <w:vAlign w:val="bottom"/>
            <w:tcBorders>
              <w:left w:val="single" w:sz="8" w:color="BFBFBF"/>
              <w:right w:val="single" w:sz="8" w:color="BFBFBF"/>
            </w:tcBorders>
            <w:shd w:val="clear" w:color="auto" w:fill="0088A6"/>
          </w:tcPr>
          <w:p>
            <w:pPr>
              <w:spacing w:after="0"/>
              <w:rPr>
                <w:sz w:val="17"/>
                <w:szCs w:val="17"/>
                <w:color w:val="auto"/>
              </w:rPr>
            </w:pPr>
          </w:p>
        </w:tc>
        <w:tc>
          <w:tcPr>
            <w:tcW w:w="620" w:type="dxa"/>
            <w:vAlign w:val="bottom"/>
            <w:shd w:val="clear" w:color="auto" w:fill="0088A6"/>
          </w:tcPr>
          <w:p>
            <w:pPr>
              <w:spacing w:after="0"/>
              <w:rPr>
                <w:sz w:val="17"/>
                <w:szCs w:val="17"/>
                <w:color w:val="auto"/>
              </w:rPr>
            </w:pPr>
          </w:p>
        </w:tc>
        <w:tc>
          <w:tcPr>
            <w:tcW w:w="1960" w:type="dxa"/>
            <w:vAlign w:val="bottom"/>
            <w:tcBorders>
              <w:right w:val="single" w:sz="8" w:color="BFBFBF"/>
            </w:tcBorders>
            <w:gridSpan w:val="2"/>
            <w:shd w:val="clear" w:color="auto" w:fill="0088A6"/>
          </w:tcPr>
          <w:p>
            <w:pPr>
              <w:jc w:val="center"/>
              <w:ind w:right="880"/>
              <w:spacing w:after="0" w:line="202" w:lineRule="exact"/>
              <w:rPr>
                <w:sz w:val="20"/>
                <w:szCs w:val="20"/>
                <w:color w:val="auto"/>
              </w:rPr>
            </w:pPr>
            <w:r>
              <w:rPr>
                <w:rFonts w:ascii="Arial" w:cs="Arial" w:eastAsia="Arial" w:hAnsi="Arial"/>
                <w:sz w:val="18"/>
                <w:szCs w:val="18"/>
                <w:b w:val="1"/>
                <w:bCs w:val="1"/>
                <w:color w:val="FFFFFF"/>
                <w:w w:val="99"/>
              </w:rPr>
              <w:t>Shares</w:t>
            </w:r>
          </w:p>
        </w:tc>
        <w:tc>
          <w:tcPr>
            <w:tcW w:w="0" w:type="dxa"/>
            <w:vAlign w:val="bottom"/>
          </w:tcPr>
          <w:p>
            <w:pPr>
              <w:spacing w:after="0"/>
              <w:rPr>
                <w:sz w:val="1"/>
                <w:szCs w:val="1"/>
                <w:color w:val="auto"/>
              </w:rPr>
            </w:pPr>
          </w:p>
        </w:tc>
      </w:tr>
      <w:tr>
        <w:trPr>
          <w:trHeight w:val="203"/>
        </w:trPr>
        <w:tc>
          <w:tcPr>
            <w:tcW w:w="8500" w:type="dxa"/>
            <w:vAlign w:val="bottom"/>
            <w:tcBorders>
              <w:left w:val="single" w:sz="8" w:color="BFBFBF"/>
              <w:right w:val="single" w:sz="8" w:color="BFBFBF"/>
            </w:tcBorders>
            <w:vMerge w:val="restart"/>
            <w:shd w:val="clear" w:color="auto" w:fill="0088A6"/>
          </w:tcPr>
          <w:p>
            <w:pPr>
              <w:ind w:left="220"/>
              <w:spacing w:after="0"/>
              <w:rPr>
                <w:sz w:val="20"/>
                <w:szCs w:val="20"/>
                <w:color w:val="auto"/>
              </w:rPr>
            </w:pPr>
            <w:r>
              <w:rPr>
                <w:rFonts w:ascii="Arial" w:cs="Arial" w:eastAsia="Arial" w:hAnsi="Arial"/>
                <w:sz w:val="18"/>
                <w:szCs w:val="18"/>
                <w:b w:val="1"/>
                <w:bCs w:val="1"/>
                <w:color w:val="FFFFFF"/>
              </w:rPr>
              <w:t>Percentile Rank of NASDAQ OMX’s Three-Year TSR Versus</w:t>
            </w:r>
          </w:p>
        </w:tc>
        <w:tc>
          <w:tcPr>
            <w:tcW w:w="620" w:type="dxa"/>
            <w:vAlign w:val="bottom"/>
            <w:shd w:val="clear" w:color="auto" w:fill="0088A6"/>
          </w:tcPr>
          <w:p>
            <w:pPr>
              <w:spacing w:after="0"/>
              <w:rPr>
                <w:sz w:val="17"/>
                <w:szCs w:val="17"/>
                <w:color w:val="auto"/>
              </w:rPr>
            </w:pPr>
          </w:p>
        </w:tc>
        <w:tc>
          <w:tcPr>
            <w:tcW w:w="1960" w:type="dxa"/>
            <w:vAlign w:val="bottom"/>
            <w:tcBorders>
              <w:right w:val="single" w:sz="8" w:color="BFBFBF"/>
            </w:tcBorders>
            <w:gridSpan w:val="2"/>
            <w:shd w:val="clear" w:color="auto" w:fill="0088A6"/>
          </w:tcPr>
          <w:p>
            <w:pPr>
              <w:jc w:val="center"/>
              <w:ind w:right="880"/>
              <w:spacing w:after="0" w:line="202" w:lineRule="exact"/>
              <w:rPr>
                <w:sz w:val="20"/>
                <w:szCs w:val="20"/>
                <w:color w:val="auto"/>
              </w:rPr>
            </w:pPr>
            <w:r>
              <w:rPr>
                <w:rFonts w:ascii="Arial" w:cs="Arial" w:eastAsia="Arial" w:hAnsi="Arial"/>
                <w:sz w:val="18"/>
                <w:szCs w:val="18"/>
                <w:b w:val="1"/>
                <w:bCs w:val="1"/>
                <w:color w:val="FFFFFF"/>
                <w:w w:val="98"/>
              </w:rPr>
              <w:t>Earned (% of</w:t>
            </w:r>
          </w:p>
        </w:tc>
        <w:tc>
          <w:tcPr>
            <w:tcW w:w="0" w:type="dxa"/>
            <w:vAlign w:val="bottom"/>
          </w:tcPr>
          <w:p>
            <w:pPr>
              <w:spacing w:after="0"/>
              <w:rPr>
                <w:sz w:val="1"/>
                <w:szCs w:val="1"/>
                <w:color w:val="auto"/>
              </w:rPr>
            </w:pPr>
          </w:p>
        </w:tc>
      </w:tr>
      <w:tr>
        <w:trPr>
          <w:trHeight w:val="189"/>
        </w:trPr>
        <w:tc>
          <w:tcPr>
            <w:tcW w:w="8500" w:type="dxa"/>
            <w:vAlign w:val="bottom"/>
            <w:tcBorders>
              <w:left w:val="single" w:sz="8" w:color="BFBFBF"/>
              <w:right w:val="single" w:sz="8" w:color="BFBFBF"/>
            </w:tcBorders>
            <w:vMerge w:val="continue"/>
            <w:shd w:val="clear" w:color="auto" w:fill="0088A6"/>
          </w:tcPr>
          <w:p>
            <w:pPr>
              <w:spacing w:after="0"/>
              <w:rPr>
                <w:sz w:val="16"/>
                <w:szCs w:val="16"/>
                <w:color w:val="auto"/>
              </w:rPr>
            </w:pPr>
          </w:p>
        </w:tc>
        <w:tc>
          <w:tcPr>
            <w:tcW w:w="620" w:type="dxa"/>
            <w:vAlign w:val="bottom"/>
            <w:shd w:val="clear" w:color="auto" w:fill="0088A6"/>
          </w:tcPr>
          <w:p>
            <w:pPr>
              <w:spacing w:after="0"/>
              <w:rPr>
                <w:sz w:val="16"/>
                <w:szCs w:val="16"/>
                <w:color w:val="auto"/>
              </w:rPr>
            </w:pPr>
          </w:p>
        </w:tc>
        <w:tc>
          <w:tcPr>
            <w:tcW w:w="1960" w:type="dxa"/>
            <w:vAlign w:val="bottom"/>
            <w:tcBorders>
              <w:right w:val="single" w:sz="8" w:color="BFBFBF"/>
            </w:tcBorders>
            <w:gridSpan w:val="2"/>
            <w:shd w:val="clear" w:color="auto" w:fill="0088A6"/>
          </w:tcPr>
          <w:p>
            <w:pPr>
              <w:jc w:val="center"/>
              <w:ind w:right="880"/>
              <w:spacing w:after="0" w:line="189" w:lineRule="exact"/>
              <w:rPr>
                <w:sz w:val="20"/>
                <w:szCs w:val="20"/>
                <w:color w:val="auto"/>
              </w:rPr>
            </w:pPr>
            <w:r>
              <w:rPr>
                <w:rFonts w:ascii="Arial" w:cs="Arial" w:eastAsia="Arial" w:hAnsi="Arial"/>
                <w:sz w:val="18"/>
                <w:szCs w:val="18"/>
                <w:b w:val="1"/>
                <w:bCs w:val="1"/>
                <w:color w:val="FFFFFF"/>
                <w:w w:val="99"/>
              </w:rPr>
              <w:t>Half of</w:t>
            </w:r>
          </w:p>
        </w:tc>
        <w:tc>
          <w:tcPr>
            <w:tcW w:w="0" w:type="dxa"/>
            <w:vAlign w:val="bottom"/>
          </w:tcPr>
          <w:p>
            <w:pPr>
              <w:spacing w:after="0"/>
              <w:rPr>
                <w:sz w:val="1"/>
                <w:szCs w:val="1"/>
                <w:color w:val="auto"/>
              </w:rPr>
            </w:pPr>
          </w:p>
        </w:tc>
      </w:tr>
      <w:tr>
        <w:trPr>
          <w:trHeight w:val="275"/>
        </w:trPr>
        <w:tc>
          <w:tcPr>
            <w:tcW w:w="8500" w:type="dxa"/>
            <w:vAlign w:val="bottom"/>
            <w:tcBorders>
              <w:left w:val="single" w:sz="8" w:color="BFBFBF"/>
              <w:bottom w:val="single" w:sz="8" w:color="auto"/>
              <w:right w:val="single" w:sz="8" w:color="BFBFBF"/>
            </w:tcBorders>
            <w:shd w:val="clear" w:color="auto" w:fill="0088A6"/>
          </w:tcPr>
          <w:p>
            <w:pPr>
              <w:ind w:left="220"/>
              <w:spacing w:after="0"/>
              <w:rPr>
                <w:sz w:val="20"/>
                <w:szCs w:val="20"/>
                <w:color w:val="auto"/>
              </w:rPr>
            </w:pPr>
            <w:r>
              <w:rPr>
                <w:rFonts w:ascii="Arial" w:cs="Arial" w:eastAsia="Arial" w:hAnsi="Arial"/>
                <w:sz w:val="18"/>
                <w:szCs w:val="18"/>
                <w:b w:val="1"/>
                <w:bCs w:val="1"/>
                <w:color w:val="FFFFFF"/>
              </w:rPr>
              <w:t>the Relevant Group</w:t>
            </w:r>
          </w:p>
        </w:tc>
        <w:tc>
          <w:tcPr>
            <w:tcW w:w="620" w:type="dxa"/>
            <w:vAlign w:val="bottom"/>
            <w:tcBorders>
              <w:bottom w:val="single" w:sz="8" w:color="0088A6"/>
            </w:tcBorders>
            <w:shd w:val="clear" w:color="auto" w:fill="0088A6"/>
          </w:tcPr>
          <w:p>
            <w:pPr>
              <w:spacing w:after="0"/>
              <w:rPr>
                <w:sz w:val="23"/>
                <w:szCs w:val="23"/>
                <w:color w:val="auto"/>
              </w:rPr>
            </w:pPr>
          </w:p>
        </w:tc>
        <w:tc>
          <w:tcPr>
            <w:tcW w:w="108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880" w:type="dxa"/>
            <w:vAlign w:val="bottom"/>
            <w:tcBorders>
              <w:bottom w:val="single" w:sz="8" w:color="0088A6"/>
              <w:right w:val="single" w:sz="8" w:color="BFBFBF"/>
            </w:tcBorders>
            <w:shd w:val="clear" w:color="auto" w:fill="0088A6"/>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850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³ 85</w:t>
            </w:r>
            <w:r>
              <w:rPr>
                <w:rFonts w:ascii="Arial" w:cs="Arial" w:eastAsia="Arial" w:hAnsi="Arial"/>
                <w:sz w:val="11"/>
                <w:szCs w:val="11"/>
                <w:color w:val="auto"/>
              </w:rPr>
              <w:t>th</w:t>
            </w:r>
            <w:r>
              <w:rPr>
                <w:rFonts w:ascii="Arial" w:cs="Arial" w:eastAsia="Arial" w:hAnsi="Arial"/>
                <w:sz w:val="18"/>
                <w:szCs w:val="18"/>
                <w:color w:val="auto"/>
              </w:rPr>
              <w:t xml:space="preserve"> Percentile</w:t>
            </w:r>
          </w:p>
        </w:tc>
        <w:tc>
          <w:tcPr>
            <w:tcW w:w="1700" w:type="dxa"/>
            <w:vAlign w:val="bottom"/>
            <w:tcBorders>
              <w:bottom w:val="single" w:sz="8" w:color="BFBFBF"/>
            </w:tcBorders>
            <w:gridSpan w:val="2"/>
          </w:tcPr>
          <w:p>
            <w:pPr>
              <w:jc w:val="right"/>
              <w:ind w:right="212"/>
              <w:spacing w:after="0" w:line="196" w:lineRule="exact"/>
              <w:rPr>
                <w:sz w:val="20"/>
                <w:szCs w:val="20"/>
                <w:color w:val="auto"/>
              </w:rPr>
            </w:pPr>
            <w:r>
              <w:rPr>
                <w:rFonts w:ascii="Arial" w:cs="Arial" w:eastAsia="Arial" w:hAnsi="Arial"/>
                <w:sz w:val="18"/>
                <w:szCs w:val="18"/>
                <w:color w:val="auto"/>
              </w:rPr>
              <w:t>200%</w:t>
            </w:r>
          </w:p>
        </w:tc>
        <w:tc>
          <w:tcPr>
            <w:tcW w:w="88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67.5</w:t>
            </w:r>
            <w:r>
              <w:rPr>
                <w:rFonts w:ascii="Arial" w:cs="Arial" w:eastAsia="Arial" w:hAnsi="Arial"/>
                <w:sz w:val="11"/>
                <w:szCs w:val="11"/>
                <w:color w:val="auto"/>
              </w:rPr>
              <w:t>th</w:t>
            </w:r>
            <w:r>
              <w:rPr>
                <w:rFonts w:ascii="Arial" w:cs="Arial" w:eastAsia="Arial" w:hAnsi="Arial"/>
                <w:sz w:val="18"/>
                <w:szCs w:val="18"/>
                <w:color w:val="auto"/>
              </w:rPr>
              <w:t xml:space="preserve"> Percentile</w:t>
            </w:r>
          </w:p>
        </w:tc>
        <w:tc>
          <w:tcPr>
            <w:tcW w:w="1700" w:type="dxa"/>
            <w:vAlign w:val="bottom"/>
            <w:tcBorders>
              <w:bottom w:val="single" w:sz="8" w:color="BFBFBF"/>
            </w:tcBorders>
            <w:gridSpan w:val="2"/>
          </w:tcPr>
          <w:p>
            <w:pPr>
              <w:jc w:val="right"/>
              <w:ind w:right="212"/>
              <w:spacing w:after="0" w:line="196" w:lineRule="exact"/>
              <w:rPr>
                <w:sz w:val="20"/>
                <w:szCs w:val="20"/>
                <w:color w:val="auto"/>
              </w:rPr>
            </w:pPr>
            <w:r>
              <w:rPr>
                <w:rFonts w:ascii="Arial" w:cs="Arial" w:eastAsia="Arial" w:hAnsi="Arial"/>
                <w:sz w:val="18"/>
                <w:szCs w:val="18"/>
                <w:color w:val="auto"/>
              </w:rPr>
              <w:t>150%</w:t>
            </w:r>
          </w:p>
        </w:tc>
        <w:tc>
          <w:tcPr>
            <w:tcW w:w="88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50</w:t>
            </w:r>
            <w:r>
              <w:rPr>
                <w:rFonts w:ascii="Arial" w:cs="Arial" w:eastAsia="Arial" w:hAnsi="Arial"/>
                <w:sz w:val="11"/>
                <w:szCs w:val="11"/>
                <w:color w:val="auto"/>
              </w:rPr>
              <w:t>th</w:t>
            </w:r>
            <w:r>
              <w:rPr>
                <w:rFonts w:ascii="Arial" w:cs="Arial" w:eastAsia="Arial" w:hAnsi="Arial"/>
                <w:sz w:val="18"/>
                <w:szCs w:val="18"/>
                <w:color w:val="auto"/>
              </w:rPr>
              <w:t xml:space="preserve"> Percentile</w:t>
            </w:r>
          </w:p>
        </w:tc>
        <w:tc>
          <w:tcPr>
            <w:tcW w:w="1700" w:type="dxa"/>
            <w:vAlign w:val="bottom"/>
            <w:tcBorders>
              <w:bottom w:val="single" w:sz="8" w:color="BFBFBF"/>
            </w:tcBorders>
            <w:gridSpan w:val="2"/>
          </w:tcPr>
          <w:p>
            <w:pPr>
              <w:jc w:val="right"/>
              <w:ind w:right="212"/>
              <w:spacing w:after="0" w:line="196" w:lineRule="exact"/>
              <w:rPr>
                <w:sz w:val="20"/>
                <w:szCs w:val="20"/>
                <w:color w:val="auto"/>
              </w:rPr>
            </w:pPr>
            <w:r>
              <w:rPr>
                <w:rFonts w:ascii="Arial" w:cs="Arial" w:eastAsia="Arial" w:hAnsi="Arial"/>
                <w:sz w:val="18"/>
                <w:szCs w:val="18"/>
                <w:color w:val="auto"/>
              </w:rPr>
              <w:t>100%</w:t>
            </w:r>
          </w:p>
        </w:tc>
        <w:tc>
          <w:tcPr>
            <w:tcW w:w="88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25</w:t>
            </w:r>
            <w:r>
              <w:rPr>
                <w:rFonts w:ascii="Arial" w:cs="Arial" w:eastAsia="Arial" w:hAnsi="Arial"/>
                <w:sz w:val="11"/>
                <w:szCs w:val="11"/>
                <w:color w:val="auto"/>
              </w:rPr>
              <w:t>th</w:t>
            </w:r>
            <w:r>
              <w:rPr>
                <w:rFonts w:ascii="Arial" w:cs="Arial" w:eastAsia="Arial" w:hAnsi="Arial"/>
                <w:sz w:val="18"/>
                <w:szCs w:val="18"/>
                <w:color w:val="auto"/>
              </w:rPr>
              <w:t xml:space="preserve"> Percentile</w:t>
            </w:r>
          </w:p>
        </w:tc>
        <w:tc>
          <w:tcPr>
            <w:tcW w:w="1700" w:type="dxa"/>
            <w:vAlign w:val="bottom"/>
            <w:tcBorders>
              <w:bottom w:val="single" w:sz="8" w:color="BFBFBF"/>
            </w:tcBorders>
            <w:gridSpan w:val="2"/>
          </w:tcPr>
          <w:p>
            <w:pPr>
              <w:jc w:val="right"/>
              <w:ind w:right="212"/>
              <w:spacing w:after="0" w:line="196" w:lineRule="exact"/>
              <w:rPr>
                <w:sz w:val="20"/>
                <w:szCs w:val="20"/>
                <w:color w:val="auto"/>
              </w:rPr>
            </w:pPr>
            <w:r>
              <w:rPr>
                <w:rFonts w:ascii="Arial" w:cs="Arial" w:eastAsia="Arial" w:hAnsi="Arial"/>
                <w:sz w:val="18"/>
                <w:szCs w:val="18"/>
                <w:color w:val="auto"/>
              </w:rPr>
              <w:t>50%</w:t>
            </w:r>
          </w:p>
        </w:tc>
        <w:tc>
          <w:tcPr>
            <w:tcW w:w="88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10</w:t>
            </w:r>
            <w:r>
              <w:rPr>
                <w:rFonts w:ascii="Arial" w:cs="Arial" w:eastAsia="Arial" w:hAnsi="Arial"/>
                <w:sz w:val="11"/>
                <w:szCs w:val="11"/>
                <w:color w:val="auto"/>
              </w:rPr>
              <w:t>th</w:t>
            </w:r>
            <w:r>
              <w:rPr>
                <w:rFonts w:ascii="Arial" w:cs="Arial" w:eastAsia="Arial" w:hAnsi="Arial"/>
                <w:sz w:val="18"/>
                <w:szCs w:val="18"/>
                <w:color w:val="auto"/>
              </w:rPr>
              <w:t xml:space="preserve"> Percentile</w:t>
            </w:r>
          </w:p>
        </w:tc>
        <w:tc>
          <w:tcPr>
            <w:tcW w:w="1700" w:type="dxa"/>
            <w:vAlign w:val="bottom"/>
            <w:tcBorders>
              <w:bottom w:val="single" w:sz="8" w:color="BFBFBF"/>
            </w:tcBorders>
            <w:gridSpan w:val="2"/>
          </w:tcPr>
          <w:p>
            <w:pPr>
              <w:jc w:val="right"/>
              <w:ind w:right="212"/>
              <w:spacing w:after="0" w:line="196" w:lineRule="exact"/>
              <w:rPr>
                <w:sz w:val="20"/>
                <w:szCs w:val="20"/>
                <w:color w:val="auto"/>
              </w:rPr>
            </w:pPr>
            <w:r>
              <w:rPr>
                <w:rFonts w:ascii="Arial" w:cs="Arial" w:eastAsia="Arial" w:hAnsi="Arial"/>
                <w:sz w:val="18"/>
                <w:szCs w:val="18"/>
                <w:color w:val="auto"/>
              </w:rPr>
              <w:t>30%</w:t>
            </w:r>
          </w:p>
        </w:tc>
        <w:tc>
          <w:tcPr>
            <w:tcW w:w="88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0 Percentile</w:t>
            </w:r>
          </w:p>
        </w:tc>
        <w:tc>
          <w:tcPr>
            <w:tcW w:w="1700" w:type="dxa"/>
            <w:vAlign w:val="bottom"/>
            <w:tcBorders>
              <w:bottom w:val="single" w:sz="8" w:color="BFBFBF"/>
            </w:tcBorders>
            <w:gridSpan w:val="2"/>
          </w:tcPr>
          <w:p>
            <w:pPr>
              <w:jc w:val="right"/>
              <w:ind w:right="212"/>
              <w:spacing w:after="0" w:line="196" w:lineRule="exact"/>
              <w:rPr>
                <w:sz w:val="20"/>
                <w:szCs w:val="20"/>
                <w:color w:val="auto"/>
              </w:rPr>
            </w:pPr>
            <w:r>
              <w:rPr>
                <w:rFonts w:ascii="Arial" w:cs="Arial" w:eastAsia="Arial" w:hAnsi="Arial"/>
                <w:sz w:val="18"/>
                <w:szCs w:val="18"/>
                <w:color w:val="auto"/>
              </w:rPr>
              <w:t>0%</w:t>
            </w:r>
          </w:p>
        </w:tc>
        <w:tc>
          <w:tcPr>
            <w:tcW w:w="88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-857250</wp:posOffset>
            </wp:positionV>
            <wp:extent cx="889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-857250</wp:posOffset>
            </wp:positionV>
            <wp:extent cx="889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For levels of achievement between points, the resulting shares earned will be calculated based on straight-line interpolation.</w:t>
      </w:r>
    </w:p>
    <w:p>
      <w:pPr>
        <w:spacing w:after="0" w:line="5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target amount of PSUs awarded to each of the named executive officers under this program is set forth in the table below. The awards were made on May 7, 2012, which was the date of NASDAQ OMX’s annual all-employee equity grant.</w:t>
      </w:r>
    </w:p>
    <w:p>
      <w:pPr>
        <w:spacing w:after="0" w:line="183"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8460" w:type="dxa"/>
            <w:vAlign w:val="bottom"/>
            <w:tcBorders>
              <w:left w:val="single" w:sz="8" w:color="BFBFBF"/>
              <w:right w:val="single" w:sz="8" w:color="BFBFBF"/>
            </w:tcBorders>
            <w:shd w:val="clear" w:color="auto" w:fill="0088A6"/>
          </w:tcPr>
          <w:p>
            <w:pPr>
              <w:spacing w:after="0"/>
              <w:rPr>
                <w:sz w:val="17"/>
                <w:szCs w:val="17"/>
                <w:color w:val="auto"/>
              </w:rPr>
            </w:pPr>
          </w:p>
        </w:tc>
        <w:tc>
          <w:tcPr>
            <w:tcW w:w="520" w:type="dxa"/>
            <w:vAlign w:val="bottom"/>
            <w:shd w:val="clear" w:color="auto" w:fill="0088A6"/>
          </w:tcPr>
          <w:p>
            <w:pPr>
              <w:spacing w:after="0"/>
              <w:rPr>
                <w:sz w:val="17"/>
                <w:szCs w:val="17"/>
                <w:color w:val="auto"/>
              </w:rPr>
            </w:pPr>
          </w:p>
        </w:tc>
        <w:tc>
          <w:tcPr>
            <w:tcW w:w="2100" w:type="dxa"/>
            <w:vAlign w:val="bottom"/>
            <w:tcBorders>
              <w:right w:val="single" w:sz="8" w:color="BFBFBF"/>
            </w:tcBorders>
            <w:gridSpan w:val="2"/>
            <w:shd w:val="clear" w:color="auto" w:fill="0088A6"/>
          </w:tcPr>
          <w:p>
            <w:pPr>
              <w:jc w:val="center"/>
              <w:ind w:right="680"/>
              <w:spacing w:after="0"/>
              <w:rPr>
                <w:sz w:val="20"/>
                <w:szCs w:val="20"/>
                <w:color w:val="auto"/>
              </w:rPr>
            </w:pPr>
            <w:r>
              <w:rPr>
                <w:rFonts w:ascii="Arial" w:cs="Arial" w:eastAsia="Arial" w:hAnsi="Arial"/>
                <w:sz w:val="18"/>
                <w:szCs w:val="18"/>
                <w:b w:val="1"/>
                <w:bCs w:val="1"/>
                <w:color w:val="FFFFFF"/>
                <w:w w:val="95"/>
              </w:rPr>
              <w:t>Target Amount</w:t>
            </w:r>
          </w:p>
        </w:tc>
        <w:tc>
          <w:tcPr>
            <w:tcW w:w="0" w:type="dxa"/>
            <w:vAlign w:val="bottom"/>
          </w:tcPr>
          <w:p>
            <w:pPr>
              <w:spacing w:after="0"/>
              <w:rPr>
                <w:sz w:val="1"/>
                <w:szCs w:val="1"/>
                <w:color w:val="auto"/>
              </w:rPr>
            </w:pPr>
          </w:p>
        </w:tc>
      </w:tr>
      <w:tr>
        <w:trPr>
          <w:trHeight w:val="203"/>
        </w:trPr>
        <w:tc>
          <w:tcPr>
            <w:tcW w:w="8460" w:type="dxa"/>
            <w:vAlign w:val="bottom"/>
            <w:tcBorders>
              <w:left w:val="single" w:sz="8" w:color="BFBFBF"/>
              <w:right w:val="single" w:sz="8" w:color="BFBFBF"/>
            </w:tcBorders>
            <w:vMerge w:val="restart"/>
            <w:shd w:val="clear" w:color="auto" w:fill="0088A6"/>
          </w:tcPr>
          <w:p>
            <w:pPr>
              <w:ind w:left="220"/>
              <w:spacing w:after="0"/>
              <w:rPr>
                <w:sz w:val="20"/>
                <w:szCs w:val="20"/>
                <w:color w:val="auto"/>
              </w:rPr>
            </w:pPr>
            <w:r>
              <w:rPr>
                <w:rFonts w:ascii="Arial" w:cs="Arial" w:eastAsia="Arial" w:hAnsi="Arial"/>
                <w:sz w:val="18"/>
                <w:szCs w:val="18"/>
                <w:b w:val="1"/>
                <w:bCs w:val="1"/>
                <w:color w:val="FFFFFF"/>
              </w:rPr>
              <w:t>Named Executive Officer</w:t>
            </w:r>
          </w:p>
        </w:tc>
        <w:tc>
          <w:tcPr>
            <w:tcW w:w="520" w:type="dxa"/>
            <w:vAlign w:val="bottom"/>
            <w:shd w:val="clear" w:color="auto" w:fill="0088A6"/>
          </w:tcPr>
          <w:p>
            <w:pPr>
              <w:spacing w:after="0"/>
              <w:rPr>
                <w:sz w:val="17"/>
                <w:szCs w:val="17"/>
                <w:color w:val="auto"/>
              </w:rPr>
            </w:pPr>
          </w:p>
        </w:tc>
        <w:tc>
          <w:tcPr>
            <w:tcW w:w="2100" w:type="dxa"/>
            <w:vAlign w:val="bottom"/>
            <w:tcBorders>
              <w:right w:val="single" w:sz="8" w:color="BFBFBF"/>
            </w:tcBorders>
            <w:gridSpan w:val="2"/>
            <w:shd w:val="clear" w:color="auto" w:fill="0088A6"/>
          </w:tcPr>
          <w:p>
            <w:pPr>
              <w:jc w:val="center"/>
              <w:ind w:right="680"/>
              <w:spacing w:after="0" w:line="202" w:lineRule="exact"/>
              <w:rPr>
                <w:sz w:val="20"/>
                <w:szCs w:val="20"/>
                <w:color w:val="auto"/>
              </w:rPr>
            </w:pPr>
            <w:r>
              <w:rPr>
                <w:rFonts w:ascii="Arial" w:cs="Arial" w:eastAsia="Arial" w:hAnsi="Arial"/>
                <w:sz w:val="18"/>
                <w:szCs w:val="18"/>
                <w:b w:val="1"/>
                <w:bCs w:val="1"/>
                <w:color w:val="FFFFFF"/>
                <w:w w:val="95"/>
              </w:rPr>
              <w:t>of PSUs</w:t>
            </w:r>
          </w:p>
        </w:tc>
        <w:tc>
          <w:tcPr>
            <w:tcW w:w="0" w:type="dxa"/>
            <w:vAlign w:val="bottom"/>
          </w:tcPr>
          <w:p>
            <w:pPr>
              <w:spacing w:after="0"/>
              <w:rPr>
                <w:sz w:val="1"/>
                <w:szCs w:val="1"/>
                <w:color w:val="auto"/>
              </w:rPr>
            </w:pPr>
          </w:p>
        </w:tc>
      </w:tr>
      <w:tr>
        <w:trPr>
          <w:trHeight w:val="261"/>
        </w:trPr>
        <w:tc>
          <w:tcPr>
            <w:tcW w:w="8460" w:type="dxa"/>
            <w:vAlign w:val="bottom"/>
            <w:tcBorders>
              <w:left w:val="single" w:sz="8" w:color="BFBFBF"/>
              <w:bottom w:val="single" w:sz="8" w:color="auto"/>
              <w:right w:val="single" w:sz="8" w:color="BFBFBF"/>
            </w:tcBorders>
            <w:vMerge w:val="continue"/>
            <w:shd w:val="clear" w:color="auto" w:fill="0088A6"/>
          </w:tcPr>
          <w:p>
            <w:pPr>
              <w:spacing w:after="0"/>
              <w:rPr>
                <w:sz w:val="22"/>
                <w:szCs w:val="22"/>
                <w:color w:val="auto"/>
              </w:rPr>
            </w:pPr>
          </w:p>
        </w:tc>
        <w:tc>
          <w:tcPr>
            <w:tcW w:w="520" w:type="dxa"/>
            <w:vAlign w:val="bottom"/>
            <w:tcBorders>
              <w:bottom w:val="single" w:sz="8" w:color="0088A6"/>
            </w:tcBorders>
            <w:shd w:val="clear" w:color="auto" w:fill="0088A6"/>
          </w:tcPr>
          <w:p>
            <w:pPr>
              <w:spacing w:after="0"/>
              <w:rPr>
                <w:sz w:val="22"/>
                <w:szCs w:val="22"/>
                <w:color w:val="auto"/>
              </w:rPr>
            </w:pPr>
          </w:p>
        </w:tc>
        <w:tc>
          <w:tcPr>
            <w:tcW w:w="142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7"/>
              </w:rPr>
              <w:t>Awarded</w:t>
            </w:r>
          </w:p>
        </w:tc>
        <w:tc>
          <w:tcPr>
            <w:tcW w:w="680" w:type="dxa"/>
            <w:vAlign w:val="bottom"/>
            <w:tcBorders>
              <w:bottom w:val="single" w:sz="8" w:color="0088A6"/>
              <w:right w:val="single" w:sz="8" w:color="BFBFBF"/>
            </w:tcBorders>
            <w:shd w:val="clear" w:color="auto" w:fill="0088A6"/>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8460" w:type="dxa"/>
            <w:vAlign w:val="bottom"/>
            <w:tcBorders>
              <w:left w:val="single" w:sz="8" w:color="BFBFBF"/>
              <w:bottom w:val="single" w:sz="8" w:color="BFBFBF"/>
              <w:right w:val="single" w:sz="8" w:color="BFBFBF"/>
            </w:tcBorders>
          </w:tcPr>
          <w:p>
            <w:pPr>
              <w:ind w:left="220"/>
              <w:spacing w:after="0" w:line="183" w:lineRule="exact"/>
              <w:rPr>
                <w:sz w:val="20"/>
                <w:szCs w:val="20"/>
                <w:color w:val="auto"/>
              </w:rPr>
            </w:pPr>
            <w:r>
              <w:rPr>
                <w:rFonts w:ascii="Arial" w:cs="Arial" w:eastAsia="Arial" w:hAnsi="Arial"/>
                <w:sz w:val="18"/>
                <w:szCs w:val="18"/>
                <w:color w:val="auto"/>
              </w:rPr>
              <w:t>Robert Greifeld</w:t>
            </w:r>
          </w:p>
        </w:tc>
        <w:tc>
          <w:tcPr>
            <w:tcW w:w="1940" w:type="dxa"/>
            <w:vAlign w:val="bottom"/>
            <w:tcBorders>
              <w:bottom w:val="single" w:sz="8" w:color="BFBFBF"/>
            </w:tcBorders>
            <w:gridSpan w:val="2"/>
          </w:tcPr>
          <w:p>
            <w:pPr>
              <w:jc w:val="right"/>
              <w:ind w:right="192"/>
              <w:spacing w:after="0" w:line="183" w:lineRule="exact"/>
              <w:rPr>
                <w:sz w:val="20"/>
                <w:szCs w:val="20"/>
                <w:color w:val="auto"/>
              </w:rPr>
            </w:pPr>
            <w:r>
              <w:rPr>
                <w:rFonts w:ascii="Arial" w:cs="Arial" w:eastAsia="Arial" w:hAnsi="Arial"/>
                <w:sz w:val="18"/>
                <w:szCs w:val="18"/>
                <w:color w:val="auto"/>
              </w:rPr>
              <w:t>247,440</w:t>
            </w:r>
          </w:p>
        </w:tc>
        <w:tc>
          <w:tcPr>
            <w:tcW w:w="680" w:type="dxa"/>
            <w:vAlign w:val="bottom"/>
            <w:tcBorders>
              <w:bottom w:val="single" w:sz="8" w:color="BFBFBF"/>
              <w:right w:val="single" w:sz="8" w:color="BFBFB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6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Lee Shavel</w:t>
            </w:r>
          </w:p>
        </w:tc>
        <w:tc>
          <w:tcPr>
            <w:tcW w:w="1940" w:type="dxa"/>
            <w:vAlign w:val="bottom"/>
            <w:tcBorders>
              <w:bottom w:val="single" w:sz="8" w:color="BFBFBF"/>
            </w:tcBorders>
            <w:gridSpan w:val="2"/>
          </w:tcPr>
          <w:p>
            <w:pPr>
              <w:jc w:val="right"/>
              <w:ind w:right="192"/>
              <w:spacing w:after="0" w:line="196" w:lineRule="exact"/>
              <w:rPr>
                <w:sz w:val="20"/>
                <w:szCs w:val="20"/>
                <w:color w:val="auto"/>
              </w:rPr>
            </w:pPr>
            <w:r>
              <w:rPr>
                <w:rFonts w:ascii="Arial" w:cs="Arial" w:eastAsia="Arial" w:hAnsi="Arial"/>
                <w:sz w:val="18"/>
                <w:szCs w:val="18"/>
                <w:color w:val="auto"/>
              </w:rPr>
              <w:t>59,727</w:t>
            </w:r>
          </w:p>
        </w:tc>
        <w:tc>
          <w:tcPr>
            <w:tcW w:w="68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6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Anna M. Ewing</w:t>
            </w:r>
          </w:p>
        </w:tc>
        <w:tc>
          <w:tcPr>
            <w:tcW w:w="1940" w:type="dxa"/>
            <w:vAlign w:val="bottom"/>
            <w:tcBorders>
              <w:bottom w:val="single" w:sz="8" w:color="BFBFBF"/>
            </w:tcBorders>
            <w:gridSpan w:val="2"/>
          </w:tcPr>
          <w:p>
            <w:pPr>
              <w:jc w:val="right"/>
              <w:ind w:right="192"/>
              <w:spacing w:after="0" w:line="196" w:lineRule="exact"/>
              <w:rPr>
                <w:sz w:val="20"/>
                <w:szCs w:val="20"/>
                <w:color w:val="auto"/>
              </w:rPr>
            </w:pPr>
            <w:r>
              <w:rPr>
                <w:rFonts w:ascii="Arial" w:cs="Arial" w:eastAsia="Arial" w:hAnsi="Arial"/>
                <w:sz w:val="18"/>
                <w:szCs w:val="18"/>
                <w:color w:val="auto"/>
              </w:rPr>
              <w:t>59,727</w:t>
            </w:r>
          </w:p>
        </w:tc>
        <w:tc>
          <w:tcPr>
            <w:tcW w:w="68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6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Hans-Ole Jochumsen</w:t>
            </w:r>
          </w:p>
        </w:tc>
        <w:tc>
          <w:tcPr>
            <w:tcW w:w="1940" w:type="dxa"/>
            <w:vAlign w:val="bottom"/>
            <w:tcBorders>
              <w:bottom w:val="single" w:sz="8" w:color="BFBFBF"/>
            </w:tcBorders>
            <w:gridSpan w:val="2"/>
          </w:tcPr>
          <w:p>
            <w:pPr>
              <w:jc w:val="right"/>
              <w:ind w:right="192"/>
              <w:spacing w:after="0" w:line="196" w:lineRule="exact"/>
              <w:rPr>
                <w:sz w:val="20"/>
                <w:szCs w:val="20"/>
                <w:color w:val="auto"/>
              </w:rPr>
            </w:pPr>
            <w:r>
              <w:rPr>
                <w:rFonts w:ascii="Arial" w:cs="Arial" w:eastAsia="Arial" w:hAnsi="Arial"/>
                <w:sz w:val="18"/>
                <w:szCs w:val="18"/>
                <w:color w:val="auto"/>
              </w:rPr>
              <w:t>51,195</w:t>
            </w:r>
          </w:p>
        </w:tc>
        <w:tc>
          <w:tcPr>
            <w:tcW w:w="68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60" w:type="dxa"/>
            <w:vAlign w:val="bottom"/>
            <w:tcBorders>
              <w:left w:val="single" w:sz="8" w:color="BFBFBF"/>
              <w:bottom w:val="single" w:sz="8" w:color="BFBFBF"/>
              <w:right w:val="single" w:sz="8" w:color="BFBFBF"/>
            </w:tcBorders>
          </w:tcPr>
          <w:p>
            <w:pPr>
              <w:ind w:left="220"/>
              <w:spacing w:after="0" w:line="196" w:lineRule="exact"/>
              <w:rPr>
                <w:sz w:val="20"/>
                <w:szCs w:val="20"/>
                <w:color w:val="auto"/>
              </w:rPr>
            </w:pPr>
            <w:r>
              <w:rPr>
                <w:rFonts w:ascii="Arial" w:cs="Arial" w:eastAsia="Arial" w:hAnsi="Arial"/>
                <w:sz w:val="18"/>
                <w:szCs w:val="18"/>
                <w:color w:val="auto"/>
              </w:rPr>
              <w:t>Eric W. Noll</w:t>
            </w:r>
          </w:p>
        </w:tc>
        <w:tc>
          <w:tcPr>
            <w:tcW w:w="1940" w:type="dxa"/>
            <w:vAlign w:val="bottom"/>
            <w:tcBorders>
              <w:bottom w:val="single" w:sz="8" w:color="BFBFBF"/>
            </w:tcBorders>
            <w:gridSpan w:val="2"/>
          </w:tcPr>
          <w:p>
            <w:pPr>
              <w:jc w:val="right"/>
              <w:ind w:right="192"/>
              <w:spacing w:after="0" w:line="196" w:lineRule="exact"/>
              <w:rPr>
                <w:sz w:val="20"/>
                <w:szCs w:val="20"/>
                <w:color w:val="auto"/>
              </w:rPr>
            </w:pPr>
            <w:r>
              <w:rPr>
                <w:rFonts w:ascii="Arial" w:cs="Arial" w:eastAsia="Arial" w:hAnsi="Arial"/>
                <w:sz w:val="18"/>
                <w:szCs w:val="18"/>
                <w:color w:val="auto"/>
              </w:rPr>
              <w:t>59,727</w:t>
            </w:r>
          </w:p>
        </w:tc>
        <w:tc>
          <w:tcPr>
            <w:tcW w:w="68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-711200</wp:posOffset>
            </wp:positionV>
            <wp:extent cx="889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-711200</wp:posOffset>
            </wp:positionV>
            <wp:extent cx="889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05"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The management compensation committee and board of directors preliminarily determined the target amount of Mr. Greifeld’s award in connection with the negotiation of his new employment agreement in early 2012. The committee and board referenced peer group data to establish a market-competitive award level.</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Mr. Greifeld recommended the specific awards for each of the other named executive officers, which varied among executives depending upon responsibilities and retention considerations. The committee and board evaluated these recommendations and determined that the amount of each award reflected the individual’s contributions, was aligned with competitive market levels and was appropriate for retention purposes.</w:t>
      </w:r>
    </w:p>
    <w:p>
      <w:pPr>
        <w:spacing w:after="0" w:line="9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i w:val="1"/>
          <w:iCs w:val="1"/>
          <w:color w:val="auto"/>
        </w:rPr>
        <w:t>Settlement of March 2010 PSU Grant to CEO</w:t>
      </w:r>
      <w:r>
        <w:rPr>
          <w:rFonts w:ascii="Arial" w:cs="Arial" w:eastAsia="Arial" w:hAnsi="Arial"/>
          <w:sz w:val="18"/>
          <w:szCs w:val="18"/>
          <w:color w:val="auto"/>
        </w:rPr>
        <w:t>. In March 2013, the management compensation committee and board determined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that Mr. Greifeld was entitled to receive upon vesting in connection with his March 2010 PSU grant, which had a target amount of 80,000 shares. These PSUs had a performance period from January 1, 2010 through December 31, 2012 and a performance target of non-GAAP EPS growth compounded annually over the three-year performance period. Non-GAAP EPS growth was determined based upon the amount by which our adjusted non-GAAP EPS for the fiscal year ended December 31, 2012 exceeded our non-GAAP EPS for the fiscal year ended December 31, 2009, which had been determined to be $1.81.</w:t>
      </w:r>
    </w:p>
    <w:p>
      <w:pPr>
        <w:spacing w:after="0" w:line="14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following table sets forth the number of shares that Mr. Greifeld was entitled to receive at settlement of the March 2010 PSU grant at varying non-GAAP EPS growth performance levels.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420" w:type="dxa"/>
            <w:vAlign w:val="bottom"/>
            <w:tcBorders>
              <w:left w:val="single" w:sz="8" w:color="BFBFBF"/>
              <w:right w:val="single" w:sz="8" w:color="BFBFBF"/>
            </w:tcBorders>
            <w:shd w:val="clear" w:color="auto" w:fill="0088A6"/>
          </w:tcPr>
          <w:p>
            <w:pPr>
              <w:spacing w:after="0"/>
              <w:rPr>
                <w:sz w:val="17"/>
                <w:szCs w:val="17"/>
                <w:color w:val="auto"/>
              </w:rPr>
            </w:pPr>
          </w:p>
        </w:tc>
        <w:tc>
          <w:tcPr>
            <w:tcW w:w="200" w:type="dxa"/>
            <w:vAlign w:val="bottom"/>
            <w:shd w:val="clear" w:color="auto" w:fill="0088A6"/>
          </w:tcPr>
          <w:p>
            <w:pPr>
              <w:spacing w:after="0"/>
              <w:rPr>
                <w:sz w:val="17"/>
                <w:szCs w:val="17"/>
                <w:color w:val="auto"/>
              </w:rPr>
            </w:pPr>
          </w:p>
        </w:tc>
        <w:tc>
          <w:tcPr>
            <w:tcW w:w="1380" w:type="dxa"/>
            <w:vAlign w:val="bottom"/>
            <w:tcBorders>
              <w:right w:val="single" w:sz="8" w:color="BFBFBF"/>
            </w:tcBorders>
            <w:gridSpan w:val="2"/>
            <w:shd w:val="clear" w:color="auto" w:fill="0088A6"/>
          </w:tcPr>
          <w:p>
            <w:pPr>
              <w:jc w:val="center"/>
              <w:ind w:right="160"/>
              <w:spacing w:after="0"/>
              <w:rPr>
                <w:sz w:val="20"/>
                <w:szCs w:val="20"/>
                <w:color w:val="auto"/>
              </w:rPr>
            </w:pPr>
            <w:r>
              <w:rPr>
                <w:rFonts w:ascii="Arial" w:cs="Arial" w:eastAsia="Arial" w:hAnsi="Arial"/>
                <w:sz w:val="18"/>
                <w:szCs w:val="18"/>
                <w:b w:val="1"/>
                <w:bCs w:val="1"/>
                <w:color w:val="FFFFFF"/>
                <w:w w:val="98"/>
              </w:rPr>
              <w:t>Minimum</w:t>
            </w:r>
          </w:p>
        </w:tc>
        <w:tc>
          <w:tcPr>
            <w:tcW w:w="200" w:type="dxa"/>
            <w:vAlign w:val="bottom"/>
            <w:shd w:val="clear" w:color="auto" w:fill="0088A6"/>
          </w:tcPr>
          <w:p>
            <w:pPr>
              <w:spacing w:after="0"/>
              <w:rPr>
                <w:sz w:val="17"/>
                <w:szCs w:val="17"/>
                <w:color w:val="auto"/>
              </w:rPr>
            </w:pPr>
          </w:p>
        </w:tc>
        <w:tc>
          <w:tcPr>
            <w:tcW w:w="1520" w:type="dxa"/>
            <w:vAlign w:val="bottom"/>
            <w:tcBorders>
              <w:right w:val="single" w:sz="8" w:color="BFBFBF"/>
            </w:tcBorders>
            <w:gridSpan w:val="2"/>
            <w:shd w:val="clear" w:color="auto" w:fill="0088A6"/>
          </w:tcPr>
          <w:p>
            <w:pPr>
              <w:jc w:val="center"/>
              <w:ind w:right="160"/>
              <w:spacing w:after="0"/>
              <w:rPr>
                <w:sz w:val="20"/>
                <w:szCs w:val="20"/>
                <w:color w:val="auto"/>
              </w:rPr>
            </w:pPr>
            <w:r>
              <w:rPr>
                <w:rFonts w:ascii="Arial" w:cs="Arial" w:eastAsia="Arial" w:hAnsi="Arial"/>
                <w:sz w:val="18"/>
                <w:szCs w:val="18"/>
                <w:b w:val="1"/>
                <w:bCs w:val="1"/>
                <w:color w:val="FFFFFF"/>
                <w:w w:val="94"/>
              </w:rPr>
              <w:t>Target</w:t>
            </w:r>
          </w:p>
        </w:tc>
        <w:tc>
          <w:tcPr>
            <w:tcW w:w="80" w:type="dxa"/>
            <w:vAlign w:val="bottom"/>
            <w:shd w:val="clear" w:color="auto" w:fill="0088A6"/>
          </w:tcPr>
          <w:p>
            <w:pPr>
              <w:spacing w:after="0"/>
              <w:rPr>
                <w:sz w:val="17"/>
                <w:szCs w:val="17"/>
                <w:color w:val="auto"/>
              </w:rPr>
            </w:pPr>
          </w:p>
        </w:tc>
        <w:tc>
          <w:tcPr>
            <w:tcW w:w="1640" w:type="dxa"/>
            <w:vAlign w:val="bottom"/>
            <w:tcBorders>
              <w:right w:val="single" w:sz="8" w:color="BFBFBF"/>
            </w:tcBorders>
            <w:gridSpan w:val="2"/>
            <w:shd w:val="clear" w:color="auto" w:fill="0088A6"/>
          </w:tcPr>
          <w:p>
            <w:pPr>
              <w:ind w:left="300"/>
              <w:spacing w:after="0"/>
              <w:rPr>
                <w:sz w:val="20"/>
                <w:szCs w:val="20"/>
                <w:color w:val="auto"/>
              </w:rPr>
            </w:pPr>
            <w:r>
              <w:rPr>
                <w:rFonts w:ascii="Arial" w:cs="Arial" w:eastAsia="Arial" w:hAnsi="Arial"/>
                <w:sz w:val="18"/>
                <w:szCs w:val="18"/>
                <w:b w:val="1"/>
                <w:bCs w:val="1"/>
                <w:color w:val="FFFFFF"/>
              </w:rPr>
              <w:t>Maximum</w:t>
            </w:r>
          </w:p>
        </w:tc>
      </w:tr>
      <w:tr>
        <w:trPr>
          <w:trHeight w:val="261"/>
        </w:trPr>
        <w:tc>
          <w:tcPr>
            <w:tcW w:w="6420" w:type="dxa"/>
            <w:vAlign w:val="bottom"/>
            <w:tcBorders>
              <w:left w:val="single" w:sz="8" w:color="BFBFBF"/>
              <w:right w:val="single" w:sz="8" w:color="BFBFBF"/>
            </w:tcBorders>
            <w:shd w:val="clear" w:color="auto" w:fill="0088A6"/>
          </w:tcPr>
          <w:p>
            <w:pPr>
              <w:spacing w:after="0"/>
              <w:rPr>
                <w:sz w:val="22"/>
                <w:szCs w:val="22"/>
                <w:color w:val="auto"/>
              </w:rPr>
            </w:pPr>
          </w:p>
        </w:tc>
        <w:tc>
          <w:tcPr>
            <w:tcW w:w="200" w:type="dxa"/>
            <w:vAlign w:val="bottom"/>
            <w:shd w:val="clear" w:color="auto" w:fill="0088A6"/>
          </w:tcPr>
          <w:p>
            <w:pPr>
              <w:spacing w:after="0"/>
              <w:rPr>
                <w:sz w:val="22"/>
                <w:szCs w:val="22"/>
                <w:color w:val="auto"/>
              </w:rPr>
            </w:pPr>
          </w:p>
        </w:tc>
        <w:tc>
          <w:tcPr>
            <w:tcW w:w="1380" w:type="dxa"/>
            <w:vAlign w:val="bottom"/>
            <w:tcBorders>
              <w:right w:val="single" w:sz="8" w:color="BFBFBF"/>
            </w:tcBorders>
            <w:gridSpan w:val="2"/>
            <w:shd w:val="clear" w:color="auto" w:fill="0088A6"/>
          </w:tcPr>
          <w:p>
            <w:pPr>
              <w:jc w:val="center"/>
              <w:ind w:right="140"/>
              <w:spacing w:after="0"/>
              <w:rPr>
                <w:sz w:val="20"/>
                <w:szCs w:val="20"/>
                <w:color w:val="auto"/>
              </w:rPr>
            </w:pPr>
            <w:r>
              <w:rPr>
                <w:rFonts w:ascii="Arial" w:cs="Arial" w:eastAsia="Arial" w:hAnsi="Arial"/>
                <w:sz w:val="18"/>
                <w:szCs w:val="18"/>
                <w:b w:val="1"/>
                <w:bCs w:val="1"/>
                <w:color w:val="FFFFFF"/>
                <w:w w:val="98"/>
              </w:rPr>
              <w:t>Performance</w:t>
            </w:r>
          </w:p>
        </w:tc>
        <w:tc>
          <w:tcPr>
            <w:tcW w:w="200" w:type="dxa"/>
            <w:vAlign w:val="bottom"/>
            <w:shd w:val="clear" w:color="auto" w:fill="0088A6"/>
          </w:tcPr>
          <w:p>
            <w:pPr>
              <w:spacing w:after="0"/>
              <w:rPr>
                <w:sz w:val="22"/>
                <w:szCs w:val="22"/>
                <w:color w:val="auto"/>
              </w:rPr>
            </w:pPr>
          </w:p>
        </w:tc>
        <w:tc>
          <w:tcPr>
            <w:tcW w:w="1520" w:type="dxa"/>
            <w:vAlign w:val="bottom"/>
            <w:tcBorders>
              <w:right w:val="single" w:sz="8" w:color="BFBFBF"/>
            </w:tcBorders>
            <w:gridSpan w:val="2"/>
            <w:shd w:val="clear" w:color="auto" w:fill="0088A6"/>
          </w:tcPr>
          <w:p>
            <w:pPr>
              <w:jc w:val="center"/>
              <w:ind w:right="160"/>
              <w:spacing w:after="0"/>
              <w:rPr>
                <w:sz w:val="20"/>
                <w:szCs w:val="20"/>
                <w:color w:val="auto"/>
              </w:rPr>
            </w:pPr>
            <w:r>
              <w:rPr>
                <w:rFonts w:ascii="Arial" w:cs="Arial" w:eastAsia="Arial" w:hAnsi="Arial"/>
                <w:sz w:val="18"/>
                <w:szCs w:val="18"/>
                <w:b w:val="1"/>
                <w:bCs w:val="1"/>
                <w:color w:val="FFFFFF"/>
                <w:w w:val="98"/>
              </w:rPr>
              <w:t>Performance</w:t>
            </w:r>
          </w:p>
        </w:tc>
        <w:tc>
          <w:tcPr>
            <w:tcW w:w="80" w:type="dxa"/>
            <w:vAlign w:val="bottom"/>
            <w:shd w:val="clear" w:color="auto" w:fill="0088A6"/>
          </w:tcPr>
          <w:p>
            <w:pPr>
              <w:spacing w:after="0"/>
              <w:rPr>
                <w:sz w:val="22"/>
                <w:szCs w:val="22"/>
                <w:color w:val="auto"/>
              </w:rPr>
            </w:pPr>
          </w:p>
        </w:tc>
        <w:tc>
          <w:tcPr>
            <w:tcW w:w="1640" w:type="dxa"/>
            <w:vAlign w:val="bottom"/>
            <w:tcBorders>
              <w:right w:val="single" w:sz="8" w:color="BFBFBF"/>
            </w:tcBorders>
            <w:gridSpan w:val="2"/>
            <w:shd w:val="clear" w:color="auto" w:fill="0088A6"/>
          </w:tcPr>
          <w:p>
            <w:pPr>
              <w:ind w:left="160"/>
              <w:spacing w:after="0"/>
              <w:rPr>
                <w:sz w:val="20"/>
                <w:szCs w:val="20"/>
                <w:color w:val="auto"/>
              </w:rPr>
            </w:pPr>
            <w:r>
              <w:rPr>
                <w:rFonts w:ascii="Arial" w:cs="Arial" w:eastAsia="Arial" w:hAnsi="Arial"/>
                <w:sz w:val="18"/>
                <w:szCs w:val="18"/>
                <w:b w:val="1"/>
                <w:bCs w:val="1"/>
                <w:color w:val="FFFFFF"/>
              </w:rPr>
              <w:t>Performance</w:t>
            </w:r>
          </w:p>
        </w:tc>
      </w:tr>
      <w:tr>
        <w:trPr>
          <w:trHeight w:val="186"/>
        </w:trPr>
        <w:tc>
          <w:tcPr>
            <w:tcW w:w="6420" w:type="dxa"/>
            <w:vAlign w:val="bottom"/>
            <w:tcBorders>
              <w:top w:val="single" w:sz="8" w:color="0088A6"/>
              <w:left w:val="single" w:sz="8" w:color="BFBFBF"/>
              <w:right w:val="single" w:sz="8" w:color="BFBFBF"/>
            </w:tcBorders>
          </w:tcPr>
          <w:p>
            <w:pPr>
              <w:ind w:left="120"/>
              <w:spacing w:after="0" w:line="186" w:lineRule="exact"/>
              <w:rPr>
                <w:sz w:val="20"/>
                <w:szCs w:val="20"/>
                <w:color w:val="auto"/>
              </w:rPr>
            </w:pPr>
            <w:r>
              <w:rPr>
                <w:rFonts w:ascii="Arial" w:cs="Arial" w:eastAsia="Arial" w:hAnsi="Arial"/>
                <w:sz w:val="18"/>
                <w:szCs w:val="18"/>
                <w:color w:val="auto"/>
              </w:rPr>
              <w:t>Non-GAAP EPS Growth (compounded annual increase over the Performance</w:t>
            </w:r>
          </w:p>
        </w:tc>
        <w:tc>
          <w:tcPr>
            <w:tcW w:w="200" w:type="dxa"/>
            <w:vAlign w:val="bottom"/>
            <w:tcBorders>
              <w:top w:val="single" w:sz="8" w:color="0088A6"/>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40" w:type="dxa"/>
            <w:vAlign w:val="bottom"/>
            <w:tcBorders>
              <w:top w:val="single" w:sz="8" w:color="0088A6"/>
              <w:right w:val="single" w:sz="8" w:color="BFBFBF"/>
            </w:tcBorders>
          </w:tcPr>
          <w:p>
            <w:pPr>
              <w:spacing w:after="0"/>
              <w:rPr>
                <w:sz w:val="16"/>
                <w:szCs w:val="16"/>
                <w:color w:val="auto"/>
              </w:rPr>
            </w:pPr>
          </w:p>
        </w:tc>
        <w:tc>
          <w:tcPr>
            <w:tcW w:w="200" w:type="dxa"/>
            <w:vAlign w:val="bottom"/>
            <w:tcBorders>
              <w:top w:val="single" w:sz="8" w:color="0088A6"/>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60" w:type="dxa"/>
            <w:vAlign w:val="bottom"/>
            <w:tcBorders>
              <w:top w:val="single" w:sz="8" w:color="0088A6"/>
              <w:right w:val="single" w:sz="8" w:color="BFBFBF"/>
            </w:tcBorders>
          </w:tcPr>
          <w:p>
            <w:pPr>
              <w:spacing w:after="0"/>
              <w:rPr>
                <w:sz w:val="16"/>
                <w:szCs w:val="16"/>
                <w:color w:val="auto"/>
              </w:rPr>
            </w:pPr>
          </w:p>
        </w:tc>
        <w:tc>
          <w:tcPr>
            <w:tcW w:w="80" w:type="dxa"/>
            <w:vAlign w:val="bottom"/>
            <w:tcBorders>
              <w:top w:val="single" w:sz="8" w:color="0088A6"/>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40" w:type="dxa"/>
            <w:vAlign w:val="bottom"/>
            <w:tcBorders>
              <w:top w:val="single" w:sz="8" w:color="0088A6"/>
              <w:right w:val="single" w:sz="8" w:color="BFBFBF"/>
            </w:tcBorders>
          </w:tcPr>
          <w:p>
            <w:pPr>
              <w:spacing w:after="0"/>
              <w:rPr>
                <w:sz w:val="16"/>
                <w:szCs w:val="16"/>
                <w:color w:val="auto"/>
              </w:rPr>
            </w:pPr>
          </w:p>
        </w:tc>
      </w:tr>
      <w:tr>
        <w:trPr>
          <w:trHeight w:val="199"/>
        </w:trPr>
        <w:tc>
          <w:tcPr>
            <w:tcW w:w="6420" w:type="dxa"/>
            <w:vAlign w:val="bottom"/>
            <w:tcBorders>
              <w:left w:val="single" w:sz="8" w:color="BFBFBF"/>
              <w:bottom w:val="single" w:sz="8" w:color="BFBFBF"/>
              <w:right w:val="single" w:sz="8" w:color="BFBFBF"/>
            </w:tcBorders>
          </w:tcPr>
          <w:p>
            <w:pPr>
              <w:ind w:left="280"/>
              <w:spacing w:after="0" w:line="200" w:lineRule="exact"/>
              <w:rPr>
                <w:sz w:val="20"/>
                <w:szCs w:val="20"/>
                <w:color w:val="auto"/>
              </w:rPr>
            </w:pPr>
            <w:r>
              <w:rPr>
                <w:rFonts w:ascii="Arial" w:cs="Arial" w:eastAsia="Arial" w:hAnsi="Arial"/>
                <w:sz w:val="18"/>
                <w:szCs w:val="18"/>
                <w:color w:val="auto"/>
              </w:rPr>
              <w:t>Period)</w:t>
            </w:r>
          </w:p>
        </w:tc>
        <w:tc>
          <w:tcPr>
            <w:tcW w:w="200" w:type="dxa"/>
            <w:vAlign w:val="bottom"/>
            <w:tcBorders>
              <w:bottom w:val="single" w:sz="8" w:color="BFBFBF"/>
            </w:tcBorders>
          </w:tcPr>
          <w:p>
            <w:pPr>
              <w:spacing w:after="0"/>
              <w:rPr>
                <w:sz w:val="17"/>
                <w:szCs w:val="17"/>
                <w:color w:val="auto"/>
              </w:rPr>
            </w:pPr>
          </w:p>
        </w:tc>
        <w:tc>
          <w:tcPr>
            <w:tcW w:w="1380" w:type="dxa"/>
            <w:vAlign w:val="bottom"/>
            <w:tcBorders>
              <w:bottom w:val="single" w:sz="8" w:color="BFBFBF"/>
              <w:right w:val="single" w:sz="8" w:color="BFBFBF"/>
            </w:tcBorders>
            <w:gridSpan w:val="2"/>
          </w:tcPr>
          <w:p>
            <w:pPr>
              <w:jc w:val="center"/>
              <w:ind w:right="120"/>
              <w:spacing w:after="0" w:line="200" w:lineRule="exact"/>
              <w:rPr>
                <w:sz w:val="20"/>
                <w:szCs w:val="20"/>
                <w:color w:val="auto"/>
              </w:rPr>
            </w:pPr>
            <w:r>
              <w:rPr>
                <w:rFonts w:ascii="Arial" w:cs="Arial" w:eastAsia="Arial" w:hAnsi="Arial"/>
                <w:sz w:val="18"/>
                <w:szCs w:val="18"/>
                <w:color w:val="auto"/>
                <w:w w:val="96"/>
              </w:rPr>
              <w:t>6% growth</w:t>
            </w:r>
          </w:p>
        </w:tc>
        <w:tc>
          <w:tcPr>
            <w:tcW w:w="200" w:type="dxa"/>
            <w:vAlign w:val="bottom"/>
            <w:tcBorders>
              <w:bottom w:val="single" w:sz="8" w:color="BFBFBF"/>
            </w:tcBorders>
          </w:tcPr>
          <w:p>
            <w:pPr>
              <w:spacing w:after="0"/>
              <w:rPr>
                <w:sz w:val="17"/>
                <w:szCs w:val="17"/>
                <w:color w:val="auto"/>
              </w:rPr>
            </w:pPr>
          </w:p>
        </w:tc>
        <w:tc>
          <w:tcPr>
            <w:tcW w:w="1520" w:type="dxa"/>
            <w:vAlign w:val="bottom"/>
            <w:tcBorders>
              <w:bottom w:val="single" w:sz="8" w:color="BFBFBF"/>
              <w:right w:val="single" w:sz="8" w:color="BFBFBF"/>
            </w:tcBorders>
            <w:gridSpan w:val="2"/>
          </w:tcPr>
          <w:p>
            <w:pPr>
              <w:ind w:left="240"/>
              <w:spacing w:after="0" w:line="200" w:lineRule="exact"/>
              <w:rPr>
                <w:sz w:val="20"/>
                <w:szCs w:val="20"/>
                <w:color w:val="auto"/>
              </w:rPr>
            </w:pPr>
            <w:r>
              <w:rPr>
                <w:rFonts w:ascii="Arial" w:cs="Arial" w:eastAsia="Arial" w:hAnsi="Arial"/>
                <w:sz w:val="18"/>
                <w:szCs w:val="18"/>
                <w:color w:val="auto"/>
              </w:rPr>
              <w:t>12% growth</w:t>
            </w:r>
          </w:p>
        </w:tc>
        <w:tc>
          <w:tcPr>
            <w:tcW w:w="80" w:type="dxa"/>
            <w:vAlign w:val="bottom"/>
            <w:tcBorders>
              <w:bottom w:val="single" w:sz="8" w:color="BFBFBF"/>
            </w:tcBorders>
          </w:tcPr>
          <w:p>
            <w:pPr>
              <w:spacing w:after="0"/>
              <w:rPr>
                <w:sz w:val="17"/>
                <w:szCs w:val="17"/>
                <w:color w:val="auto"/>
              </w:rPr>
            </w:pPr>
          </w:p>
        </w:tc>
        <w:tc>
          <w:tcPr>
            <w:tcW w:w="1640" w:type="dxa"/>
            <w:vAlign w:val="bottom"/>
            <w:tcBorders>
              <w:bottom w:val="single" w:sz="8" w:color="BFBFBF"/>
              <w:right w:val="single" w:sz="8" w:color="BFBFBF"/>
            </w:tcBorders>
            <w:gridSpan w:val="2"/>
          </w:tcPr>
          <w:p>
            <w:pPr>
              <w:ind w:left="280"/>
              <w:spacing w:after="0" w:line="200" w:lineRule="exact"/>
              <w:rPr>
                <w:sz w:val="20"/>
                <w:szCs w:val="20"/>
                <w:color w:val="auto"/>
              </w:rPr>
            </w:pPr>
            <w:r>
              <w:rPr>
                <w:rFonts w:ascii="Arial" w:cs="Arial" w:eastAsia="Arial" w:hAnsi="Arial"/>
                <w:sz w:val="18"/>
                <w:szCs w:val="18"/>
                <w:color w:val="auto"/>
              </w:rPr>
              <w:t>18% growth</w:t>
            </w:r>
          </w:p>
        </w:tc>
      </w:tr>
      <w:tr>
        <w:trPr>
          <w:trHeight w:val="196"/>
        </w:trPr>
        <w:tc>
          <w:tcPr>
            <w:tcW w:w="64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Adjusted Non-GAAP EPS Level</w:t>
            </w:r>
          </w:p>
        </w:tc>
        <w:tc>
          <w:tcPr>
            <w:tcW w:w="1440" w:type="dxa"/>
            <w:vAlign w:val="bottom"/>
            <w:tcBorders>
              <w:bottom w:val="single" w:sz="8" w:color="BFBFBF"/>
            </w:tcBorders>
            <w:gridSpan w:val="2"/>
          </w:tcPr>
          <w:p>
            <w:pPr>
              <w:jc w:val="right"/>
              <w:ind w:right="112"/>
              <w:spacing w:after="0" w:line="196" w:lineRule="exact"/>
              <w:rPr>
                <w:sz w:val="20"/>
                <w:szCs w:val="20"/>
                <w:color w:val="auto"/>
              </w:rPr>
            </w:pPr>
            <w:r>
              <w:rPr>
                <w:rFonts w:ascii="Arial" w:cs="Arial" w:eastAsia="Arial" w:hAnsi="Arial"/>
                <w:sz w:val="18"/>
                <w:szCs w:val="18"/>
                <w:color w:val="auto"/>
              </w:rPr>
              <w:t>$2.16</w:t>
            </w:r>
          </w:p>
        </w:tc>
        <w:tc>
          <w:tcPr>
            <w:tcW w:w="14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1360" w:type="dxa"/>
            <w:vAlign w:val="bottom"/>
            <w:tcBorders>
              <w:bottom w:val="single" w:sz="8" w:color="BFBFBF"/>
            </w:tcBorders>
          </w:tcPr>
          <w:p>
            <w:pPr>
              <w:jc w:val="right"/>
              <w:ind w:right="92"/>
              <w:spacing w:after="0" w:line="196" w:lineRule="exact"/>
              <w:rPr>
                <w:sz w:val="20"/>
                <w:szCs w:val="20"/>
                <w:color w:val="auto"/>
              </w:rPr>
            </w:pPr>
            <w:r>
              <w:rPr>
                <w:rFonts w:ascii="Arial" w:cs="Arial" w:eastAsia="Arial" w:hAnsi="Arial"/>
                <w:sz w:val="18"/>
                <w:szCs w:val="18"/>
                <w:color w:val="auto"/>
              </w:rPr>
              <w:t>$2.54</w:t>
            </w:r>
          </w:p>
        </w:tc>
        <w:tc>
          <w:tcPr>
            <w:tcW w:w="160" w:type="dxa"/>
            <w:vAlign w:val="bottom"/>
            <w:tcBorders>
              <w:bottom w:val="single" w:sz="8" w:color="BFBFBF"/>
              <w:right w:val="single" w:sz="8" w:color="BFBFBF"/>
            </w:tcBorders>
          </w:tcPr>
          <w:p>
            <w:pPr>
              <w:spacing w:after="0"/>
              <w:rPr>
                <w:sz w:val="17"/>
                <w:szCs w:val="17"/>
                <w:color w:val="auto"/>
              </w:rPr>
            </w:pPr>
          </w:p>
        </w:tc>
        <w:tc>
          <w:tcPr>
            <w:tcW w:w="80" w:type="dxa"/>
            <w:vAlign w:val="bottom"/>
            <w:tcBorders>
              <w:bottom w:val="single" w:sz="8" w:color="BFBFBF"/>
            </w:tcBorders>
          </w:tcPr>
          <w:p>
            <w:pPr>
              <w:spacing w:after="0"/>
              <w:rPr>
                <w:sz w:val="17"/>
                <w:szCs w:val="17"/>
                <w:color w:val="auto"/>
              </w:rPr>
            </w:pPr>
          </w:p>
        </w:tc>
        <w:tc>
          <w:tcPr>
            <w:tcW w:w="140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$2.97</w:t>
            </w:r>
          </w:p>
        </w:tc>
        <w:tc>
          <w:tcPr>
            <w:tcW w:w="240" w:type="dxa"/>
            <w:vAlign w:val="bottom"/>
            <w:tcBorders>
              <w:bottom w:val="single" w:sz="8" w:color="BFBFBF"/>
              <w:right w:val="single" w:sz="8" w:color="BFBFBF"/>
            </w:tcBorders>
          </w:tcPr>
          <w:p>
            <w:pPr>
              <w:spacing w:after="0"/>
              <w:rPr>
                <w:sz w:val="17"/>
                <w:szCs w:val="17"/>
                <w:color w:val="auto"/>
              </w:rPr>
            </w:pPr>
          </w:p>
        </w:tc>
      </w:tr>
      <w:tr>
        <w:trPr>
          <w:trHeight w:val="196"/>
        </w:trPr>
        <w:tc>
          <w:tcPr>
            <w:tcW w:w="64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Number of Shares Deliverable</w:t>
            </w:r>
          </w:p>
        </w:tc>
        <w:tc>
          <w:tcPr>
            <w:tcW w:w="1440" w:type="dxa"/>
            <w:vAlign w:val="bottom"/>
            <w:tcBorders>
              <w:bottom w:val="single" w:sz="8" w:color="BFBFBF"/>
            </w:tcBorders>
            <w:gridSpan w:val="2"/>
          </w:tcPr>
          <w:p>
            <w:pPr>
              <w:jc w:val="right"/>
              <w:ind w:right="112"/>
              <w:spacing w:after="0" w:line="196" w:lineRule="exact"/>
              <w:rPr>
                <w:sz w:val="20"/>
                <w:szCs w:val="20"/>
                <w:color w:val="auto"/>
              </w:rPr>
            </w:pPr>
            <w:r>
              <w:rPr>
                <w:rFonts w:ascii="Arial" w:cs="Arial" w:eastAsia="Arial" w:hAnsi="Arial"/>
                <w:sz w:val="18"/>
                <w:szCs w:val="18"/>
                <w:color w:val="auto"/>
              </w:rPr>
              <w:t>40,000</w:t>
            </w:r>
          </w:p>
        </w:tc>
        <w:tc>
          <w:tcPr>
            <w:tcW w:w="14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1360" w:type="dxa"/>
            <w:vAlign w:val="bottom"/>
            <w:tcBorders>
              <w:bottom w:val="single" w:sz="8" w:color="BFBFBF"/>
            </w:tcBorders>
          </w:tcPr>
          <w:p>
            <w:pPr>
              <w:jc w:val="right"/>
              <w:ind w:right="92"/>
              <w:spacing w:after="0" w:line="196" w:lineRule="exact"/>
              <w:rPr>
                <w:sz w:val="20"/>
                <w:szCs w:val="20"/>
                <w:color w:val="auto"/>
              </w:rPr>
            </w:pPr>
            <w:r>
              <w:rPr>
                <w:rFonts w:ascii="Arial" w:cs="Arial" w:eastAsia="Arial" w:hAnsi="Arial"/>
                <w:sz w:val="18"/>
                <w:szCs w:val="18"/>
                <w:color w:val="auto"/>
              </w:rPr>
              <w:t>80,000</w:t>
            </w:r>
          </w:p>
        </w:tc>
        <w:tc>
          <w:tcPr>
            <w:tcW w:w="160" w:type="dxa"/>
            <w:vAlign w:val="bottom"/>
            <w:tcBorders>
              <w:bottom w:val="single" w:sz="8" w:color="BFBFBF"/>
              <w:right w:val="single" w:sz="8" w:color="BFBFBF"/>
            </w:tcBorders>
          </w:tcPr>
          <w:p>
            <w:pPr>
              <w:spacing w:after="0"/>
              <w:rPr>
                <w:sz w:val="17"/>
                <w:szCs w:val="17"/>
                <w:color w:val="auto"/>
              </w:rPr>
            </w:pPr>
          </w:p>
        </w:tc>
        <w:tc>
          <w:tcPr>
            <w:tcW w:w="80" w:type="dxa"/>
            <w:vAlign w:val="bottom"/>
            <w:tcBorders>
              <w:bottom w:val="single" w:sz="8" w:color="BFBFBF"/>
            </w:tcBorders>
          </w:tcPr>
          <w:p>
            <w:pPr>
              <w:spacing w:after="0"/>
              <w:rPr>
                <w:sz w:val="17"/>
                <w:szCs w:val="17"/>
                <w:color w:val="auto"/>
              </w:rPr>
            </w:pPr>
          </w:p>
        </w:tc>
        <w:tc>
          <w:tcPr>
            <w:tcW w:w="140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120,000</w:t>
            </w:r>
          </w:p>
        </w:tc>
        <w:tc>
          <w:tcPr>
            <w:tcW w:w="240" w:type="dxa"/>
            <w:vAlign w:val="bottom"/>
            <w:tcBorders>
              <w:bottom w:val="single" w:sz="8" w:color="BFBFBF"/>
              <w:right w:val="single" w:sz="8" w:color="BFBFBF"/>
            </w:tcBorders>
          </w:tcPr>
          <w:p>
            <w:pPr>
              <w:spacing w:after="0"/>
              <w:rPr>
                <w:sz w:val="17"/>
                <w:szCs w:val="17"/>
                <w:color w:val="auto"/>
              </w:rPr>
            </w:pPr>
          </w:p>
        </w:tc>
      </w:tr>
    </w:tbl>
    <w:p>
      <w:pPr>
        <w:spacing w:after="0" w:line="125"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The committee and board determined that adjusted non-GAAP EPS growth fell between the minimum and target performance levels, and therefore, Mr. Greifeld was entitled to receive a pro-rated amount of 75,789 shares, which was 95% of target.</w:t>
      </w:r>
    </w:p>
    <w:p>
      <w:pPr>
        <w:spacing w:after="0" w:line="1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Non-GAAP EPS was calculated by adjusting our reported GAAP EPS for significant non-recurring charges or gains (and their related income tax effects) that were not related to our core business. The non-GAAP EPS for the fiscal year ended December 31, 2012 also was adjusted for certain stock or asset acquisitions that occurred during the performance period. The committee and board relied on the company’s audited financial statements, non-GAAP reconciliations and related information for purposes of determining the amount of non-GAAP EPS growth.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Equity Award Grant Practices</w:t>
      </w:r>
    </w:p>
    <w:p>
      <w:pPr>
        <w:spacing w:after="0" w:line="68"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The reference price for calculating the value of equity awards is the closing market price of NASDAQ OMX’s common stock on the date of grant. The management compensation committee and board of directors consider whether to make equity awards at a regularly scheduled meeting. Regular board and committee meetings are scheduled well in advance without regard to material news announcements by NASDAQ OMX. Existing equity ownership levels are not a factor in award determinations as we do not want to discourage the named executive officers from holding significant amounts of NASDAQ OMX’s common stock.</w:t>
      </w:r>
    </w:p>
    <w:p>
      <w:pPr>
        <w:spacing w:after="0" w:line="117"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Throughout the performance period, the management compensation committee receives updates on the executives’ progress in achieving the applicable performance measures and monitors the compensation expense that the company is incurring for outstanding equity awards. The committee believes that the current and expected expense amounts are reasonable and justified in light of the committee’s goals of aligning the long-term interests of officers and employees with those of stockholders and retaining the current management team.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Plans</w:t>
      </w:r>
    </w:p>
    <w:p>
      <w:pPr>
        <w:spacing w:after="0" w:line="6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NASDAQ OMX permits all employees, including the named executive officers, to enter into plans established under Rule 10b5-1 of the Exchange Act to enable them to trade in our stock, including stock received through equity grants, during periods in which they might not otherwise be able to trade because material nonpublic information about NASDAQ OMX has not been publicly released. These plans include specific instructions to a broker to trade on behalf of the employee if our stock price reaches a specified level or if certain other events occur, and therefore, the employee no longer controls the decision to trade in our stock. As of December 31, 2012, two of our named executive officers had Rule 10b5-1 plans in place.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68"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We have long recognized the importance of stock ownership as an important means of closely aligning the interests of our executives with the interests of our stockholders. In addition to using equity awards</w:t>
      </w:r>
    </w:p>
    <w:p>
      <w:pPr>
        <w:spacing w:after="0" w:line="141"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50</w:t>
      </w:r>
    </w:p>
    <w:p>
      <w:pPr>
        <w:sectPr>
          <w:pgSz w:w="11900" w:h="16838" w:orient="portrait"/>
          <w:cols w:equalWidth="0" w:num="1">
            <w:col w:w="11440"/>
          </w:cols>
          <w:pgMar w:left="240" w:top="459" w:right="2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a primary long-term incentive compensation tool, we have in place stock ownership guidelines for our CEO, CFO, executive vice presidents and senior vice presidents. Under its charter, the management compensation committee is responsible for reviewing annually the stock ownership guidelines and verifying compliance thereunder.</w:t>
      </w:r>
    </w:p>
    <w:p>
      <w:pPr>
        <w:spacing w:after="0" w:line="11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Under the guidelines, our CEO, CFO, executive vice presidents and senior vice presidents are expected to own specified dollar amounts of NASDAQ OMX common stock based on a multiple of their base salary. The multiple is determined by officer level: our CEO must hold shares valued at a 6X multiple of base salary, our CFO must hold a 4X multiple, other executive vice presidents must hold a 3X multiple and senior vice presidents must hold a 1X multiple. Individual holdings, shares jointly owned with immediate family members or held in trust, shares of restricted stock (including vested and unvested), vested shares underlying PSUs and shares purchased or held through NASDAQ OMX’s plans, such as the NASDAQ OMX Employee Stock Purchase Plan (ESPP), count toward satisfying the guidelines. New executives and executives who incur a material change in their responsibilities are expected to meet the applicable level of ownership within four years of their start date or the date of the change in responsibilities. Senior vice presidents subject to these guidelines when the guidelines were amended in 2009 to cover this level of officer are expected to meet the applicable level of ownership by October 21, 2013. All of the named executive officers were in compliance with the guidelines as of December 31, 2012.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Holding Requirement</w:t>
      </w:r>
    </w:p>
    <w:p>
      <w:pPr>
        <w:spacing w:after="0" w:line="6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We encourage our CEO, CFO, executive vice presidents and senior vice presidents to retain equity grants until the applicable stock ownership level is reached. Under the guidelines, these officers must hold the specified dollar amounts of stock through the end of their employment with NASDAQ OMX. We feel that our stock ownership guidelines provide proper alignment of the interests of our management and our stockholders, and therefore, we do not have additional stock holding requirements beyond the stock ownership guidelines.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Prohibition on Hedging and Pledging</w:t>
      </w:r>
    </w:p>
    <w:p>
      <w:pPr>
        <w:spacing w:after="0" w:line="135"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NASDAQ OMX does not allow directors or Section 16 officers to engage in securities transactions that allow them either to insulate themselves, or profit, from a decline in NASDAQ OMX’s stock price (with the exception of selling shares outright). Specifically, these individuals may not enter into hedging transactions with respect to NASDAQ OMX’s common stock, including short sales and transactions in derivative securities. Finally, these individuals may not pledge, hypothecate or otherwise encumber their shares of NASDAQ OMX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Plans</w:t>
      </w:r>
    </w:p>
    <w:p>
      <w:pPr>
        <w:spacing w:after="0" w:line="72"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NASDAQ OMX’s retirement savings plans are part of our overall compensation and benefits program. The management compensation committee considers appropriate retirement savings options to be a critical component of the package to retain employees at all levels. For more information about NASDAQ OMX’s retirement savings plans, see “Executive Compensation – Retirement Benefits.”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Severance Arrangements</w:t>
      </w:r>
    </w:p>
    <w:p>
      <w:pPr>
        <w:spacing w:after="0" w:line="72"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Except as described below in certain circumstances under the employment agreements with Messrs. Greifeld and Jochumsen, under the employment offer letter with Mr. Shavel and in the case of a change in control of the company, we are not obligated to pay general severance or other enhanced benefits to any named executive officer upon termination of his or her employment. However, the management compensation committee has the discretion to pay severance plan benefits. Severance plan decisions do not influence the management compensation committee’s other recommendations regarding compensation as these other decisions are focused on motivating our executives to remain with NASDAQ OMX and contribute to our future success.</w:t>
      </w:r>
    </w:p>
    <w:p>
      <w:pPr>
        <w:spacing w:after="0" w:line="1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Mr. Greifeld’s employment agreement contains provisions for the payment of severance benefits if the company terminates his employment without “cause” or Mr. Greifeld terminates his employment “for good reason.” There are separate provisions for severance benefits if such termination occurs (i) without regard to a change in control or (ii) within two years of a change in control. “Good reason” includes a reduction in Mr. Greifeld’s position, duties or authority, the company’s failure to secure agreement of any successor entity that he will continue in his position, relocation of Mr. Greifeld’s principal work location beyond a 50 mile radius of the current location or any other material breach of the employment agreement.</w:t>
      </w:r>
    </w:p>
    <w:p>
      <w:pPr>
        <w:spacing w:after="0" w:line="88" w:lineRule="exact"/>
        <w:rPr>
          <w:sz w:val="20"/>
          <w:szCs w:val="20"/>
          <w:color w:val="auto"/>
        </w:rPr>
      </w:pPr>
    </w:p>
    <w:p>
      <w:pPr>
        <w:ind w:right="540"/>
        <w:spacing w:after="0" w:line="234" w:lineRule="auto"/>
        <w:rPr>
          <w:sz w:val="20"/>
          <w:szCs w:val="20"/>
          <w:color w:val="auto"/>
        </w:rPr>
      </w:pPr>
      <w:r>
        <w:rPr>
          <w:rFonts w:ascii="Arial" w:cs="Arial" w:eastAsia="Arial" w:hAnsi="Arial"/>
          <w:sz w:val="18"/>
          <w:szCs w:val="18"/>
          <w:color w:val="auto"/>
        </w:rPr>
        <w:t>Mr. Jochumsens’s employment agreement contains a provision for the payment of severance benefits if his employment is terminated by the company on grounds other than Mr. Jochumsen’s substantial breach of the agreement. Under this provision, the company must give</w:t>
      </w:r>
    </w:p>
    <w:p>
      <w:pPr>
        <w:spacing w:after="0" w:line="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Mr. Jochumsen twelve months’ notice of termination, and Mr. Jochumsen will be entitled to severance pay equal to six months’ salary payable in a lump sum on his last day of employment.</w:t>
      </w:r>
    </w:p>
    <w:p>
      <w:pPr>
        <w:spacing w:after="0" w:line="1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Mr. Shavel’s employment offer letter contains a provision for the payment of severance benefits in the event of a reduction-in-force or other involuntary termination of employment (other than a termination for “cause” as defined in the Equity Plan or a change in control of the company) during the first three years of employment through May 2014. Under this provision, Mr. Shavel will be eligible for 15 months of severance pay at his then current base salary and any additional severance benefits (excluding severance pay) provided under the company’s then current in-practice severance policy.</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When the company completed its transition to a public company and adopted an acquisition strategy, the management compensation committee and the board of directors approved change in control agreements in 2005 for each executive not previously covered by such an agreement (letter agreements). In structuring these letter agreements, the management compensation committee evaluated comparable change in control severance arrangements offered by other peer companies in the financial services industry and considered the size of the severance package the committee might approve in other contexts. These letter agreements are intended to provide management stability and to reduce any reluctance on the part of executives to pursue potential transactions that may enhance the value of our stockholders’ investments. The management compensation committee reviews these letter agreements on a regular basis to ensure that they remain appropriate for NASDAQ OMX’s executive compensation program. Of the named executive officers, Messrs. Shavel and Noll and Ms. Ewing are currently party to these letter agreements.</w:t>
      </w:r>
    </w:p>
    <w:p>
      <w:pPr>
        <w:spacing w:after="0" w:line="9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management compensation committee believes that the terms for triggering payment under each of the agreements described above are reasonable and that some of the terms are more restrictive in several important ways than change in control agreements at many other companies. For example, under the letter agreements, a severance payment is available only if termination of employment (“other than for cause” if by NASDAQ OMX or for “good reason” if by the executive) occurs within one year following a “change in control” of the company or in certain situations within 180 days prior to a change in control. For Mr. Greifeld, a severance payment as a result of a change in control is available only if termination of employment occurs within two years following the change in control. The letter agreements, Mr. Greifeld’s employment agreement and Mr. Jochumsen’s employment agreement use what is known as a “double trigger,” meaning that a severance payment as a result of a change in control is activated only upon the occurrence of both a change in control of the company and a loss of employment. Benefits under these agreements will be provided only if NASDAQ OMX is the target organization. In addition, a change in control under these agreements is limited to situations where the acquirer obtains a majority of NASDAQ OMX’s voting securities or the current members of our board of directors (or their approved successors) cease to constitute a majority of the board. Finally, the agreements do not modify or otherwise change the treatment of the executive’s outstanding equity awards upon a “double trigger” termination in connection with a change in control without cause or for good reason.</w:t>
      </w:r>
    </w:p>
    <w:p>
      <w:pPr>
        <w:spacing w:after="0" w:line="3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For further information on NASDAQ OMX’s limited severance arrangements, see “Executive Compensation – Potential Payments upon Termination or Change in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7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provide a voluntary comprehensive health and welfare benefits program to our executives, including the named executive officers that mirrors the program offered to our other employees. Named executive officers also are allowed to participate in our ESPP on the same terms as other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Perquisites</w:t>
      </w:r>
    </w:p>
    <w:p>
      <w:pPr>
        <w:spacing w:after="0" w:line="7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Because our executive compensation program emphasizes pay for performance, it includes very few perquisites for our executives. In view of the demands of his position, we provide Mr. Greifeld with a company car and driver for use when conducting company business. Mr. Greifeld reports his use of the company car and driver for personal reasons in the Summary Compensation Table included below under “Executive Compensation.” In 2012, this amount was $27,742, which was the incremental cost of Mr. Greifeld’s personal use of the car (including commutation) based on an allocation of the cost of the driver, tolls, fuel and maintenance.</w:t>
      </w:r>
    </w:p>
    <w:p>
      <w:pPr>
        <w:spacing w:after="0" w:line="117"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Officers at the level of senior vice president and above are eligible to receive basic financial planning services and executive health exams. Participation in each of these programs is voluntary. We also provide extended sickness insurance to certain non-U.S. executives. We do not provide tax gross-up payments on perquisites.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ETHICS AND COMPLIANCE PROGRAM</w:t>
      </w:r>
    </w:p>
    <w:p>
      <w:pPr>
        <w:spacing w:after="0" w:line="13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NASDAQ OMX board annually reviews the company’s global ethics and compliance program, including the code of ethics and supporting policies. NASDAQ OMX will take action to remedy any fraudulent or intentional misconduct by an employee. Discipline would vary depending on the facts and circumstances, and may include termination of employment or initiation of an action for breach of fiduciary duty under the company’s code of ethics. These remedies would be in addition to, and not in lieu of, any actions imposed by law enforcement agencies, regulators or other authorities.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RECOUPMENT POLICY</w:t>
      </w:r>
    </w:p>
    <w:p>
      <w:pPr>
        <w:spacing w:after="0" w:line="13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board and committee have adopted an incentive recoupment or “clawback” policy that is applicable to the named executive officers and other executive vice presidents. The policy provides that the company may recoup any cash or equity incentive payments predicated upon the achievement of financial results or operating metrics that were subsequently determined to be incorrect on account of material errors, material omissions, fraud or misconduct.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IMPLICATIONS OF EXECUTIVE COMPENSATION</w:t>
      </w:r>
    </w:p>
    <w:p>
      <w:pPr>
        <w:spacing w:after="0" w:line="13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management compensation committee considers the income tax consequences of individual compensation elements when it is analyzing the overall level of compensation and the mix of compensation among individual elements.</w:t>
      </w:r>
    </w:p>
    <w:p>
      <w:pPr>
        <w:spacing w:after="0" w:line="1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Section 162(m) of the Code provides a limit of $1 million on the remuneration that may be deducted by a public company in any year in respect of the CEO and the three other most highly compensated executive officers (other than the principal financial officer), with an exception to this limitation for certain “performance-based compensation.” NASDAQ OMX attempts to structure our compensation arrangements so that amounts paid are tax deductible to the extent feasible and consistent with our overall compensation objectives. Depending upon the relevant circumstances at the time, the committee may determine to award compensation that may not be deductible. In making this determination, the committee balances the purposes and needs of our executive compensation program against potential tax cost.</w:t>
      </w:r>
    </w:p>
    <w:p>
      <w:pPr>
        <w:spacing w:after="0" w:line="1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 of Tax Gross-Up Provision</w:t>
      </w:r>
    </w:p>
    <w:p>
      <w:pPr>
        <w:spacing w:after="0" w:line="72"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Mr. Greifeld’s 2012 employment agreement eliminated a prior provision that entitled Mr. Greifeld to a limited gross-up payment in the event of termination after a change in control to reimburse him for any excise tax imposed under Section 4999 of the Code, as well as any additional income and employment taxes resulting from such reimbursement.</w:t>
      </w:r>
    </w:p>
    <w:p>
      <w:pPr>
        <w:spacing w:after="0" w:line="1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Mr. Greifeld’s 2012 employment agreement includes a “best net provision” for any amounts payable to Mr. Greifeld upon a “double trigger” termination in connection with a change in control without cause or for good reason. Under this provision, if any amounts payable to Mr. Greifeld would be characterized as excess parachute payments and due to that characterization, Mr. Greifeld would be subject to an excise tax under Section 4999 of the Code, the amounts will be reduced. The reduction will be to an amount so that none of the amounts payable constitute excess parachute payments if this would result, after taking into account the applicable federal, state and local income taxes and the excise tax imposed by Section 4999, in Mr. Greifeld’s receipt on an after-tax basis of the greatest amount of termination and other benefits.</w:t>
      </w:r>
    </w:p>
    <w:p>
      <w:pPr>
        <w:spacing w:after="0" w:line="11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Neither Mr. Jochumsen’s employment agreement nor the change in control letter agreements with our other named executive officers provide for tax gross-ups or reimbursements of any excise or other taxes that may be payable by the executive under Section 4999 of the Code in connection with the change in control of the company. The change in control letter agreements provide that, if any payments or benefits to an executive would be subject to an excise tax under Section 4999, payments and/or benefits to the executive will be reduced to an amount that does not trigger an excise tax.</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EMPLOYMENT AGREEMENT WITH CEO</w:t>
      </w:r>
    </w:p>
    <w:p>
      <w:pPr>
        <w:spacing w:after="0" w:line="72"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On February 22, 2012, NASDAQ OMX entered into a new employment agreement with Robert Greifeld, NASDAQ OMX’s CEO. The new employment agreement replaces NASDAQ OMX’s prior employment agreement with Mr. Greifeld, which was entered into effective January 1, 2007.</w:t>
      </w:r>
    </w:p>
    <w:p>
      <w:pPr>
        <w:spacing w:after="0" w:line="11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management compensation committee and board of directors considered the following factors important in negotiating the new employment agreement:</w:t>
      </w:r>
    </w:p>
    <w:p>
      <w:pPr>
        <w:spacing w:after="0" w:line="60" w:lineRule="exact"/>
        <w:rPr>
          <w:sz w:val="20"/>
          <w:szCs w:val="20"/>
          <w:color w:val="auto"/>
        </w:rPr>
      </w:pPr>
    </w:p>
    <w:p>
      <w:pPr>
        <w:ind w:left="1120" w:right="80" w:hanging="437"/>
        <w:spacing w:after="0" w:line="237" w:lineRule="auto"/>
        <w:tabs>
          <w:tab w:leader="none" w:pos="1120" w:val="left"/>
        </w:tabs>
        <w:numPr>
          <w:ilvl w:val="0"/>
          <w:numId w:val="46"/>
        </w:numPr>
        <w:rPr>
          <w:rFonts w:ascii="Arial" w:cs="Arial" w:eastAsia="Arial" w:hAnsi="Arial"/>
          <w:sz w:val="18"/>
          <w:szCs w:val="18"/>
          <w:color w:val="0088A6"/>
        </w:rPr>
      </w:pPr>
      <w:r>
        <w:rPr>
          <w:rFonts w:ascii="Arial" w:cs="Arial" w:eastAsia="Arial" w:hAnsi="Arial"/>
          <w:sz w:val="18"/>
          <w:szCs w:val="18"/>
          <w:color w:val="auto"/>
        </w:rPr>
        <w:t>during Mr. Greifeld’s tenure, NASDAQ OMX has transformed from a single U.S.-based cash equities exchange to a global company that operates multiple exchanges, clearing organizations and central securities depositories across multiple asset classes. In addition, our technology powers more than 70 exchanges, clearing organizations and central securities depositories in over 50 countries;</w:t>
      </w:r>
    </w:p>
    <w:p>
      <w:pPr>
        <w:spacing w:after="0" w:line="60" w:lineRule="exact"/>
        <w:rPr>
          <w:rFonts w:ascii="Arial" w:cs="Arial" w:eastAsia="Arial" w:hAnsi="Arial"/>
          <w:sz w:val="18"/>
          <w:szCs w:val="18"/>
          <w:color w:val="0088A6"/>
        </w:rPr>
      </w:pPr>
    </w:p>
    <w:p>
      <w:pPr>
        <w:ind w:left="1120" w:right="320" w:hanging="437"/>
        <w:spacing w:after="0" w:line="239" w:lineRule="auto"/>
        <w:tabs>
          <w:tab w:leader="none" w:pos="1120" w:val="left"/>
        </w:tabs>
        <w:numPr>
          <w:ilvl w:val="0"/>
          <w:numId w:val="46"/>
        </w:numPr>
        <w:rPr>
          <w:rFonts w:ascii="Arial" w:cs="Arial" w:eastAsia="Arial" w:hAnsi="Arial"/>
          <w:sz w:val="18"/>
          <w:szCs w:val="18"/>
          <w:color w:val="0088A6"/>
        </w:rPr>
      </w:pPr>
      <w:r>
        <w:rPr>
          <w:rFonts w:ascii="Arial" w:cs="Arial" w:eastAsia="Arial" w:hAnsi="Arial"/>
          <w:sz w:val="18"/>
          <w:szCs w:val="18"/>
          <w:color w:val="auto"/>
        </w:rPr>
        <w:t>continuity of leadership at the CEO level is important to continue building stockholder value, and it is therefore important to retain Mr. Greifeld for a fixed period of time;</w:t>
      </w:r>
    </w:p>
    <w:p>
      <w:pPr>
        <w:spacing w:after="0" w:line="60" w:lineRule="exact"/>
        <w:rPr>
          <w:rFonts w:ascii="Arial" w:cs="Arial" w:eastAsia="Arial" w:hAnsi="Arial"/>
          <w:sz w:val="18"/>
          <w:szCs w:val="18"/>
          <w:color w:val="0088A6"/>
        </w:rPr>
      </w:pPr>
    </w:p>
    <w:p>
      <w:pPr>
        <w:ind w:left="1120" w:right="560" w:hanging="437"/>
        <w:spacing w:after="0" w:line="239" w:lineRule="auto"/>
        <w:tabs>
          <w:tab w:leader="none" w:pos="1120" w:val="left"/>
        </w:tabs>
        <w:numPr>
          <w:ilvl w:val="0"/>
          <w:numId w:val="46"/>
        </w:numPr>
        <w:rPr>
          <w:rFonts w:ascii="Arial" w:cs="Arial" w:eastAsia="Arial" w:hAnsi="Arial"/>
          <w:sz w:val="18"/>
          <w:szCs w:val="18"/>
          <w:color w:val="0088A6"/>
        </w:rPr>
      </w:pPr>
      <w:r>
        <w:rPr>
          <w:rFonts w:ascii="Arial" w:cs="Arial" w:eastAsia="Arial" w:hAnsi="Arial"/>
          <w:sz w:val="18"/>
          <w:szCs w:val="18"/>
          <w:color w:val="auto"/>
        </w:rPr>
        <w:t>consistent with the prior employment agreement, the new employment agreement emphasizes long-term pay for performance incentives; and</w:t>
      </w:r>
    </w:p>
    <w:p>
      <w:pPr>
        <w:spacing w:after="0" w:line="60" w:lineRule="exact"/>
        <w:rPr>
          <w:rFonts w:ascii="Arial" w:cs="Arial" w:eastAsia="Arial" w:hAnsi="Arial"/>
          <w:sz w:val="18"/>
          <w:szCs w:val="18"/>
          <w:color w:val="0088A6"/>
        </w:rPr>
      </w:pPr>
    </w:p>
    <w:p>
      <w:pPr>
        <w:ind w:left="1120" w:hanging="437"/>
        <w:spacing w:after="0"/>
        <w:tabs>
          <w:tab w:leader="none" w:pos="1120" w:val="left"/>
        </w:tabs>
        <w:numPr>
          <w:ilvl w:val="0"/>
          <w:numId w:val="46"/>
        </w:numPr>
        <w:rPr>
          <w:rFonts w:ascii="Arial" w:cs="Arial" w:eastAsia="Arial" w:hAnsi="Arial"/>
          <w:sz w:val="16"/>
          <w:szCs w:val="16"/>
          <w:color w:val="0088A6"/>
        </w:rPr>
      </w:pPr>
      <w:r>
        <w:rPr>
          <w:rFonts w:ascii="Arial" w:cs="Arial" w:eastAsia="Arial" w:hAnsi="Arial"/>
          <w:sz w:val="16"/>
          <w:szCs w:val="16"/>
          <w:color w:val="auto"/>
        </w:rPr>
        <w:t>to the extent possible, the new employment agreement reflects best practices in executive compensation and corporate governance.</w:t>
      </w:r>
    </w:p>
    <w:p>
      <w:pPr>
        <w:spacing w:after="0" w:line="140"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color w:val="auto"/>
        </w:rPr>
        <w:t>The management compensation committee and Mr. Greifeld agreed that the terms of the prior employment agreement were sufficient in most respects (e.g., base salary, benefits and short-term incentives). Therefore, the terms of the new employment agreement with Mr. Greifeld are similar in most respects to the terms of his prior agreement.</w:t>
      </w:r>
    </w:p>
    <w:p>
      <w:pPr>
        <w:spacing w:after="0" w:line="1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Significantly, the new employment agreement has a term of five years, with no automatic renewals thereafter. The agreement guarantees the same base salary and target annual incentive compensation award as under the prior agreement. The agreement does not guarantee the grant of any equity awards, although Mr. Greifeld may be granted equity awards under the Equity Plan, based on the management compensation committee’s evaluation of the performance of NASDAQ OMX and</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Mr. Greifeld, peer group market data and internal equity, and consistent with past practices with respect to the combined aggregate value of prior grants. Finally, the agreement sets forth the payments that Mr. Greifeld will receive under various termination scenarios and eliminates a provision from Mr. Greifeld’s prior employment agreement that provided for a modified excise tax reimbursement with a gross-up payment in limited circumstances.</w:t>
      </w:r>
    </w:p>
    <w:p>
      <w:pPr>
        <w:spacing w:after="0" w:line="114"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In negotiating the new agreement, the committee utilized Cook &amp; Co., its former outside, independent compensation consultant, to advise on executive compensation and corporate governance matters. When requested by the committee, Cook &amp; Co. provided independent advice, analyzed current market conditions and helped design the compensation package to be both competitive and effective at driving long-term performance and increasing stockholder value.</w:t>
      </w:r>
    </w:p>
    <w:p>
      <w:pPr>
        <w:spacing w:after="0" w:line="1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For a further description of the key terms of Mr. Greifeld’s employment agreement, see “Executive Compensation – Employment Agreements” and “Executive Compensation – Potential Payments upon Termination or Change in Control.”</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MANAGEMENT COMPENSATION COMMITTEE REPORT</w:t>
      </w:r>
    </w:p>
    <w:p>
      <w:pPr>
        <w:spacing w:after="0" w:line="9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management compensation committee reviewed and discussed the Compensation Discussion and Analysis with our management. After such discussions, the committee recommended to NASDAQ OMX’s board of directors that the Compensation Discussion and Analysis be included in this proxy statement and incorporated by reference into NASDAQ OMX’s Form 10-K.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Management Compensation Committee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Michael R. Splinter, Chair</w:t>
      </w:r>
    </w:p>
    <w:p>
      <w:pPr>
        <w:spacing w:after="0" w:line="234" w:lineRule="auto"/>
        <w:rPr>
          <w:sz w:val="20"/>
          <w:szCs w:val="20"/>
          <w:color w:val="auto"/>
        </w:rPr>
      </w:pPr>
      <w:r>
        <w:rPr>
          <w:rFonts w:ascii="Arial" w:cs="Arial" w:eastAsia="Arial" w:hAnsi="Arial"/>
          <w:sz w:val="18"/>
          <w:szCs w:val="18"/>
          <w:color w:val="auto"/>
        </w:rPr>
        <w:t>Steven D. Black</w:t>
      </w:r>
    </w:p>
    <w:p>
      <w:pPr>
        <w:spacing w:after="0" w:line="235" w:lineRule="auto"/>
        <w:rPr>
          <w:sz w:val="20"/>
          <w:szCs w:val="20"/>
          <w:color w:val="auto"/>
        </w:rPr>
      </w:pPr>
      <w:r>
        <w:rPr>
          <w:rFonts w:ascii="Arial" w:cs="Arial" w:eastAsia="Arial" w:hAnsi="Arial"/>
          <w:sz w:val="18"/>
          <w:szCs w:val="18"/>
          <w:color w:val="auto"/>
        </w:rPr>
        <w:t>Glenn H. Hutchins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Lars R. Wedenborn</w:t>
      </w:r>
    </w:p>
    <w:p>
      <w:pPr>
        <w:spacing w:after="0" w:line="134"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MANAGEMENT COMPENSATION COMMITTEE INTERLOCKS AND INSIDER PARTICIPATION</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None of the members of the management compensation committee is an executive officer, employee or former officer of NASDAQ OMX. With the exception of Mr. Greifeld, none of NASDAQ OMX’s executive officers serves as a current member of the NASDAQ OMX board of directors. None of NASDAQ OMX’s executive officers serves as a director or a member of the compensation committee of any entity that has one or more executive officers serving on the NASDAQ OMX board or management compensation committee. One of the members of NASDAQ OMX’s management compensation committee, Glenn H. Hutchins, is a Co-Founder of Silver Lake. For information on transactions with Silver Lake, see “Certain Relationships and Related Transactions.”</w:t>
      </w:r>
    </w:p>
    <w:p>
      <w:pPr>
        <w:spacing w:after="0" w:line="1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7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table below summarizes the total compensation of each of the named executive officers for services rendered during the fiscal years ended December 31, 2012, 2011 and 2010.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Summary Compensation Table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840" w:type="dxa"/>
            <w:vAlign w:val="bottom"/>
            <w:tcBorders>
              <w:left w:val="single" w:sz="8" w:color="BFBFBF"/>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440" w:type="dxa"/>
            <w:vAlign w:val="bottom"/>
            <w:shd w:val="clear" w:color="auto" w:fill="0088A6"/>
          </w:tcPr>
          <w:p>
            <w:pPr>
              <w:spacing w:after="0"/>
              <w:rPr>
                <w:sz w:val="14"/>
                <w:szCs w:val="14"/>
                <w:color w:val="auto"/>
              </w:rPr>
            </w:pPr>
          </w:p>
        </w:tc>
        <w:tc>
          <w:tcPr>
            <w:tcW w:w="120" w:type="dxa"/>
            <w:vAlign w:val="bottom"/>
            <w:tcBorders>
              <w:right w:val="single" w:sz="8" w:color="BFBFBF"/>
            </w:tcBorders>
            <w:shd w:val="clear" w:color="auto" w:fill="0088A6"/>
          </w:tcPr>
          <w:p>
            <w:pPr>
              <w:spacing w:after="0"/>
              <w:rPr>
                <w:sz w:val="14"/>
                <w:szCs w:val="14"/>
                <w:color w:val="auto"/>
              </w:rPr>
            </w:pPr>
          </w:p>
        </w:tc>
        <w:tc>
          <w:tcPr>
            <w:tcW w:w="60" w:type="dxa"/>
            <w:vAlign w:val="bottom"/>
            <w:shd w:val="clear" w:color="auto" w:fill="0088A6"/>
          </w:tcPr>
          <w:p>
            <w:pPr>
              <w:spacing w:after="0"/>
              <w:rPr>
                <w:sz w:val="14"/>
                <w:szCs w:val="14"/>
                <w:color w:val="auto"/>
              </w:rPr>
            </w:pPr>
          </w:p>
        </w:tc>
        <w:tc>
          <w:tcPr>
            <w:tcW w:w="20" w:type="dxa"/>
            <w:vAlign w:val="bottom"/>
            <w:shd w:val="clear" w:color="auto" w:fill="0088A6"/>
          </w:tcPr>
          <w:p>
            <w:pPr>
              <w:spacing w:after="0"/>
              <w:rPr>
                <w:sz w:val="14"/>
                <w:szCs w:val="14"/>
                <w:color w:val="auto"/>
              </w:rPr>
            </w:pPr>
          </w:p>
        </w:tc>
        <w:tc>
          <w:tcPr>
            <w:tcW w:w="100" w:type="dxa"/>
            <w:vAlign w:val="bottom"/>
            <w:shd w:val="clear" w:color="auto" w:fill="0088A6"/>
          </w:tcPr>
          <w:p>
            <w:pPr>
              <w:spacing w:after="0"/>
              <w:rPr>
                <w:sz w:val="14"/>
                <w:szCs w:val="14"/>
                <w:color w:val="auto"/>
              </w:rPr>
            </w:pPr>
          </w:p>
        </w:tc>
        <w:tc>
          <w:tcPr>
            <w:tcW w:w="580" w:type="dxa"/>
            <w:vAlign w:val="bottom"/>
            <w:shd w:val="clear" w:color="auto" w:fill="0088A6"/>
          </w:tcPr>
          <w:p>
            <w:pPr>
              <w:spacing w:after="0"/>
              <w:rPr>
                <w:sz w:val="14"/>
                <w:szCs w:val="14"/>
                <w:color w:val="auto"/>
              </w:rPr>
            </w:pPr>
          </w:p>
        </w:tc>
        <w:tc>
          <w:tcPr>
            <w:tcW w:w="14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580" w:type="dxa"/>
            <w:vAlign w:val="bottom"/>
            <w:shd w:val="clear" w:color="auto" w:fill="0088A6"/>
          </w:tcPr>
          <w:p>
            <w:pPr>
              <w:spacing w:after="0"/>
              <w:rPr>
                <w:sz w:val="14"/>
                <w:szCs w:val="14"/>
                <w:color w:val="auto"/>
              </w:rPr>
            </w:pPr>
          </w:p>
        </w:tc>
        <w:tc>
          <w:tcPr>
            <w:tcW w:w="12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600" w:type="dxa"/>
            <w:vAlign w:val="bottom"/>
            <w:shd w:val="clear" w:color="auto" w:fill="0088A6"/>
          </w:tcPr>
          <w:p>
            <w:pPr>
              <w:spacing w:after="0"/>
              <w:rPr>
                <w:sz w:val="14"/>
                <w:szCs w:val="14"/>
                <w:color w:val="auto"/>
              </w:rPr>
            </w:pPr>
          </w:p>
        </w:tc>
        <w:tc>
          <w:tcPr>
            <w:tcW w:w="140" w:type="dxa"/>
            <w:vAlign w:val="bottom"/>
            <w:tcBorders>
              <w:right w:val="single" w:sz="8" w:color="BFBFBF"/>
            </w:tcBorders>
            <w:shd w:val="clear" w:color="auto" w:fill="0088A6"/>
          </w:tcPr>
          <w:p>
            <w:pPr>
              <w:spacing w:after="0"/>
              <w:rPr>
                <w:sz w:val="14"/>
                <w:szCs w:val="14"/>
                <w:color w:val="auto"/>
              </w:rPr>
            </w:pPr>
          </w:p>
        </w:tc>
        <w:tc>
          <w:tcPr>
            <w:tcW w:w="60" w:type="dxa"/>
            <w:vAlign w:val="bottom"/>
            <w:shd w:val="clear" w:color="auto" w:fill="0088A6"/>
          </w:tcPr>
          <w:p>
            <w:pPr>
              <w:spacing w:after="0"/>
              <w:rPr>
                <w:sz w:val="14"/>
                <w:szCs w:val="14"/>
                <w:color w:val="auto"/>
              </w:rPr>
            </w:pPr>
          </w:p>
        </w:tc>
        <w:tc>
          <w:tcPr>
            <w:tcW w:w="640" w:type="dxa"/>
            <w:vAlign w:val="bottom"/>
            <w:shd w:val="clear" w:color="auto" w:fill="0088A6"/>
          </w:tcPr>
          <w:p>
            <w:pPr>
              <w:spacing w:after="0"/>
              <w:rPr>
                <w:sz w:val="14"/>
                <w:szCs w:val="14"/>
                <w:color w:val="auto"/>
              </w:rPr>
            </w:pPr>
          </w:p>
        </w:tc>
        <w:tc>
          <w:tcPr>
            <w:tcW w:w="12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20" w:type="dxa"/>
            <w:vAlign w:val="bottom"/>
            <w:shd w:val="clear" w:color="auto" w:fill="0088A6"/>
          </w:tcPr>
          <w:p>
            <w:pPr>
              <w:spacing w:after="0"/>
              <w:rPr>
                <w:sz w:val="14"/>
                <w:szCs w:val="14"/>
                <w:color w:val="auto"/>
              </w:rPr>
            </w:pPr>
          </w:p>
        </w:tc>
        <w:tc>
          <w:tcPr>
            <w:tcW w:w="900" w:type="dxa"/>
            <w:vAlign w:val="bottom"/>
            <w:shd w:val="clear" w:color="auto" w:fill="0088A6"/>
          </w:tcPr>
          <w:p>
            <w:pPr>
              <w:spacing w:after="0"/>
              <w:rPr>
                <w:sz w:val="14"/>
                <w:szCs w:val="14"/>
                <w:color w:val="auto"/>
              </w:rPr>
            </w:pPr>
          </w:p>
        </w:tc>
        <w:tc>
          <w:tcPr>
            <w:tcW w:w="12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140" w:type="dxa"/>
            <w:vAlign w:val="bottom"/>
            <w:tcBorders>
              <w:right w:val="single" w:sz="8" w:color="BFBFBF"/>
            </w:tcBorders>
            <w:gridSpan w:val="3"/>
            <w:shd w:val="clear" w:color="auto" w:fill="0088A6"/>
          </w:tcPr>
          <w:p>
            <w:pPr>
              <w:jc w:val="center"/>
              <w:ind w:right="120"/>
              <w:spacing w:after="0"/>
              <w:rPr>
                <w:sz w:val="20"/>
                <w:szCs w:val="20"/>
                <w:color w:val="auto"/>
              </w:rPr>
            </w:pPr>
            <w:r>
              <w:rPr>
                <w:rFonts w:ascii="Arial" w:cs="Arial" w:eastAsia="Arial" w:hAnsi="Arial"/>
                <w:sz w:val="14"/>
                <w:szCs w:val="14"/>
                <w:b w:val="1"/>
                <w:bCs w:val="1"/>
                <w:color w:val="FFFFFF"/>
                <w:w w:val="97"/>
              </w:rPr>
              <w:t>Change in</w:t>
            </w:r>
          </w:p>
        </w:tc>
        <w:tc>
          <w:tcPr>
            <w:tcW w:w="80" w:type="dxa"/>
            <w:vAlign w:val="bottom"/>
            <w:shd w:val="clear" w:color="auto" w:fill="0088A6"/>
          </w:tcPr>
          <w:p>
            <w:pPr>
              <w:spacing w:after="0"/>
              <w:rPr>
                <w:sz w:val="14"/>
                <w:szCs w:val="14"/>
                <w:color w:val="auto"/>
              </w:rPr>
            </w:pPr>
          </w:p>
        </w:tc>
        <w:tc>
          <w:tcPr>
            <w:tcW w:w="420" w:type="dxa"/>
            <w:vAlign w:val="bottom"/>
            <w:shd w:val="clear" w:color="auto" w:fill="0088A6"/>
          </w:tcPr>
          <w:p>
            <w:pPr>
              <w:spacing w:after="0"/>
              <w:rPr>
                <w:sz w:val="14"/>
                <w:szCs w:val="14"/>
                <w:color w:val="auto"/>
              </w:rPr>
            </w:pPr>
          </w:p>
        </w:tc>
        <w:tc>
          <w:tcPr>
            <w:tcW w:w="520" w:type="dxa"/>
            <w:vAlign w:val="bottom"/>
            <w:shd w:val="clear" w:color="auto" w:fill="0088A6"/>
          </w:tcPr>
          <w:p>
            <w:pPr>
              <w:spacing w:after="0"/>
              <w:rPr>
                <w:sz w:val="14"/>
                <w:szCs w:val="14"/>
                <w:color w:val="auto"/>
              </w:rPr>
            </w:pPr>
          </w:p>
        </w:tc>
        <w:tc>
          <w:tcPr>
            <w:tcW w:w="12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700" w:type="dxa"/>
            <w:vAlign w:val="bottom"/>
            <w:shd w:val="clear" w:color="auto" w:fill="0088A6"/>
          </w:tcPr>
          <w:p>
            <w:pPr>
              <w:spacing w:after="0"/>
              <w:rPr>
                <w:sz w:val="14"/>
                <w:szCs w:val="14"/>
                <w:color w:val="auto"/>
              </w:rPr>
            </w:pPr>
          </w:p>
        </w:tc>
        <w:tc>
          <w:tcPr>
            <w:tcW w:w="200" w:type="dxa"/>
            <w:vAlign w:val="bottom"/>
            <w:tcBorders>
              <w:right w:val="single" w:sz="8" w:color="BFBFBF"/>
            </w:tcBorders>
            <w:shd w:val="clear" w:color="auto" w:fill="0088A6"/>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44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58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5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6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140" w:type="dxa"/>
            <w:vAlign w:val="bottom"/>
            <w:tcBorders>
              <w:right w:val="single" w:sz="8" w:color="BFBFBF"/>
            </w:tcBorders>
            <w:gridSpan w:val="3"/>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5"/>
              </w:rPr>
              <w:t>Pension</w:t>
            </w:r>
          </w:p>
        </w:tc>
        <w:tc>
          <w:tcPr>
            <w:tcW w:w="80" w:type="dxa"/>
            <w:vAlign w:val="bottom"/>
            <w:shd w:val="clear" w:color="auto" w:fill="0088A6"/>
          </w:tcPr>
          <w:p>
            <w:pPr>
              <w:spacing w:after="0"/>
              <w:rPr>
                <w:sz w:val="12"/>
                <w:szCs w:val="12"/>
                <w:color w:val="auto"/>
              </w:rPr>
            </w:pPr>
          </w:p>
        </w:tc>
        <w:tc>
          <w:tcPr>
            <w:tcW w:w="420" w:type="dxa"/>
            <w:vAlign w:val="bottom"/>
            <w:shd w:val="clear" w:color="auto" w:fill="0088A6"/>
          </w:tcPr>
          <w:p>
            <w:pPr>
              <w:spacing w:after="0"/>
              <w:rPr>
                <w:sz w:val="12"/>
                <w:szCs w:val="12"/>
                <w:color w:val="auto"/>
              </w:rPr>
            </w:pPr>
          </w:p>
        </w:tc>
        <w:tc>
          <w:tcPr>
            <w:tcW w:w="52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0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44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58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5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6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140" w:type="dxa"/>
            <w:vAlign w:val="bottom"/>
            <w:tcBorders>
              <w:right w:val="single" w:sz="8" w:color="BFBFBF"/>
            </w:tcBorders>
            <w:gridSpan w:val="3"/>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6"/>
              </w:rPr>
              <w:t>Value and</w:t>
            </w:r>
          </w:p>
        </w:tc>
        <w:tc>
          <w:tcPr>
            <w:tcW w:w="80" w:type="dxa"/>
            <w:vAlign w:val="bottom"/>
            <w:shd w:val="clear" w:color="auto" w:fill="0088A6"/>
          </w:tcPr>
          <w:p>
            <w:pPr>
              <w:spacing w:after="0"/>
              <w:rPr>
                <w:sz w:val="12"/>
                <w:szCs w:val="12"/>
                <w:color w:val="auto"/>
              </w:rPr>
            </w:pPr>
          </w:p>
        </w:tc>
        <w:tc>
          <w:tcPr>
            <w:tcW w:w="420" w:type="dxa"/>
            <w:vAlign w:val="bottom"/>
            <w:shd w:val="clear" w:color="auto" w:fill="0088A6"/>
          </w:tcPr>
          <w:p>
            <w:pPr>
              <w:spacing w:after="0"/>
              <w:rPr>
                <w:sz w:val="12"/>
                <w:szCs w:val="12"/>
                <w:color w:val="auto"/>
              </w:rPr>
            </w:pPr>
          </w:p>
        </w:tc>
        <w:tc>
          <w:tcPr>
            <w:tcW w:w="52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0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44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58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5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6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020" w:type="dxa"/>
            <w:vAlign w:val="bottom"/>
            <w:tcBorders>
              <w:right w:val="single" w:sz="8" w:color="BFBFBF"/>
            </w:tcBorders>
            <w:gridSpan w:val="2"/>
            <w:shd w:val="clear" w:color="auto" w:fill="0088A6"/>
          </w:tcPr>
          <w:p>
            <w:pPr>
              <w:jc w:val="center"/>
              <w:ind w:right="240"/>
              <w:spacing w:after="0" w:line="149" w:lineRule="exact"/>
              <w:rPr>
                <w:sz w:val="20"/>
                <w:szCs w:val="20"/>
                <w:color w:val="auto"/>
              </w:rPr>
            </w:pPr>
            <w:r>
              <w:rPr>
                <w:rFonts w:ascii="Arial" w:cs="Arial" w:eastAsia="Arial" w:hAnsi="Arial"/>
                <w:sz w:val="14"/>
                <w:szCs w:val="14"/>
                <w:b w:val="1"/>
                <w:bCs w:val="1"/>
                <w:color w:val="FFFFFF"/>
                <w:w w:val="99"/>
              </w:rPr>
              <w:t>Non-Equity</w:t>
            </w:r>
          </w:p>
        </w:tc>
        <w:tc>
          <w:tcPr>
            <w:tcW w:w="80" w:type="dxa"/>
            <w:vAlign w:val="bottom"/>
            <w:shd w:val="clear" w:color="auto" w:fill="0088A6"/>
          </w:tcPr>
          <w:p>
            <w:pPr>
              <w:spacing w:after="0"/>
              <w:rPr>
                <w:sz w:val="12"/>
                <w:szCs w:val="12"/>
                <w:color w:val="auto"/>
              </w:rPr>
            </w:pPr>
          </w:p>
        </w:tc>
        <w:tc>
          <w:tcPr>
            <w:tcW w:w="1140" w:type="dxa"/>
            <w:vAlign w:val="bottom"/>
            <w:tcBorders>
              <w:right w:val="single" w:sz="8" w:color="BFBFBF"/>
            </w:tcBorders>
            <w:gridSpan w:val="3"/>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6"/>
              </w:rPr>
              <w:t>Nonqualified</w:t>
            </w:r>
          </w:p>
        </w:tc>
        <w:tc>
          <w:tcPr>
            <w:tcW w:w="80" w:type="dxa"/>
            <w:vAlign w:val="bottom"/>
            <w:shd w:val="clear" w:color="auto" w:fill="0088A6"/>
          </w:tcPr>
          <w:p>
            <w:pPr>
              <w:spacing w:after="0"/>
              <w:rPr>
                <w:sz w:val="12"/>
                <w:szCs w:val="12"/>
                <w:color w:val="auto"/>
              </w:rPr>
            </w:pPr>
          </w:p>
        </w:tc>
        <w:tc>
          <w:tcPr>
            <w:tcW w:w="420" w:type="dxa"/>
            <w:vAlign w:val="bottom"/>
            <w:shd w:val="clear" w:color="auto" w:fill="0088A6"/>
          </w:tcPr>
          <w:p>
            <w:pPr>
              <w:spacing w:after="0"/>
              <w:rPr>
                <w:sz w:val="12"/>
                <w:szCs w:val="12"/>
                <w:color w:val="auto"/>
              </w:rPr>
            </w:pPr>
          </w:p>
        </w:tc>
        <w:tc>
          <w:tcPr>
            <w:tcW w:w="52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0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BFBFBF"/>
              <w:right w:val="single" w:sz="8" w:color="BFBFBF"/>
            </w:tcBorders>
            <w:vMerge w:val="restart"/>
            <w:shd w:val="clear" w:color="auto" w:fill="0088A6"/>
          </w:tcPr>
          <w:p>
            <w:pPr>
              <w:jc w:val="center"/>
              <w:ind w:left="52"/>
              <w:spacing w:after="0"/>
              <w:rPr>
                <w:sz w:val="20"/>
                <w:szCs w:val="20"/>
                <w:color w:val="auto"/>
              </w:rPr>
            </w:pPr>
            <w:r>
              <w:rPr>
                <w:rFonts w:ascii="Arial" w:cs="Arial" w:eastAsia="Arial" w:hAnsi="Arial"/>
                <w:sz w:val="14"/>
                <w:szCs w:val="14"/>
                <w:b w:val="1"/>
                <w:bCs w:val="1"/>
                <w:color w:val="FFFFFF"/>
                <w:w w:val="95"/>
              </w:rPr>
              <w:t>Name and</w:t>
            </w:r>
          </w:p>
        </w:tc>
        <w:tc>
          <w:tcPr>
            <w:tcW w:w="80" w:type="dxa"/>
            <w:vAlign w:val="bottom"/>
            <w:shd w:val="clear" w:color="auto" w:fill="0088A6"/>
          </w:tcPr>
          <w:p>
            <w:pPr>
              <w:spacing w:after="0"/>
              <w:rPr>
                <w:sz w:val="12"/>
                <w:szCs w:val="12"/>
                <w:color w:val="auto"/>
              </w:rPr>
            </w:pPr>
          </w:p>
        </w:tc>
        <w:tc>
          <w:tcPr>
            <w:tcW w:w="44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58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5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6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020" w:type="dxa"/>
            <w:vAlign w:val="bottom"/>
            <w:tcBorders>
              <w:right w:val="single" w:sz="8" w:color="BFBFBF"/>
            </w:tcBorders>
            <w:gridSpan w:val="2"/>
            <w:shd w:val="clear" w:color="auto" w:fill="0088A6"/>
          </w:tcPr>
          <w:p>
            <w:pPr>
              <w:ind w:left="80"/>
              <w:spacing w:after="0" w:line="149" w:lineRule="exact"/>
              <w:rPr>
                <w:sz w:val="20"/>
                <w:szCs w:val="20"/>
                <w:color w:val="auto"/>
              </w:rPr>
            </w:pPr>
            <w:r>
              <w:rPr>
                <w:rFonts w:ascii="Arial" w:cs="Arial" w:eastAsia="Arial" w:hAnsi="Arial"/>
                <w:sz w:val="14"/>
                <w:szCs w:val="14"/>
                <w:b w:val="1"/>
                <w:bCs w:val="1"/>
                <w:color w:val="FFFFFF"/>
              </w:rPr>
              <w:t>Incentive</w:t>
            </w:r>
          </w:p>
        </w:tc>
        <w:tc>
          <w:tcPr>
            <w:tcW w:w="80" w:type="dxa"/>
            <w:vAlign w:val="bottom"/>
            <w:shd w:val="clear" w:color="auto" w:fill="0088A6"/>
          </w:tcPr>
          <w:p>
            <w:pPr>
              <w:spacing w:after="0"/>
              <w:rPr>
                <w:sz w:val="12"/>
                <w:szCs w:val="12"/>
                <w:color w:val="auto"/>
              </w:rPr>
            </w:pPr>
          </w:p>
        </w:tc>
        <w:tc>
          <w:tcPr>
            <w:tcW w:w="1140" w:type="dxa"/>
            <w:vAlign w:val="bottom"/>
            <w:tcBorders>
              <w:right w:val="single" w:sz="8" w:color="BFBFBF"/>
            </w:tcBorders>
            <w:gridSpan w:val="3"/>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7"/>
              </w:rPr>
              <w:t>Deferred</w:t>
            </w:r>
          </w:p>
        </w:tc>
        <w:tc>
          <w:tcPr>
            <w:tcW w:w="80" w:type="dxa"/>
            <w:vAlign w:val="bottom"/>
            <w:shd w:val="clear" w:color="auto" w:fill="0088A6"/>
          </w:tcPr>
          <w:p>
            <w:pPr>
              <w:spacing w:after="0"/>
              <w:rPr>
                <w:sz w:val="12"/>
                <w:szCs w:val="12"/>
                <w:color w:val="auto"/>
              </w:rPr>
            </w:pPr>
          </w:p>
        </w:tc>
        <w:tc>
          <w:tcPr>
            <w:tcW w:w="420" w:type="dxa"/>
            <w:vAlign w:val="bottom"/>
            <w:shd w:val="clear" w:color="auto" w:fill="0088A6"/>
          </w:tcPr>
          <w:p>
            <w:pPr>
              <w:spacing w:after="0"/>
              <w:rPr>
                <w:sz w:val="12"/>
                <w:szCs w:val="12"/>
                <w:color w:val="auto"/>
              </w:rPr>
            </w:pPr>
          </w:p>
        </w:tc>
        <w:tc>
          <w:tcPr>
            <w:tcW w:w="52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0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40" w:type="dxa"/>
            <w:vAlign w:val="bottom"/>
            <w:tcBorders>
              <w:left w:val="single" w:sz="8" w:color="BFBFBF"/>
              <w:right w:val="single" w:sz="8" w:color="BFBFBF"/>
            </w:tcBorders>
            <w:vMerge w:val="continue"/>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44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58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5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40" w:type="dxa"/>
            <w:vAlign w:val="bottom"/>
            <w:tcBorders>
              <w:right w:val="single" w:sz="8" w:color="BFBFBF"/>
            </w:tcBorders>
            <w:gridSpan w:val="2"/>
            <w:shd w:val="clear" w:color="auto" w:fill="0088A6"/>
          </w:tcPr>
          <w:p>
            <w:pPr>
              <w:jc w:val="center"/>
              <w:ind w:right="220"/>
              <w:spacing w:after="0" w:line="139" w:lineRule="exact"/>
              <w:rPr>
                <w:sz w:val="20"/>
                <w:szCs w:val="20"/>
                <w:color w:val="auto"/>
              </w:rPr>
            </w:pPr>
            <w:r>
              <w:rPr>
                <w:rFonts w:ascii="Arial" w:cs="Arial" w:eastAsia="Arial" w:hAnsi="Arial"/>
                <w:sz w:val="14"/>
                <w:szCs w:val="14"/>
                <w:b w:val="1"/>
                <w:bCs w:val="1"/>
                <w:color w:val="FFFFFF"/>
                <w:w w:val="94"/>
              </w:rPr>
              <w:t>Stock</w:t>
            </w:r>
          </w:p>
        </w:tc>
        <w:tc>
          <w:tcPr>
            <w:tcW w:w="60" w:type="dxa"/>
            <w:vAlign w:val="bottom"/>
            <w:shd w:val="clear" w:color="auto" w:fill="0088A6"/>
          </w:tcPr>
          <w:p>
            <w:pPr>
              <w:spacing w:after="0"/>
              <w:rPr>
                <w:sz w:val="12"/>
                <w:szCs w:val="12"/>
                <w:color w:val="auto"/>
              </w:rPr>
            </w:pPr>
          </w:p>
        </w:tc>
        <w:tc>
          <w:tcPr>
            <w:tcW w:w="760" w:type="dxa"/>
            <w:vAlign w:val="bottom"/>
            <w:tcBorders>
              <w:right w:val="single" w:sz="8" w:color="BFBFBF"/>
            </w:tcBorders>
            <w:gridSpan w:val="2"/>
            <w:shd w:val="clear" w:color="auto" w:fill="0088A6"/>
          </w:tcPr>
          <w:p>
            <w:pPr>
              <w:jc w:val="right"/>
              <w:ind w:right="220"/>
              <w:spacing w:after="0" w:line="139" w:lineRule="exact"/>
              <w:rPr>
                <w:sz w:val="20"/>
                <w:szCs w:val="20"/>
                <w:color w:val="auto"/>
              </w:rPr>
            </w:pPr>
            <w:r>
              <w:rPr>
                <w:rFonts w:ascii="Arial" w:cs="Arial" w:eastAsia="Arial" w:hAnsi="Arial"/>
                <w:sz w:val="14"/>
                <w:szCs w:val="14"/>
                <w:b w:val="1"/>
                <w:bCs w:val="1"/>
                <w:color w:val="FFFFFF"/>
              </w:rPr>
              <w:t>Option</w:t>
            </w: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020" w:type="dxa"/>
            <w:vAlign w:val="bottom"/>
            <w:tcBorders>
              <w:right w:val="single" w:sz="8" w:color="BFBFBF"/>
            </w:tcBorders>
            <w:gridSpan w:val="2"/>
            <w:shd w:val="clear" w:color="auto" w:fill="0088A6"/>
          </w:tcPr>
          <w:p>
            <w:pPr>
              <w:jc w:val="center"/>
              <w:ind w:right="240"/>
              <w:spacing w:after="0" w:line="139" w:lineRule="exact"/>
              <w:rPr>
                <w:sz w:val="20"/>
                <w:szCs w:val="20"/>
                <w:color w:val="auto"/>
              </w:rPr>
            </w:pPr>
            <w:r>
              <w:rPr>
                <w:rFonts w:ascii="Arial" w:cs="Arial" w:eastAsia="Arial" w:hAnsi="Arial"/>
                <w:sz w:val="14"/>
                <w:szCs w:val="14"/>
                <w:b w:val="1"/>
                <w:bCs w:val="1"/>
                <w:color w:val="FFFFFF"/>
              </w:rPr>
              <w:t>Plan</w:t>
            </w:r>
          </w:p>
        </w:tc>
        <w:tc>
          <w:tcPr>
            <w:tcW w:w="80" w:type="dxa"/>
            <w:vAlign w:val="bottom"/>
            <w:shd w:val="clear" w:color="auto" w:fill="0088A6"/>
          </w:tcPr>
          <w:p>
            <w:pPr>
              <w:spacing w:after="0"/>
              <w:rPr>
                <w:sz w:val="12"/>
                <w:szCs w:val="12"/>
                <w:color w:val="auto"/>
              </w:rPr>
            </w:pPr>
          </w:p>
        </w:tc>
        <w:tc>
          <w:tcPr>
            <w:tcW w:w="1140" w:type="dxa"/>
            <w:vAlign w:val="bottom"/>
            <w:tcBorders>
              <w:right w:val="single" w:sz="8" w:color="BFBFBF"/>
            </w:tcBorders>
            <w:gridSpan w:val="3"/>
            <w:shd w:val="clear" w:color="auto" w:fill="0088A6"/>
          </w:tcPr>
          <w:p>
            <w:pPr>
              <w:jc w:val="center"/>
              <w:ind w:right="120"/>
              <w:spacing w:after="0" w:line="139" w:lineRule="exact"/>
              <w:rPr>
                <w:sz w:val="20"/>
                <w:szCs w:val="20"/>
                <w:color w:val="auto"/>
              </w:rPr>
            </w:pPr>
            <w:r>
              <w:rPr>
                <w:rFonts w:ascii="Arial" w:cs="Arial" w:eastAsia="Arial" w:hAnsi="Arial"/>
                <w:sz w:val="14"/>
                <w:szCs w:val="14"/>
                <w:b w:val="1"/>
                <w:bCs w:val="1"/>
                <w:color w:val="FFFFFF"/>
                <w:w w:val="96"/>
              </w:rPr>
              <w:t>Compensation</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3"/>
            <w:shd w:val="clear" w:color="auto" w:fill="0088A6"/>
          </w:tcPr>
          <w:p>
            <w:pPr>
              <w:ind w:left="180"/>
              <w:spacing w:after="0" w:line="139" w:lineRule="exact"/>
              <w:rPr>
                <w:sz w:val="20"/>
                <w:szCs w:val="20"/>
                <w:color w:val="auto"/>
              </w:rPr>
            </w:pPr>
            <w:r>
              <w:rPr>
                <w:rFonts w:ascii="Arial" w:cs="Arial" w:eastAsia="Arial" w:hAnsi="Arial"/>
                <w:sz w:val="14"/>
                <w:szCs w:val="14"/>
                <w:b w:val="1"/>
                <w:bCs w:val="1"/>
                <w:color w:val="FFFFFF"/>
              </w:rPr>
              <w:t>All Other</w:t>
            </w:r>
          </w:p>
        </w:tc>
        <w:tc>
          <w:tcPr>
            <w:tcW w:w="80" w:type="dxa"/>
            <w:vAlign w:val="bottom"/>
            <w:shd w:val="clear" w:color="auto" w:fill="0088A6"/>
          </w:tcPr>
          <w:p>
            <w:pPr>
              <w:spacing w:after="0"/>
              <w:rPr>
                <w:sz w:val="12"/>
                <w:szCs w:val="12"/>
                <w:color w:val="auto"/>
              </w:rPr>
            </w:pPr>
          </w:p>
        </w:tc>
        <w:tc>
          <w:tcPr>
            <w:tcW w:w="70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BFBFBF"/>
              <w:right w:val="single" w:sz="8" w:color="BFBFBF"/>
            </w:tcBorders>
            <w:shd w:val="clear" w:color="auto" w:fill="0088A6"/>
          </w:tcPr>
          <w:p>
            <w:pPr>
              <w:jc w:val="center"/>
              <w:ind w:left="32"/>
              <w:spacing w:after="0" w:line="149" w:lineRule="exact"/>
              <w:rPr>
                <w:sz w:val="20"/>
                <w:szCs w:val="20"/>
                <w:color w:val="auto"/>
              </w:rPr>
            </w:pPr>
            <w:r>
              <w:rPr>
                <w:rFonts w:ascii="Arial" w:cs="Arial" w:eastAsia="Arial" w:hAnsi="Arial"/>
                <w:sz w:val="14"/>
                <w:szCs w:val="14"/>
                <w:b w:val="1"/>
                <w:bCs w:val="1"/>
                <w:color w:val="FFFFFF"/>
                <w:w w:val="97"/>
              </w:rPr>
              <w:t>Principal</w:t>
            </w:r>
          </w:p>
        </w:tc>
        <w:tc>
          <w:tcPr>
            <w:tcW w:w="80" w:type="dxa"/>
            <w:vAlign w:val="bottom"/>
            <w:shd w:val="clear" w:color="auto" w:fill="0088A6"/>
          </w:tcPr>
          <w:p>
            <w:pPr>
              <w:spacing w:after="0"/>
              <w:rPr>
                <w:sz w:val="12"/>
                <w:szCs w:val="12"/>
                <w:color w:val="auto"/>
              </w:rPr>
            </w:pPr>
          </w:p>
        </w:tc>
        <w:tc>
          <w:tcPr>
            <w:tcW w:w="44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720" w:type="dxa"/>
            <w:vAlign w:val="bottom"/>
            <w:tcBorders>
              <w:right w:val="single" w:sz="8" w:color="BFBFBF"/>
            </w:tcBorders>
            <w:gridSpan w:val="2"/>
            <w:shd w:val="clear" w:color="auto" w:fill="0088A6"/>
          </w:tcPr>
          <w:p>
            <w:pPr>
              <w:ind w:left="40"/>
              <w:spacing w:after="0" w:line="149" w:lineRule="exact"/>
              <w:rPr>
                <w:sz w:val="20"/>
                <w:szCs w:val="20"/>
                <w:color w:val="auto"/>
              </w:rPr>
            </w:pPr>
            <w:r>
              <w:rPr>
                <w:rFonts w:ascii="Arial" w:cs="Arial" w:eastAsia="Arial" w:hAnsi="Arial"/>
                <w:sz w:val="14"/>
                <w:szCs w:val="14"/>
                <w:b w:val="1"/>
                <w:bCs w:val="1"/>
                <w:color w:val="FFFFFF"/>
              </w:rPr>
              <w:t>Salary</w:t>
            </w:r>
          </w:p>
        </w:tc>
        <w:tc>
          <w:tcPr>
            <w:tcW w:w="80" w:type="dxa"/>
            <w:vAlign w:val="bottom"/>
            <w:shd w:val="clear" w:color="auto" w:fill="0088A6"/>
          </w:tcPr>
          <w:p>
            <w:pPr>
              <w:spacing w:after="0"/>
              <w:rPr>
                <w:sz w:val="12"/>
                <w:szCs w:val="12"/>
                <w:color w:val="auto"/>
              </w:rPr>
            </w:pPr>
          </w:p>
        </w:tc>
        <w:tc>
          <w:tcPr>
            <w:tcW w:w="700" w:type="dxa"/>
            <w:vAlign w:val="bottom"/>
            <w:tcBorders>
              <w:right w:val="single" w:sz="8" w:color="BFBFBF"/>
            </w:tcBorders>
            <w:gridSpan w:val="2"/>
            <w:shd w:val="clear" w:color="auto" w:fill="0088A6"/>
          </w:tcPr>
          <w:p>
            <w:pPr>
              <w:jc w:val="right"/>
              <w:ind w:right="200"/>
              <w:spacing w:after="0" w:line="149" w:lineRule="exact"/>
              <w:rPr>
                <w:sz w:val="20"/>
                <w:szCs w:val="20"/>
                <w:color w:val="auto"/>
              </w:rPr>
            </w:pPr>
            <w:r>
              <w:rPr>
                <w:rFonts w:ascii="Arial" w:cs="Arial" w:eastAsia="Arial" w:hAnsi="Arial"/>
                <w:sz w:val="14"/>
                <w:szCs w:val="14"/>
                <w:b w:val="1"/>
                <w:bCs w:val="1"/>
                <w:color w:val="FFFFFF"/>
              </w:rPr>
              <w:t>Bonus</w:t>
            </w:r>
          </w:p>
        </w:tc>
        <w:tc>
          <w:tcPr>
            <w:tcW w:w="8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40" w:type="dxa"/>
            <w:vAlign w:val="bottom"/>
            <w:tcBorders>
              <w:right w:val="single" w:sz="8" w:color="BFBFBF"/>
            </w:tcBorders>
            <w:gridSpan w:val="2"/>
            <w:shd w:val="clear" w:color="auto" w:fill="0088A6"/>
          </w:tcPr>
          <w:p>
            <w:pPr>
              <w:jc w:val="center"/>
              <w:ind w:right="260"/>
              <w:spacing w:after="0" w:line="149" w:lineRule="exact"/>
              <w:rPr>
                <w:sz w:val="20"/>
                <w:szCs w:val="20"/>
                <w:color w:val="auto"/>
              </w:rPr>
            </w:pPr>
            <w:r>
              <w:rPr>
                <w:rFonts w:ascii="Arial" w:cs="Arial" w:eastAsia="Arial" w:hAnsi="Arial"/>
                <w:sz w:val="14"/>
                <w:szCs w:val="14"/>
                <w:b w:val="1"/>
                <w:bCs w:val="1"/>
                <w:color w:val="FFFFFF"/>
                <w:w w:val="94"/>
              </w:rPr>
              <w:t>Awards</w:t>
            </w:r>
          </w:p>
        </w:tc>
        <w:tc>
          <w:tcPr>
            <w:tcW w:w="60" w:type="dxa"/>
            <w:vAlign w:val="bottom"/>
            <w:shd w:val="clear" w:color="auto" w:fill="0088A6"/>
          </w:tcPr>
          <w:p>
            <w:pPr>
              <w:spacing w:after="0"/>
              <w:rPr>
                <w:sz w:val="12"/>
                <w:szCs w:val="12"/>
                <w:color w:val="auto"/>
              </w:rPr>
            </w:pPr>
          </w:p>
        </w:tc>
        <w:tc>
          <w:tcPr>
            <w:tcW w:w="760" w:type="dxa"/>
            <w:vAlign w:val="bottom"/>
            <w:tcBorders>
              <w:right w:val="single" w:sz="8" w:color="BFBFBF"/>
            </w:tcBorders>
            <w:gridSpan w:val="2"/>
            <w:shd w:val="clear" w:color="auto" w:fill="0088A6"/>
          </w:tcPr>
          <w:p>
            <w:pPr>
              <w:jc w:val="right"/>
              <w:ind w:right="220"/>
              <w:spacing w:after="0" w:line="149" w:lineRule="exact"/>
              <w:rPr>
                <w:sz w:val="20"/>
                <w:szCs w:val="20"/>
                <w:color w:val="auto"/>
              </w:rPr>
            </w:pPr>
            <w:r>
              <w:rPr>
                <w:rFonts w:ascii="Arial" w:cs="Arial" w:eastAsia="Arial" w:hAnsi="Arial"/>
                <w:sz w:val="14"/>
                <w:szCs w:val="14"/>
                <w:b w:val="1"/>
                <w:bCs w:val="1"/>
                <w:color w:val="FFFFFF"/>
              </w:rPr>
              <w:t>Awards</w:t>
            </w:r>
          </w:p>
        </w:tc>
        <w:tc>
          <w:tcPr>
            <w:tcW w:w="80" w:type="dxa"/>
            <w:vAlign w:val="bottom"/>
            <w:shd w:val="clear" w:color="auto" w:fill="0088A6"/>
          </w:tcPr>
          <w:p>
            <w:pPr>
              <w:spacing w:after="0"/>
              <w:rPr>
                <w:sz w:val="12"/>
                <w:szCs w:val="12"/>
                <w:color w:val="auto"/>
              </w:rPr>
            </w:pPr>
          </w:p>
        </w:tc>
        <w:tc>
          <w:tcPr>
            <w:tcW w:w="1140" w:type="dxa"/>
            <w:vAlign w:val="bottom"/>
            <w:tcBorders>
              <w:right w:val="single" w:sz="8" w:color="BFBFBF"/>
            </w:tcBorders>
            <w:gridSpan w:val="3"/>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80" w:type="dxa"/>
            <w:vAlign w:val="bottom"/>
            <w:shd w:val="clear" w:color="auto" w:fill="0088A6"/>
          </w:tcPr>
          <w:p>
            <w:pPr>
              <w:spacing w:after="0"/>
              <w:rPr>
                <w:sz w:val="12"/>
                <w:szCs w:val="12"/>
                <w:color w:val="auto"/>
              </w:rPr>
            </w:pPr>
          </w:p>
        </w:tc>
        <w:tc>
          <w:tcPr>
            <w:tcW w:w="1140" w:type="dxa"/>
            <w:vAlign w:val="bottom"/>
            <w:tcBorders>
              <w:right w:val="single" w:sz="8" w:color="BFBFBF"/>
            </w:tcBorders>
            <w:gridSpan w:val="3"/>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6"/>
              </w:rPr>
              <w:t>Earnings</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3"/>
            <w:shd w:val="clear" w:color="auto" w:fill="0088A6"/>
          </w:tcPr>
          <w:p>
            <w:pPr>
              <w:spacing w:after="0" w:line="149" w:lineRule="exact"/>
              <w:rPr>
                <w:sz w:val="20"/>
                <w:szCs w:val="20"/>
                <w:color w:val="auto"/>
              </w:rPr>
            </w:pPr>
            <w:r>
              <w:rPr>
                <w:rFonts w:ascii="Arial" w:cs="Arial" w:eastAsia="Arial" w:hAnsi="Arial"/>
                <w:sz w:val="14"/>
                <w:szCs w:val="14"/>
                <w:b w:val="1"/>
                <w:bCs w:val="1"/>
                <w:color w:val="FFFFFF"/>
              </w:rPr>
              <w:t>Compensation</w:t>
            </w:r>
          </w:p>
        </w:tc>
        <w:tc>
          <w:tcPr>
            <w:tcW w:w="80" w:type="dxa"/>
            <w:vAlign w:val="bottom"/>
            <w:shd w:val="clear" w:color="auto" w:fill="0088A6"/>
          </w:tcPr>
          <w:p>
            <w:pPr>
              <w:spacing w:after="0"/>
              <w:rPr>
                <w:sz w:val="12"/>
                <w:szCs w:val="12"/>
                <w:color w:val="auto"/>
              </w:rPr>
            </w:pPr>
          </w:p>
        </w:tc>
        <w:tc>
          <w:tcPr>
            <w:tcW w:w="900" w:type="dxa"/>
            <w:vAlign w:val="bottom"/>
            <w:tcBorders>
              <w:right w:val="single" w:sz="8" w:color="BFBFBF"/>
            </w:tcBorders>
            <w:gridSpan w:val="2"/>
            <w:shd w:val="clear" w:color="auto" w:fill="0088A6"/>
          </w:tcPr>
          <w:p>
            <w:pPr>
              <w:ind w:left="200"/>
              <w:spacing w:after="0" w:line="149"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6"/>
        </w:trPr>
        <w:tc>
          <w:tcPr>
            <w:tcW w:w="2840" w:type="dxa"/>
            <w:vAlign w:val="bottom"/>
            <w:tcBorders>
              <w:left w:val="single" w:sz="8" w:color="BFBFBF"/>
              <w:bottom w:val="single" w:sz="8" w:color="auto"/>
              <w:right w:val="single" w:sz="8" w:color="BFBFBF"/>
            </w:tcBorders>
            <w:shd w:val="clear" w:color="auto" w:fill="0088A6"/>
          </w:tcPr>
          <w:p>
            <w:pPr>
              <w:jc w:val="center"/>
              <w:ind w:left="32"/>
              <w:spacing w:after="0"/>
              <w:rPr>
                <w:sz w:val="20"/>
                <w:szCs w:val="20"/>
                <w:color w:val="auto"/>
              </w:rPr>
            </w:pPr>
            <w:r>
              <w:rPr>
                <w:rFonts w:ascii="Arial" w:cs="Arial" w:eastAsia="Arial" w:hAnsi="Arial"/>
                <w:sz w:val="14"/>
                <w:szCs w:val="14"/>
                <w:b w:val="1"/>
                <w:bCs w:val="1"/>
                <w:color w:val="FFFFFF"/>
                <w:w w:val="97"/>
              </w:rPr>
              <w:t>Position</w:t>
            </w:r>
          </w:p>
        </w:tc>
        <w:tc>
          <w:tcPr>
            <w:tcW w:w="80" w:type="dxa"/>
            <w:vAlign w:val="bottom"/>
            <w:tcBorders>
              <w:bottom w:val="single" w:sz="8" w:color="0088A6"/>
            </w:tcBorders>
            <w:shd w:val="clear" w:color="auto" w:fill="0088A6"/>
          </w:tcPr>
          <w:p>
            <w:pPr>
              <w:spacing w:after="0"/>
              <w:rPr>
                <w:sz w:val="18"/>
                <w:szCs w:val="18"/>
                <w:color w:val="auto"/>
              </w:rPr>
            </w:pPr>
          </w:p>
        </w:tc>
        <w:tc>
          <w:tcPr>
            <w:tcW w:w="440" w:type="dxa"/>
            <w:vAlign w:val="bottom"/>
            <w:tcBorders>
              <w:bottom w:val="single" w:sz="8" w:color="auto"/>
            </w:tcBorders>
            <w:shd w:val="clear" w:color="auto" w:fill="0088A6"/>
          </w:tcPr>
          <w:p>
            <w:pPr>
              <w:jc w:val="right"/>
              <w:ind w:right="12"/>
              <w:spacing w:after="0"/>
              <w:rPr>
                <w:sz w:val="20"/>
                <w:szCs w:val="20"/>
                <w:color w:val="auto"/>
              </w:rPr>
            </w:pPr>
            <w:r>
              <w:rPr>
                <w:rFonts w:ascii="Arial" w:cs="Arial" w:eastAsia="Arial" w:hAnsi="Arial"/>
                <w:sz w:val="14"/>
                <w:szCs w:val="14"/>
                <w:b w:val="1"/>
                <w:bCs w:val="1"/>
                <w:color w:val="FFFFFF"/>
              </w:rPr>
              <w:t>Year</w:t>
            </w:r>
          </w:p>
        </w:tc>
        <w:tc>
          <w:tcPr>
            <w:tcW w:w="120" w:type="dxa"/>
            <w:vAlign w:val="bottom"/>
            <w:tcBorders>
              <w:bottom w:val="single" w:sz="8" w:color="0088A6"/>
              <w:right w:val="single" w:sz="8" w:color="BFBFBF"/>
            </w:tcBorders>
            <w:shd w:val="clear" w:color="auto" w:fill="0088A6"/>
          </w:tcPr>
          <w:p>
            <w:pPr>
              <w:spacing w:after="0"/>
              <w:rPr>
                <w:sz w:val="18"/>
                <w:szCs w:val="18"/>
                <w:color w:val="auto"/>
              </w:rPr>
            </w:pPr>
          </w:p>
        </w:tc>
        <w:tc>
          <w:tcPr>
            <w:tcW w:w="60" w:type="dxa"/>
            <w:vAlign w:val="bottom"/>
            <w:tcBorders>
              <w:bottom w:val="single" w:sz="8" w:color="0088A6"/>
            </w:tcBorders>
            <w:shd w:val="clear" w:color="auto" w:fill="0088A6"/>
          </w:tcPr>
          <w:p>
            <w:pPr>
              <w:spacing w:after="0"/>
              <w:rPr>
                <w:sz w:val="18"/>
                <w:szCs w:val="18"/>
                <w:color w:val="auto"/>
              </w:rPr>
            </w:pPr>
          </w:p>
        </w:tc>
        <w:tc>
          <w:tcPr>
            <w:tcW w:w="20" w:type="dxa"/>
            <w:vAlign w:val="bottom"/>
            <w:tcBorders>
              <w:bottom w:val="single" w:sz="8" w:color="0088A6"/>
            </w:tcBorders>
            <w:shd w:val="clear" w:color="auto" w:fill="0088A6"/>
          </w:tcPr>
          <w:p>
            <w:pPr>
              <w:spacing w:after="0"/>
              <w:rPr>
                <w:sz w:val="18"/>
                <w:szCs w:val="18"/>
                <w:color w:val="auto"/>
              </w:rPr>
            </w:pPr>
          </w:p>
        </w:tc>
        <w:tc>
          <w:tcPr>
            <w:tcW w:w="100" w:type="dxa"/>
            <w:vAlign w:val="bottom"/>
            <w:tcBorders>
              <w:bottom w:val="single" w:sz="8" w:color="auto"/>
            </w:tcBorders>
            <w:shd w:val="clear" w:color="auto" w:fill="0088A6"/>
          </w:tcPr>
          <w:p>
            <w:pPr>
              <w:spacing w:after="0"/>
              <w:rPr>
                <w:sz w:val="18"/>
                <w:szCs w:val="18"/>
                <w:color w:val="auto"/>
              </w:rPr>
            </w:pPr>
          </w:p>
        </w:tc>
        <w:tc>
          <w:tcPr>
            <w:tcW w:w="580" w:type="dxa"/>
            <w:vAlign w:val="bottom"/>
            <w:tcBorders>
              <w:bottom w:val="single" w:sz="8" w:color="auto"/>
            </w:tcBorders>
            <w:shd w:val="clear" w:color="auto" w:fill="0088A6"/>
          </w:tcPr>
          <w:p>
            <w:pPr>
              <w:jc w:val="right"/>
              <w:ind w:right="112"/>
              <w:spacing w:after="0"/>
              <w:rPr>
                <w:sz w:val="20"/>
                <w:szCs w:val="20"/>
                <w:color w:val="auto"/>
              </w:rPr>
            </w:pPr>
            <w:r>
              <w:rPr>
                <w:rFonts w:ascii="Arial" w:cs="Arial" w:eastAsia="Arial" w:hAnsi="Arial"/>
                <w:sz w:val="14"/>
                <w:szCs w:val="14"/>
                <w:b w:val="1"/>
                <w:bCs w:val="1"/>
                <w:color w:val="FFFFFF"/>
              </w:rPr>
              <w:t>($)(1)</w:t>
            </w:r>
          </w:p>
        </w:tc>
        <w:tc>
          <w:tcPr>
            <w:tcW w:w="140" w:type="dxa"/>
            <w:vAlign w:val="bottom"/>
            <w:tcBorders>
              <w:bottom w:val="single" w:sz="8" w:color="0088A6"/>
              <w:right w:val="single" w:sz="8" w:color="BFBFBF"/>
            </w:tcBorders>
            <w:shd w:val="clear" w:color="auto" w:fill="0088A6"/>
          </w:tcPr>
          <w:p>
            <w:pPr>
              <w:spacing w:after="0"/>
              <w:rPr>
                <w:sz w:val="18"/>
                <w:szCs w:val="18"/>
                <w:color w:val="auto"/>
              </w:rPr>
            </w:pPr>
          </w:p>
        </w:tc>
        <w:tc>
          <w:tcPr>
            <w:tcW w:w="80" w:type="dxa"/>
            <w:vAlign w:val="bottom"/>
            <w:tcBorders>
              <w:bottom w:val="single" w:sz="8" w:color="0088A6"/>
            </w:tcBorders>
            <w:shd w:val="clear" w:color="auto" w:fill="0088A6"/>
          </w:tcPr>
          <w:p>
            <w:pPr>
              <w:spacing w:after="0"/>
              <w:rPr>
                <w:sz w:val="18"/>
                <w:szCs w:val="18"/>
                <w:color w:val="auto"/>
              </w:rPr>
            </w:pPr>
          </w:p>
        </w:tc>
        <w:tc>
          <w:tcPr>
            <w:tcW w:w="580" w:type="dxa"/>
            <w:vAlign w:val="bottom"/>
            <w:tcBorders>
              <w:bottom w:val="single" w:sz="8" w:color="auto"/>
            </w:tcBorders>
            <w:shd w:val="clear" w:color="auto" w:fill="0088A6"/>
          </w:tcPr>
          <w:p>
            <w:pPr>
              <w:jc w:val="right"/>
              <w:ind w:right="52"/>
              <w:spacing w:after="0"/>
              <w:rPr>
                <w:sz w:val="20"/>
                <w:szCs w:val="20"/>
                <w:color w:val="auto"/>
              </w:rPr>
            </w:pPr>
            <w:r>
              <w:rPr>
                <w:rFonts w:ascii="Arial" w:cs="Arial" w:eastAsia="Arial" w:hAnsi="Arial"/>
                <w:sz w:val="14"/>
                <w:szCs w:val="14"/>
                <w:b w:val="1"/>
                <w:bCs w:val="1"/>
                <w:color w:val="FFFFFF"/>
              </w:rPr>
              <w:t>($)(2)</w:t>
            </w:r>
          </w:p>
        </w:tc>
        <w:tc>
          <w:tcPr>
            <w:tcW w:w="120" w:type="dxa"/>
            <w:vAlign w:val="bottom"/>
            <w:tcBorders>
              <w:bottom w:val="single" w:sz="8" w:color="0088A6"/>
              <w:right w:val="single" w:sz="8" w:color="BFBFBF"/>
            </w:tcBorders>
            <w:shd w:val="clear" w:color="auto" w:fill="0088A6"/>
          </w:tcPr>
          <w:p>
            <w:pPr>
              <w:spacing w:after="0"/>
              <w:rPr>
                <w:sz w:val="18"/>
                <w:szCs w:val="18"/>
                <w:color w:val="auto"/>
              </w:rPr>
            </w:pPr>
          </w:p>
        </w:tc>
        <w:tc>
          <w:tcPr>
            <w:tcW w:w="80" w:type="dxa"/>
            <w:vAlign w:val="bottom"/>
            <w:tcBorders>
              <w:bottom w:val="single" w:sz="8" w:color="0088A6"/>
            </w:tcBorders>
            <w:shd w:val="clear" w:color="auto" w:fill="0088A6"/>
          </w:tcPr>
          <w:p>
            <w:pPr>
              <w:spacing w:after="0"/>
              <w:rPr>
                <w:sz w:val="18"/>
                <w:szCs w:val="18"/>
                <w:color w:val="auto"/>
              </w:rPr>
            </w:pPr>
          </w:p>
        </w:tc>
        <w:tc>
          <w:tcPr>
            <w:tcW w:w="80" w:type="dxa"/>
            <w:vAlign w:val="bottom"/>
            <w:tcBorders>
              <w:bottom w:val="single" w:sz="8" w:color="auto"/>
            </w:tcBorders>
            <w:shd w:val="clear" w:color="auto" w:fill="0088A6"/>
          </w:tcPr>
          <w:p>
            <w:pPr>
              <w:spacing w:after="0"/>
              <w:rPr>
                <w:sz w:val="18"/>
                <w:szCs w:val="18"/>
                <w:color w:val="auto"/>
              </w:rPr>
            </w:pPr>
          </w:p>
        </w:tc>
        <w:tc>
          <w:tcPr>
            <w:tcW w:w="600" w:type="dxa"/>
            <w:vAlign w:val="bottom"/>
            <w:tcBorders>
              <w:bottom w:val="single" w:sz="8" w:color="auto"/>
            </w:tcBorders>
            <w:shd w:val="clear" w:color="auto" w:fill="0088A6"/>
          </w:tcPr>
          <w:p>
            <w:pPr>
              <w:jc w:val="center"/>
              <w:ind w:right="12"/>
              <w:spacing w:after="0"/>
              <w:rPr>
                <w:sz w:val="20"/>
                <w:szCs w:val="20"/>
                <w:color w:val="auto"/>
              </w:rPr>
            </w:pPr>
            <w:r>
              <w:rPr>
                <w:rFonts w:ascii="Arial" w:cs="Arial" w:eastAsia="Arial" w:hAnsi="Arial"/>
                <w:sz w:val="14"/>
                <w:szCs w:val="14"/>
                <w:b w:val="1"/>
                <w:bCs w:val="1"/>
                <w:color w:val="FFFFFF"/>
                <w:w w:val="93"/>
              </w:rPr>
              <w:t>($)(3)</w:t>
            </w:r>
          </w:p>
        </w:tc>
        <w:tc>
          <w:tcPr>
            <w:tcW w:w="140" w:type="dxa"/>
            <w:vAlign w:val="bottom"/>
            <w:tcBorders>
              <w:bottom w:val="single" w:sz="8" w:color="0088A6"/>
              <w:right w:val="single" w:sz="8" w:color="BFBFBF"/>
            </w:tcBorders>
            <w:shd w:val="clear" w:color="auto" w:fill="0088A6"/>
          </w:tcPr>
          <w:p>
            <w:pPr>
              <w:spacing w:after="0"/>
              <w:rPr>
                <w:sz w:val="18"/>
                <w:szCs w:val="18"/>
                <w:color w:val="auto"/>
              </w:rPr>
            </w:pPr>
          </w:p>
        </w:tc>
        <w:tc>
          <w:tcPr>
            <w:tcW w:w="60" w:type="dxa"/>
            <w:vAlign w:val="bottom"/>
            <w:tcBorders>
              <w:bottom w:val="single" w:sz="8" w:color="0088A6"/>
            </w:tcBorders>
            <w:shd w:val="clear" w:color="auto" w:fill="0088A6"/>
          </w:tcPr>
          <w:p>
            <w:pPr>
              <w:spacing w:after="0"/>
              <w:rPr>
                <w:sz w:val="18"/>
                <w:szCs w:val="18"/>
                <w:color w:val="auto"/>
              </w:rPr>
            </w:pPr>
          </w:p>
        </w:tc>
        <w:tc>
          <w:tcPr>
            <w:tcW w:w="640" w:type="dxa"/>
            <w:vAlign w:val="bottom"/>
            <w:tcBorders>
              <w:bottom w:val="single" w:sz="8" w:color="auto"/>
            </w:tcBorders>
            <w:shd w:val="clear" w:color="auto" w:fill="0088A6"/>
          </w:tcPr>
          <w:p>
            <w:pPr>
              <w:jc w:val="right"/>
              <w:ind w:right="92"/>
              <w:spacing w:after="0"/>
              <w:rPr>
                <w:sz w:val="20"/>
                <w:szCs w:val="20"/>
                <w:color w:val="auto"/>
              </w:rPr>
            </w:pPr>
            <w:r>
              <w:rPr>
                <w:rFonts w:ascii="Arial" w:cs="Arial" w:eastAsia="Arial" w:hAnsi="Arial"/>
                <w:sz w:val="14"/>
                <w:szCs w:val="14"/>
                <w:b w:val="1"/>
                <w:bCs w:val="1"/>
                <w:color w:val="FFFFFF"/>
              </w:rPr>
              <w:t>($)(4)</w:t>
            </w:r>
          </w:p>
        </w:tc>
        <w:tc>
          <w:tcPr>
            <w:tcW w:w="120" w:type="dxa"/>
            <w:vAlign w:val="bottom"/>
            <w:tcBorders>
              <w:bottom w:val="single" w:sz="8" w:color="0088A6"/>
              <w:right w:val="single" w:sz="8" w:color="BFBFBF"/>
            </w:tcBorders>
            <w:shd w:val="clear" w:color="auto" w:fill="0088A6"/>
          </w:tcPr>
          <w:p>
            <w:pPr>
              <w:spacing w:after="0"/>
              <w:rPr>
                <w:sz w:val="18"/>
                <w:szCs w:val="18"/>
                <w:color w:val="auto"/>
              </w:rPr>
            </w:pPr>
          </w:p>
        </w:tc>
        <w:tc>
          <w:tcPr>
            <w:tcW w:w="80" w:type="dxa"/>
            <w:vAlign w:val="bottom"/>
            <w:tcBorders>
              <w:bottom w:val="single" w:sz="8" w:color="0088A6"/>
            </w:tcBorders>
            <w:shd w:val="clear" w:color="auto" w:fill="0088A6"/>
          </w:tcPr>
          <w:p>
            <w:pPr>
              <w:spacing w:after="0"/>
              <w:rPr>
                <w:sz w:val="18"/>
                <w:szCs w:val="18"/>
                <w:color w:val="auto"/>
              </w:rPr>
            </w:pPr>
          </w:p>
        </w:tc>
        <w:tc>
          <w:tcPr>
            <w:tcW w:w="120" w:type="dxa"/>
            <w:vAlign w:val="bottom"/>
            <w:tcBorders>
              <w:bottom w:val="single" w:sz="8" w:color="auto"/>
            </w:tcBorders>
            <w:shd w:val="clear" w:color="auto" w:fill="0088A6"/>
          </w:tcPr>
          <w:p>
            <w:pPr>
              <w:spacing w:after="0"/>
              <w:rPr>
                <w:sz w:val="18"/>
                <w:szCs w:val="18"/>
                <w:color w:val="auto"/>
              </w:rPr>
            </w:pPr>
          </w:p>
        </w:tc>
        <w:tc>
          <w:tcPr>
            <w:tcW w:w="900" w:type="dxa"/>
            <w:vAlign w:val="bottom"/>
            <w:tcBorders>
              <w:bottom w:val="single" w:sz="8" w:color="auto"/>
            </w:tcBorders>
            <w:shd w:val="clear" w:color="auto" w:fill="0088A6"/>
          </w:tcPr>
          <w:p>
            <w:pPr>
              <w:jc w:val="center"/>
              <w:ind w:right="52"/>
              <w:spacing w:after="0"/>
              <w:rPr>
                <w:sz w:val="20"/>
                <w:szCs w:val="20"/>
                <w:color w:val="auto"/>
              </w:rPr>
            </w:pPr>
            <w:r>
              <w:rPr>
                <w:rFonts w:ascii="Arial" w:cs="Arial" w:eastAsia="Arial" w:hAnsi="Arial"/>
                <w:sz w:val="14"/>
                <w:szCs w:val="14"/>
                <w:b w:val="1"/>
                <w:bCs w:val="1"/>
                <w:color w:val="FFFFFF"/>
                <w:w w:val="99"/>
              </w:rPr>
              <w:t>($)(5)</w:t>
            </w:r>
          </w:p>
        </w:tc>
        <w:tc>
          <w:tcPr>
            <w:tcW w:w="120" w:type="dxa"/>
            <w:vAlign w:val="bottom"/>
            <w:tcBorders>
              <w:bottom w:val="single" w:sz="8" w:color="0088A6"/>
              <w:right w:val="single" w:sz="8" w:color="BFBFBF"/>
            </w:tcBorders>
            <w:shd w:val="clear" w:color="auto" w:fill="0088A6"/>
          </w:tcPr>
          <w:p>
            <w:pPr>
              <w:spacing w:after="0"/>
              <w:rPr>
                <w:sz w:val="18"/>
                <w:szCs w:val="18"/>
                <w:color w:val="auto"/>
              </w:rPr>
            </w:pPr>
          </w:p>
        </w:tc>
        <w:tc>
          <w:tcPr>
            <w:tcW w:w="80" w:type="dxa"/>
            <w:vAlign w:val="bottom"/>
            <w:tcBorders>
              <w:bottom w:val="single" w:sz="8" w:color="0088A6"/>
            </w:tcBorders>
            <w:shd w:val="clear" w:color="auto" w:fill="0088A6"/>
          </w:tcPr>
          <w:p>
            <w:pPr>
              <w:spacing w:after="0"/>
              <w:rPr>
                <w:sz w:val="18"/>
                <w:szCs w:val="18"/>
                <w:color w:val="auto"/>
              </w:rPr>
            </w:pPr>
          </w:p>
        </w:tc>
        <w:tc>
          <w:tcPr>
            <w:tcW w:w="460" w:type="dxa"/>
            <w:vAlign w:val="bottom"/>
            <w:tcBorders>
              <w:bottom w:val="single" w:sz="8" w:color="auto"/>
            </w:tcBorders>
            <w:shd w:val="clear" w:color="auto" w:fill="0088A6"/>
          </w:tcPr>
          <w:p>
            <w:pPr>
              <w:jc w:val="right"/>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auto"/>
            </w:tcBorders>
            <w:shd w:val="clear" w:color="auto" w:fill="0088A6"/>
          </w:tcPr>
          <w:p>
            <w:pPr>
              <w:jc w:val="right"/>
              <w:ind w:right="272"/>
              <w:spacing w:after="0"/>
              <w:rPr>
                <w:sz w:val="20"/>
                <w:szCs w:val="20"/>
                <w:color w:val="auto"/>
              </w:rPr>
            </w:pPr>
            <w:r>
              <w:rPr>
                <w:rFonts w:ascii="Arial" w:cs="Arial" w:eastAsia="Arial" w:hAnsi="Arial"/>
                <w:sz w:val="14"/>
                <w:szCs w:val="14"/>
                <w:b w:val="1"/>
                <w:bCs w:val="1"/>
                <w:color w:val="FFFFFF"/>
                <w:w w:val="91"/>
              </w:rPr>
              <w:t>)(6)</w:t>
            </w:r>
          </w:p>
        </w:tc>
        <w:tc>
          <w:tcPr>
            <w:tcW w:w="120" w:type="dxa"/>
            <w:vAlign w:val="bottom"/>
            <w:tcBorders>
              <w:bottom w:val="single" w:sz="8" w:color="0088A6"/>
              <w:right w:val="single" w:sz="8" w:color="BFBFBF"/>
            </w:tcBorders>
            <w:shd w:val="clear" w:color="auto" w:fill="0088A6"/>
          </w:tcPr>
          <w:p>
            <w:pPr>
              <w:spacing w:after="0"/>
              <w:rPr>
                <w:sz w:val="18"/>
                <w:szCs w:val="18"/>
                <w:color w:val="auto"/>
              </w:rPr>
            </w:pPr>
          </w:p>
        </w:tc>
        <w:tc>
          <w:tcPr>
            <w:tcW w:w="80" w:type="dxa"/>
            <w:vAlign w:val="bottom"/>
            <w:tcBorders>
              <w:bottom w:val="single" w:sz="8" w:color="0088A6"/>
            </w:tcBorders>
            <w:shd w:val="clear" w:color="auto" w:fill="0088A6"/>
          </w:tcPr>
          <w:p>
            <w:pPr>
              <w:spacing w:after="0"/>
              <w:rPr>
                <w:sz w:val="18"/>
                <w:szCs w:val="18"/>
                <w:color w:val="auto"/>
              </w:rPr>
            </w:pPr>
          </w:p>
        </w:tc>
        <w:tc>
          <w:tcPr>
            <w:tcW w:w="420" w:type="dxa"/>
            <w:vAlign w:val="bottom"/>
            <w:tcBorders>
              <w:bottom w:val="single" w:sz="8" w:color="auto"/>
            </w:tcBorders>
            <w:shd w:val="clear" w:color="auto" w:fill="0088A6"/>
          </w:tcPr>
          <w:p>
            <w:pPr>
              <w:ind w:left="300"/>
              <w:spacing w:after="0"/>
              <w:rPr>
                <w:sz w:val="20"/>
                <w:szCs w:val="20"/>
                <w:color w:val="auto"/>
              </w:rPr>
            </w:pPr>
            <w:r>
              <w:rPr>
                <w:rFonts w:ascii="Arial" w:cs="Arial" w:eastAsia="Arial" w:hAnsi="Arial"/>
                <w:sz w:val="14"/>
                <w:szCs w:val="14"/>
                <w:b w:val="1"/>
                <w:bCs w:val="1"/>
                <w:color w:val="FFFFFF"/>
                <w:w w:val="79"/>
              </w:rPr>
              <w:t>($</w:t>
            </w:r>
          </w:p>
        </w:tc>
        <w:tc>
          <w:tcPr>
            <w:tcW w:w="520" w:type="dxa"/>
            <w:vAlign w:val="bottom"/>
            <w:tcBorders>
              <w:bottom w:val="single" w:sz="8" w:color="auto"/>
            </w:tcBorders>
            <w:shd w:val="clear" w:color="auto" w:fill="0088A6"/>
          </w:tcPr>
          <w:p>
            <w:pPr>
              <w:jc w:val="right"/>
              <w:ind w:right="232"/>
              <w:spacing w:after="0"/>
              <w:rPr>
                <w:sz w:val="20"/>
                <w:szCs w:val="20"/>
                <w:color w:val="auto"/>
              </w:rPr>
            </w:pPr>
            <w:r>
              <w:rPr>
                <w:rFonts w:ascii="Arial" w:cs="Arial" w:eastAsia="Arial" w:hAnsi="Arial"/>
                <w:sz w:val="14"/>
                <w:szCs w:val="14"/>
                <w:b w:val="1"/>
                <w:bCs w:val="1"/>
                <w:color w:val="FFFFFF"/>
                <w:w w:val="91"/>
              </w:rPr>
              <w:t>)(7)</w:t>
            </w:r>
          </w:p>
        </w:tc>
        <w:tc>
          <w:tcPr>
            <w:tcW w:w="120" w:type="dxa"/>
            <w:vAlign w:val="bottom"/>
            <w:tcBorders>
              <w:bottom w:val="single" w:sz="8" w:color="0088A6"/>
              <w:right w:val="single" w:sz="8" w:color="BFBFBF"/>
            </w:tcBorders>
            <w:shd w:val="clear" w:color="auto" w:fill="0088A6"/>
          </w:tcPr>
          <w:p>
            <w:pPr>
              <w:spacing w:after="0"/>
              <w:rPr>
                <w:sz w:val="18"/>
                <w:szCs w:val="18"/>
                <w:color w:val="auto"/>
              </w:rPr>
            </w:pPr>
          </w:p>
        </w:tc>
        <w:tc>
          <w:tcPr>
            <w:tcW w:w="80" w:type="dxa"/>
            <w:vAlign w:val="bottom"/>
            <w:tcBorders>
              <w:bottom w:val="single" w:sz="8" w:color="0088A6"/>
            </w:tcBorders>
            <w:shd w:val="clear" w:color="auto" w:fill="0088A6"/>
          </w:tcPr>
          <w:p>
            <w:pPr>
              <w:spacing w:after="0"/>
              <w:rPr>
                <w:sz w:val="18"/>
                <w:szCs w:val="18"/>
                <w:color w:val="auto"/>
              </w:rPr>
            </w:pPr>
          </w:p>
        </w:tc>
        <w:tc>
          <w:tcPr>
            <w:tcW w:w="70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3"/>
              </w:rPr>
              <w:t>($)</w:t>
            </w:r>
          </w:p>
        </w:tc>
        <w:tc>
          <w:tcPr>
            <w:tcW w:w="200" w:type="dxa"/>
            <w:vAlign w:val="bottom"/>
            <w:tcBorders>
              <w:bottom w:val="single" w:sz="8" w:color="0088A6"/>
              <w:right w:val="single" w:sz="8" w:color="BFBFBF"/>
            </w:tcBorders>
            <w:shd w:val="clear" w:color="auto" w:fill="0088A6"/>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840" w:type="dxa"/>
            <w:vAlign w:val="bottom"/>
            <w:tcBorders>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Robert Greifeld</w:t>
            </w:r>
          </w:p>
        </w:tc>
        <w:tc>
          <w:tcPr>
            <w:tcW w:w="640" w:type="dxa"/>
            <w:vAlign w:val="bottom"/>
            <w:tcBorders>
              <w:bottom w:val="single" w:sz="8" w:color="BFBFBF"/>
              <w:right w:val="single" w:sz="8" w:color="BFBFBF"/>
            </w:tcBorders>
            <w:gridSpan w:val="3"/>
          </w:tcPr>
          <w:p>
            <w:pPr>
              <w:jc w:val="right"/>
              <w:ind w:right="120"/>
              <w:spacing w:after="0" w:line="129" w:lineRule="exact"/>
              <w:rPr>
                <w:sz w:val="20"/>
                <w:szCs w:val="20"/>
                <w:color w:val="auto"/>
              </w:rPr>
            </w:pPr>
            <w:r>
              <w:rPr>
                <w:rFonts w:ascii="Arial" w:cs="Arial" w:eastAsia="Arial" w:hAnsi="Arial"/>
                <w:sz w:val="14"/>
                <w:szCs w:val="14"/>
                <w:color w:val="auto"/>
              </w:rPr>
              <w:t>2012</w:t>
            </w:r>
          </w:p>
        </w:tc>
        <w:tc>
          <w:tcPr>
            <w:tcW w:w="6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680" w:type="dxa"/>
            <w:vAlign w:val="bottom"/>
            <w:tcBorders>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w w:val="94"/>
              </w:rPr>
              <w:t>$1,000,000</w:t>
            </w:r>
          </w:p>
        </w:tc>
        <w:tc>
          <w:tcPr>
            <w:tcW w:w="140" w:type="dxa"/>
            <w:vAlign w:val="bottom"/>
            <w:tcBorders>
              <w:bottom w:val="single" w:sz="8" w:color="BFBFBF"/>
              <w:right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70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1"/>
                <w:szCs w:val="11"/>
                <w:color w:val="auto"/>
              </w:rPr>
            </w:pPr>
          </w:p>
        </w:tc>
        <w:tc>
          <w:tcPr>
            <w:tcW w:w="680" w:type="dxa"/>
            <w:vAlign w:val="bottom"/>
            <w:tcBorders>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w w:val="94"/>
              </w:rPr>
              <w:t>$5,567,400</w:t>
            </w:r>
          </w:p>
        </w:tc>
        <w:tc>
          <w:tcPr>
            <w:tcW w:w="140" w:type="dxa"/>
            <w:vAlign w:val="bottom"/>
            <w:tcBorders>
              <w:bottom w:val="single" w:sz="8" w:color="BFBFBF"/>
              <w:right w:val="single" w:sz="8" w:color="BFBFBF"/>
            </w:tcBorders>
          </w:tcPr>
          <w:p>
            <w:pPr>
              <w:spacing w:after="0"/>
              <w:rPr>
                <w:sz w:val="11"/>
                <w:szCs w:val="11"/>
                <w:color w:val="auto"/>
              </w:rPr>
            </w:pPr>
          </w:p>
        </w:tc>
        <w:tc>
          <w:tcPr>
            <w:tcW w:w="60" w:type="dxa"/>
            <w:vAlign w:val="bottom"/>
            <w:tcBorders>
              <w:bottom w:val="single" w:sz="8" w:color="BFBFBF"/>
            </w:tcBorders>
          </w:tcPr>
          <w:p>
            <w:pPr>
              <w:spacing w:after="0"/>
              <w:rPr>
                <w:sz w:val="11"/>
                <w:szCs w:val="11"/>
                <w:color w:val="auto"/>
              </w:rPr>
            </w:pPr>
          </w:p>
        </w:tc>
        <w:tc>
          <w:tcPr>
            <w:tcW w:w="760" w:type="dxa"/>
            <w:vAlign w:val="bottom"/>
            <w:tcBorders>
              <w:bottom w:val="single" w:sz="8" w:color="BFBFBF"/>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1,350,000</w:t>
            </w:r>
          </w:p>
        </w:tc>
        <w:tc>
          <w:tcPr>
            <w:tcW w:w="120" w:type="dxa"/>
            <w:vAlign w:val="bottom"/>
            <w:tcBorders>
              <w:bottom w:val="single" w:sz="8" w:color="BFBFBF"/>
              <w:right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460" w:type="dxa"/>
            <w:vAlign w:val="bottom"/>
            <w:tcBorders>
              <w:bottom w:val="single" w:sz="8" w:color="BFBFBF"/>
            </w:tcBorders>
          </w:tcPr>
          <w:p>
            <w:pPr>
              <w:jc w:val="right"/>
              <w:ind w:right="312"/>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BFBFBF"/>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916,164</w:t>
            </w:r>
          </w:p>
        </w:tc>
        <w:tc>
          <w:tcPr>
            <w:tcW w:w="80" w:type="dxa"/>
            <w:vAlign w:val="bottom"/>
            <w:tcBorders>
              <w:bottom w:val="single" w:sz="8" w:color="BFBFBF"/>
            </w:tcBorders>
          </w:tcPr>
          <w:p>
            <w:pPr>
              <w:spacing w:after="0"/>
              <w:rPr>
                <w:sz w:val="11"/>
                <w:szCs w:val="11"/>
                <w:color w:val="auto"/>
              </w:rPr>
            </w:pPr>
          </w:p>
        </w:tc>
        <w:tc>
          <w:tcPr>
            <w:tcW w:w="420" w:type="dxa"/>
            <w:vAlign w:val="bottom"/>
            <w:tcBorders>
              <w:bottom w:val="single" w:sz="8" w:color="BFBFBF"/>
            </w:tcBorders>
          </w:tcPr>
          <w:p>
            <w:pPr>
              <w:spacing w:after="0" w:line="12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77,742</w:t>
            </w:r>
          </w:p>
        </w:tc>
        <w:tc>
          <w:tcPr>
            <w:tcW w:w="80" w:type="dxa"/>
            <w:vAlign w:val="bottom"/>
            <w:tcBorders>
              <w:bottom w:val="single" w:sz="8" w:color="BFBFBF"/>
            </w:tcBorders>
          </w:tcPr>
          <w:p>
            <w:pPr>
              <w:spacing w:after="0"/>
              <w:rPr>
                <w:sz w:val="11"/>
                <w:szCs w:val="11"/>
                <w:color w:val="auto"/>
              </w:rPr>
            </w:pPr>
          </w:p>
        </w:tc>
        <w:tc>
          <w:tcPr>
            <w:tcW w:w="70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4"/>
                <w:szCs w:val="14"/>
                <w:color w:val="auto"/>
                <w:w w:val="99"/>
              </w:rPr>
              <w:t>$8,911,306</w:t>
            </w:r>
          </w:p>
        </w:tc>
        <w:tc>
          <w:tcPr>
            <w:tcW w:w="200" w:type="dxa"/>
            <w:vAlign w:val="bottom"/>
            <w:tcBorders>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840" w:type="dxa"/>
            <w:vAlign w:val="bottom"/>
            <w:tcBorders>
              <w:left w:val="single" w:sz="8" w:color="BFBFBF"/>
              <w:right w:val="single" w:sz="8" w:color="BFBFBF"/>
            </w:tcBorders>
          </w:tcPr>
          <w:p>
            <w:pPr>
              <w:ind w:left="340"/>
              <w:spacing w:after="0" w:line="141" w:lineRule="exact"/>
              <w:rPr>
                <w:sz w:val="20"/>
                <w:szCs w:val="20"/>
                <w:color w:val="auto"/>
              </w:rPr>
            </w:pPr>
            <w:r>
              <w:rPr>
                <w:rFonts w:ascii="Arial" w:cs="Arial" w:eastAsia="Arial" w:hAnsi="Arial"/>
                <w:sz w:val="14"/>
                <w:szCs w:val="14"/>
                <w:color w:val="auto"/>
              </w:rPr>
              <w:t>Chief Executive</w:t>
            </w:r>
          </w:p>
        </w:tc>
        <w:tc>
          <w:tcPr>
            <w:tcW w:w="640" w:type="dxa"/>
            <w:vAlign w:val="bottom"/>
            <w:tcBorders>
              <w:bottom w:val="single" w:sz="8" w:color="BFBFBF"/>
              <w:right w:val="single" w:sz="8" w:color="BFBFBF"/>
            </w:tcBorders>
            <w:gridSpan w:val="3"/>
          </w:tcPr>
          <w:p>
            <w:pPr>
              <w:jc w:val="right"/>
              <w:ind w:right="120"/>
              <w:spacing w:after="0" w:line="141" w:lineRule="exact"/>
              <w:rPr>
                <w:sz w:val="20"/>
                <w:szCs w:val="20"/>
                <w:color w:val="auto"/>
              </w:rPr>
            </w:pPr>
            <w:r>
              <w:rPr>
                <w:rFonts w:ascii="Arial" w:cs="Arial" w:eastAsia="Arial" w:hAnsi="Arial"/>
                <w:sz w:val="14"/>
                <w:szCs w:val="14"/>
                <w:color w:val="auto"/>
              </w:rPr>
              <w:t>2011</w:t>
            </w:r>
          </w:p>
        </w:tc>
        <w:tc>
          <w:tcPr>
            <w:tcW w:w="6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spacing w:after="0" w:line="141" w:lineRule="exact"/>
              <w:rPr>
                <w:sz w:val="20"/>
                <w:szCs w:val="20"/>
                <w:color w:val="auto"/>
              </w:rPr>
            </w:pPr>
            <w:r>
              <w:rPr>
                <w:rFonts w:ascii="Arial" w:cs="Arial" w:eastAsia="Arial" w:hAnsi="Arial"/>
                <w:sz w:val="14"/>
                <w:szCs w:val="14"/>
                <w:color w:val="auto"/>
                <w:w w:val="94"/>
              </w:rPr>
              <w:t>$1,000,000</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right w:val="single" w:sz="8" w:color="BFBFBF"/>
            </w:tcBorders>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spacing w:after="0" w:line="141" w:lineRule="exact"/>
              <w:rPr>
                <w:sz w:val="20"/>
                <w:szCs w:val="20"/>
                <w:color w:val="auto"/>
              </w:rPr>
            </w:pPr>
            <w:r>
              <w:rPr>
                <w:rFonts w:ascii="Arial" w:cs="Arial" w:eastAsia="Arial" w:hAnsi="Arial"/>
                <w:sz w:val="14"/>
                <w:szCs w:val="14"/>
                <w:color w:val="auto"/>
                <w:w w:val="94"/>
              </w:rPr>
              <w:t>$2,528,000</w:t>
            </w:r>
          </w:p>
        </w:tc>
        <w:tc>
          <w:tcPr>
            <w:tcW w:w="14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gridSpan w:val="2"/>
          </w:tcPr>
          <w:p>
            <w:pPr>
              <w:jc w:val="right"/>
              <w:spacing w:after="0" w:line="141"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spacing w:after="0" w:line="141" w:lineRule="exact"/>
              <w:rPr>
                <w:sz w:val="20"/>
                <w:szCs w:val="20"/>
                <w:color w:val="auto"/>
              </w:rPr>
            </w:pPr>
            <w:r>
              <w:rPr>
                <w:rFonts w:ascii="Arial" w:cs="Arial" w:eastAsia="Arial" w:hAnsi="Arial"/>
                <w:sz w:val="14"/>
                <w:szCs w:val="14"/>
                <w:color w:val="auto"/>
              </w:rPr>
              <w:t>3,591,000</w:t>
            </w: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jc w:val="right"/>
              <w:ind w:right="312"/>
              <w:spacing w:after="0" w:line="141"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355,729</w:t>
            </w:r>
          </w:p>
        </w:tc>
        <w:tc>
          <w:tcPr>
            <w:tcW w:w="8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tcBorders>
          </w:tcPr>
          <w:p>
            <w:pPr>
              <w:spacing w:after="0" w:line="141"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93,067</w:t>
            </w: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tcBorders>
          </w:tcPr>
          <w:p>
            <w:pPr>
              <w:jc w:val="center"/>
              <w:spacing w:after="0" w:line="141" w:lineRule="exact"/>
              <w:rPr>
                <w:sz w:val="20"/>
                <w:szCs w:val="20"/>
                <w:color w:val="auto"/>
              </w:rPr>
            </w:pPr>
            <w:r>
              <w:rPr>
                <w:rFonts w:ascii="Arial" w:cs="Arial" w:eastAsia="Arial" w:hAnsi="Arial"/>
                <w:sz w:val="14"/>
                <w:szCs w:val="14"/>
                <w:color w:val="auto"/>
                <w:w w:val="99"/>
              </w:rPr>
              <w:t>$7,567,796</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40" w:type="dxa"/>
            <w:vAlign w:val="bottom"/>
            <w:tcBorders>
              <w:left w:val="single" w:sz="8" w:color="BFBFBF"/>
              <w:bottom w:val="single" w:sz="8" w:color="BFBFBF"/>
              <w:right w:val="single" w:sz="8" w:color="BFBFBF"/>
            </w:tcBorders>
          </w:tcPr>
          <w:p>
            <w:pPr>
              <w:ind w:left="340"/>
              <w:spacing w:after="0" w:line="143" w:lineRule="exact"/>
              <w:rPr>
                <w:sz w:val="20"/>
                <w:szCs w:val="20"/>
                <w:color w:val="auto"/>
              </w:rPr>
            </w:pPr>
            <w:r>
              <w:rPr>
                <w:rFonts w:ascii="Arial" w:cs="Arial" w:eastAsia="Arial" w:hAnsi="Arial"/>
                <w:sz w:val="14"/>
                <w:szCs w:val="14"/>
                <w:color w:val="auto"/>
              </w:rPr>
              <w:t>Officer</w:t>
            </w:r>
          </w:p>
        </w:tc>
        <w:tc>
          <w:tcPr>
            <w:tcW w:w="640" w:type="dxa"/>
            <w:vAlign w:val="bottom"/>
            <w:tcBorders>
              <w:bottom w:val="single" w:sz="8" w:color="BFBFBF"/>
              <w:right w:val="single" w:sz="8" w:color="BFBFBF"/>
            </w:tcBorders>
            <w:gridSpan w:val="3"/>
          </w:tcPr>
          <w:p>
            <w:pPr>
              <w:jc w:val="right"/>
              <w:ind w:right="120"/>
              <w:spacing w:after="0" w:line="143" w:lineRule="exact"/>
              <w:rPr>
                <w:sz w:val="20"/>
                <w:szCs w:val="20"/>
                <w:color w:val="auto"/>
              </w:rPr>
            </w:pPr>
            <w:r>
              <w:rPr>
                <w:rFonts w:ascii="Arial" w:cs="Arial" w:eastAsia="Arial" w:hAnsi="Arial"/>
                <w:sz w:val="14"/>
                <w:szCs w:val="14"/>
                <w:color w:val="auto"/>
              </w:rPr>
              <w:t>2010</w:t>
            </w:r>
          </w:p>
        </w:tc>
        <w:tc>
          <w:tcPr>
            <w:tcW w:w="6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spacing w:after="0" w:line="143" w:lineRule="exact"/>
              <w:rPr>
                <w:sz w:val="20"/>
                <w:szCs w:val="20"/>
                <w:color w:val="auto"/>
              </w:rPr>
            </w:pPr>
            <w:r>
              <w:rPr>
                <w:rFonts w:ascii="Arial" w:cs="Arial" w:eastAsia="Arial" w:hAnsi="Arial"/>
                <w:sz w:val="14"/>
                <w:szCs w:val="14"/>
                <w:color w:val="auto"/>
                <w:w w:val="94"/>
              </w:rPr>
              <w:t>$1,000,000</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right w:val="single" w:sz="8" w:color="BFBFBF"/>
            </w:tcBorders>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spacing w:after="0" w:line="143" w:lineRule="exact"/>
              <w:rPr>
                <w:sz w:val="20"/>
                <w:szCs w:val="20"/>
                <w:color w:val="auto"/>
              </w:rPr>
            </w:pPr>
            <w:r>
              <w:rPr>
                <w:rFonts w:ascii="Arial" w:cs="Arial" w:eastAsia="Arial" w:hAnsi="Arial"/>
                <w:sz w:val="14"/>
                <w:szCs w:val="14"/>
                <w:color w:val="auto"/>
                <w:w w:val="94"/>
              </w:rPr>
              <w:t>$1,580,000</w:t>
            </w:r>
          </w:p>
        </w:tc>
        <w:tc>
          <w:tcPr>
            <w:tcW w:w="14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right w:val="single" w:sz="8" w:color="BFBFBF"/>
            </w:tcBorders>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spacing w:after="0" w:line="143" w:lineRule="exact"/>
              <w:rPr>
                <w:sz w:val="20"/>
                <w:szCs w:val="20"/>
                <w:color w:val="auto"/>
              </w:rPr>
            </w:pPr>
            <w:r>
              <w:rPr>
                <w:rFonts w:ascii="Arial" w:cs="Arial" w:eastAsia="Arial" w:hAnsi="Arial"/>
                <w:sz w:val="14"/>
                <w:szCs w:val="14"/>
                <w:color w:val="auto"/>
              </w:rPr>
              <w:t>2,627,000</w:t>
            </w: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jc w:val="right"/>
              <w:ind w:right="312"/>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BFBFBF"/>
              <w:right w:val="single" w:sz="8" w:color="BFBFBF"/>
            </w:tcBorders>
            <w:gridSpan w:val="2"/>
          </w:tcPr>
          <w:p>
            <w:pPr>
              <w:jc w:val="right"/>
              <w:ind w:right="120"/>
              <w:spacing w:after="0" w:line="143" w:lineRule="exact"/>
              <w:rPr>
                <w:sz w:val="20"/>
                <w:szCs w:val="20"/>
                <w:color w:val="auto"/>
              </w:rPr>
            </w:pPr>
            <w:r>
              <w:rPr>
                <w:rFonts w:ascii="Arial" w:cs="Arial" w:eastAsia="Arial" w:hAnsi="Arial"/>
                <w:sz w:val="14"/>
                <w:szCs w:val="14"/>
                <w:color w:val="auto"/>
              </w:rPr>
              <w:t>476,207</w:t>
            </w:r>
          </w:p>
        </w:tc>
        <w:tc>
          <w:tcPr>
            <w:tcW w:w="8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tcBorders>
          </w:tcPr>
          <w:p>
            <w:pPr>
              <w:spacing w:after="0" w:line="143"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BFBFBF"/>
            </w:tcBorders>
          </w:tcPr>
          <w:p>
            <w:pPr>
              <w:jc w:val="right"/>
              <w:spacing w:after="0" w:line="143" w:lineRule="exact"/>
              <w:rPr>
                <w:sz w:val="20"/>
                <w:szCs w:val="20"/>
                <w:color w:val="auto"/>
              </w:rPr>
            </w:pPr>
            <w:r>
              <w:rPr>
                <w:rFonts w:ascii="Arial" w:cs="Arial" w:eastAsia="Arial" w:hAnsi="Arial"/>
                <w:sz w:val="14"/>
                <w:szCs w:val="14"/>
                <w:color w:val="auto"/>
                <w:w w:val="98"/>
              </w:rPr>
              <w:t>130,427</w:t>
            </w: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tcBorders>
          </w:tcPr>
          <w:p>
            <w:pPr>
              <w:jc w:val="center"/>
              <w:spacing w:after="0" w:line="143" w:lineRule="exact"/>
              <w:rPr>
                <w:sz w:val="20"/>
                <w:szCs w:val="20"/>
                <w:color w:val="auto"/>
              </w:rPr>
            </w:pPr>
            <w:r>
              <w:rPr>
                <w:rFonts w:ascii="Arial" w:cs="Arial" w:eastAsia="Arial" w:hAnsi="Arial"/>
                <w:sz w:val="14"/>
                <w:szCs w:val="14"/>
                <w:color w:val="auto"/>
                <w:w w:val="99"/>
              </w:rPr>
              <w:t>$5,813,634</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580" w:type="dxa"/>
            <w:vAlign w:val="bottom"/>
            <w:tcBorders>
              <w:bottom w:val="single" w:sz="8" w:color="BFBFBF"/>
            </w:tcBorders>
            <w:shd w:val="clear" w:color="auto" w:fill="DDEFF3"/>
          </w:tcPr>
          <w:p>
            <w:pPr>
              <w:spacing w:after="0"/>
              <w:rPr>
                <w:sz w:val="21"/>
                <w:szCs w:val="21"/>
                <w:color w:val="auto"/>
              </w:rPr>
            </w:pPr>
          </w:p>
        </w:tc>
        <w:tc>
          <w:tcPr>
            <w:tcW w:w="14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5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680" w:type="dxa"/>
            <w:vAlign w:val="bottom"/>
            <w:tcBorders>
              <w:bottom w:val="single" w:sz="8" w:color="BFBFBF"/>
            </w:tcBorders>
            <w:gridSpan w:val="2"/>
            <w:shd w:val="clear" w:color="auto" w:fill="DDEFF3"/>
          </w:tcPr>
          <w:p>
            <w:pPr>
              <w:spacing w:after="0"/>
              <w:rPr>
                <w:sz w:val="21"/>
                <w:szCs w:val="21"/>
                <w:color w:val="auto"/>
              </w:rPr>
            </w:pPr>
          </w:p>
        </w:tc>
        <w:tc>
          <w:tcPr>
            <w:tcW w:w="14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tcBorders>
            <w:shd w:val="clear" w:color="auto" w:fill="DDEFF3"/>
          </w:tcPr>
          <w:p>
            <w:pPr>
              <w:spacing w:after="0"/>
              <w:rPr>
                <w:sz w:val="21"/>
                <w:szCs w:val="21"/>
                <w:color w:val="auto"/>
              </w:rPr>
            </w:pPr>
          </w:p>
        </w:tc>
        <w:tc>
          <w:tcPr>
            <w:tcW w:w="90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6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20" w:type="dxa"/>
            <w:vAlign w:val="bottom"/>
            <w:tcBorders>
              <w:bottom w:val="single" w:sz="8" w:color="BFBFBF"/>
            </w:tcBorders>
            <w:shd w:val="clear" w:color="auto" w:fill="DDEFF3"/>
          </w:tcPr>
          <w:p>
            <w:pPr>
              <w:spacing w:after="0"/>
              <w:rPr>
                <w:sz w:val="21"/>
                <w:szCs w:val="21"/>
                <w:color w:val="auto"/>
              </w:rPr>
            </w:pPr>
          </w:p>
        </w:tc>
        <w:tc>
          <w:tcPr>
            <w:tcW w:w="52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70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84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Lee Shavel(8)</w:t>
            </w:r>
          </w:p>
        </w:tc>
        <w:tc>
          <w:tcPr>
            <w:tcW w:w="640" w:type="dxa"/>
            <w:vAlign w:val="bottom"/>
            <w:tcBorders>
              <w:bottom w:val="single" w:sz="8" w:color="BFBFBF"/>
              <w:right w:val="single" w:sz="8" w:color="BFBFBF"/>
            </w:tcBorders>
            <w:gridSpan w:val="3"/>
          </w:tcPr>
          <w:p>
            <w:pPr>
              <w:jc w:val="right"/>
              <w:ind w:right="120"/>
              <w:spacing w:after="0" w:line="142" w:lineRule="exact"/>
              <w:rPr>
                <w:sz w:val="20"/>
                <w:szCs w:val="20"/>
                <w:color w:val="auto"/>
              </w:rPr>
            </w:pPr>
            <w:r>
              <w:rPr>
                <w:rFonts w:ascii="Arial" w:cs="Arial" w:eastAsia="Arial" w:hAnsi="Arial"/>
                <w:sz w:val="14"/>
                <w:szCs w:val="14"/>
                <w:color w:val="auto"/>
              </w:rPr>
              <w:t>2012</w:t>
            </w:r>
          </w:p>
        </w:tc>
        <w:tc>
          <w:tcPr>
            <w:tcW w:w="6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500,000</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w w:val="94"/>
              </w:rPr>
              <w:t>$1,343,857</w:t>
            </w:r>
          </w:p>
        </w:tc>
        <w:tc>
          <w:tcPr>
            <w:tcW w:w="14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878,625</w:t>
            </w:r>
          </w:p>
        </w:tc>
        <w:tc>
          <w:tcPr>
            <w:tcW w:w="8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22,450</w:t>
            </w: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$2,744,932</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40" w:type="dxa"/>
            <w:vAlign w:val="bottom"/>
            <w:tcBorders>
              <w:left w:val="single" w:sz="8" w:color="BFBFBF"/>
              <w:right w:val="single" w:sz="8" w:color="BFBFBF"/>
            </w:tcBorders>
          </w:tcPr>
          <w:p>
            <w:pPr>
              <w:ind w:left="340"/>
              <w:spacing w:after="0" w:line="141" w:lineRule="exact"/>
              <w:rPr>
                <w:sz w:val="20"/>
                <w:szCs w:val="20"/>
                <w:color w:val="auto"/>
              </w:rPr>
            </w:pPr>
            <w:r>
              <w:rPr>
                <w:rFonts w:ascii="Arial" w:cs="Arial" w:eastAsia="Arial" w:hAnsi="Arial"/>
                <w:sz w:val="14"/>
                <w:szCs w:val="14"/>
                <w:color w:val="auto"/>
              </w:rPr>
              <w:t>Chief Financial</w:t>
            </w:r>
          </w:p>
        </w:tc>
        <w:tc>
          <w:tcPr>
            <w:tcW w:w="640" w:type="dxa"/>
            <w:vAlign w:val="bottom"/>
            <w:tcBorders>
              <w:right w:val="single" w:sz="8" w:color="BFBFBF"/>
            </w:tcBorders>
            <w:gridSpan w:val="3"/>
          </w:tcPr>
          <w:p>
            <w:pPr>
              <w:jc w:val="right"/>
              <w:ind w:right="120"/>
              <w:spacing w:after="0" w:line="141" w:lineRule="exact"/>
              <w:rPr>
                <w:sz w:val="20"/>
                <w:szCs w:val="20"/>
                <w:color w:val="auto"/>
              </w:rPr>
            </w:pPr>
            <w:r>
              <w:rPr>
                <w:rFonts w:ascii="Arial" w:cs="Arial" w:eastAsia="Arial" w:hAnsi="Arial"/>
                <w:sz w:val="14"/>
                <w:szCs w:val="14"/>
                <w:color w:val="auto"/>
              </w:rPr>
              <w:t>2011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line="141"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300,000</w:t>
            </w:r>
          </w:p>
        </w:tc>
        <w:tc>
          <w:tcPr>
            <w:tcW w:w="14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BFBFBF"/>
            </w:tcBorders>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spacing w:after="0" w:line="141" w:lineRule="exact"/>
              <w:rPr>
                <w:sz w:val="20"/>
                <w:szCs w:val="20"/>
                <w:color w:val="auto"/>
              </w:rPr>
            </w:pPr>
            <w:r>
              <w:rPr>
                <w:rFonts w:ascii="Arial" w:cs="Arial" w:eastAsia="Arial" w:hAnsi="Arial"/>
                <w:sz w:val="14"/>
                <w:szCs w:val="14"/>
                <w:color w:val="auto"/>
                <w:w w:val="94"/>
              </w:rPr>
              <w:t>$6,120,027</w:t>
            </w:r>
          </w:p>
        </w:tc>
        <w:tc>
          <w:tcPr>
            <w:tcW w:w="14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w w:val="99"/>
              </w:rPr>
              <w:t>$ 280,003</w:t>
            </w:r>
          </w:p>
        </w:tc>
        <w:tc>
          <w:tcPr>
            <w:tcW w:w="120" w:type="dxa"/>
            <w:vAlign w:val="bottom"/>
            <w:tcBorders>
              <w:right w:val="single" w:sz="8" w:color="BFBFBF"/>
            </w:tcBorders>
          </w:tcPr>
          <w:p>
            <w:pPr>
              <w:spacing w:after="0"/>
              <w:rPr>
                <w:sz w:val="12"/>
                <w:szCs w:val="12"/>
                <w:color w:val="auto"/>
              </w:rPr>
            </w:pPr>
          </w:p>
        </w:tc>
        <w:tc>
          <w:tcPr>
            <w:tcW w:w="20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1,290,000</w:t>
            </w: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2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13,839</w:t>
            </w:r>
          </w:p>
        </w:tc>
        <w:tc>
          <w:tcPr>
            <w:tcW w:w="8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9"/>
              </w:rPr>
              <w:t>$8,003,869</w:t>
            </w:r>
          </w:p>
        </w:tc>
        <w:tc>
          <w:tcPr>
            <w:tcW w:w="20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40" w:type="dxa"/>
            <w:vAlign w:val="bottom"/>
            <w:tcBorders>
              <w:left w:val="single" w:sz="8" w:color="BFBFBF"/>
              <w:right w:val="single" w:sz="8" w:color="BFBFBF"/>
            </w:tcBorders>
          </w:tcPr>
          <w:p>
            <w:pPr>
              <w:ind w:left="340"/>
              <w:spacing w:after="0" w:line="136" w:lineRule="exact"/>
              <w:rPr>
                <w:sz w:val="20"/>
                <w:szCs w:val="20"/>
                <w:color w:val="auto"/>
              </w:rPr>
            </w:pPr>
            <w:r>
              <w:rPr>
                <w:rFonts w:ascii="Arial" w:cs="Arial" w:eastAsia="Arial" w:hAnsi="Arial"/>
                <w:sz w:val="14"/>
                <w:szCs w:val="14"/>
                <w:color w:val="auto"/>
              </w:rPr>
              <w:t>Officer and</w:t>
            </w:r>
          </w:p>
        </w:tc>
        <w:tc>
          <w:tcPr>
            <w:tcW w:w="80" w:type="dxa"/>
            <w:vAlign w:val="bottom"/>
            <w:tcBorders>
              <w:bottom w:val="single" w:sz="8" w:color="BFBFBF"/>
            </w:tcBorders>
          </w:tcPr>
          <w:p>
            <w:pPr>
              <w:spacing w:after="0"/>
              <w:rPr>
                <w:sz w:val="11"/>
                <w:szCs w:val="11"/>
                <w:color w:val="auto"/>
              </w:rPr>
            </w:pPr>
          </w:p>
        </w:tc>
        <w:tc>
          <w:tcPr>
            <w:tcW w:w="440" w:type="dxa"/>
            <w:vAlign w:val="bottom"/>
            <w:tcBorders>
              <w:bottom w:val="single" w:sz="8" w:color="BFBFBF"/>
            </w:tcBorders>
          </w:tcPr>
          <w:p>
            <w:pPr>
              <w:spacing w:after="0"/>
              <w:rPr>
                <w:sz w:val="11"/>
                <w:szCs w:val="11"/>
                <w:color w:val="auto"/>
              </w:rPr>
            </w:pPr>
          </w:p>
        </w:tc>
        <w:tc>
          <w:tcPr>
            <w:tcW w:w="120" w:type="dxa"/>
            <w:vAlign w:val="bottom"/>
            <w:tcBorders>
              <w:bottom w:val="single" w:sz="8" w:color="BFBFBF"/>
              <w:right w:val="single" w:sz="8" w:color="BFBFBF"/>
            </w:tcBorders>
          </w:tcPr>
          <w:p>
            <w:pPr>
              <w:spacing w:after="0"/>
              <w:rPr>
                <w:sz w:val="11"/>
                <w:szCs w:val="11"/>
                <w:color w:val="auto"/>
              </w:rPr>
            </w:pPr>
          </w:p>
        </w:tc>
        <w:tc>
          <w:tcPr>
            <w:tcW w:w="6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100" w:type="dxa"/>
            <w:vAlign w:val="bottom"/>
            <w:tcBorders>
              <w:bottom w:val="single" w:sz="8" w:color="BFBFBF"/>
            </w:tcBorders>
          </w:tcPr>
          <w:p>
            <w:pPr>
              <w:spacing w:after="0"/>
              <w:rPr>
                <w:sz w:val="11"/>
                <w:szCs w:val="11"/>
                <w:color w:val="auto"/>
              </w:rPr>
            </w:pPr>
          </w:p>
        </w:tc>
        <w:tc>
          <w:tcPr>
            <w:tcW w:w="580" w:type="dxa"/>
            <w:vAlign w:val="bottom"/>
            <w:tcBorders>
              <w:bottom w:val="single" w:sz="8" w:color="BFBFBF"/>
            </w:tcBorders>
          </w:tcPr>
          <w:p>
            <w:pPr>
              <w:spacing w:after="0"/>
              <w:rPr>
                <w:sz w:val="11"/>
                <w:szCs w:val="11"/>
                <w:color w:val="auto"/>
              </w:rPr>
            </w:pPr>
          </w:p>
        </w:tc>
        <w:tc>
          <w:tcPr>
            <w:tcW w:w="140" w:type="dxa"/>
            <w:vAlign w:val="bottom"/>
            <w:tcBorders>
              <w:bottom w:val="single" w:sz="8" w:color="BFBFBF"/>
              <w:right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580" w:type="dxa"/>
            <w:vAlign w:val="bottom"/>
            <w:tcBorders>
              <w:bottom w:val="single" w:sz="8" w:color="BFBFBF"/>
            </w:tcBorders>
          </w:tcPr>
          <w:p>
            <w:pPr>
              <w:spacing w:after="0"/>
              <w:rPr>
                <w:sz w:val="11"/>
                <w:szCs w:val="11"/>
                <w:color w:val="auto"/>
              </w:rPr>
            </w:pPr>
          </w:p>
        </w:tc>
        <w:tc>
          <w:tcPr>
            <w:tcW w:w="120" w:type="dxa"/>
            <w:vAlign w:val="bottom"/>
            <w:tcBorders>
              <w:bottom w:val="single" w:sz="8" w:color="BFBFBF"/>
              <w:right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600" w:type="dxa"/>
            <w:vAlign w:val="bottom"/>
            <w:tcBorders>
              <w:bottom w:val="single" w:sz="8" w:color="BFBFBF"/>
            </w:tcBorders>
          </w:tcPr>
          <w:p>
            <w:pPr>
              <w:spacing w:after="0"/>
              <w:rPr>
                <w:sz w:val="11"/>
                <w:szCs w:val="11"/>
                <w:color w:val="auto"/>
              </w:rPr>
            </w:pPr>
          </w:p>
        </w:tc>
        <w:tc>
          <w:tcPr>
            <w:tcW w:w="140" w:type="dxa"/>
            <w:vAlign w:val="bottom"/>
            <w:tcBorders>
              <w:bottom w:val="single" w:sz="8" w:color="BFBFBF"/>
              <w:right w:val="single" w:sz="8" w:color="BFBFBF"/>
            </w:tcBorders>
          </w:tcPr>
          <w:p>
            <w:pPr>
              <w:spacing w:after="0"/>
              <w:rPr>
                <w:sz w:val="11"/>
                <w:szCs w:val="11"/>
                <w:color w:val="auto"/>
              </w:rPr>
            </w:pPr>
          </w:p>
        </w:tc>
        <w:tc>
          <w:tcPr>
            <w:tcW w:w="60" w:type="dxa"/>
            <w:vAlign w:val="bottom"/>
            <w:tcBorders>
              <w:bottom w:val="single" w:sz="8" w:color="BFBFBF"/>
            </w:tcBorders>
          </w:tcPr>
          <w:p>
            <w:pPr>
              <w:spacing w:after="0"/>
              <w:rPr>
                <w:sz w:val="11"/>
                <w:szCs w:val="11"/>
                <w:color w:val="auto"/>
              </w:rPr>
            </w:pPr>
          </w:p>
        </w:tc>
        <w:tc>
          <w:tcPr>
            <w:tcW w:w="640" w:type="dxa"/>
            <w:vAlign w:val="bottom"/>
            <w:tcBorders>
              <w:bottom w:val="single" w:sz="8" w:color="BFBFBF"/>
            </w:tcBorders>
          </w:tcPr>
          <w:p>
            <w:pPr>
              <w:spacing w:after="0"/>
              <w:rPr>
                <w:sz w:val="11"/>
                <w:szCs w:val="11"/>
                <w:color w:val="auto"/>
              </w:rPr>
            </w:pPr>
          </w:p>
        </w:tc>
        <w:tc>
          <w:tcPr>
            <w:tcW w:w="120" w:type="dxa"/>
            <w:vAlign w:val="bottom"/>
            <w:tcBorders>
              <w:bottom w:val="single" w:sz="8" w:color="BFBFBF"/>
              <w:right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120" w:type="dxa"/>
            <w:vAlign w:val="bottom"/>
            <w:tcBorders>
              <w:bottom w:val="single" w:sz="8" w:color="BFBFBF"/>
            </w:tcBorders>
          </w:tcPr>
          <w:p>
            <w:pPr>
              <w:spacing w:after="0"/>
              <w:rPr>
                <w:sz w:val="11"/>
                <w:szCs w:val="11"/>
                <w:color w:val="auto"/>
              </w:rPr>
            </w:pPr>
          </w:p>
        </w:tc>
        <w:tc>
          <w:tcPr>
            <w:tcW w:w="900" w:type="dxa"/>
            <w:vAlign w:val="bottom"/>
            <w:tcBorders>
              <w:bottom w:val="single" w:sz="8" w:color="BFBFBF"/>
            </w:tcBorders>
          </w:tcPr>
          <w:p>
            <w:pPr>
              <w:spacing w:after="0"/>
              <w:rPr>
                <w:sz w:val="11"/>
                <w:szCs w:val="11"/>
                <w:color w:val="auto"/>
              </w:rPr>
            </w:pPr>
          </w:p>
        </w:tc>
        <w:tc>
          <w:tcPr>
            <w:tcW w:w="120" w:type="dxa"/>
            <w:vAlign w:val="bottom"/>
            <w:tcBorders>
              <w:bottom w:val="single" w:sz="8" w:color="BFBFBF"/>
              <w:right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460" w:type="dxa"/>
            <w:vAlign w:val="bottom"/>
            <w:tcBorders>
              <w:bottom w:val="single" w:sz="8" w:color="BFBFBF"/>
            </w:tcBorders>
          </w:tcPr>
          <w:p>
            <w:pPr>
              <w:spacing w:after="0"/>
              <w:rPr>
                <w:sz w:val="11"/>
                <w:szCs w:val="11"/>
                <w:color w:val="auto"/>
              </w:rPr>
            </w:pPr>
          </w:p>
        </w:tc>
        <w:tc>
          <w:tcPr>
            <w:tcW w:w="560" w:type="dxa"/>
            <w:vAlign w:val="bottom"/>
            <w:tcBorders>
              <w:bottom w:val="single" w:sz="8" w:color="BFBFBF"/>
            </w:tcBorders>
          </w:tcPr>
          <w:p>
            <w:pPr>
              <w:spacing w:after="0"/>
              <w:rPr>
                <w:sz w:val="11"/>
                <w:szCs w:val="11"/>
                <w:color w:val="auto"/>
              </w:rPr>
            </w:pPr>
          </w:p>
        </w:tc>
        <w:tc>
          <w:tcPr>
            <w:tcW w:w="120" w:type="dxa"/>
            <w:vAlign w:val="bottom"/>
            <w:tcBorders>
              <w:bottom w:val="single" w:sz="8" w:color="BFBFBF"/>
              <w:right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420" w:type="dxa"/>
            <w:vAlign w:val="bottom"/>
            <w:tcBorders>
              <w:bottom w:val="single" w:sz="8" w:color="BFBFBF"/>
            </w:tcBorders>
          </w:tcPr>
          <w:p>
            <w:pPr>
              <w:spacing w:after="0"/>
              <w:rPr>
                <w:sz w:val="11"/>
                <w:szCs w:val="11"/>
                <w:color w:val="auto"/>
              </w:rPr>
            </w:pPr>
          </w:p>
        </w:tc>
        <w:tc>
          <w:tcPr>
            <w:tcW w:w="520" w:type="dxa"/>
            <w:vAlign w:val="bottom"/>
            <w:tcBorders>
              <w:bottom w:val="single" w:sz="8" w:color="BFBFBF"/>
            </w:tcBorders>
          </w:tcPr>
          <w:p>
            <w:pPr>
              <w:spacing w:after="0"/>
              <w:rPr>
                <w:sz w:val="11"/>
                <w:szCs w:val="11"/>
                <w:color w:val="auto"/>
              </w:rPr>
            </w:pPr>
          </w:p>
        </w:tc>
        <w:tc>
          <w:tcPr>
            <w:tcW w:w="120" w:type="dxa"/>
            <w:vAlign w:val="bottom"/>
            <w:tcBorders>
              <w:bottom w:val="single" w:sz="8" w:color="BFBFBF"/>
              <w:right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700" w:type="dxa"/>
            <w:vAlign w:val="bottom"/>
            <w:tcBorders>
              <w:bottom w:val="single" w:sz="8" w:color="BFBFBF"/>
            </w:tcBorders>
          </w:tcPr>
          <w:p>
            <w:pPr>
              <w:spacing w:after="0"/>
              <w:rPr>
                <w:sz w:val="11"/>
                <w:szCs w:val="11"/>
                <w:color w:val="auto"/>
              </w:rPr>
            </w:pPr>
          </w:p>
        </w:tc>
        <w:tc>
          <w:tcPr>
            <w:tcW w:w="200" w:type="dxa"/>
            <w:vAlign w:val="bottom"/>
            <w:tcBorders>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840" w:type="dxa"/>
            <w:vAlign w:val="bottom"/>
            <w:tcBorders>
              <w:left w:val="single" w:sz="8" w:color="BFBFBF"/>
              <w:right w:val="single" w:sz="8" w:color="BFBFBF"/>
            </w:tcBorders>
          </w:tcPr>
          <w:p>
            <w:pPr>
              <w:ind w:left="340"/>
              <w:spacing w:after="0" w:line="141" w:lineRule="exact"/>
              <w:rPr>
                <w:sz w:val="20"/>
                <w:szCs w:val="20"/>
                <w:color w:val="auto"/>
              </w:rPr>
            </w:pPr>
            <w:r>
              <w:rPr>
                <w:rFonts w:ascii="Arial" w:cs="Arial" w:eastAsia="Arial" w:hAnsi="Arial"/>
                <w:sz w:val="14"/>
                <w:szCs w:val="14"/>
                <w:color w:val="auto"/>
              </w:rPr>
              <w:t>Executive Vice President, Corporate</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BFBFBF"/>
              <w:bottom w:val="single" w:sz="8" w:color="BFBFBF"/>
              <w:right w:val="single" w:sz="8" w:color="BFBFBF"/>
            </w:tcBorders>
          </w:tcPr>
          <w:p>
            <w:pPr>
              <w:ind w:left="340"/>
              <w:spacing w:after="0" w:line="149" w:lineRule="exact"/>
              <w:rPr>
                <w:sz w:val="20"/>
                <w:szCs w:val="20"/>
                <w:color w:val="auto"/>
              </w:rPr>
            </w:pPr>
            <w:r>
              <w:rPr>
                <w:rFonts w:ascii="Arial" w:cs="Arial" w:eastAsia="Arial" w:hAnsi="Arial"/>
                <w:sz w:val="14"/>
                <w:szCs w:val="14"/>
                <w:color w:val="auto"/>
              </w:rPr>
              <w:t>Strategy</w:t>
            </w:r>
          </w:p>
        </w:tc>
        <w:tc>
          <w:tcPr>
            <w:tcW w:w="80" w:type="dxa"/>
            <w:vAlign w:val="bottom"/>
            <w:tcBorders>
              <w:bottom w:val="single" w:sz="8" w:color="BFBFBF"/>
            </w:tcBorders>
          </w:tcPr>
          <w:p>
            <w:pPr>
              <w:spacing w:after="0"/>
              <w:rPr>
                <w:sz w:val="12"/>
                <w:szCs w:val="12"/>
                <w:color w:val="auto"/>
              </w:rPr>
            </w:pPr>
          </w:p>
        </w:tc>
        <w:tc>
          <w:tcPr>
            <w:tcW w:w="44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58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58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64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spacing w:after="0"/>
              <w:rPr>
                <w:sz w:val="12"/>
                <w:szCs w:val="12"/>
                <w:color w:val="auto"/>
              </w:rPr>
            </w:pPr>
          </w:p>
        </w:tc>
        <w:tc>
          <w:tcPr>
            <w:tcW w:w="56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tcBorders>
          </w:tcPr>
          <w:p>
            <w:pPr>
              <w:spacing w:after="0"/>
              <w:rPr>
                <w:sz w:val="12"/>
                <w:szCs w:val="12"/>
                <w:color w:val="auto"/>
              </w:rPr>
            </w:pPr>
          </w:p>
        </w:tc>
        <w:tc>
          <w:tcPr>
            <w:tcW w:w="52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580" w:type="dxa"/>
            <w:vAlign w:val="bottom"/>
            <w:tcBorders>
              <w:bottom w:val="single" w:sz="8" w:color="BFBFBF"/>
            </w:tcBorders>
            <w:shd w:val="clear" w:color="auto" w:fill="DDEFF3"/>
          </w:tcPr>
          <w:p>
            <w:pPr>
              <w:spacing w:after="0"/>
              <w:rPr>
                <w:sz w:val="21"/>
                <w:szCs w:val="21"/>
                <w:color w:val="auto"/>
              </w:rPr>
            </w:pPr>
          </w:p>
        </w:tc>
        <w:tc>
          <w:tcPr>
            <w:tcW w:w="14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5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680" w:type="dxa"/>
            <w:vAlign w:val="bottom"/>
            <w:tcBorders>
              <w:bottom w:val="single" w:sz="8" w:color="BFBFBF"/>
            </w:tcBorders>
            <w:gridSpan w:val="2"/>
            <w:shd w:val="clear" w:color="auto" w:fill="DDEFF3"/>
          </w:tcPr>
          <w:p>
            <w:pPr>
              <w:spacing w:after="0"/>
              <w:rPr>
                <w:sz w:val="21"/>
                <w:szCs w:val="21"/>
                <w:color w:val="auto"/>
              </w:rPr>
            </w:pPr>
          </w:p>
        </w:tc>
        <w:tc>
          <w:tcPr>
            <w:tcW w:w="14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tcBorders>
            <w:shd w:val="clear" w:color="auto" w:fill="DDEFF3"/>
          </w:tcPr>
          <w:p>
            <w:pPr>
              <w:spacing w:after="0"/>
              <w:rPr>
                <w:sz w:val="21"/>
                <w:szCs w:val="21"/>
                <w:color w:val="auto"/>
              </w:rPr>
            </w:pPr>
          </w:p>
        </w:tc>
        <w:tc>
          <w:tcPr>
            <w:tcW w:w="90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6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20" w:type="dxa"/>
            <w:vAlign w:val="bottom"/>
            <w:tcBorders>
              <w:bottom w:val="single" w:sz="8" w:color="BFBFBF"/>
            </w:tcBorders>
            <w:shd w:val="clear" w:color="auto" w:fill="DDEFF3"/>
          </w:tcPr>
          <w:p>
            <w:pPr>
              <w:spacing w:after="0"/>
              <w:rPr>
                <w:sz w:val="21"/>
                <w:szCs w:val="21"/>
                <w:color w:val="auto"/>
              </w:rPr>
            </w:pPr>
          </w:p>
        </w:tc>
        <w:tc>
          <w:tcPr>
            <w:tcW w:w="52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70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84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Anna M. Ewing</w:t>
            </w:r>
          </w:p>
        </w:tc>
        <w:tc>
          <w:tcPr>
            <w:tcW w:w="640" w:type="dxa"/>
            <w:vAlign w:val="bottom"/>
            <w:tcBorders>
              <w:bottom w:val="single" w:sz="8" w:color="BFBFBF"/>
              <w:right w:val="single" w:sz="8" w:color="BFBFBF"/>
            </w:tcBorders>
            <w:gridSpan w:val="3"/>
          </w:tcPr>
          <w:p>
            <w:pPr>
              <w:jc w:val="right"/>
              <w:ind w:right="120"/>
              <w:spacing w:after="0" w:line="142" w:lineRule="exact"/>
              <w:rPr>
                <w:sz w:val="20"/>
                <w:szCs w:val="20"/>
                <w:color w:val="auto"/>
              </w:rPr>
            </w:pPr>
            <w:r>
              <w:rPr>
                <w:rFonts w:ascii="Arial" w:cs="Arial" w:eastAsia="Arial" w:hAnsi="Arial"/>
                <w:sz w:val="14"/>
                <w:szCs w:val="14"/>
                <w:color w:val="auto"/>
              </w:rPr>
              <w:t>2012</w:t>
            </w:r>
          </w:p>
        </w:tc>
        <w:tc>
          <w:tcPr>
            <w:tcW w:w="6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500,000</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w w:val="94"/>
              </w:rPr>
              <w:t>$1,343,857</w:t>
            </w:r>
          </w:p>
        </w:tc>
        <w:tc>
          <w:tcPr>
            <w:tcW w:w="14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574,125</w:t>
            </w:r>
          </w:p>
        </w:tc>
        <w:tc>
          <w:tcPr>
            <w:tcW w:w="8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jc w:val="right"/>
              <w:ind w:right="312"/>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198,356</w:t>
            </w:r>
          </w:p>
        </w:tc>
        <w:tc>
          <w:tcPr>
            <w:tcW w:w="8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57,925</w:t>
            </w: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$2,674,263</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40" w:type="dxa"/>
            <w:vAlign w:val="bottom"/>
            <w:tcBorders>
              <w:left w:val="single" w:sz="8" w:color="BFBFBF"/>
              <w:right w:val="single" w:sz="8" w:color="BFBFBF"/>
            </w:tcBorders>
          </w:tcPr>
          <w:p>
            <w:pPr>
              <w:ind w:left="340"/>
              <w:spacing w:after="0" w:line="141" w:lineRule="exact"/>
              <w:rPr>
                <w:sz w:val="20"/>
                <w:szCs w:val="20"/>
                <w:color w:val="auto"/>
              </w:rPr>
            </w:pPr>
            <w:r>
              <w:rPr>
                <w:rFonts w:ascii="Arial" w:cs="Arial" w:eastAsia="Arial" w:hAnsi="Arial"/>
                <w:sz w:val="14"/>
                <w:szCs w:val="14"/>
                <w:color w:val="auto"/>
              </w:rPr>
              <w:t>Executive Vice</w:t>
            </w:r>
          </w:p>
        </w:tc>
        <w:tc>
          <w:tcPr>
            <w:tcW w:w="640" w:type="dxa"/>
            <w:vAlign w:val="bottom"/>
            <w:tcBorders>
              <w:right w:val="single" w:sz="8" w:color="BFBFBF"/>
            </w:tcBorders>
            <w:gridSpan w:val="3"/>
            <w:vMerge w:val="restart"/>
          </w:tcPr>
          <w:p>
            <w:pPr>
              <w:jc w:val="right"/>
              <w:ind w:right="120"/>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14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BFBFBF"/>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w w:val="94"/>
              </w:rPr>
              <w:t>$1,120,005</w:t>
            </w:r>
          </w:p>
        </w:tc>
        <w:tc>
          <w:tcPr>
            <w:tcW w:w="14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9"/>
              </w:rPr>
              <w:t>$ 280,023</w:t>
            </w:r>
          </w:p>
        </w:tc>
        <w:tc>
          <w:tcPr>
            <w:tcW w:w="120" w:type="dxa"/>
            <w:vAlign w:val="bottom"/>
            <w:tcBorders>
              <w:right w:val="single" w:sz="8" w:color="BFBFBF"/>
            </w:tcBorders>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1,210,500</w:t>
            </w: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ind w:right="312"/>
              <w:spacing w:after="0"/>
              <w:rPr>
                <w:sz w:val="20"/>
                <w:szCs w:val="20"/>
                <w:color w:val="auto"/>
              </w:rPr>
            </w:pPr>
            <w:r>
              <w:rPr>
                <w:rFonts w:ascii="Arial" w:cs="Arial" w:eastAsia="Arial" w:hAnsi="Arial"/>
                <w:sz w:val="14"/>
                <w:szCs w:val="14"/>
                <w:color w:val="auto"/>
                <w:w w:val="76"/>
              </w:rPr>
              <w:t>$</w:t>
            </w:r>
          </w:p>
        </w:tc>
        <w:tc>
          <w:tcPr>
            <w:tcW w:w="680" w:type="dxa"/>
            <w:vAlign w:val="bottom"/>
            <w:tcBorders>
              <w:right w:val="single" w:sz="8" w:color="BFBFBF"/>
            </w:tcBorders>
            <w:gridSpan w:val="2"/>
            <w:vMerge w:val="restart"/>
          </w:tcPr>
          <w:p>
            <w:pPr>
              <w:jc w:val="right"/>
              <w:ind w:right="120"/>
              <w:spacing w:after="0"/>
              <w:rPr>
                <w:sz w:val="20"/>
                <w:szCs w:val="20"/>
                <w:color w:val="auto"/>
              </w:rPr>
            </w:pPr>
            <w:r>
              <w:rPr>
                <w:rFonts w:ascii="Arial" w:cs="Arial" w:eastAsia="Arial" w:hAnsi="Arial"/>
                <w:sz w:val="14"/>
                <w:szCs w:val="14"/>
                <w:color w:val="auto"/>
              </w:rPr>
              <w:t>71,038</w:t>
            </w:r>
          </w:p>
        </w:tc>
        <w:tc>
          <w:tcPr>
            <w:tcW w:w="8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BFBFBF"/>
            </w:tcBorders>
            <w:gridSpan w:val="2"/>
            <w:vMerge w:val="restart"/>
          </w:tcPr>
          <w:p>
            <w:pPr>
              <w:jc w:val="right"/>
              <w:ind w:right="120"/>
              <w:spacing w:after="0"/>
              <w:rPr>
                <w:sz w:val="20"/>
                <w:szCs w:val="20"/>
                <w:color w:val="auto"/>
              </w:rPr>
            </w:pPr>
            <w:r>
              <w:rPr>
                <w:rFonts w:ascii="Arial" w:cs="Arial" w:eastAsia="Arial" w:hAnsi="Arial"/>
                <w:sz w:val="14"/>
                <w:szCs w:val="14"/>
                <w:color w:val="auto"/>
              </w:rPr>
              <w:t>54,725</w:t>
            </w:r>
          </w:p>
        </w:tc>
        <w:tc>
          <w:tcPr>
            <w:tcW w:w="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99"/>
              </w:rPr>
              <w:t>$3,236,291</w:t>
            </w:r>
          </w:p>
        </w:tc>
        <w:tc>
          <w:tcPr>
            <w:tcW w:w="20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40" w:type="dxa"/>
            <w:vAlign w:val="bottom"/>
            <w:tcBorders>
              <w:left w:val="single" w:sz="8" w:color="BFBFBF"/>
              <w:right w:val="single" w:sz="8" w:color="BFBFBF"/>
            </w:tcBorders>
            <w:vMerge w:val="restart"/>
          </w:tcPr>
          <w:p>
            <w:pPr>
              <w:ind w:left="340"/>
              <w:spacing w:after="0" w:line="149" w:lineRule="exact"/>
              <w:rPr>
                <w:sz w:val="20"/>
                <w:szCs w:val="20"/>
                <w:color w:val="auto"/>
              </w:rPr>
            </w:pPr>
            <w:r>
              <w:rPr>
                <w:rFonts w:ascii="Arial" w:cs="Arial" w:eastAsia="Arial" w:hAnsi="Arial"/>
                <w:sz w:val="14"/>
                <w:szCs w:val="14"/>
                <w:color w:val="auto"/>
              </w:rPr>
              <w:t>President, Global</w:t>
            </w:r>
          </w:p>
        </w:tc>
        <w:tc>
          <w:tcPr>
            <w:tcW w:w="640" w:type="dxa"/>
            <w:vAlign w:val="bottom"/>
            <w:tcBorders>
              <w:bottom w:val="single" w:sz="8" w:color="BFBFBF"/>
              <w:right w:val="single" w:sz="8" w:color="BFBFBF"/>
            </w:tcBorders>
            <w:gridSpan w:val="3"/>
            <w:vMerge w:val="continue"/>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20" w:type="dxa"/>
            <w:vAlign w:val="bottom"/>
            <w:tcBorders>
              <w:bottom w:val="single" w:sz="8" w:color="BFBFBF"/>
            </w:tcBorders>
          </w:tcPr>
          <w:p>
            <w:pPr>
              <w:spacing w:after="0"/>
              <w:rPr>
                <w:sz w:val="5"/>
                <w:szCs w:val="5"/>
                <w:color w:val="auto"/>
              </w:rPr>
            </w:pPr>
          </w:p>
        </w:tc>
        <w:tc>
          <w:tcPr>
            <w:tcW w:w="100" w:type="dxa"/>
            <w:vAlign w:val="bottom"/>
            <w:tcBorders>
              <w:bottom w:val="single" w:sz="8" w:color="BFBFBF"/>
            </w:tcBorders>
            <w:vMerge w:val="continue"/>
          </w:tcPr>
          <w:p>
            <w:pPr>
              <w:spacing w:after="0"/>
              <w:rPr>
                <w:sz w:val="5"/>
                <w:szCs w:val="5"/>
                <w:color w:val="auto"/>
              </w:rPr>
            </w:pPr>
          </w:p>
        </w:tc>
        <w:tc>
          <w:tcPr>
            <w:tcW w:w="580" w:type="dxa"/>
            <w:vAlign w:val="bottom"/>
            <w:tcBorders>
              <w:bottom w:val="single" w:sz="8" w:color="BFBFBF"/>
            </w:tcBorders>
            <w:vMerge w:val="continue"/>
          </w:tcPr>
          <w:p>
            <w:pPr>
              <w:spacing w:after="0"/>
              <w:rPr>
                <w:sz w:val="5"/>
                <w:szCs w:val="5"/>
                <w:color w:val="auto"/>
              </w:rPr>
            </w:pPr>
          </w:p>
        </w:tc>
        <w:tc>
          <w:tcPr>
            <w:tcW w:w="140" w:type="dxa"/>
            <w:vAlign w:val="bottom"/>
            <w:tcBorders>
              <w:bottom w:val="single" w:sz="8" w:color="BFBFBF"/>
              <w:right w:val="single" w:sz="8" w:color="BFBFBF"/>
            </w:tcBorders>
          </w:tcPr>
          <w:p>
            <w:pPr>
              <w:spacing w:after="0"/>
              <w:rPr>
                <w:sz w:val="5"/>
                <w:szCs w:val="5"/>
                <w:color w:val="auto"/>
              </w:rPr>
            </w:pPr>
          </w:p>
        </w:tc>
        <w:tc>
          <w:tcPr>
            <w:tcW w:w="80" w:type="dxa"/>
            <w:vAlign w:val="bottom"/>
            <w:tcBorders>
              <w:bottom w:val="single" w:sz="8" w:color="BFBFBF"/>
            </w:tcBorders>
          </w:tcPr>
          <w:p>
            <w:pPr>
              <w:spacing w:after="0"/>
              <w:rPr>
                <w:sz w:val="5"/>
                <w:szCs w:val="5"/>
                <w:color w:val="auto"/>
              </w:rPr>
            </w:pPr>
          </w:p>
        </w:tc>
        <w:tc>
          <w:tcPr>
            <w:tcW w:w="700" w:type="dxa"/>
            <w:vAlign w:val="bottom"/>
            <w:tcBorders>
              <w:bottom w:val="single" w:sz="8" w:color="BFBFBF"/>
              <w:right w:val="single" w:sz="8" w:color="BFBFBF"/>
            </w:tcBorders>
            <w:gridSpan w:val="2"/>
            <w:vMerge w:val="continue"/>
          </w:tcPr>
          <w:p>
            <w:pPr>
              <w:spacing w:after="0"/>
              <w:rPr>
                <w:sz w:val="5"/>
                <w:szCs w:val="5"/>
                <w:color w:val="auto"/>
              </w:rPr>
            </w:pPr>
          </w:p>
        </w:tc>
        <w:tc>
          <w:tcPr>
            <w:tcW w:w="80" w:type="dxa"/>
            <w:vAlign w:val="bottom"/>
            <w:tcBorders>
              <w:bottom w:val="single" w:sz="8" w:color="BFBFBF"/>
            </w:tcBorders>
          </w:tcPr>
          <w:p>
            <w:pPr>
              <w:spacing w:after="0"/>
              <w:rPr>
                <w:sz w:val="5"/>
                <w:szCs w:val="5"/>
                <w:color w:val="auto"/>
              </w:rPr>
            </w:pPr>
          </w:p>
        </w:tc>
        <w:tc>
          <w:tcPr>
            <w:tcW w:w="680" w:type="dxa"/>
            <w:vAlign w:val="bottom"/>
            <w:tcBorders>
              <w:bottom w:val="single" w:sz="8" w:color="BFBFBF"/>
            </w:tcBorders>
            <w:gridSpan w:val="2"/>
            <w:vMerge w:val="continue"/>
          </w:tcPr>
          <w:p>
            <w:pPr>
              <w:spacing w:after="0"/>
              <w:rPr>
                <w:sz w:val="5"/>
                <w:szCs w:val="5"/>
                <w:color w:val="auto"/>
              </w:rPr>
            </w:pPr>
          </w:p>
        </w:tc>
        <w:tc>
          <w:tcPr>
            <w:tcW w:w="14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640" w:type="dxa"/>
            <w:vAlign w:val="bottom"/>
            <w:tcBorders>
              <w:bottom w:val="single" w:sz="8" w:color="BFBFBF"/>
            </w:tcBorders>
            <w:vMerge w:val="continue"/>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200" w:type="dxa"/>
            <w:vAlign w:val="bottom"/>
            <w:tcBorders>
              <w:bottom w:val="single" w:sz="8" w:color="BFBFBF"/>
            </w:tcBorders>
            <w:gridSpan w:val="2"/>
            <w:vMerge w:val="continue"/>
          </w:tcPr>
          <w:p>
            <w:pPr>
              <w:spacing w:after="0"/>
              <w:rPr>
                <w:sz w:val="5"/>
                <w:szCs w:val="5"/>
                <w:color w:val="auto"/>
              </w:rPr>
            </w:pPr>
          </w:p>
        </w:tc>
        <w:tc>
          <w:tcPr>
            <w:tcW w:w="900" w:type="dxa"/>
            <w:vAlign w:val="bottom"/>
            <w:tcBorders>
              <w:bottom w:val="single" w:sz="8" w:color="BFBFBF"/>
            </w:tcBorders>
            <w:vMerge w:val="continue"/>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80" w:type="dxa"/>
            <w:vAlign w:val="bottom"/>
            <w:tcBorders>
              <w:bottom w:val="single" w:sz="8" w:color="BFBFBF"/>
            </w:tcBorders>
          </w:tcPr>
          <w:p>
            <w:pPr>
              <w:spacing w:after="0"/>
              <w:rPr>
                <w:sz w:val="5"/>
                <w:szCs w:val="5"/>
                <w:color w:val="auto"/>
              </w:rPr>
            </w:pPr>
          </w:p>
        </w:tc>
        <w:tc>
          <w:tcPr>
            <w:tcW w:w="460" w:type="dxa"/>
            <w:vAlign w:val="bottom"/>
            <w:tcBorders>
              <w:bottom w:val="single" w:sz="8" w:color="BFBFBF"/>
            </w:tcBorders>
            <w:vMerge w:val="continue"/>
          </w:tcPr>
          <w:p>
            <w:pPr>
              <w:spacing w:after="0"/>
              <w:rPr>
                <w:sz w:val="5"/>
                <w:szCs w:val="5"/>
                <w:color w:val="auto"/>
              </w:rPr>
            </w:pPr>
          </w:p>
        </w:tc>
        <w:tc>
          <w:tcPr>
            <w:tcW w:w="680" w:type="dxa"/>
            <w:vAlign w:val="bottom"/>
            <w:tcBorders>
              <w:bottom w:val="single" w:sz="8" w:color="BFBFBF"/>
              <w:right w:val="single" w:sz="8" w:color="BFBFBF"/>
            </w:tcBorders>
            <w:gridSpan w:val="2"/>
            <w:vMerge w:val="continue"/>
          </w:tcPr>
          <w:p>
            <w:pPr>
              <w:spacing w:after="0"/>
              <w:rPr>
                <w:sz w:val="5"/>
                <w:szCs w:val="5"/>
                <w:color w:val="auto"/>
              </w:rPr>
            </w:pPr>
          </w:p>
        </w:tc>
        <w:tc>
          <w:tcPr>
            <w:tcW w:w="80" w:type="dxa"/>
            <w:vAlign w:val="bottom"/>
            <w:tcBorders>
              <w:bottom w:val="single" w:sz="8" w:color="BFBFBF"/>
            </w:tcBorders>
          </w:tcPr>
          <w:p>
            <w:pPr>
              <w:spacing w:after="0"/>
              <w:rPr>
                <w:sz w:val="5"/>
                <w:szCs w:val="5"/>
                <w:color w:val="auto"/>
              </w:rPr>
            </w:pPr>
          </w:p>
        </w:tc>
        <w:tc>
          <w:tcPr>
            <w:tcW w:w="420" w:type="dxa"/>
            <w:vAlign w:val="bottom"/>
            <w:tcBorders>
              <w:bottom w:val="single" w:sz="8" w:color="BFBFBF"/>
            </w:tcBorders>
            <w:vMerge w:val="continue"/>
          </w:tcPr>
          <w:p>
            <w:pPr>
              <w:spacing w:after="0"/>
              <w:rPr>
                <w:sz w:val="5"/>
                <w:szCs w:val="5"/>
                <w:color w:val="auto"/>
              </w:rPr>
            </w:pPr>
          </w:p>
        </w:tc>
        <w:tc>
          <w:tcPr>
            <w:tcW w:w="640" w:type="dxa"/>
            <w:vAlign w:val="bottom"/>
            <w:tcBorders>
              <w:bottom w:val="single" w:sz="8" w:color="BFBFBF"/>
              <w:right w:val="single" w:sz="8" w:color="BFBFBF"/>
            </w:tcBorders>
            <w:gridSpan w:val="2"/>
            <w:vMerge w:val="continue"/>
          </w:tcPr>
          <w:p>
            <w:pPr>
              <w:spacing w:after="0"/>
              <w:rPr>
                <w:sz w:val="5"/>
                <w:szCs w:val="5"/>
                <w:color w:val="auto"/>
              </w:rPr>
            </w:pPr>
          </w:p>
        </w:tc>
        <w:tc>
          <w:tcPr>
            <w:tcW w:w="80" w:type="dxa"/>
            <w:vAlign w:val="bottom"/>
            <w:tcBorders>
              <w:bottom w:val="single" w:sz="8" w:color="BFBFBF"/>
            </w:tcBorders>
          </w:tcPr>
          <w:p>
            <w:pPr>
              <w:spacing w:after="0"/>
              <w:rPr>
                <w:sz w:val="5"/>
                <w:szCs w:val="5"/>
                <w:color w:val="auto"/>
              </w:rPr>
            </w:pPr>
          </w:p>
        </w:tc>
        <w:tc>
          <w:tcPr>
            <w:tcW w:w="700" w:type="dxa"/>
            <w:vAlign w:val="bottom"/>
            <w:tcBorders>
              <w:bottom w:val="single" w:sz="8" w:color="BFBFBF"/>
            </w:tcBorders>
            <w:vMerge w:val="continue"/>
          </w:tcPr>
          <w:p>
            <w:pPr>
              <w:spacing w:after="0"/>
              <w:rPr>
                <w:sz w:val="5"/>
                <w:szCs w:val="5"/>
                <w:color w:val="auto"/>
              </w:rPr>
            </w:pPr>
          </w:p>
        </w:tc>
        <w:tc>
          <w:tcPr>
            <w:tcW w:w="200" w:type="dxa"/>
            <w:vAlign w:val="bottom"/>
            <w:tcBorders>
              <w:bottom w:val="single" w:sz="8" w:color="BFBFBF"/>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840" w:type="dxa"/>
            <w:vAlign w:val="bottom"/>
            <w:tcBorders>
              <w:left w:val="single" w:sz="8" w:color="BFBFBF"/>
              <w:right w:val="single" w:sz="8" w:color="BFBFBF"/>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Borders>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40" w:type="dxa"/>
            <w:vAlign w:val="bottom"/>
            <w:tcBorders>
              <w:left w:val="single" w:sz="8" w:color="BFBFBF"/>
              <w:bottom w:val="single" w:sz="8" w:color="BFBFBF"/>
              <w:right w:val="single" w:sz="8" w:color="BFBFBF"/>
            </w:tcBorders>
          </w:tcPr>
          <w:p>
            <w:pPr>
              <w:ind w:left="340"/>
              <w:spacing w:after="0"/>
              <w:rPr>
                <w:sz w:val="20"/>
                <w:szCs w:val="20"/>
                <w:color w:val="auto"/>
              </w:rPr>
            </w:pPr>
            <w:r>
              <w:rPr>
                <w:rFonts w:ascii="Arial" w:cs="Arial" w:eastAsia="Arial" w:hAnsi="Arial"/>
                <w:sz w:val="14"/>
                <w:szCs w:val="14"/>
                <w:color w:val="auto"/>
              </w:rPr>
              <w:t>Technology Solutions</w:t>
            </w:r>
          </w:p>
        </w:tc>
        <w:tc>
          <w:tcPr>
            <w:tcW w:w="640" w:type="dxa"/>
            <w:vAlign w:val="bottom"/>
            <w:tcBorders>
              <w:bottom w:val="single" w:sz="8" w:color="BFBFBF"/>
              <w:right w:val="single" w:sz="8" w:color="BFBFBF"/>
            </w:tcBorders>
            <w:gridSpan w:val="3"/>
          </w:tcPr>
          <w:p>
            <w:pPr>
              <w:jc w:val="right"/>
              <w:ind w:right="120"/>
              <w:spacing w:after="0"/>
              <w:rPr>
                <w:sz w:val="20"/>
                <w:szCs w:val="20"/>
                <w:color w:val="auto"/>
              </w:rPr>
            </w:pPr>
            <w:r>
              <w:rPr>
                <w:rFonts w:ascii="Arial" w:cs="Arial" w:eastAsia="Arial" w:hAnsi="Arial"/>
                <w:sz w:val="14"/>
                <w:szCs w:val="14"/>
                <w:color w:val="auto"/>
              </w:rPr>
              <w:t>2010</w:t>
            </w:r>
          </w:p>
        </w:tc>
        <w:tc>
          <w:tcPr>
            <w:tcW w:w="60" w:type="dxa"/>
            <w:vAlign w:val="bottom"/>
            <w:tcBorders>
              <w:bottom w:val="single" w:sz="8" w:color="BFBFBF"/>
            </w:tcBorders>
          </w:tcPr>
          <w:p>
            <w:pPr>
              <w:spacing w:after="0"/>
              <w:rPr>
                <w:sz w:val="14"/>
                <w:szCs w:val="14"/>
                <w:color w:val="auto"/>
              </w:rPr>
            </w:pPr>
          </w:p>
        </w:tc>
        <w:tc>
          <w:tcPr>
            <w:tcW w:w="2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500,000</w:t>
            </w:r>
          </w:p>
        </w:tc>
        <w:tc>
          <w:tcPr>
            <w:tcW w:w="140" w:type="dxa"/>
            <w:vAlign w:val="bottom"/>
            <w:tcBorders>
              <w:bottom w:val="single" w:sz="8" w:color="BFBFBF"/>
              <w:right w:val="single" w:sz="8" w:color="BFBFBF"/>
            </w:tcBorders>
          </w:tcPr>
          <w:p>
            <w:pPr>
              <w:spacing w:after="0"/>
              <w:rPr>
                <w:sz w:val="14"/>
                <w:szCs w:val="14"/>
                <w:color w:val="auto"/>
              </w:rPr>
            </w:pPr>
          </w:p>
        </w:tc>
        <w:tc>
          <w:tcPr>
            <w:tcW w:w="80" w:type="dxa"/>
            <w:vAlign w:val="bottom"/>
            <w:tcBorders>
              <w:bottom w:val="single" w:sz="8" w:color="BFBFBF"/>
            </w:tcBorders>
          </w:tcPr>
          <w:p>
            <w:pPr>
              <w:spacing w:after="0"/>
              <w:rPr>
                <w:sz w:val="14"/>
                <w:szCs w:val="14"/>
                <w:color w:val="auto"/>
              </w:rPr>
            </w:pPr>
          </w:p>
        </w:tc>
        <w:tc>
          <w:tcPr>
            <w:tcW w:w="700" w:type="dxa"/>
            <w:vAlign w:val="bottom"/>
            <w:tcBorders>
              <w:bottom w:val="single" w:sz="8" w:color="BFBFBF"/>
              <w:right w:val="single" w:sz="8" w:color="BFBFB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4"/>
                <w:szCs w:val="14"/>
                <w:color w:val="auto"/>
              </w:rPr>
            </w:pPr>
          </w:p>
        </w:tc>
        <w:tc>
          <w:tcPr>
            <w:tcW w:w="80" w:type="dxa"/>
            <w:vAlign w:val="bottom"/>
            <w:tcBorders>
              <w:bottom w:val="single" w:sz="8" w:color="BFBFBF"/>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BFBFBF"/>
              <w:right w:val="single" w:sz="8" w:color="BFBFBF"/>
            </w:tcBorders>
            <w:gridSpan w:val="2"/>
          </w:tcPr>
          <w:p>
            <w:pPr>
              <w:jc w:val="right"/>
              <w:ind w:right="140"/>
              <w:spacing w:after="0"/>
              <w:rPr>
                <w:sz w:val="20"/>
                <w:szCs w:val="20"/>
                <w:color w:val="auto"/>
              </w:rPr>
            </w:pPr>
            <w:r>
              <w:rPr>
                <w:rFonts w:ascii="Arial" w:cs="Arial" w:eastAsia="Arial" w:hAnsi="Arial"/>
                <w:sz w:val="14"/>
                <w:szCs w:val="14"/>
                <w:color w:val="auto"/>
              </w:rPr>
              <w:t>880,001</w:t>
            </w:r>
          </w:p>
        </w:tc>
        <w:tc>
          <w:tcPr>
            <w:tcW w:w="60" w:type="dxa"/>
            <w:vAlign w:val="bottom"/>
            <w:tcBorders>
              <w:bottom w:val="single" w:sz="8" w:color="BFBFBF"/>
            </w:tcBorders>
          </w:tcPr>
          <w:p>
            <w:pPr>
              <w:spacing w:after="0"/>
              <w:rPr>
                <w:sz w:val="14"/>
                <w:szCs w:val="14"/>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w w:val="99"/>
              </w:rPr>
              <w:t>$ 219,999</w:t>
            </w:r>
          </w:p>
        </w:tc>
        <w:tc>
          <w:tcPr>
            <w:tcW w:w="120" w:type="dxa"/>
            <w:vAlign w:val="bottom"/>
            <w:tcBorders>
              <w:bottom w:val="single" w:sz="8" w:color="BFBFBF"/>
              <w:right w:val="single" w:sz="8" w:color="BFBFBF"/>
            </w:tcBorders>
          </w:tcPr>
          <w:p>
            <w:pPr>
              <w:spacing w:after="0"/>
              <w:rPr>
                <w:sz w:val="14"/>
                <w:szCs w:val="14"/>
                <w:color w:val="auto"/>
              </w:rPr>
            </w:pPr>
          </w:p>
        </w:tc>
        <w:tc>
          <w:tcPr>
            <w:tcW w:w="20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1,029,750</w:t>
            </w:r>
          </w:p>
        </w:tc>
        <w:tc>
          <w:tcPr>
            <w:tcW w:w="120" w:type="dxa"/>
            <w:vAlign w:val="bottom"/>
            <w:tcBorders>
              <w:bottom w:val="single" w:sz="8" w:color="BFBFBF"/>
              <w:right w:val="single" w:sz="8" w:color="BFBFBF"/>
            </w:tcBorders>
          </w:tcPr>
          <w:p>
            <w:pPr>
              <w:spacing w:after="0"/>
              <w:rPr>
                <w:sz w:val="14"/>
                <w:szCs w:val="14"/>
                <w:color w:val="auto"/>
              </w:rPr>
            </w:pPr>
          </w:p>
        </w:tc>
        <w:tc>
          <w:tcPr>
            <w:tcW w:w="80" w:type="dxa"/>
            <w:vAlign w:val="bottom"/>
            <w:tcBorders>
              <w:bottom w:val="single" w:sz="8" w:color="BFBFBF"/>
            </w:tcBorders>
          </w:tcPr>
          <w:p>
            <w:pPr>
              <w:spacing w:after="0"/>
              <w:rPr>
                <w:sz w:val="14"/>
                <w:szCs w:val="14"/>
                <w:color w:val="auto"/>
              </w:rPr>
            </w:pPr>
          </w:p>
        </w:tc>
        <w:tc>
          <w:tcPr>
            <w:tcW w:w="460" w:type="dxa"/>
            <w:vAlign w:val="bottom"/>
            <w:tcBorders>
              <w:bottom w:val="single" w:sz="8" w:color="BFBFBF"/>
            </w:tcBorders>
          </w:tcPr>
          <w:p>
            <w:pPr>
              <w:jc w:val="right"/>
              <w:ind w:right="31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BFBFBF"/>
              <w:right w:val="single" w:sz="8" w:color="BFBFBF"/>
            </w:tcBorders>
            <w:gridSpan w:val="2"/>
          </w:tcPr>
          <w:p>
            <w:pPr>
              <w:jc w:val="right"/>
              <w:ind w:right="120"/>
              <w:spacing w:after="0"/>
              <w:rPr>
                <w:sz w:val="20"/>
                <w:szCs w:val="20"/>
                <w:color w:val="auto"/>
              </w:rPr>
            </w:pPr>
            <w:r>
              <w:rPr>
                <w:rFonts w:ascii="Arial" w:cs="Arial" w:eastAsia="Arial" w:hAnsi="Arial"/>
                <w:sz w:val="14"/>
                <w:szCs w:val="14"/>
                <w:color w:val="auto"/>
              </w:rPr>
              <w:t>96,494</w:t>
            </w:r>
          </w:p>
        </w:tc>
        <w:tc>
          <w:tcPr>
            <w:tcW w:w="80" w:type="dxa"/>
            <w:vAlign w:val="bottom"/>
            <w:tcBorders>
              <w:bottom w:val="single" w:sz="8" w:color="BFBFBF"/>
            </w:tcBorders>
          </w:tcPr>
          <w:p>
            <w:pPr>
              <w:spacing w:after="0"/>
              <w:rPr>
                <w:sz w:val="14"/>
                <w:szCs w:val="14"/>
                <w:color w:val="auto"/>
              </w:rPr>
            </w:pPr>
          </w:p>
        </w:tc>
        <w:tc>
          <w:tcPr>
            <w:tcW w:w="420" w:type="dxa"/>
            <w:vAlign w:val="bottom"/>
            <w:tcBorders>
              <w:bottom w:val="single" w:sz="8" w:color="BFBFBF"/>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BFBFBF"/>
              <w:right w:val="single" w:sz="8" w:color="BFBFBF"/>
            </w:tcBorders>
            <w:gridSpan w:val="2"/>
          </w:tcPr>
          <w:p>
            <w:pPr>
              <w:jc w:val="right"/>
              <w:ind w:right="120"/>
              <w:spacing w:after="0"/>
              <w:rPr>
                <w:sz w:val="20"/>
                <w:szCs w:val="20"/>
                <w:color w:val="auto"/>
              </w:rPr>
            </w:pPr>
            <w:r>
              <w:rPr>
                <w:rFonts w:ascii="Arial" w:cs="Arial" w:eastAsia="Arial" w:hAnsi="Arial"/>
                <w:sz w:val="14"/>
                <w:szCs w:val="14"/>
                <w:color w:val="auto"/>
              </w:rPr>
              <w:t>47,115</w:t>
            </w:r>
          </w:p>
        </w:tc>
        <w:tc>
          <w:tcPr>
            <w:tcW w:w="80" w:type="dxa"/>
            <w:vAlign w:val="bottom"/>
            <w:tcBorders>
              <w:bottom w:val="single" w:sz="8" w:color="BFBFBF"/>
            </w:tcBorders>
          </w:tcPr>
          <w:p>
            <w:pPr>
              <w:spacing w:after="0"/>
              <w:rPr>
                <w:sz w:val="14"/>
                <w:szCs w:val="14"/>
                <w:color w:val="auto"/>
              </w:rPr>
            </w:pPr>
          </w:p>
        </w:tc>
        <w:tc>
          <w:tcPr>
            <w:tcW w:w="700" w:type="dxa"/>
            <w:vAlign w:val="bottom"/>
            <w:tcBorders>
              <w:bottom w:val="single" w:sz="8" w:color="BFBFBF"/>
            </w:tcBorders>
          </w:tcPr>
          <w:p>
            <w:pPr>
              <w:jc w:val="center"/>
              <w:spacing w:after="0"/>
              <w:rPr>
                <w:sz w:val="20"/>
                <w:szCs w:val="20"/>
                <w:color w:val="auto"/>
              </w:rPr>
            </w:pPr>
            <w:r>
              <w:rPr>
                <w:rFonts w:ascii="Arial" w:cs="Arial" w:eastAsia="Arial" w:hAnsi="Arial"/>
                <w:sz w:val="14"/>
                <w:szCs w:val="14"/>
                <w:color w:val="auto"/>
                <w:w w:val="99"/>
              </w:rPr>
              <w:t>$2,773,359</w:t>
            </w:r>
          </w:p>
        </w:tc>
        <w:tc>
          <w:tcPr>
            <w:tcW w:w="20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580" w:type="dxa"/>
            <w:vAlign w:val="bottom"/>
            <w:tcBorders>
              <w:bottom w:val="single" w:sz="8" w:color="BFBFBF"/>
            </w:tcBorders>
            <w:shd w:val="clear" w:color="auto" w:fill="DDEFF3"/>
          </w:tcPr>
          <w:p>
            <w:pPr>
              <w:spacing w:after="0"/>
              <w:rPr>
                <w:sz w:val="21"/>
                <w:szCs w:val="21"/>
                <w:color w:val="auto"/>
              </w:rPr>
            </w:pPr>
          </w:p>
        </w:tc>
        <w:tc>
          <w:tcPr>
            <w:tcW w:w="14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5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680" w:type="dxa"/>
            <w:vAlign w:val="bottom"/>
            <w:tcBorders>
              <w:bottom w:val="single" w:sz="8" w:color="BFBFBF"/>
            </w:tcBorders>
            <w:gridSpan w:val="2"/>
            <w:shd w:val="clear" w:color="auto" w:fill="DDEFF3"/>
          </w:tcPr>
          <w:p>
            <w:pPr>
              <w:spacing w:after="0"/>
              <w:rPr>
                <w:sz w:val="21"/>
                <w:szCs w:val="21"/>
                <w:color w:val="auto"/>
              </w:rPr>
            </w:pPr>
          </w:p>
        </w:tc>
        <w:tc>
          <w:tcPr>
            <w:tcW w:w="14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tcBorders>
            <w:shd w:val="clear" w:color="auto" w:fill="DDEFF3"/>
          </w:tcPr>
          <w:p>
            <w:pPr>
              <w:spacing w:after="0"/>
              <w:rPr>
                <w:sz w:val="21"/>
                <w:szCs w:val="21"/>
                <w:color w:val="auto"/>
              </w:rPr>
            </w:pPr>
          </w:p>
        </w:tc>
        <w:tc>
          <w:tcPr>
            <w:tcW w:w="90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6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20" w:type="dxa"/>
            <w:vAlign w:val="bottom"/>
            <w:tcBorders>
              <w:bottom w:val="single" w:sz="8" w:color="BFBFBF"/>
            </w:tcBorders>
            <w:shd w:val="clear" w:color="auto" w:fill="DDEFF3"/>
          </w:tcPr>
          <w:p>
            <w:pPr>
              <w:spacing w:after="0"/>
              <w:rPr>
                <w:sz w:val="21"/>
                <w:szCs w:val="21"/>
                <w:color w:val="auto"/>
              </w:rPr>
            </w:pPr>
          </w:p>
        </w:tc>
        <w:tc>
          <w:tcPr>
            <w:tcW w:w="52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70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84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Hans-Ole Jochumsen</w:t>
            </w:r>
          </w:p>
        </w:tc>
        <w:tc>
          <w:tcPr>
            <w:tcW w:w="640" w:type="dxa"/>
            <w:vAlign w:val="bottom"/>
            <w:tcBorders>
              <w:bottom w:val="single" w:sz="8" w:color="BFBFBF"/>
              <w:right w:val="single" w:sz="8" w:color="BFBFBF"/>
            </w:tcBorders>
            <w:gridSpan w:val="3"/>
          </w:tcPr>
          <w:p>
            <w:pPr>
              <w:jc w:val="right"/>
              <w:ind w:right="120"/>
              <w:spacing w:after="0" w:line="142" w:lineRule="exact"/>
              <w:rPr>
                <w:sz w:val="20"/>
                <w:szCs w:val="20"/>
                <w:color w:val="auto"/>
              </w:rPr>
            </w:pPr>
            <w:r>
              <w:rPr>
                <w:rFonts w:ascii="Arial" w:cs="Arial" w:eastAsia="Arial" w:hAnsi="Arial"/>
                <w:sz w:val="14"/>
                <w:szCs w:val="14"/>
                <w:color w:val="auto"/>
              </w:rPr>
              <w:t>2012</w:t>
            </w:r>
          </w:p>
        </w:tc>
        <w:tc>
          <w:tcPr>
            <w:tcW w:w="6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496,608</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w w:val="94"/>
              </w:rPr>
              <w:t>$1,151,887</w:t>
            </w:r>
          </w:p>
        </w:tc>
        <w:tc>
          <w:tcPr>
            <w:tcW w:w="14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889,387</w:t>
            </w:r>
          </w:p>
        </w:tc>
        <w:tc>
          <w:tcPr>
            <w:tcW w:w="8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w w:val="98"/>
              </w:rPr>
              <w:t>116,638</w:t>
            </w: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$2,654,520</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40" w:type="dxa"/>
            <w:vAlign w:val="bottom"/>
            <w:tcBorders>
              <w:left w:val="single" w:sz="8" w:color="BFBFBF"/>
              <w:right w:val="single" w:sz="8" w:color="BFBFBF"/>
            </w:tcBorders>
          </w:tcPr>
          <w:p>
            <w:pPr>
              <w:ind w:left="340"/>
              <w:spacing w:after="0" w:line="141" w:lineRule="exact"/>
              <w:rPr>
                <w:sz w:val="20"/>
                <w:szCs w:val="20"/>
                <w:color w:val="auto"/>
              </w:rPr>
            </w:pPr>
            <w:r>
              <w:rPr>
                <w:rFonts w:ascii="Arial" w:cs="Arial" w:eastAsia="Arial" w:hAnsi="Arial"/>
                <w:sz w:val="14"/>
                <w:szCs w:val="14"/>
                <w:color w:val="auto"/>
              </w:rPr>
              <w:t>Executive Vice</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BFBFBF"/>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BFBFBF"/>
              <w:bottom w:val="single" w:sz="8" w:color="BFBFBF"/>
              <w:right w:val="single" w:sz="8" w:color="BFBFBF"/>
            </w:tcBorders>
          </w:tcPr>
          <w:p>
            <w:pPr>
              <w:ind w:left="340"/>
              <w:spacing w:after="0" w:line="149" w:lineRule="exact"/>
              <w:rPr>
                <w:sz w:val="20"/>
                <w:szCs w:val="20"/>
                <w:color w:val="auto"/>
              </w:rPr>
            </w:pPr>
            <w:r>
              <w:rPr>
                <w:rFonts w:ascii="Arial" w:cs="Arial" w:eastAsia="Arial" w:hAnsi="Arial"/>
                <w:sz w:val="14"/>
                <w:szCs w:val="14"/>
                <w:color w:val="auto"/>
              </w:rPr>
              <w:t>President, Transaction Services Nordic</w:t>
            </w:r>
          </w:p>
        </w:tc>
        <w:tc>
          <w:tcPr>
            <w:tcW w:w="80" w:type="dxa"/>
            <w:vAlign w:val="bottom"/>
            <w:tcBorders>
              <w:bottom w:val="single" w:sz="8" w:color="BFBFBF"/>
            </w:tcBorders>
          </w:tcPr>
          <w:p>
            <w:pPr>
              <w:spacing w:after="0"/>
              <w:rPr>
                <w:sz w:val="12"/>
                <w:szCs w:val="12"/>
                <w:color w:val="auto"/>
              </w:rPr>
            </w:pPr>
          </w:p>
        </w:tc>
        <w:tc>
          <w:tcPr>
            <w:tcW w:w="44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58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58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64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spacing w:after="0"/>
              <w:rPr>
                <w:sz w:val="12"/>
                <w:szCs w:val="12"/>
                <w:color w:val="auto"/>
              </w:rPr>
            </w:pPr>
          </w:p>
        </w:tc>
        <w:tc>
          <w:tcPr>
            <w:tcW w:w="56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tcBorders>
          </w:tcPr>
          <w:p>
            <w:pPr>
              <w:spacing w:after="0"/>
              <w:rPr>
                <w:sz w:val="12"/>
                <w:szCs w:val="12"/>
                <w:color w:val="auto"/>
              </w:rPr>
            </w:pPr>
          </w:p>
        </w:tc>
        <w:tc>
          <w:tcPr>
            <w:tcW w:w="52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580" w:type="dxa"/>
            <w:vAlign w:val="bottom"/>
            <w:tcBorders>
              <w:bottom w:val="single" w:sz="8" w:color="BFBFBF"/>
            </w:tcBorders>
            <w:shd w:val="clear" w:color="auto" w:fill="DDEFF3"/>
          </w:tcPr>
          <w:p>
            <w:pPr>
              <w:spacing w:after="0"/>
              <w:rPr>
                <w:sz w:val="21"/>
                <w:szCs w:val="21"/>
                <w:color w:val="auto"/>
              </w:rPr>
            </w:pPr>
          </w:p>
        </w:tc>
        <w:tc>
          <w:tcPr>
            <w:tcW w:w="14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5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680" w:type="dxa"/>
            <w:vAlign w:val="bottom"/>
            <w:tcBorders>
              <w:bottom w:val="single" w:sz="8" w:color="BFBFBF"/>
            </w:tcBorders>
            <w:gridSpan w:val="2"/>
            <w:shd w:val="clear" w:color="auto" w:fill="DDEFF3"/>
          </w:tcPr>
          <w:p>
            <w:pPr>
              <w:spacing w:after="0"/>
              <w:rPr>
                <w:sz w:val="21"/>
                <w:szCs w:val="21"/>
                <w:color w:val="auto"/>
              </w:rPr>
            </w:pPr>
          </w:p>
        </w:tc>
        <w:tc>
          <w:tcPr>
            <w:tcW w:w="14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tcBorders>
            <w:shd w:val="clear" w:color="auto" w:fill="DDEFF3"/>
          </w:tcPr>
          <w:p>
            <w:pPr>
              <w:spacing w:after="0"/>
              <w:rPr>
                <w:sz w:val="21"/>
                <w:szCs w:val="21"/>
                <w:color w:val="auto"/>
              </w:rPr>
            </w:pPr>
          </w:p>
        </w:tc>
        <w:tc>
          <w:tcPr>
            <w:tcW w:w="90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6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420" w:type="dxa"/>
            <w:vAlign w:val="bottom"/>
            <w:tcBorders>
              <w:bottom w:val="single" w:sz="8" w:color="BFBFBF"/>
            </w:tcBorders>
            <w:shd w:val="clear" w:color="auto" w:fill="DDEFF3"/>
          </w:tcPr>
          <w:p>
            <w:pPr>
              <w:spacing w:after="0"/>
              <w:rPr>
                <w:sz w:val="21"/>
                <w:szCs w:val="21"/>
                <w:color w:val="auto"/>
              </w:rPr>
            </w:pPr>
          </w:p>
        </w:tc>
        <w:tc>
          <w:tcPr>
            <w:tcW w:w="52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70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84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Eric W. Noll</w:t>
            </w:r>
          </w:p>
        </w:tc>
        <w:tc>
          <w:tcPr>
            <w:tcW w:w="640" w:type="dxa"/>
            <w:vAlign w:val="bottom"/>
            <w:tcBorders>
              <w:bottom w:val="single" w:sz="8" w:color="BFBFBF"/>
              <w:right w:val="single" w:sz="8" w:color="BFBFBF"/>
            </w:tcBorders>
            <w:gridSpan w:val="3"/>
          </w:tcPr>
          <w:p>
            <w:pPr>
              <w:jc w:val="right"/>
              <w:ind w:right="120"/>
              <w:spacing w:after="0" w:line="142" w:lineRule="exact"/>
              <w:rPr>
                <w:sz w:val="20"/>
                <w:szCs w:val="20"/>
                <w:color w:val="auto"/>
              </w:rPr>
            </w:pPr>
            <w:r>
              <w:rPr>
                <w:rFonts w:ascii="Arial" w:cs="Arial" w:eastAsia="Arial" w:hAnsi="Arial"/>
                <w:sz w:val="14"/>
                <w:szCs w:val="14"/>
                <w:color w:val="auto"/>
              </w:rPr>
              <w:t>2012</w:t>
            </w:r>
          </w:p>
        </w:tc>
        <w:tc>
          <w:tcPr>
            <w:tcW w:w="6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500,000</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w w:val="94"/>
              </w:rPr>
              <w:t>$1,343,857</w:t>
            </w:r>
          </w:p>
        </w:tc>
        <w:tc>
          <w:tcPr>
            <w:tcW w:w="14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688,500</w:t>
            </w:r>
          </w:p>
        </w:tc>
        <w:tc>
          <w:tcPr>
            <w:tcW w:w="8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23,000</w:t>
            </w: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tcBorders>
          </w:tcPr>
          <w:p>
            <w:pPr>
              <w:jc w:val="center"/>
              <w:spacing w:after="0" w:line="142" w:lineRule="exact"/>
              <w:rPr>
                <w:sz w:val="20"/>
                <w:szCs w:val="20"/>
                <w:color w:val="auto"/>
              </w:rPr>
            </w:pPr>
            <w:r>
              <w:rPr>
                <w:rFonts w:ascii="Arial" w:cs="Arial" w:eastAsia="Arial" w:hAnsi="Arial"/>
                <w:sz w:val="14"/>
                <w:szCs w:val="14"/>
                <w:color w:val="auto"/>
                <w:w w:val="99"/>
              </w:rPr>
              <w:t>$2,555,357</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40" w:type="dxa"/>
            <w:vAlign w:val="bottom"/>
            <w:tcBorders>
              <w:left w:val="single" w:sz="8" w:color="BFBFBF"/>
              <w:right w:val="single" w:sz="8" w:color="BFBFBF"/>
            </w:tcBorders>
          </w:tcPr>
          <w:p>
            <w:pPr>
              <w:ind w:left="340"/>
              <w:spacing w:after="0" w:line="141" w:lineRule="exact"/>
              <w:rPr>
                <w:sz w:val="20"/>
                <w:szCs w:val="20"/>
                <w:color w:val="auto"/>
              </w:rPr>
            </w:pPr>
            <w:r>
              <w:rPr>
                <w:rFonts w:ascii="Arial" w:cs="Arial" w:eastAsia="Arial" w:hAnsi="Arial"/>
                <w:sz w:val="14"/>
                <w:szCs w:val="14"/>
                <w:color w:val="auto"/>
              </w:rPr>
              <w:t>Executive Vice</w:t>
            </w:r>
          </w:p>
        </w:tc>
        <w:tc>
          <w:tcPr>
            <w:tcW w:w="640" w:type="dxa"/>
            <w:vAlign w:val="bottom"/>
            <w:tcBorders>
              <w:bottom w:val="single" w:sz="8" w:color="BFBFBF"/>
              <w:right w:val="single" w:sz="8" w:color="BFBFBF"/>
            </w:tcBorders>
            <w:gridSpan w:val="3"/>
          </w:tcPr>
          <w:p>
            <w:pPr>
              <w:jc w:val="right"/>
              <w:ind w:right="120"/>
              <w:spacing w:after="0" w:line="141" w:lineRule="exact"/>
              <w:rPr>
                <w:sz w:val="20"/>
                <w:szCs w:val="20"/>
                <w:color w:val="auto"/>
              </w:rPr>
            </w:pPr>
            <w:r>
              <w:rPr>
                <w:rFonts w:ascii="Arial" w:cs="Arial" w:eastAsia="Arial" w:hAnsi="Arial"/>
                <w:sz w:val="14"/>
                <w:szCs w:val="14"/>
                <w:color w:val="auto"/>
              </w:rPr>
              <w:t>2011</w:t>
            </w:r>
          </w:p>
        </w:tc>
        <w:tc>
          <w:tcPr>
            <w:tcW w:w="6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BFBFBF"/>
            </w:tcBorders>
          </w:tcPr>
          <w:p>
            <w:pPr>
              <w:jc w:val="right"/>
              <w:spacing w:after="0" w:line="141" w:lineRule="exact"/>
              <w:rPr>
                <w:sz w:val="20"/>
                <w:szCs w:val="20"/>
                <w:color w:val="auto"/>
              </w:rPr>
            </w:pPr>
            <w:r>
              <w:rPr>
                <w:rFonts w:ascii="Arial" w:cs="Arial" w:eastAsia="Arial" w:hAnsi="Arial"/>
                <w:sz w:val="14"/>
                <w:szCs w:val="14"/>
                <w:color w:val="auto"/>
              </w:rPr>
              <w:t>500,000</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right w:val="single" w:sz="8" w:color="BFBFBF"/>
            </w:tcBorders>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0" w:type="dxa"/>
            <w:vAlign w:val="bottom"/>
            <w:tcBorders>
              <w:bottom w:val="single" w:sz="8" w:color="BFBFBF"/>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960,008</w:t>
            </w:r>
          </w:p>
        </w:tc>
        <w:tc>
          <w:tcPr>
            <w:tcW w:w="60" w:type="dxa"/>
            <w:vAlign w:val="bottom"/>
            <w:tcBorders>
              <w:bottom w:val="single" w:sz="8" w:color="BFBFBF"/>
            </w:tcBorders>
          </w:tcPr>
          <w:p>
            <w:pPr>
              <w:spacing w:after="0"/>
              <w:rPr>
                <w:sz w:val="12"/>
                <w:szCs w:val="12"/>
                <w:color w:val="auto"/>
              </w:rPr>
            </w:pPr>
          </w:p>
        </w:tc>
        <w:tc>
          <w:tcPr>
            <w:tcW w:w="640" w:type="dxa"/>
            <w:vAlign w:val="bottom"/>
            <w:tcBorders>
              <w:bottom w:val="single" w:sz="8" w:color="BFBFBF"/>
            </w:tcBorders>
          </w:tcPr>
          <w:p>
            <w:pPr>
              <w:jc w:val="right"/>
              <w:spacing w:after="0" w:line="141" w:lineRule="exact"/>
              <w:rPr>
                <w:sz w:val="20"/>
                <w:szCs w:val="20"/>
                <w:color w:val="auto"/>
              </w:rPr>
            </w:pPr>
            <w:r>
              <w:rPr>
                <w:rFonts w:ascii="Arial" w:cs="Arial" w:eastAsia="Arial" w:hAnsi="Arial"/>
                <w:sz w:val="14"/>
                <w:szCs w:val="14"/>
                <w:color w:val="auto"/>
                <w:w w:val="99"/>
              </w:rPr>
              <w:t>$ 240,018</w:t>
            </w:r>
          </w:p>
        </w:tc>
        <w:tc>
          <w:tcPr>
            <w:tcW w:w="12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1"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spacing w:after="0" w:line="141" w:lineRule="exact"/>
              <w:rPr>
                <w:sz w:val="20"/>
                <w:szCs w:val="20"/>
                <w:color w:val="auto"/>
              </w:rPr>
            </w:pPr>
            <w:r>
              <w:rPr>
                <w:rFonts w:ascii="Arial" w:cs="Arial" w:eastAsia="Arial" w:hAnsi="Arial"/>
                <w:sz w:val="14"/>
                <w:szCs w:val="14"/>
                <w:color w:val="auto"/>
              </w:rPr>
              <w:t>1,300,000</w:t>
            </w: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tcBorders>
          </w:tcPr>
          <w:p>
            <w:pPr>
              <w:spacing w:after="0" w:line="141"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19,800</w:t>
            </w: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tcBorders>
          </w:tcPr>
          <w:p>
            <w:pPr>
              <w:jc w:val="center"/>
              <w:spacing w:after="0" w:line="141" w:lineRule="exact"/>
              <w:rPr>
                <w:sz w:val="20"/>
                <w:szCs w:val="20"/>
                <w:color w:val="auto"/>
              </w:rPr>
            </w:pPr>
            <w:r>
              <w:rPr>
                <w:rFonts w:ascii="Arial" w:cs="Arial" w:eastAsia="Arial" w:hAnsi="Arial"/>
                <w:sz w:val="14"/>
                <w:szCs w:val="14"/>
                <w:color w:val="auto"/>
                <w:w w:val="99"/>
              </w:rPr>
              <w:t>$3,019,826</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40" w:type="dxa"/>
            <w:vAlign w:val="bottom"/>
            <w:tcBorders>
              <w:left w:val="single" w:sz="8" w:color="BFBFBF"/>
              <w:right w:val="single" w:sz="8" w:color="BFBFBF"/>
            </w:tcBorders>
          </w:tcPr>
          <w:p>
            <w:pPr>
              <w:ind w:left="340"/>
              <w:spacing w:after="0" w:line="129" w:lineRule="exact"/>
              <w:rPr>
                <w:sz w:val="20"/>
                <w:szCs w:val="20"/>
                <w:color w:val="auto"/>
              </w:rPr>
            </w:pPr>
            <w:r>
              <w:rPr>
                <w:rFonts w:ascii="Arial" w:cs="Arial" w:eastAsia="Arial" w:hAnsi="Arial"/>
                <w:sz w:val="14"/>
                <w:szCs w:val="14"/>
                <w:color w:val="auto"/>
              </w:rPr>
              <w:t>President, Transaction</w:t>
            </w:r>
          </w:p>
        </w:tc>
        <w:tc>
          <w:tcPr>
            <w:tcW w:w="640" w:type="dxa"/>
            <w:vAlign w:val="bottom"/>
            <w:tcBorders>
              <w:right w:val="single" w:sz="8" w:color="BFBFBF"/>
            </w:tcBorders>
            <w:gridSpan w:val="3"/>
          </w:tcPr>
          <w:p>
            <w:pPr>
              <w:jc w:val="right"/>
              <w:ind w:right="120"/>
              <w:spacing w:after="0" w:line="129" w:lineRule="exact"/>
              <w:rPr>
                <w:sz w:val="20"/>
                <w:szCs w:val="20"/>
                <w:color w:val="auto"/>
              </w:rPr>
            </w:pPr>
            <w:r>
              <w:rPr>
                <w:rFonts w:ascii="Arial" w:cs="Arial" w:eastAsia="Arial" w:hAnsi="Arial"/>
                <w:sz w:val="14"/>
                <w:szCs w:val="14"/>
                <w:color w:val="auto"/>
              </w:rPr>
              <w:t>2010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500,000</w:t>
            </w:r>
          </w:p>
        </w:tc>
        <w:tc>
          <w:tcPr>
            <w:tcW w:w="140" w:type="dxa"/>
            <w:vAlign w:val="bottom"/>
            <w:tcBorders>
              <w:right w:val="single" w:sz="8" w:color="BFBFBF"/>
            </w:tcBorders>
          </w:tcPr>
          <w:p>
            <w:pPr>
              <w:spacing w:after="0"/>
              <w:rPr>
                <w:sz w:val="11"/>
                <w:szCs w:val="11"/>
                <w:color w:val="auto"/>
              </w:rPr>
            </w:pPr>
          </w:p>
        </w:tc>
        <w:tc>
          <w:tcPr>
            <w:tcW w:w="780" w:type="dxa"/>
            <w:vAlign w:val="bottom"/>
            <w:tcBorders>
              <w:right w:val="single" w:sz="8" w:color="BFBFBF"/>
            </w:tcBorders>
            <w:gridSpan w:val="3"/>
          </w:tcPr>
          <w:p>
            <w:pPr>
              <w:jc w:val="right"/>
              <w:ind w:right="120"/>
              <w:spacing w:after="0" w:line="129" w:lineRule="exact"/>
              <w:rPr>
                <w:sz w:val="20"/>
                <w:szCs w:val="20"/>
                <w:color w:val="auto"/>
              </w:rPr>
            </w:pPr>
            <w:r>
              <w:rPr>
                <w:rFonts w:ascii="Arial" w:cs="Arial" w:eastAsia="Arial" w:hAnsi="Arial"/>
                <w:sz w:val="14"/>
                <w:szCs w:val="14"/>
                <w:color w:val="auto"/>
              </w:rPr>
              <w:t>$ 178,625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720,006</w:t>
            </w: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w w:val="99"/>
              </w:rPr>
              <w:t>$ 180,002</w:t>
            </w:r>
          </w:p>
        </w:tc>
        <w:tc>
          <w:tcPr>
            <w:tcW w:w="120" w:type="dxa"/>
            <w:vAlign w:val="bottom"/>
            <w:tcBorders>
              <w:right w:val="single" w:sz="8" w:color="BFBFBF"/>
            </w:tcBorders>
          </w:tcPr>
          <w:p>
            <w:pPr>
              <w:spacing w:after="0"/>
              <w:rPr>
                <w:sz w:val="11"/>
                <w:szCs w:val="11"/>
                <w:color w:val="auto"/>
              </w:rPr>
            </w:pPr>
          </w:p>
        </w:tc>
        <w:tc>
          <w:tcPr>
            <w:tcW w:w="2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771,375</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Borders>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42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22,125</w:t>
            </w:r>
          </w:p>
        </w:tc>
        <w:tc>
          <w:tcPr>
            <w:tcW w:w="8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color w:val="auto"/>
                <w:w w:val="99"/>
              </w:rPr>
              <w:t>$2,372,133</w:t>
            </w:r>
          </w:p>
        </w:tc>
        <w:tc>
          <w:tcPr>
            <w:tcW w:w="200" w:type="dxa"/>
            <w:vAlign w:val="bottom"/>
            <w:tcBorders>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40" w:type="dxa"/>
            <w:vAlign w:val="bottom"/>
            <w:tcBorders>
              <w:left w:val="single" w:sz="8" w:color="BFBFBF"/>
              <w:right w:val="single" w:sz="8" w:color="BFBFBF"/>
            </w:tcBorders>
          </w:tcPr>
          <w:p>
            <w:pPr>
              <w:ind w:left="340"/>
              <w:spacing w:after="0"/>
              <w:rPr>
                <w:sz w:val="20"/>
                <w:szCs w:val="20"/>
                <w:color w:val="auto"/>
              </w:rPr>
            </w:pPr>
            <w:r>
              <w:rPr>
                <w:rFonts w:ascii="Arial" w:cs="Arial" w:eastAsia="Arial" w:hAnsi="Arial"/>
                <w:sz w:val="14"/>
                <w:szCs w:val="14"/>
                <w:color w:val="auto"/>
              </w:rPr>
              <w:t>Services U.S. and U.K.</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right w:val="single" w:sz="8" w:color="BFBFB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right w:val="single" w:sz="8" w:color="BFBFBF"/>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right w:val="single" w:sz="8" w:color="BFBFBF"/>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right w:val="single" w:sz="8" w:color="BFBFBF"/>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right w:val="single" w:sz="8" w:color="BFBFBF"/>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BFBFBF"/>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BFBFBF"/>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right w:val="single" w:sz="8" w:color="BFBFBF"/>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840" w:type="dxa"/>
            <w:vAlign w:val="bottom"/>
            <w:tcBorders>
              <w:left w:val="single" w:sz="8" w:color="BFBFBF"/>
              <w:bottom w:val="single" w:sz="8" w:color="BFBFBF"/>
              <w:right w:val="single" w:sz="8" w:color="BFBFBF"/>
            </w:tcBorders>
          </w:tcPr>
          <w:p>
            <w:pPr>
              <w:spacing w:after="0"/>
              <w:rPr>
                <w:sz w:val="8"/>
                <w:szCs w:val="8"/>
                <w:color w:val="auto"/>
              </w:rPr>
            </w:pPr>
          </w:p>
        </w:tc>
        <w:tc>
          <w:tcPr>
            <w:tcW w:w="80" w:type="dxa"/>
            <w:vAlign w:val="bottom"/>
            <w:tcBorders>
              <w:bottom w:val="single" w:sz="8" w:color="BFBFBF"/>
            </w:tcBorders>
          </w:tcPr>
          <w:p>
            <w:pPr>
              <w:spacing w:after="0"/>
              <w:rPr>
                <w:sz w:val="8"/>
                <w:szCs w:val="8"/>
                <w:color w:val="auto"/>
              </w:rPr>
            </w:pPr>
          </w:p>
        </w:tc>
        <w:tc>
          <w:tcPr>
            <w:tcW w:w="440" w:type="dxa"/>
            <w:vAlign w:val="bottom"/>
            <w:tcBorders>
              <w:bottom w:val="single" w:sz="8" w:color="BFBFBF"/>
            </w:tcBorders>
          </w:tcPr>
          <w:p>
            <w:pPr>
              <w:spacing w:after="0"/>
              <w:rPr>
                <w:sz w:val="8"/>
                <w:szCs w:val="8"/>
                <w:color w:val="auto"/>
              </w:rPr>
            </w:pPr>
          </w:p>
        </w:tc>
        <w:tc>
          <w:tcPr>
            <w:tcW w:w="120" w:type="dxa"/>
            <w:vAlign w:val="bottom"/>
            <w:tcBorders>
              <w:bottom w:val="single" w:sz="8" w:color="BFBFBF"/>
              <w:right w:val="single" w:sz="8" w:color="BFBFBF"/>
            </w:tcBorders>
          </w:tcPr>
          <w:p>
            <w:pPr>
              <w:spacing w:after="0"/>
              <w:rPr>
                <w:sz w:val="8"/>
                <w:szCs w:val="8"/>
                <w:color w:val="auto"/>
              </w:rPr>
            </w:pPr>
          </w:p>
        </w:tc>
        <w:tc>
          <w:tcPr>
            <w:tcW w:w="60" w:type="dxa"/>
            <w:vAlign w:val="bottom"/>
            <w:tcBorders>
              <w:bottom w:val="single" w:sz="8" w:color="BFBFBF"/>
            </w:tcBorders>
          </w:tcPr>
          <w:p>
            <w:pPr>
              <w:spacing w:after="0"/>
              <w:rPr>
                <w:sz w:val="8"/>
                <w:szCs w:val="8"/>
                <w:color w:val="auto"/>
              </w:rPr>
            </w:pPr>
          </w:p>
        </w:tc>
        <w:tc>
          <w:tcPr>
            <w:tcW w:w="20" w:type="dxa"/>
            <w:vAlign w:val="bottom"/>
            <w:tcBorders>
              <w:bottom w:val="single" w:sz="8" w:color="BFBFBF"/>
            </w:tcBorders>
          </w:tcPr>
          <w:p>
            <w:pPr>
              <w:spacing w:after="0"/>
              <w:rPr>
                <w:sz w:val="8"/>
                <w:szCs w:val="8"/>
                <w:color w:val="auto"/>
              </w:rPr>
            </w:pPr>
          </w:p>
        </w:tc>
        <w:tc>
          <w:tcPr>
            <w:tcW w:w="100" w:type="dxa"/>
            <w:vAlign w:val="bottom"/>
            <w:tcBorders>
              <w:bottom w:val="single" w:sz="8" w:color="BFBFBF"/>
            </w:tcBorders>
          </w:tcPr>
          <w:p>
            <w:pPr>
              <w:spacing w:after="0"/>
              <w:rPr>
                <w:sz w:val="8"/>
                <w:szCs w:val="8"/>
                <w:color w:val="auto"/>
              </w:rPr>
            </w:pPr>
          </w:p>
        </w:tc>
        <w:tc>
          <w:tcPr>
            <w:tcW w:w="580" w:type="dxa"/>
            <w:vAlign w:val="bottom"/>
            <w:tcBorders>
              <w:bottom w:val="single" w:sz="8" w:color="BFBFBF"/>
            </w:tcBorders>
          </w:tcPr>
          <w:p>
            <w:pPr>
              <w:spacing w:after="0"/>
              <w:rPr>
                <w:sz w:val="8"/>
                <w:szCs w:val="8"/>
                <w:color w:val="auto"/>
              </w:rPr>
            </w:pPr>
          </w:p>
        </w:tc>
        <w:tc>
          <w:tcPr>
            <w:tcW w:w="140" w:type="dxa"/>
            <w:vAlign w:val="bottom"/>
            <w:tcBorders>
              <w:bottom w:val="single" w:sz="8" w:color="BFBFBF"/>
              <w:right w:val="single" w:sz="8" w:color="BFBFBF"/>
            </w:tcBorders>
          </w:tcPr>
          <w:p>
            <w:pPr>
              <w:spacing w:after="0"/>
              <w:rPr>
                <w:sz w:val="8"/>
                <w:szCs w:val="8"/>
                <w:color w:val="auto"/>
              </w:rPr>
            </w:pPr>
          </w:p>
        </w:tc>
        <w:tc>
          <w:tcPr>
            <w:tcW w:w="80" w:type="dxa"/>
            <w:vAlign w:val="bottom"/>
            <w:tcBorders>
              <w:bottom w:val="single" w:sz="8" w:color="BFBFBF"/>
            </w:tcBorders>
          </w:tcPr>
          <w:p>
            <w:pPr>
              <w:spacing w:after="0"/>
              <w:rPr>
                <w:sz w:val="8"/>
                <w:szCs w:val="8"/>
                <w:color w:val="auto"/>
              </w:rPr>
            </w:pPr>
          </w:p>
        </w:tc>
        <w:tc>
          <w:tcPr>
            <w:tcW w:w="580" w:type="dxa"/>
            <w:vAlign w:val="bottom"/>
            <w:tcBorders>
              <w:bottom w:val="single" w:sz="8" w:color="BFBFBF"/>
            </w:tcBorders>
          </w:tcPr>
          <w:p>
            <w:pPr>
              <w:spacing w:after="0"/>
              <w:rPr>
                <w:sz w:val="8"/>
                <w:szCs w:val="8"/>
                <w:color w:val="auto"/>
              </w:rPr>
            </w:pPr>
          </w:p>
        </w:tc>
        <w:tc>
          <w:tcPr>
            <w:tcW w:w="120" w:type="dxa"/>
            <w:vAlign w:val="bottom"/>
            <w:tcBorders>
              <w:bottom w:val="single" w:sz="8" w:color="BFBFBF"/>
              <w:right w:val="single" w:sz="8" w:color="BFBFBF"/>
            </w:tcBorders>
          </w:tcPr>
          <w:p>
            <w:pPr>
              <w:spacing w:after="0"/>
              <w:rPr>
                <w:sz w:val="8"/>
                <w:szCs w:val="8"/>
                <w:color w:val="auto"/>
              </w:rPr>
            </w:pPr>
          </w:p>
        </w:tc>
        <w:tc>
          <w:tcPr>
            <w:tcW w:w="80" w:type="dxa"/>
            <w:vAlign w:val="bottom"/>
            <w:tcBorders>
              <w:bottom w:val="single" w:sz="8" w:color="BFBFBF"/>
            </w:tcBorders>
          </w:tcPr>
          <w:p>
            <w:pPr>
              <w:spacing w:after="0"/>
              <w:rPr>
                <w:sz w:val="8"/>
                <w:szCs w:val="8"/>
                <w:color w:val="auto"/>
              </w:rPr>
            </w:pPr>
          </w:p>
        </w:tc>
        <w:tc>
          <w:tcPr>
            <w:tcW w:w="80" w:type="dxa"/>
            <w:vAlign w:val="bottom"/>
            <w:tcBorders>
              <w:bottom w:val="single" w:sz="8" w:color="BFBFBF"/>
            </w:tcBorders>
          </w:tcPr>
          <w:p>
            <w:pPr>
              <w:spacing w:after="0"/>
              <w:rPr>
                <w:sz w:val="8"/>
                <w:szCs w:val="8"/>
                <w:color w:val="auto"/>
              </w:rPr>
            </w:pPr>
          </w:p>
        </w:tc>
        <w:tc>
          <w:tcPr>
            <w:tcW w:w="600" w:type="dxa"/>
            <w:vAlign w:val="bottom"/>
            <w:tcBorders>
              <w:bottom w:val="single" w:sz="8" w:color="BFBFBF"/>
            </w:tcBorders>
          </w:tcPr>
          <w:p>
            <w:pPr>
              <w:spacing w:after="0"/>
              <w:rPr>
                <w:sz w:val="8"/>
                <w:szCs w:val="8"/>
                <w:color w:val="auto"/>
              </w:rPr>
            </w:pPr>
          </w:p>
        </w:tc>
        <w:tc>
          <w:tcPr>
            <w:tcW w:w="140" w:type="dxa"/>
            <w:vAlign w:val="bottom"/>
            <w:tcBorders>
              <w:bottom w:val="single" w:sz="8" w:color="BFBFBF"/>
              <w:right w:val="single" w:sz="8" w:color="BFBFBF"/>
            </w:tcBorders>
          </w:tcPr>
          <w:p>
            <w:pPr>
              <w:spacing w:after="0"/>
              <w:rPr>
                <w:sz w:val="8"/>
                <w:szCs w:val="8"/>
                <w:color w:val="auto"/>
              </w:rPr>
            </w:pPr>
          </w:p>
        </w:tc>
        <w:tc>
          <w:tcPr>
            <w:tcW w:w="60" w:type="dxa"/>
            <w:vAlign w:val="bottom"/>
            <w:tcBorders>
              <w:bottom w:val="single" w:sz="8" w:color="BFBFBF"/>
            </w:tcBorders>
          </w:tcPr>
          <w:p>
            <w:pPr>
              <w:spacing w:after="0"/>
              <w:rPr>
                <w:sz w:val="8"/>
                <w:szCs w:val="8"/>
                <w:color w:val="auto"/>
              </w:rPr>
            </w:pPr>
          </w:p>
        </w:tc>
        <w:tc>
          <w:tcPr>
            <w:tcW w:w="640" w:type="dxa"/>
            <w:vAlign w:val="bottom"/>
            <w:tcBorders>
              <w:bottom w:val="single" w:sz="8" w:color="BFBFBF"/>
            </w:tcBorders>
          </w:tcPr>
          <w:p>
            <w:pPr>
              <w:spacing w:after="0"/>
              <w:rPr>
                <w:sz w:val="8"/>
                <w:szCs w:val="8"/>
                <w:color w:val="auto"/>
              </w:rPr>
            </w:pPr>
          </w:p>
        </w:tc>
        <w:tc>
          <w:tcPr>
            <w:tcW w:w="120" w:type="dxa"/>
            <w:vAlign w:val="bottom"/>
            <w:tcBorders>
              <w:bottom w:val="single" w:sz="8" w:color="BFBFBF"/>
              <w:right w:val="single" w:sz="8" w:color="BFBFBF"/>
            </w:tcBorders>
          </w:tcPr>
          <w:p>
            <w:pPr>
              <w:spacing w:after="0"/>
              <w:rPr>
                <w:sz w:val="8"/>
                <w:szCs w:val="8"/>
                <w:color w:val="auto"/>
              </w:rPr>
            </w:pPr>
          </w:p>
        </w:tc>
        <w:tc>
          <w:tcPr>
            <w:tcW w:w="80" w:type="dxa"/>
            <w:vAlign w:val="bottom"/>
            <w:tcBorders>
              <w:bottom w:val="single" w:sz="8" w:color="BFBFBF"/>
            </w:tcBorders>
          </w:tcPr>
          <w:p>
            <w:pPr>
              <w:spacing w:after="0"/>
              <w:rPr>
                <w:sz w:val="8"/>
                <w:szCs w:val="8"/>
                <w:color w:val="auto"/>
              </w:rPr>
            </w:pPr>
          </w:p>
        </w:tc>
        <w:tc>
          <w:tcPr>
            <w:tcW w:w="120" w:type="dxa"/>
            <w:vAlign w:val="bottom"/>
            <w:tcBorders>
              <w:bottom w:val="single" w:sz="8" w:color="BFBFBF"/>
            </w:tcBorders>
          </w:tcPr>
          <w:p>
            <w:pPr>
              <w:spacing w:after="0"/>
              <w:rPr>
                <w:sz w:val="8"/>
                <w:szCs w:val="8"/>
                <w:color w:val="auto"/>
              </w:rPr>
            </w:pPr>
          </w:p>
        </w:tc>
        <w:tc>
          <w:tcPr>
            <w:tcW w:w="900" w:type="dxa"/>
            <w:vAlign w:val="bottom"/>
            <w:tcBorders>
              <w:bottom w:val="single" w:sz="8" w:color="BFBFBF"/>
            </w:tcBorders>
          </w:tcPr>
          <w:p>
            <w:pPr>
              <w:spacing w:after="0"/>
              <w:rPr>
                <w:sz w:val="8"/>
                <w:szCs w:val="8"/>
                <w:color w:val="auto"/>
              </w:rPr>
            </w:pPr>
          </w:p>
        </w:tc>
        <w:tc>
          <w:tcPr>
            <w:tcW w:w="120" w:type="dxa"/>
            <w:vAlign w:val="bottom"/>
            <w:tcBorders>
              <w:bottom w:val="single" w:sz="8" w:color="BFBFBF"/>
              <w:right w:val="single" w:sz="8" w:color="BFBFBF"/>
            </w:tcBorders>
          </w:tcPr>
          <w:p>
            <w:pPr>
              <w:spacing w:after="0"/>
              <w:rPr>
                <w:sz w:val="8"/>
                <w:szCs w:val="8"/>
                <w:color w:val="auto"/>
              </w:rPr>
            </w:pPr>
          </w:p>
        </w:tc>
        <w:tc>
          <w:tcPr>
            <w:tcW w:w="80" w:type="dxa"/>
            <w:vAlign w:val="bottom"/>
            <w:tcBorders>
              <w:bottom w:val="single" w:sz="8" w:color="BFBFBF"/>
            </w:tcBorders>
          </w:tcPr>
          <w:p>
            <w:pPr>
              <w:spacing w:after="0"/>
              <w:rPr>
                <w:sz w:val="8"/>
                <w:szCs w:val="8"/>
                <w:color w:val="auto"/>
              </w:rPr>
            </w:pPr>
          </w:p>
        </w:tc>
        <w:tc>
          <w:tcPr>
            <w:tcW w:w="460" w:type="dxa"/>
            <w:vAlign w:val="bottom"/>
            <w:tcBorders>
              <w:bottom w:val="single" w:sz="8" w:color="BFBFBF"/>
            </w:tcBorders>
          </w:tcPr>
          <w:p>
            <w:pPr>
              <w:spacing w:after="0"/>
              <w:rPr>
                <w:sz w:val="8"/>
                <w:szCs w:val="8"/>
                <w:color w:val="auto"/>
              </w:rPr>
            </w:pPr>
          </w:p>
        </w:tc>
        <w:tc>
          <w:tcPr>
            <w:tcW w:w="560" w:type="dxa"/>
            <w:vAlign w:val="bottom"/>
            <w:tcBorders>
              <w:bottom w:val="single" w:sz="8" w:color="BFBFBF"/>
            </w:tcBorders>
          </w:tcPr>
          <w:p>
            <w:pPr>
              <w:spacing w:after="0"/>
              <w:rPr>
                <w:sz w:val="8"/>
                <w:szCs w:val="8"/>
                <w:color w:val="auto"/>
              </w:rPr>
            </w:pPr>
          </w:p>
        </w:tc>
        <w:tc>
          <w:tcPr>
            <w:tcW w:w="120" w:type="dxa"/>
            <w:vAlign w:val="bottom"/>
            <w:tcBorders>
              <w:bottom w:val="single" w:sz="8" w:color="BFBFBF"/>
              <w:right w:val="single" w:sz="8" w:color="BFBFBF"/>
            </w:tcBorders>
          </w:tcPr>
          <w:p>
            <w:pPr>
              <w:spacing w:after="0"/>
              <w:rPr>
                <w:sz w:val="8"/>
                <w:szCs w:val="8"/>
                <w:color w:val="auto"/>
              </w:rPr>
            </w:pPr>
          </w:p>
        </w:tc>
        <w:tc>
          <w:tcPr>
            <w:tcW w:w="80" w:type="dxa"/>
            <w:vAlign w:val="bottom"/>
            <w:tcBorders>
              <w:bottom w:val="single" w:sz="8" w:color="BFBFBF"/>
            </w:tcBorders>
          </w:tcPr>
          <w:p>
            <w:pPr>
              <w:spacing w:after="0"/>
              <w:rPr>
                <w:sz w:val="8"/>
                <w:szCs w:val="8"/>
                <w:color w:val="auto"/>
              </w:rPr>
            </w:pPr>
          </w:p>
        </w:tc>
        <w:tc>
          <w:tcPr>
            <w:tcW w:w="420" w:type="dxa"/>
            <w:vAlign w:val="bottom"/>
            <w:tcBorders>
              <w:bottom w:val="single" w:sz="8" w:color="BFBFBF"/>
            </w:tcBorders>
          </w:tcPr>
          <w:p>
            <w:pPr>
              <w:spacing w:after="0"/>
              <w:rPr>
                <w:sz w:val="8"/>
                <w:szCs w:val="8"/>
                <w:color w:val="auto"/>
              </w:rPr>
            </w:pPr>
          </w:p>
        </w:tc>
        <w:tc>
          <w:tcPr>
            <w:tcW w:w="520" w:type="dxa"/>
            <w:vAlign w:val="bottom"/>
            <w:tcBorders>
              <w:bottom w:val="single" w:sz="8" w:color="BFBFBF"/>
            </w:tcBorders>
          </w:tcPr>
          <w:p>
            <w:pPr>
              <w:spacing w:after="0"/>
              <w:rPr>
                <w:sz w:val="8"/>
                <w:szCs w:val="8"/>
                <w:color w:val="auto"/>
              </w:rPr>
            </w:pPr>
          </w:p>
        </w:tc>
        <w:tc>
          <w:tcPr>
            <w:tcW w:w="120" w:type="dxa"/>
            <w:vAlign w:val="bottom"/>
            <w:tcBorders>
              <w:bottom w:val="single" w:sz="8" w:color="BFBFBF"/>
              <w:right w:val="single" w:sz="8" w:color="BFBFBF"/>
            </w:tcBorders>
          </w:tcPr>
          <w:p>
            <w:pPr>
              <w:spacing w:after="0"/>
              <w:rPr>
                <w:sz w:val="8"/>
                <w:szCs w:val="8"/>
                <w:color w:val="auto"/>
              </w:rPr>
            </w:pPr>
          </w:p>
        </w:tc>
        <w:tc>
          <w:tcPr>
            <w:tcW w:w="80" w:type="dxa"/>
            <w:vAlign w:val="bottom"/>
            <w:tcBorders>
              <w:bottom w:val="single" w:sz="8" w:color="BFBFBF"/>
            </w:tcBorders>
          </w:tcPr>
          <w:p>
            <w:pPr>
              <w:spacing w:after="0"/>
              <w:rPr>
                <w:sz w:val="8"/>
                <w:szCs w:val="8"/>
                <w:color w:val="auto"/>
              </w:rPr>
            </w:pPr>
          </w:p>
        </w:tc>
        <w:tc>
          <w:tcPr>
            <w:tcW w:w="700" w:type="dxa"/>
            <w:vAlign w:val="bottom"/>
            <w:tcBorders>
              <w:bottom w:val="single" w:sz="8" w:color="BFBFBF"/>
            </w:tcBorders>
          </w:tcPr>
          <w:p>
            <w:pPr>
              <w:spacing w:after="0"/>
              <w:rPr>
                <w:sz w:val="8"/>
                <w:szCs w:val="8"/>
                <w:color w:val="auto"/>
              </w:rPr>
            </w:pPr>
          </w:p>
        </w:tc>
        <w:tc>
          <w:tcPr>
            <w:tcW w:w="200" w:type="dxa"/>
            <w:vAlign w:val="bottom"/>
            <w:tcBorders>
              <w:bottom w:val="single" w:sz="8" w:color="BFBFBF"/>
              <w:right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-2752090</wp:posOffset>
            </wp:positionV>
            <wp:extent cx="889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-2752090</wp:posOffset>
            </wp:positionV>
            <wp:extent cx="889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0" w:lineRule="exact"/>
        <w:rPr>
          <w:sz w:val="20"/>
          <w:szCs w:val="20"/>
          <w:color w:val="auto"/>
        </w:rPr>
      </w:pPr>
    </w:p>
    <w:p>
      <w:pPr>
        <w:ind w:left="580" w:right="100" w:hanging="572"/>
        <w:spacing w:after="0" w:line="238"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Mr. Jochumsen, certain amounts reported in “Compensation Discussion and Analysis” and “Executive Compensation” are paid in Swedish krona. These amounts are converted to U.S. dollars from krona at an exchange rate of $0.1478 per krona, which was the average exchange rate for 2012.</w:t>
      </w:r>
    </w:p>
    <w:p>
      <w:pPr>
        <w:spacing w:after="0" w:line="59" w:lineRule="exact"/>
        <w:rPr>
          <w:rFonts w:ascii="Arial" w:cs="Arial" w:eastAsia="Arial" w:hAnsi="Arial"/>
          <w:sz w:val="18"/>
          <w:szCs w:val="18"/>
          <w:color w:val="auto"/>
        </w:rPr>
      </w:pPr>
    </w:p>
    <w:p>
      <w:pPr>
        <w:ind w:left="580" w:right="60" w:hanging="572"/>
        <w:spacing w:after="0" w:line="238"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reported in this column reflects a cash award made in 2010 to the named executive officer that is in addition to the amount earned under the ECIP or other performance-based incentive compensation programs, which is reported in the column entitled “Non-Equity Incentive Plan Compensation.”</w:t>
      </w:r>
    </w:p>
    <w:p>
      <w:pPr>
        <w:spacing w:after="0" w:line="59" w:lineRule="exact"/>
        <w:rPr>
          <w:rFonts w:ascii="Arial" w:cs="Arial" w:eastAsia="Arial" w:hAnsi="Arial"/>
          <w:sz w:val="18"/>
          <w:szCs w:val="18"/>
          <w:color w:val="auto"/>
        </w:rPr>
      </w:pPr>
    </w:p>
    <w:p>
      <w:pPr>
        <w:ind w:left="900" w:right="60" w:hanging="892"/>
        <w:spacing w:after="0" w:line="236" w:lineRule="auto"/>
        <w:tabs>
          <w:tab w:leader="none" w:pos="4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The amounts reported in this column reflect the grant date fair value of the stock awards, including PSUs and restricted stock, computed in accordance with FASB ASC Topic 718. The assumptions used in the calculation of these amounts are included in footnote 12 to the company’s audited financial statements for the fiscal year ended December 31, 2012 included in our Form 10-K. The grant date fair value of the 2012 PSU awards was calculated using a price of $22.50 derived from a Monte Carlo simulation. The table below presents separately the grant date fair value of the awards of PSUs, assuming that the target performance level will be achieved, and restricted stock for each year.</w:t>
      </w:r>
    </w:p>
    <w:p>
      <w:pPr>
        <w:spacing w:after="0" w:line="156"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57</w:t>
      </w:r>
    </w:p>
    <w:p>
      <w:pPr>
        <w:sectPr>
          <w:pgSz w:w="11900" w:h="16838" w:orient="portrait"/>
          <w:cols w:equalWidth="0" w:num="1">
            <w:col w:w="11440"/>
          </w:cols>
          <w:pgMar w:left="240" w:top="459" w:right="2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480" w:type="dxa"/>
            <w:vAlign w:val="bottom"/>
            <w:tcBorders>
              <w:left w:val="single" w:sz="8" w:color="BFBFBF"/>
              <w:right w:val="single" w:sz="8" w:color="BFBFBF"/>
            </w:tcBorders>
            <w:shd w:val="clear" w:color="auto" w:fill="0088A6"/>
          </w:tcPr>
          <w:p>
            <w:pPr>
              <w:ind w:left="2060"/>
              <w:spacing w:after="0"/>
              <w:rPr>
                <w:sz w:val="20"/>
                <w:szCs w:val="20"/>
                <w:color w:val="auto"/>
              </w:rPr>
            </w:pPr>
            <w:r>
              <w:rPr>
                <w:rFonts w:ascii="Arial" w:cs="Arial" w:eastAsia="Arial" w:hAnsi="Arial"/>
                <w:sz w:val="18"/>
                <w:szCs w:val="18"/>
                <w:b w:val="1"/>
                <w:bCs w:val="1"/>
                <w:color w:val="FFFFFF"/>
              </w:rPr>
              <w:t>Name</w:t>
            </w:r>
          </w:p>
        </w:tc>
        <w:tc>
          <w:tcPr>
            <w:tcW w:w="500" w:type="dxa"/>
            <w:vAlign w:val="bottom"/>
            <w:shd w:val="clear" w:color="auto" w:fill="0088A6"/>
          </w:tcPr>
          <w:p>
            <w:pPr>
              <w:spacing w:after="0"/>
              <w:rPr>
                <w:sz w:val="17"/>
                <w:szCs w:val="17"/>
                <w:color w:val="auto"/>
              </w:rPr>
            </w:pPr>
          </w:p>
        </w:tc>
        <w:tc>
          <w:tcPr>
            <w:tcW w:w="660" w:type="dxa"/>
            <w:vAlign w:val="bottom"/>
            <w:shd w:val="clear" w:color="auto" w:fill="0088A6"/>
          </w:tcPr>
          <w:p>
            <w:pPr>
              <w:spacing w:after="0"/>
              <w:rPr>
                <w:sz w:val="17"/>
                <w:szCs w:val="17"/>
                <w:color w:val="auto"/>
              </w:rPr>
            </w:pPr>
          </w:p>
        </w:tc>
        <w:tc>
          <w:tcPr>
            <w:tcW w:w="120" w:type="dxa"/>
            <w:vAlign w:val="bottom"/>
            <w:tcBorders>
              <w:right w:val="single" w:sz="8" w:color="BFBFBF"/>
            </w:tcBorders>
            <w:shd w:val="clear" w:color="auto" w:fill="0088A6"/>
          </w:tcPr>
          <w:p>
            <w:pPr>
              <w:spacing w:after="0"/>
              <w:rPr>
                <w:sz w:val="17"/>
                <w:szCs w:val="17"/>
                <w:color w:val="auto"/>
              </w:rPr>
            </w:pPr>
          </w:p>
        </w:tc>
        <w:tc>
          <w:tcPr>
            <w:tcW w:w="500" w:type="dxa"/>
            <w:vAlign w:val="bottom"/>
            <w:shd w:val="clear" w:color="auto" w:fill="0088A6"/>
          </w:tcPr>
          <w:p>
            <w:pPr>
              <w:spacing w:after="0"/>
              <w:rPr>
                <w:sz w:val="17"/>
                <w:szCs w:val="17"/>
                <w:color w:val="auto"/>
              </w:rPr>
            </w:pPr>
          </w:p>
        </w:tc>
        <w:tc>
          <w:tcPr>
            <w:tcW w:w="160" w:type="dxa"/>
            <w:vAlign w:val="bottom"/>
            <w:shd w:val="clear" w:color="auto" w:fill="0088A6"/>
          </w:tcPr>
          <w:p>
            <w:pPr>
              <w:spacing w:after="0"/>
              <w:rPr>
                <w:sz w:val="17"/>
                <w:szCs w:val="17"/>
                <w:color w:val="auto"/>
              </w:rPr>
            </w:pPr>
          </w:p>
        </w:tc>
        <w:tc>
          <w:tcPr>
            <w:tcW w:w="960" w:type="dxa"/>
            <w:vAlign w:val="bottom"/>
            <w:tcBorders>
              <w:right w:val="single" w:sz="8" w:color="BFBFBF"/>
            </w:tcBorders>
            <w:gridSpan w:val="2"/>
            <w:shd w:val="clear" w:color="auto" w:fill="0088A6"/>
          </w:tcPr>
          <w:p>
            <w:pPr>
              <w:jc w:val="right"/>
              <w:ind w:right="400"/>
              <w:spacing w:after="0"/>
              <w:rPr>
                <w:sz w:val="20"/>
                <w:szCs w:val="20"/>
                <w:color w:val="auto"/>
              </w:rPr>
            </w:pPr>
            <w:r>
              <w:rPr>
                <w:rFonts w:ascii="Arial" w:cs="Arial" w:eastAsia="Arial" w:hAnsi="Arial"/>
                <w:sz w:val="18"/>
                <w:szCs w:val="18"/>
                <w:b w:val="1"/>
                <w:bCs w:val="1"/>
                <w:color w:val="FFFFFF"/>
              </w:rPr>
              <w:t>PSUs</w:t>
            </w:r>
          </w:p>
        </w:tc>
        <w:tc>
          <w:tcPr>
            <w:tcW w:w="300" w:type="dxa"/>
            <w:vAlign w:val="bottom"/>
            <w:shd w:val="clear" w:color="auto" w:fill="0088A6"/>
          </w:tcPr>
          <w:p>
            <w:pPr>
              <w:spacing w:after="0"/>
              <w:rPr>
                <w:sz w:val="17"/>
                <w:szCs w:val="17"/>
                <w:color w:val="auto"/>
              </w:rPr>
            </w:pPr>
          </w:p>
        </w:tc>
        <w:tc>
          <w:tcPr>
            <w:tcW w:w="1620" w:type="dxa"/>
            <w:vAlign w:val="bottom"/>
            <w:tcBorders>
              <w:right w:val="single" w:sz="8" w:color="BFBFBF"/>
            </w:tcBorders>
            <w:gridSpan w:val="3"/>
            <w:shd w:val="clear" w:color="auto" w:fill="0088A6"/>
          </w:tcPr>
          <w:p>
            <w:pPr>
              <w:spacing w:after="0"/>
              <w:rPr>
                <w:sz w:val="20"/>
                <w:szCs w:val="20"/>
                <w:color w:val="auto"/>
              </w:rPr>
            </w:pPr>
            <w:r>
              <w:rPr>
                <w:rFonts w:ascii="Arial" w:cs="Arial" w:eastAsia="Arial" w:hAnsi="Arial"/>
                <w:sz w:val="18"/>
                <w:szCs w:val="18"/>
                <w:b w:val="1"/>
                <w:bCs w:val="1"/>
                <w:color w:val="FFFFFF"/>
              </w:rPr>
              <w:t>Restricted Stock</w:t>
            </w:r>
          </w:p>
        </w:tc>
        <w:tc>
          <w:tcPr>
            <w:tcW w:w="300" w:type="dxa"/>
            <w:vAlign w:val="bottom"/>
            <w:shd w:val="clear" w:color="auto" w:fill="0088A6"/>
          </w:tcPr>
          <w:p>
            <w:pPr>
              <w:spacing w:after="0"/>
              <w:rPr>
                <w:sz w:val="17"/>
                <w:szCs w:val="17"/>
                <w:color w:val="auto"/>
              </w:rPr>
            </w:pPr>
          </w:p>
        </w:tc>
        <w:tc>
          <w:tcPr>
            <w:tcW w:w="1840" w:type="dxa"/>
            <w:vAlign w:val="bottom"/>
            <w:tcBorders>
              <w:right w:val="single" w:sz="8" w:color="BFBFBF"/>
            </w:tcBorders>
            <w:gridSpan w:val="3"/>
            <w:shd w:val="clear" w:color="auto" w:fill="0088A6"/>
          </w:tcPr>
          <w:p>
            <w:pPr>
              <w:spacing w:after="0"/>
              <w:rPr>
                <w:sz w:val="20"/>
                <w:szCs w:val="20"/>
                <w:color w:val="auto"/>
              </w:rPr>
            </w:pPr>
            <w:r>
              <w:rPr>
                <w:rFonts w:ascii="Arial" w:cs="Arial" w:eastAsia="Arial" w:hAnsi="Arial"/>
                <w:sz w:val="18"/>
                <w:szCs w:val="18"/>
                <w:b w:val="1"/>
                <w:bCs w:val="1"/>
                <w:color w:val="FFFFFF"/>
              </w:rPr>
              <w:t>Total Stock Awards</w:t>
            </w:r>
          </w:p>
        </w:tc>
        <w:tc>
          <w:tcPr>
            <w:tcW w:w="0" w:type="dxa"/>
            <w:vAlign w:val="bottom"/>
          </w:tcPr>
          <w:p>
            <w:pPr>
              <w:spacing w:after="0"/>
              <w:rPr>
                <w:sz w:val="1"/>
                <w:szCs w:val="1"/>
                <w:color w:val="auto"/>
              </w:rPr>
            </w:pPr>
          </w:p>
        </w:tc>
      </w:tr>
      <w:tr>
        <w:trPr>
          <w:trHeight w:val="275"/>
        </w:trPr>
        <w:tc>
          <w:tcPr>
            <w:tcW w:w="4480" w:type="dxa"/>
            <w:vAlign w:val="bottom"/>
            <w:tcBorders>
              <w:left w:val="single" w:sz="8" w:color="BFBFBF"/>
              <w:bottom w:val="single" w:sz="8" w:color="auto"/>
              <w:right w:val="single" w:sz="8" w:color="BFBFBF"/>
            </w:tcBorders>
            <w:shd w:val="clear" w:color="auto" w:fill="0088A6"/>
          </w:tcPr>
          <w:p>
            <w:pPr>
              <w:ind w:left="1380"/>
              <w:spacing w:after="0"/>
              <w:rPr>
                <w:sz w:val="20"/>
                <w:szCs w:val="20"/>
                <w:color w:val="auto"/>
              </w:rPr>
            </w:pPr>
            <w:r>
              <w:rPr>
                <w:rFonts w:ascii="Arial" w:cs="Arial" w:eastAsia="Arial" w:hAnsi="Arial"/>
                <w:sz w:val="18"/>
                <w:szCs w:val="18"/>
                <w:b w:val="1"/>
                <w:bCs w:val="1"/>
                <w:color w:val="FFFFFF"/>
              </w:rPr>
              <w:t>and Principal Position</w:t>
            </w:r>
          </w:p>
        </w:tc>
        <w:tc>
          <w:tcPr>
            <w:tcW w:w="500" w:type="dxa"/>
            <w:vAlign w:val="bottom"/>
            <w:tcBorders>
              <w:bottom w:val="single" w:sz="8" w:color="0088A6"/>
            </w:tcBorders>
            <w:shd w:val="clear" w:color="auto" w:fill="0088A6"/>
          </w:tcPr>
          <w:p>
            <w:pPr>
              <w:spacing w:after="0"/>
              <w:rPr>
                <w:sz w:val="23"/>
                <w:szCs w:val="23"/>
                <w:color w:val="auto"/>
              </w:rPr>
            </w:pPr>
          </w:p>
        </w:tc>
        <w:tc>
          <w:tcPr>
            <w:tcW w:w="660" w:type="dxa"/>
            <w:vAlign w:val="bottom"/>
            <w:tcBorders>
              <w:bottom w:val="single" w:sz="8" w:color="auto"/>
            </w:tcBorders>
            <w:shd w:val="clear" w:color="auto" w:fill="0088A6"/>
          </w:tcPr>
          <w:p>
            <w:pPr>
              <w:jc w:val="right"/>
              <w:ind w:right="52"/>
              <w:spacing w:after="0"/>
              <w:rPr>
                <w:sz w:val="20"/>
                <w:szCs w:val="20"/>
                <w:color w:val="auto"/>
              </w:rPr>
            </w:pPr>
            <w:r>
              <w:rPr>
                <w:rFonts w:ascii="Arial" w:cs="Arial" w:eastAsia="Arial" w:hAnsi="Arial"/>
                <w:sz w:val="18"/>
                <w:szCs w:val="18"/>
                <w:b w:val="1"/>
                <w:bCs w:val="1"/>
                <w:color w:val="FFFFFF"/>
              </w:rPr>
              <w:t>Year</w:t>
            </w:r>
          </w:p>
        </w:tc>
        <w:tc>
          <w:tcPr>
            <w:tcW w:w="120" w:type="dxa"/>
            <w:vAlign w:val="bottom"/>
            <w:tcBorders>
              <w:bottom w:val="single" w:sz="8" w:color="0088A6"/>
              <w:right w:val="single" w:sz="8" w:color="BFBFBF"/>
            </w:tcBorders>
            <w:shd w:val="clear" w:color="auto" w:fill="0088A6"/>
          </w:tcPr>
          <w:p>
            <w:pPr>
              <w:spacing w:after="0"/>
              <w:rPr>
                <w:sz w:val="23"/>
                <w:szCs w:val="23"/>
                <w:color w:val="auto"/>
              </w:rPr>
            </w:pPr>
          </w:p>
        </w:tc>
        <w:tc>
          <w:tcPr>
            <w:tcW w:w="500" w:type="dxa"/>
            <w:vAlign w:val="bottom"/>
            <w:tcBorders>
              <w:bottom w:val="single" w:sz="8" w:color="0088A6"/>
            </w:tcBorders>
            <w:shd w:val="clear" w:color="auto" w:fill="0088A6"/>
          </w:tcPr>
          <w:p>
            <w:pPr>
              <w:spacing w:after="0"/>
              <w:rPr>
                <w:sz w:val="23"/>
                <w:szCs w:val="23"/>
                <w:color w:val="auto"/>
              </w:rPr>
            </w:pPr>
          </w:p>
        </w:tc>
        <w:tc>
          <w:tcPr>
            <w:tcW w:w="160" w:type="dxa"/>
            <w:vAlign w:val="bottom"/>
            <w:tcBorders>
              <w:bottom w:val="single" w:sz="8" w:color="auto"/>
            </w:tcBorders>
            <w:shd w:val="clear" w:color="auto" w:fill="0088A6"/>
          </w:tcPr>
          <w:p>
            <w:pPr>
              <w:spacing w:after="0"/>
              <w:rPr>
                <w:sz w:val="23"/>
                <w:szCs w:val="23"/>
                <w:color w:val="auto"/>
              </w:rPr>
            </w:pPr>
          </w:p>
        </w:tc>
        <w:tc>
          <w:tcPr>
            <w:tcW w:w="840" w:type="dxa"/>
            <w:vAlign w:val="bottom"/>
            <w:tcBorders>
              <w:bottom w:val="single" w:sz="8" w:color="auto"/>
            </w:tcBorders>
            <w:shd w:val="clear" w:color="auto" w:fill="0088A6"/>
          </w:tcPr>
          <w:p>
            <w:pPr>
              <w:jc w:val="right"/>
              <w:ind w:right="312"/>
              <w:spacing w:after="0"/>
              <w:rPr>
                <w:sz w:val="20"/>
                <w:szCs w:val="20"/>
                <w:color w:val="auto"/>
              </w:rPr>
            </w:pPr>
            <w:r>
              <w:rPr>
                <w:rFonts w:ascii="Arial" w:cs="Arial" w:eastAsia="Arial" w:hAnsi="Arial"/>
                <w:sz w:val="18"/>
                <w:szCs w:val="18"/>
                <w:b w:val="1"/>
                <w:bCs w:val="1"/>
                <w:color w:val="FFFFFF"/>
              </w:rPr>
              <w:t>($)</w:t>
            </w:r>
          </w:p>
        </w:tc>
        <w:tc>
          <w:tcPr>
            <w:tcW w:w="120" w:type="dxa"/>
            <w:vAlign w:val="bottom"/>
            <w:tcBorders>
              <w:bottom w:val="single" w:sz="8" w:color="0088A6"/>
              <w:right w:val="single" w:sz="8" w:color="BFBFBF"/>
            </w:tcBorders>
            <w:shd w:val="clear" w:color="auto" w:fill="0088A6"/>
          </w:tcPr>
          <w:p>
            <w:pPr>
              <w:spacing w:after="0"/>
              <w:rPr>
                <w:sz w:val="23"/>
                <w:szCs w:val="23"/>
                <w:color w:val="auto"/>
              </w:rPr>
            </w:pPr>
          </w:p>
        </w:tc>
        <w:tc>
          <w:tcPr>
            <w:tcW w:w="300" w:type="dxa"/>
            <w:vAlign w:val="bottom"/>
            <w:tcBorders>
              <w:bottom w:val="single" w:sz="8" w:color="0088A6"/>
            </w:tcBorders>
            <w:shd w:val="clear" w:color="auto" w:fill="0088A6"/>
          </w:tcPr>
          <w:p>
            <w:pPr>
              <w:spacing w:after="0"/>
              <w:rPr>
                <w:sz w:val="23"/>
                <w:szCs w:val="23"/>
                <w:color w:val="auto"/>
              </w:rPr>
            </w:pPr>
          </w:p>
        </w:tc>
        <w:tc>
          <w:tcPr>
            <w:tcW w:w="340" w:type="dxa"/>
            <w:vAlign w:val="bottom"/>
            <w:tcBorders>
              <w:bottom w:val="single" w:sz="8" w:color="auto"/>
            </w:tcBorders>
            <w:shd w:val="clear" w:color="auto" w:fill="0088A6"/>
          </w:tcPr>
          <w:p>
            <w:pPr>
              <w:spacing w:after="0"/>
              <w:rPr>
                <w:sz w:val="23"/>
                <w:szCs w:val="23"/>
                <w:color w:val="auto"/>
              </w:rPr>
            </w:pPr>
          </w:p>
        </w:tc>
        <w:tc>
          <w:tcPr>
            <w:tcW w:w="1060" w:type="dxa"/>
            <w:vAlign w:val="bottom"/>
            <w:tcBorders>
              <w:bottom w:val="single" w:sz="8" w:color="auto"/>
            </w:tcBorders>
            <w:shd w:val="clear" w:color="auto" w:fill="0088A6"/>
          </w:tcPr>
          <w:p>
            <w:pPr>
              <w:jc w:val="right"/>
              <w:ind w:right="512"/>
              <w:spacing w:after="0"/>
              <w:rPr>
                <w:sz w:val="20"/>
                <w:szCs w:val="20"/>
                <w:color w:val="auto"/>
              </w:rPr>
            </w:pPr>
            <w:r>
              <w:rPr>
                <w:rFonts w:ascii="Arial" w:cs="Arial" w:eastAsia="Arial" w:hAnsi="Arial"/>
                <w:sz w:val="18"/>
                <w:szCs w:val="18"/>
                <w:b w:val="1"/>
                <w:bCs w:val="1"/>
                <w:color w:val="FFFFFF"/>
              </w:rPr>
              <w:t>($)</w:t>
            </w:r>
          </w:p>
        </w:tc>
        <w:tc>
          <w:tcPr>
            <w:tcW w:w="220" w:type="dxa"/>
            <w:vAlign w:val="bottom"/>
            <w:tcBorders>
              <w:bottom w:val="single" w:sz="8" w:color="0088A6"/>
              <w:right w:val="single" w:sz="8" w:color="BFBFBF"/>
            </w:tcBorders>
            <w:shd w:val="clear" w:color="auto" w:fill="0088A6"/>
          </w:tcPr>
          <w:p>
            <w:pPr>
              <w:spacing w:after="0"/>
              <w:rPr>
                <w:sz w:val="23"/>
                <w:szCs w:val="23"/>
                <w:color w:val="auto"/>
              </w:rPr>
            </w:pPr>
          </w:p>
        </w:tc>
        <w:tc>
          <w:tcPr>
            <w:tcW w:w="300" w:type="dxa"/>
            <w:vAlign w:val="bottom"/>
            <w:tcBorders>
              <w:bottom w:val="single" w:sz="8" w:color="0088A6"/>
            </w:tcBorders>
            <w:shd w:val="clear" w:color="auto" w:fill="0088A6"/>
          </w:tcPr>
          <w:p>
            <w:pPr>
              <w:spacing w:after="0"/>
              <w:rPr>
                <w:sz w:val="23"/>
                <w:szCs w:val="23"/>
                <w:color w:val="auto"/>
              </w:rPr>
            </w:pPr>
          </w:p>
        </w:tc>
        <w:tc>
          <w:tcPr>
            <w:tcW w:w="400" w:type="dxa"/>
            <w:vAlign w:val="bottom"/>
            <w:tcBorders>
              <w:bottom w:val="single" w:sz="8" w:color="auto"/>
            </w:tcBorders>
            <w:shd w:val="clear" w:color="auto" w:fill="0088A6"/>
          </w:tcPr>
          <w:p>
            <w:pPr>
              <w:spacing w:after="0"/>
              <w:rPr>
                <w:sz w:val="23"/>
                <w:szCs w:val="23"/>
                <w:color w:val="auto"/>
              </w:rPr>
            </w:pPr>
          </w:p>
        </w:tc>
        <w:tc>
          <w:tcPr>
            <w:tcW w:w="1200" w:type="dxa"/>
            <w:vAlign w:val="bottom"/>
            <w:tcBorders>
              <w:bottom w:val="single" w:sz="8" w:color="auto"/>
            </w:tcBorders>
            <w:shd w:val="clear" w:color="auto" w:fill="0088A6"/>
          </w:tcPr>
          <w:p>
            <w:pPr>
              <w:jc w:val="right"/>
              <w:ind w:right="612"/>
              <w:spacing w:after="0"/>
              <w:rPr>
                <w:sz w:val="20"/>
                <w:szCs w:val="20"/>
                <w:color w:val="auto"/>
              </w:rPr>
            </w:pPr>
            <w:r>
              <w:rPr>
                <w:rFonts w:ascii="Arial" w:cs="Arial" w:eastAsia="Arial" w:hAnsi="Arial"/>
                <w:sz w:val="18"/>
                <w:szCs w:val="18"/>
                <w:b w:val="1"/>
                <w:bCs w:val="1"/>
                <w:color w:val="FFFFFF"/>
              </w:rPr>
              <w:t>($)</w:t>
            </w:r>
          </w:p>
        </w:tc>
        <w:tc>
          <w:tcPr>
            <w:tcW w:w="240" w:type="dxa"/>
            <w:vAlign w:val="bottom"/>
            <w:tcBorders>
              <w:bottom w:val="single" w:sz="8" w:color="0088A6"/>
              <w:right w:val="single" w:sz="8" w:color="BFBFBF"/>
            </w:tcBorders>
            <w:shd w:val="clear" w:color="auto" w:fill="0088A6"/>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4480" w:type="dxa"/>
            <w:vAlign w:val="bottom"/>
            <w:tcBorders>
              <w:left w:val="single" w:sz="8" w:color="BFBFBF"/>
              <w:bottom w:val="single" w:sz="8" w:color="BFBFBF"/>
              <w:right w:val="single" w:sz="8" w:color="BFBFBF"/>
            </w:tcBorders>
          </w:tcPr>
          <w:p>
            <w:pPr>
              <w:ind w:left="120"/>
              <w:spacing w:after="0" w:line="183" w:lineRule="exact"/>
              <w:rPr>
                <w:sz w:val="20"/>
                <w:szCs w:val="20"/>
                <w:color w:val="auto"/>
              </w:rPr>
            </w:pPr>
            <w:r>
              <w:rPr>
                <w:rFonts w:ascii="Arial" w:cs="Arial" w:eastAsia="Arial" w:hAnsi="Arial"/>
                <w:sz w:val="18"/>
                <w:szCs w:val="18"/>
                <w:color w:val="auto"/>
              </w:rPr>
              <w:t>Robert Greifeld</w:t>
            </w:r>
          </w:p>
        </w:tc>
        <w:tc>
          <w:tcPr>
            <w:tcW w:w="1280" w:type="dxa"/>
            <w:vAlign w:val="bottom"/>
            <w:tcBorders>
              <w:bottom w:val="single" w:sz="8" w:color="BFBFBF"/>
              <w:right w:val="single" w:sz="8" w:color="BFBFBF"/>
            </w:tcBorders>
            <w:gridSpan w:val="3"/>
          </w:tcPr>
          <w:p>
            <w:pPr>
              <w:jc w:val="right"/>
              <w:ind w:right="120"/>
              <w:spacing w:after="0" w:line="183" w:lineRule="exact"/>
              <w:rPr>
                <w:sz w:val="20"/>
                <w:szCs w:val="20"/>
                <w:color w:val="auto"/>
              </w:rPr>
            </w:pPr>
            <w:r>
              <w:rPr>
                <w:rFonts w:ascii="Arial" w:cs="Arial" w:eastAsia="Arial" w:hAnsi="Arial"/>
                <w:sz w:val="18"/>
                <w:szCs w:val="18"/>
                <w:color w:val="auto"/>
              </w:rPr>
              <w:t>2012</w:t>
            </w:r>
          </w:p>
        </w:tc>
        <w:tc>
          <w:tcPr>
            <w:tcW w:w="660" w:type="dxa"/>
            <w:vAlign w:val="bottom"/>
            <w:tcBorders>
              <w:bottom w:val="single" w:sz="8" w:color="BFBFBF"/>
            </w:tcBorders>
            <w:gridSpan w:val="2"/>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jc w:val="right"/>
              <w:spacing w:after="0" w:line="183" w:lineRule="exact"/>
              <w:rPr>
                <w:sz w:val="20"/>
                <w:szCs w:val="20"/>
                <w:color w:val="auto"/>
              </w:rPr>
            </w:pPr>
            <w:r>
              <w:rPr>
                <w:rFonts w:ascii="Arial" w:cs="Arial" w:eastAsia="Arial" w:hAnsi="Arial"/>
                <w:sz w:val="18"/>
                <w:szCs w:val="18"/>
                <w:color w:val="auto"/>
              </w:rPr>
              <w:t>5,567,400</w:t>
            </w:r>
          </w:p>
        </w:tc>
        <w:tc>
          <w:tcPr>
            <w:tcW w:w="120" w:type="dxa"/>
            <w:vAlign w:val="bottom"/>
            <w:tcBorders>
              <w:bottom w:val="single" w:sz="8" w:color="BFBFBF"/>
              <w:right w:val="single" w:sz="8" w:color="BFBFBF"/>
            </w:tcBorders>
          </w:tcPr>
          <w:p>
            <w:pPr>
              <w:spacing w:after="0"/>
              <w:rPr>
                <w:sz w:val="15"/>
                <w:szCs w:val="15"/>
                <w:color w:val="auto"/>
              </w:rPr>
            </w:pPr>
          </w:p>
        </w:tc>
        <w:tc>
          <w:tcPr>
            <w:tcW w:w="300" w:type="dxa"/>
            <w:vAlign w:val="bottom"/>
            <w:tcBorders>
              <w:bottom w:val="single" w:sz="8" w:color="BFBFBF"/>
            </w:tcBorders>
          </w:tcPr>
          <w:p>
            <w:pPr>
              <w:spacing w:after="0"/>
              <w:rPr>
                <w:sz w:val="15"/>
                <w:szCs w:val="15"/>
                <w:color w:val="auto"/>
              </w:rPr>
            </w:pPr>
          </w:p>
        </w:tc>
        <w:tc>
          <w:tcPr>
            <w:tcW w:w="340" w:type="dxa"/>
            <w:vAlign w:val="bottom"/>
            <w:tcBorders>
              <w:bottom w:val="single" w:sz="8" w:color="BFBFBF"/>
            </w:tcBorders>
          </w:tcPr>
          <w:p>
            <w:pPr>
              <w:spacing w:after="0"/>
              <w:rPr>
                <w:sz w:val="15"/>
                <w:szCs w:val="15"/>
                <w:color w:val="auto"/>
              </w:rPr>
            </w:pPr>
          </w:p>
        </w:tc>
        <w:tc>
          <w:tcPr>
            <w:tcW w:w="1280" w:type="dxa"/>
            <w:vAlign w:val="bottom"/>
            <w:tcBorders>
              <w:bottom w:val="single" w:sz="8" w:color="BFBFBF"/>
              <w:right w:val="single" w:sz="8" w:color="BFBFBF"/>
            </w:tcBorders>
            <w:gridSpan w:val="2"/>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gridSpan w:val="2"/>
          </w:tcPr>
          <w:p>
            <w:pPr>
              <w:ind w:left="300"/>
              <w:spacing w:after="0" w:line="18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BFBFBF"/>
              <w:right w:val="single" w:sz="8" w:color="BFBFBF"/>
            </w:tcBorders>
            <w:gridSpan w:val="2"/>
          </w:tcPr>
          <w:p>
            <w:pPr>
              <w:jc w:val="right"/>
              <w:ind w:right="240"/>
              <w:spacing w:after="0" w:line="183" w:lineRule="exact"/>
              <w:rPr>
                <w:sz w:val="20"/>
                <w:szCs w:val="20"/>
                <w:color w:val="auto"/>
              </w:rPr>
            </w:pPr>
            <w:r>
              <w:rPr>
                <w:rFonts w:ascii="Arial" w:cs="Arial" w:eastAsia="Arial" w:hAnsi="Arial"/>
                <w:sz w:val="18"/>
                <w:szCs w:val="18"/>
                <w:color w:val="auto"/>
              </w:rPr>
              <w:t>5,567,400</w:t>
            </w:r>
          </w:p>
        </w:tc>
        <w:tc>
          <w:tcPr>
            <w:tcW w:w="0" w:type="dxa"/>
            <w:vAlign w:val="bottom"/>
          </w:tcPr>
          <w:p>
            <w:pPr>
              <w:spacing w:after="0"/>
              <w:rPr>
                <w:sz w:val="1"/>
                <w:szCs w:val="1"/>
                <w:color w:val="auto"/>
              </w:rPr>
            </w:pPr>
          </w:p>
        </w:tc>
      </w:tr>
      <w:tr>
        <w:trPr>
          <w:trHeight w:val="196"/>
        </w:trPr>
        <w:tc>
          <w:tcPr>
            <w:tcW w:w="4480" w:type="dxa"/>
            <w:vAlign w:val="bottom"/>
            <w:tcBorders>
              <w:left w:val="single" w:sz="8" w:color="BFBFBF"/>
              <w:right w:val="single" w:sz="8" w:color="BFBFBF"/>
            </w:tcBorders>
          </w:tcPr>
          <w:p>
            <w:pPr>
              <w:ind w:left="340"/>
              <w:spacing w:after="0" w:line="196" w:lineRule="exact"/>
              <w:rPr>
                <w:sz w:val="20"/>
                <w:szCs w:val="20"/>
                <w:color w:val="auto"/>
              </w:rPr>
            </w:pPr>
            <w:r>
              <w:rPr>
                <w:rFonts w:ascii="Arial" w:cs="Arial" w:eastAsia="Arial" w:hAnsi="Arial"/>
                <w:sz w:val="18"/>
                <w:szCs w:val="18"/>
                <w:color w:val="auto"/>
              </w:rPr>
              <w:t>Chief Executive Officer</w:t>
            </w:r>
          </w:p>
        </w:tc>
        <w:tc>
          <w:tcPr>
            <w:tcW w:w="128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2011</w:t>
            </w:r>
          </w:p>
        </w:tc>
        <w:tc>
          <w:tcPr>
            <w:tcW w:w="66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2,528,000</w:t>
            </w:r>
          </w:p>
        </w:tc>
        <w:tc>
          <w:tcPr>
            <w:tcW w:w="120" w:type="dxa"/>
            <w:vAlign w:val="bottom"/>
            <w:tcBorders>
              <w:bottom w:val="single" w:sz="8" w:color="BFBFBF"/>
              <w:right w:val="single" w:sz="8" w:color="BFBFBF"/>
            </w:tcBorders>
          </w:tcPr>
          <w:p>
            <w:pPr>
              <w:spacing w:after="0"/>
              <w:rPr>
                <w:sz w:val="17"/>
                <w:szCs w:val="17"/>
                <w:color w:val="auto"/>
              </w:rPr>
            </w:pPr>
          </w:p>
        </w:tc>
        <w:tc>
          <w:tcPr>
            <w:tcW w:w="30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2,528,000</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left w:val="single" w:sz="8" w:color="BFBFBF"/>
              <w:bottom w:val="single" w:sz="8" w:color="BFBFBF"/>
              <w:right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2010</w:t>
            </w:r>
          </w:p>
        </w:tc>
        <w:tc>
          <w:tcPr>
            <w:tcW w:w="66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BFBFBF"/>
              <w:right w:val="single" w:sz="8" w:color="BFBFBF"/>
            </w:tcBorders>
            <w:gridSpan w:val="2"/>
          </w:tcPr>
          <w:p>
            <w:pPr>
              <w:jc w:val="right"/>
              <w:ind w:right="120"/>
              <w:spacing w:after="0" w:line="196" w:lineRule="exact"/>
              <w:rPr>
                <w:sz w:val="20"/>
                <w:szCs w:val="20"/>
                <w:color w:val="auto"/>
              </w:rPr>
            </w:pPr>
            <w:r>
              <w:rPr>
                <w:rFonts w:ascii="Arial" w:cs="Arial" w:eastAsia="Arial" w:hAnsi="Arial"/>
                <w:sz w:val="18"/>
                <w:szCs w:val="18"/>
                <w:color w:val="auto"/>
              </w:rPr>
              <w:t>1,580,000</w:t>
            </w:r>
          </w:p>
        </w:tc>
        <w:tc>
          <w:tcPr>
            <w:tcW w:w="30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1,580,000</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8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160" w:type="dxa"/>
            <w:vAlign w:val="bottom"/>
            <w:tcBorders>
              <w:bottom w:val="single" w:sz="8" w:color="BFBFBF"/>
            </w:tcBorders>
            <w:shd w:val="clear" w:color="auto" w:fill="DDEFF3"/>
          </w:tcPr>
          <w:p>
            <w:pPr>
              <w:spacing w:after="0"/>
              <w:rPr>
                <w:sz w:val="21"/>
                <w:szCs w:val="21"/>
                <w:color w:val="auto"/>
              </w:rPr>
            </w:pPr>
          </w:p>
        </w:tc>
        <w:tc>
          <w:tcPr>
            <w:tcW w:w="8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300" w:type="dxa"/>
            <w:vAlign w:val="bottom"/>
            <w:tcBorders>
              <w:bottom w:val="single" w:sz="8" w:color="BFBFBF"/>
            </w:tcBorders>
            <w:shd w:val="clear" w:color="auto" w:fill="DDEFF3"/>
          </w:tcPr>
          <w:p>
            <w:pPr>
              <w:spacing w:after="0"/>
              <w:rPr>
                <w:sz w:val="21"/>
                <w:szCs w:val="21"/>
                <w:color w:val="auto"/>
              </w:rPr>
            </w:pPr>
          </w:p>
        </w:tc>
        <w:tc>
          <w:tcPr>
            <w:tcW w:w="340" w:type="dxa"/>
            <w:vAlign w:val="bottom"/>
            <w:tcBorders>
              <w:bottom w:val="single" w:sz="8" w:color="BFBFBF"/>
            </w:tcBorders>
            <w:shd w:val="clear" w:color="auto" w:fill="DDEFF3"/>
          </w:tcPr>
          <w:p>
            <w:pPr>
              <w:spacing w:after="0"/>
              <w:rPr>
                <w:sz w:val="21"/>
                <w:szCs w:val="21"/>
                <w:color w:val="auto"/>
              </w:rPr>
            </w:pPr>
          </w:p>
        </w:tc>
        <w:tc>
          <w:tcPr>
            <w:tcW w:w="1060" w:type="dxa"/>
            <w:vAlign w:val="bottom"/>
            <w:tcBorders>
              <w:bottom w:val="single" w:sz="8" w:color="BFBFBF"/>
            </w:tcBorders>
            <w:shd w:val="clear" w:color="auto" w:fill="DDEFF3"/>
          </w:tcPr>
          <w:p>
            <w:pPr>
              <w:spacing w:after="0"/>
              <w:rPr>
                <w:sz w:val="21"/>
                <w:szCs w:val="21"/>
                <w:color w:val="auto"/>
              </w:rPr>
            </w:pPr>
          </w:p>
        </w:tc>
        <w:tc>
          <w:tcPr>
            <w:tcW w:w="220" w:type="dxa"/>
            <w:vAlign w:val="bottom"/>
            <w:tcBorders>
              <w:bottom w:val="single" w:sz="8" w:color="BFBFBF"/>
              <w:right w:val="single" w:sz="8" w:color="BFBFBF"/>
            </w:tcBorders>
            <w:shd w:val="clear" w:color="auto" w:fill="DDEFF3"/>
          </w:tcPr>
          <w:p>
            <w:pPr>
              <w:spacing w:after="0"/>
              <w:rPr>
                <w:sz w:val="21"/>
                <w:szCs w:val="21"/>
                <w:color w:val="auto"/>
              </w:rPr>
            </w:pPr>
          </w:p>
        </w:tc>
        <w:tc>
          <w:tcPr>
            <w:tcW w:w="300" w:type="dxa"/>
            <w:vAlign w:val="bottom"/>
            <w:tcBorders>
              <w:bottom w:val="single" w:sz="8" w:color="BFBFBF"/>
            </w:tcBorders>
            <w:shd w:val="clear" w:color="auto" w:fill="DDEFF3"/>
          </w:tcPr>
          <w:p>
            <w:pPr>
              <w:spacing w:after="0"/>
              <w:rPr>
                <w:sz w:val="21"/>
                <w:szCs w:val="21"/>
                <w:color w:val="auto"/>
              </w:rPr>
            </w:pPr>
          </w:p>
        </w:tc>
        <w:tc>
          <w:tcPr>
            <w:tcW w:w="400" w:type="dxa"/>
            <w:vAlign w:val="bottom"/>
            <w:tcBorders>
              <w:bottom w:val="single" w:sz="8" w:color="BFBFBF"/>
            </w:tcBorders>
            <w:shd w:val="clear" w:color="auto" w:fill="DDEFF3"/>
          </w:tcPr>
          <w:p>
            <w:pPr>
              <w:spacing w:after="0"/>
              <w:rPr>
                <w:sz w:val="21"/>
                <w:szCs w:val="21"/>
                <w:color w:val="auto"/>
              </w:rPr>
            </w:pPr>
          </w:p>
        </w:tc>
        <w:tc>
          <w:tcPr>
            <w:tcW w:w="1200" w:type="dxa"/>
            <w:vAlign w:val="bottom"/>
            <w:tcBorders>
              <w:bottom w:val="single" w:sz="8" w:color="BFBFBF"/>
            </w:tcBorders>
            <w:shd w:val="clear" w:color="auto" w:fill="DDEFF3"/>
          </w:tcPr>
          <w:p>
            <w:pPr>
              <w:spacing w:after="0"/>
              <w:rPr>
                <w:sz w:val="21"/>
                <w:szCs w:val="21"/>
                <w:color w:val="auto"/>
              </w:rPr>
            </w:pPr>
          </w:p>
        </w:tc>
        <w:tc>
          <w:tcPr>
            <w:tcW w:w="24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8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Lee Shavel</w:t>
            </w:r>
          </w:p>
        </w:tc>
        <w:tc>
          <w:tcPr>
            <w:tcW w:w="128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2012</w:t>
            </w:r>
          </w:p>
        </w:tc>
        <w:tc>
          <w:tcPr>
            <w:tcW w:w="66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1,343,857</w:t>
            </w:r>
          </w:p>
        </w:tc>
        <w:tc>
          <w:tcPr>
            <w:tcW w:w="120" w:type="dxa"/>
            <w:vAlign w:val="bottom"/>
            <w:tcBorders>
              <w:bottom w:val="single" w:sz="8" w:color="BFBFBF"/>
              <w:right w:val="single" w:sz="8" w:color="BFBFBF"/>
            </w:tcBorders>
          </w:tcPr>
          <w:p>
            <w:pPr>
              <w:spacing w:after="0"/>
              <w:rPr>
                <w:sz w:val="17"/>
                <w:szCs w:val="17"/>
                <w:color w:val="auto"/>
              </w:rPr>
            </w:pPr>
          </w:p>
        </w:tc>
        <w:tc>
          <w:tcPr>
            <w:tcW w:w="30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1,343,857</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80" w:type="dxa"/>
            <w:vAlign w:val="bottom"/>
            <w:tcBorders>
              <w:left w:val="single" w:sz="8" w:color="BFBFBF"/>
              <w:right w:val="single" w:sz="8" w:color="BFBFBF"/>
            </w:tcBorders>
          </w:tcPr>
          <w:p>
            <w:pPr>
              <w:ind w:left="340"/>
              <w:spacing w:after="0" w:line="200" w:lineRule="exact"/>
              <w:rPr>
                <w:sz w:val="20"/>
                <w:szCs w:val="20"/>
                <w:color w:val="auto"/>
              </w:rPr>
            </w:pPr>
            <w:r>
              <w:rPr>
                <w:rFonts w:ascii="Arial" w:cs="Arial" w:eastAsia="Arial" w:hAnsi="Arial"/>
                <w:sz w:val="18"/>
                <w:szCs w:val="18"/>
                <w:color w:val="auto"/>
                <w:w w:val="97"/>
              </w:rPr>
              <w:t>Chief Financial Officer and Executive Vice President,</w:t>
            </w:r>
          </w:p>
        </w:tc>
        <w:tc>
          <w:tcPr>
            <w:tcW w:w="1280" w:type="dxa"/>
            <w:vAlign w:val="bottom"/>
            <w:tcBorders>
              <w:right w:val="single" w:sz="8" w:color="BFBFBF"/>
            </w:tcBorders>
            <w:gridSpan w:val="3"/>
          </w:tcPr>
          <w:p>
            <w:pPr>
              <w:jc w:val="right"/>
              <w:ind w:right="120"/>
              <w:spacing w:after="0" w:line="200" w:lineRule="exact"/>
              <w:rPr>
                <w:sz w:val="20"/>
                <w:szCs w:val="20"/>
                <w:color w:val="auto"/>
              </w:rPr>
            </w:pPr>
            <w:r>
              <w:rPr>
                <w:rFonts w:ascii="Arial" w:cs="Arial" w:eastAsia="Arial" w:hAnsi="Arial"/>
                <w:sz w:val="18"/>
                <w:szCs w:val="18"/>
                <w:color w:val="auto"/>
              </w:rPr>
              <w:t>2011</w:t>
            </w:r>
          </w:p>
        </w:tc>
        <w:tc>
          <w:tcPr>
            <w:tcW w:w="66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1,120,006</w:t>
            </w:r>
          </w:p>
        </w:tc>
        <w:tc>
          <w:tcPr>
            <w:tcW w:w="120" w:type="dxa"/>
            <w:vAlign w:val="bottom"/>
            <w:tcBorders>
              <w:right w:val="single" w:sz="8" w:color="BFBFBF"/>
            </w:tcBorders>
          </w:tcPr>
          <w:p>
            <w:pPr>
              <w:spacing w:after="0"/>
              <w:rPr>
                <w:sz w:val="17"/>
                <w:szCs w:val="17"/>
                <w:color w:val="auto"/>
              </w:rPr>
            </w:pPr>
          </w:p>
        </w:tc>
        <w:tc>
          <w:tcPr>
            <w:tcW w:w="64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BFBFBF"/>
            </w:tcBorders>
            <w:gridSpan w:val="2"/>
          </w:tcPr>
          <w:p>
            <w:pPr>
              <w:jc w:val="right"/>
              <w:ind w:right="220"/>
              <w:spacing w:after="0" w:line="200" w:lineRule="exact"/>
              <w:rPr>
                <w:sz w:val="20"/>
                <w:szCs w:val="20"/>
                <w:color w:val="auto"/>
              </w:rPr>
            </w:pPr>
            <w:r>
              <w:rPr>
                <w:rFonts w:ascii="Arial" w:cs="Arial" w:eastAsia="Arial" w:hAnsi="Arial"/>
                <w:sz w:val="18"/>
                <w:szCs w:val="18"/>
                <w:color w:val="auto"/>
              </w:rPr>
              <w:t>5,000,021</w:t>
            </w:r>
          </w:p>
        </w:tc>
        <w:tc>
          <w:tcPr>
            <w:tcW w:w="70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0" w:lineRule="exact"/>
              <w:rPr>
                <w:sz w:val="20"/>
                <w:szCs w:val="20"/>
                <w:color w:val="auto"/>
              </w:rPr>
            </w:pPr>
            <w:r>
              <w:rPr>
                <w:rFonts w:ascii="Arial" w:cs="Arial" w:eastAsia="Arial" w:hAnsi="Arial"/>
                <w:sz w:val="18"/>
                <w:szCs w:val="18"/>
                <w:color w:val="auto"/>
              </w:rPr>
              <w:t>6,120,027</w:t>
            </w:r>
          </w:p>
        </w:tc>
        <w:tc>
          <w:tcPr>
            <w:tcW w:w="2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480" w:type="dxa"/>
            <w:vAlign w:val="bottom"/>
            <w:tcBorders>
              <w:left w:val="single" w:sz="8" w:color="BFBFBF"/>
              <w:right w:val="single" w:sz="8" w:color="BFBFBF"/>
            </w:tcBorders>
          </w:tcPr>
          <w:p>
            <w:pPr>
              <w:ind w:left="340"/>
              <w:spacing w:after="0" w:line="139" w:lineRule="exact"/>
              <w:rPr>
                <w:sz w:val="20"/>
                <w:szCs w:val="20"/>
                <w:color w:val="auto"/>
              </w:rPr>
            </w:pPr>
            <w:r>
              <w:rPr>
                <w:rFonts w:ascii="Arial" w:cs="Arial" w:eastAsia="Arial" w:hAnsi="Arial"/>
                <w:sz w:val="16"/>
                <w:szCs w:val="16"/>
                <w:color w:val="auto"/>
              </w:rPr>
              <w:t>Corporate Strategy</w:t>
            </w:r>
          </w:p>
        </w:tc>
        <w:tc>
          <w:tcPr>
            <w:tcW w:w="50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500" w:type="dxa"/>
            <w:vAlign w:val="bottom"/>
            <w:tcBorders>
              <w:bottom w:val="single" w:sz="8" w:color="BFBFBF"/>
            </w:tcBorders>
          </w:tcPr>
          <w:p>
            <w:pPr>
              <w:spacing w:after="0"/>
              <w:rPr>
                <w:sz w:val="12"/>
                <w:szCs w:val="12"/>
                <w:color w:val="auto"/>
              </w:rPr>
            </w:pPr>
          </w:p>
        </w:tc>
        <w:tc>
          <w:tcPr>
            <w:tcW w:w="160" w:type="dxa"/>
            <w:vAlign w:val="bottom"/>
            <w:tcBorders>
              <w:bottom w:val="single" w:sz="8" w:color="BFBFBF"/>
            </w:tcBorders>
          </w:tcPr>
          <w:p>
            <w:pPr>
              <w:spacing w:after="0"/>
              <w:rPr>
                <w:sz w:val="12"/>
                <w:szCs w:val="12"/>
                <w:color w:val="auto"/>
              </w:rPr>
            </w:pPr>
          </w:p>
        </w:tc>
        <w:tc>
          <w:tcPr>
            <w:tcW w:w="84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30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tcBorders>
          </w:tcPr>
          <w:p>
            <w:pPr>
              <w:spacing w:after="0"/>
              <w:rPr>
                <w:sz w:val="12"/>
                <w:szCs w:val="12"/>
                <w:color w:val="auto"/>
              </w:rPr>
            </w:pPr>
          </w:p>
        </w:tc>
        <w:tc>
          <w:tcPr>
            <w:tcW w:w="220" w:type="dxa"/>
            <w:vAlign w:val="bottom"/>
            <w:tcBorders>
              <w:bottom w:val="single" w:sz="8" w:color="BFBFBF"/>
              <w:right w:val="single" w:sz="8" w:color="BFBFBF"/>
            </w:tcBorders>
          </w:tcPr>
          <w:p>
            <w:pPr>
              <w:spacing w:after="0"/>
              <w:rPr>
                <w:sz w:val="12"/>
                <w:szCs w:val="12"/>
                <w:color w:val="auto"/>
              </w:rPr>
            </w:pPr>
          </w:p>
        </w:tc>
        <w:tc>
          <w:tcPr>
            <w:tcW w:w="300" w:type="dxa"/>
            <w:vAlign w:val="bottom"/>
            <w:tcBorders>
              <w:bottom w:val="single" w:sz="8" w:color="BFBFBF"/>
            </w:tcBorders>
          </w:tcPr>
          <w:p>
            <w:pPr>
              <w:spacing w:after="0"/>
              <w:rPr>
                <w:sz w:val="12"/>
                <w:szCs w:val="12"/>
                <w:color w:val="auto"/>
              </w:rPr>
            </w:pPr>
          </w:p>
        </w:tc>
        <w:tc>
          <w:tcPr>
            <w:tcW w:w="400" w:type="dxa"/>
            <w:vAlign w:val="bottom"/>
            <w:tcBorders>
              <w:bottom w:val="single" w:sz="8" w:color="BFBFBF"/>
            </w:tcBorders>
          </w:tcPr>
          <w:p>
            <w:pPr>
              <w:spacing w:after="0"/>
              <w:rPr>
                <w:sz w:val="12"/>
                <w:szCs w:val="12"/>
                <w:color w:val="auto"/>
              </w:rPr>
            </w:pPr>
          </w:p>
        </w:tc>
        <w:tc>
          <w:tcPr>
            <w:tcW w:w="120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480" w:type="dxa"/>
            <w:vAlign w:val="bottom"/>
            <w:tcBorders>
              <w:left w:val="single" w:sz="8" w:color="BFBFBF"/>
              <w:bottom w:val="single" w:sz="8" w:color="BFBFBF"/>
              <w:right w:val="single" w:sz="8" w:color="BFBFBF"/>
            </w:tcBorders>
          </w:tcPr>
          <w:p>
            <w:pPr>
              <w:spacing w:after="0"/>
              <w:rPr>
                <w:sz w:val="2"/>
                <w:szCs w:val="2"/>
                <w:color w:val="auto"/>
              </w:rPr>
            </w:pPr>
          </w:p>
        </w:tc>
        <w:tc>
          <w:tcPr>
            <w:tcW w:w="500" w:type="dxa"/>
            <w:vAlign w:val="bottom"/>
            <w:tcBorders>
              <w:bottom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120" w:type="dxa"/>
            <w:vAlign w:val="bottom"/>
            <w:tcBorders>
              <w:bottom w:val="single" w:sz="8" w:color="BFBFBF"/>
              <w:right w:val="single" w:sz="8" w:color="BFBFBF"/>
            </w:tcBorders>
          </w:tcPr>
          <w:p>
            <w:pPr>
              <w:spacing w:after="0"/>
              <w:rPr>
                <w:sz w:val="2"/>
                <w:szCs w:val="2"/>
                <w:color w:val="auto"/>
              </w:rPr>
            </w:pPr>
          </w:p>
        </w:tc>
        <w:tc>
          <w:tcPr>
            <w:tcW w:w="500" w:type="dxa"/>
            <w:vAlign w:val="bottom"/>
            <w:tcBorders>
              <w:bottom w:val="single" w:sz="8" w:color="BFBFBF"/>
            </w:tcBorders>
          </w:tcPr>
          <w:p>
            <w:pPr>
              <w:spacing w:after="0"/>
              <w:rPr>
                <w:sz w:val="2"/>
                <w:szCs w:val="2"/>
                <w:color w:val="auto"/>
              </w:rPr>
            </w:pPr>
          </w:p>
        </w:tc>
        <w:tc>
          <w:tcPr>
            <w:tcW w:w="160" w:type="dxa"/>
            <w:vAlign w:val="bottom"/>
            <w:tcBorders>
              <w:bottom w:val="single" w:sz="8" w:color="BFBFBF"/>
            </w:tcBorders>
          </w:tcPr>
          <w:p>
            <w:pPr>
              <w:spacing w:after="0"/>
              <w:rPr>
                <w:sz w:val="2"/>
                <w:szCs w:val="2"/>
                <w:color w:val="auto"/>
              </w:rPr>
            </w:pPr>
          </w:p>
        </w:tc>
        <w:tc>
          <w:tcPr>
            <w:tcW w:w="840" w:type="dxa"/>
            <w:vAlign w:val="bottom"/>
            <w:tcBorders>
              <w:bottom w:val="single" w:sz="8" w:color="BFBFBF"/>
            </w:tcBorders>
          </w:tcPr>
          <w:p>
            <w:pPr>
              <w:spacing w:after="0"/>
              <w:rPr>
                <w:sz w:val="2"/>
                <w:szCs w:val="2"/>
                <w:color w:val="auto"/>
              </w:rPr>
            </w:pPr>
          </w:p>
        </w:tc>
        <w:tc>
          <w:tcPr>
            <w:tcW w:w="120" w:type="dxa"/>
            <w:vAlign w:val="bottom"/>
            <w:tcBorders>
              <w:bottom w:val="single" w:sz="8" w:color="BFBFBF"/>
              <w:right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340" w:type="dxa"/>
            <w:vAlign w:val="bottom"/>
            <w:tcBorders>
              <w:bottom w:val="single" w:sz="8" w:color="BFBFBF"/>
            </w:tcBorders>
          </w:tcPr>
          <w:p>
            <w:pPr>
              <w:spacing w:after="0"/>
              <w:rPr>
                <w:sz w:val="2"/>
                <w:szCs w:val="2"/>
                <w:color w:val="auto"/>
              </w:rPr>
            </w:pPr>
          </w:p>
        </w:tc>
        <w:tc>
          <w:tcPr>
            <w:tcW w:w="1060" w:type="dxa"/>
            <w:vAlign w:val="bottom"/>
            <w:tcBorders>
              <w:bottom w:val="single" w:sz="8" w:color="BFBFBF"/>
            </w:tcBorders>
          </w:tcPr>
          <w:p>
            <w:pPr>
              <w:spacing w:after="0"/>
              <w:rPr>
                <w:sz w:val="2"/>
                <w:szCs w:val="2"/>
                <w:color w:val="auto"/>
              </w:rPr>
            </w:pPr>
          </w:p>
        </w:tc>
        <w:tc>
          <w:tcPr>
            <w:tcW w:w="220" w:type="dxa"/>
            <w:vAlign w:val="bottom"/>
            <w:tcBorders>
              <w:bottom w:val="single" w:sz="8" w:color="BFBFBF"/>
              <w:right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1200" w:type="dxa"/>
            <w:vAlign w:val="bottom"/>
            <w:tcBorders>
              <w:bottom w:val="single" w:sz="8" w:color="BFBFBF"/>
            </w:tcBorders>
          </w:tcPr>
          <w:p>
            <w:pPr>
              <w:spacing w:after="0"/>
              <w:rPr>
                <w:sz w:val="2"/>
                <w:szCs w:val="2"/>
                <w:color w:val="auto"/>
              </w:rPr>
            </w:pPr>
          </w:p>
        </w:tc>
        <w:tc>
          <w:tcPr>
            <w:tcW w:w="240" w:type="dxa"/>
            <w:vAlign w:val="bottom"/>
            <w:tcBorders>
              <w:bottom w:val="single" w:sz="8" w:color="BFBFBF"/>
              <w:right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8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160" w:type="dxa"/>
            <w:vAlign w:val="bottom"/>
            <w:tcBorders>
              <w:bottom w:val="single" w:sz="8" w:color="BFBFBF"/>
            </w:tcBorders>
            <w:shd w:val="clear" w:color="auto" w:fill="DDEFF3"/>
          </w:tcPr>
          <w:p>
            <w:pPr>
              <w:spacing w:after="0"/>
              <w:rPr>
                <w:sz w:val="21"/>
                <w:szCs w:val="21"/>
                <w:color w:val="auto"/>
              </w:rPr>
            </w:pPr>
          </w:p>
        </w:tc>
        <w:tc>
          <w:tcPr>
            <w:tcW w:w="8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300" w:type="dxa"/>
            <w:vAlign w:val="bottom"/>
            <w:tcBorders>
              <w:bottom w:val="single" w:sz="8" w:color="BFBFBF"/>
            </w:tcBorders>
            <w:shd w:val="clear" w:color="auto" w:fill="DDEFF3"/>
          </w:tcPr>
          <w:p>
            <w:pPr>
              <w:spacing w:after="0"/>
              <w:rPr>
                <w:sz w:val="21"/>
                <w:szCs w:val="21"/>
                <w:color w:val="auto"/>
              </w:rPr>
            </w:pPr>
          </w:p>
        </w:tc>
        <w:tc>
          <w:tcPr>
            <w:tcW w:w="340" w:type="dxa"/>
            <w:vAlign w:val="bottom"/>
            <w:tcBorders>
              <w:bottom w:val="single" w:sz="8" w:color="BFBFBF"/>
            </w:tcBorders>
            <w:shd w:val="clear" w:color="auto" w:fill="DDEFF3"/>
          </w:tcPr>
          <w:p>
            <w:pPr>
              <w:spacing w:after="0"/>
              <w:rPr>
                <w:sz w:val="21"/>
                <w:szCs w:val="21"/>
                <w:color w:val="auto"/>
              </w:rPr>
            </w:pPr>
          </w:p>
        </w:tc>
        <w:tc>
          <w:tcPr>
            <w:tcW w:w="1060" w:type="dxa"/>
            <w:vAlign w:val="bottom"/>
            <w:tcBorders>
              <w:bottom w:val="single" w:sz="8" w:color="BFBFBF"/>
            </w:tcBorders>
            <w:shd w:val="clear" w:color="auto" w:fill="DDEFF3"/>
          </w:tcPr>
          <w:p>
            <w:pPr>
              <w:spacing w:after="0"/>
              <w:rPr>
                <w:sz w:val="21"/>
                <w:szCs w:val="21"/>
                <w:color w:val="auto"/>
              </w:rPr>
            </w:pPr>
          </w:p>
        </w:tc>
        <w:tc>
          <w:tcPr>
            <w:tcW w:w="220" w:type="dxa"/>
            <w:vAlign w:val="bottom"/>
            <w:tcBorders>
              <w:bottom w:val="single" w:sz="8" w:color="BFBFBF"/>
              <w:right w:val="single" w:sz="8" w:color="BFBFBF"/>
            </w:tcBorders>
            <w:shd w:val="clear" w:color="auto" w:fill="DDEFF3"/>
          </w:tcPr>
          <w:p>
            <w:pPr>
              <w:spacing w:after="0"/>
              <w:rPr>
                <w:sz w:val="21"/>
                <w:szCs w:val="21"/>
                <w:color w:val="auto"/>
              </w:rPr>
            </w:pPr>
          </w:p>
        </w:tc>
        <w:tc>
          <w:tcPr>
            <w:tcW w:w="300" w:type="dxa"/>
            <w:vAlign w:val="bottom"/>
            <w:tcBorders>
              <w:bottom w:val="single" w:sz="8" w:color="BFBFBF"/>
            </w:tcBorders>
            <w:shd w:val="clear" w:color="auto" w:fill="DDEFF3"/>
          </w:tcPr>
          <w:p>
            <w:pPr>
              <w:spacing w:after="0"/>
              <w:rPr>
                <w:sz w:val="21"/>
                <w:szCs w:val="21"/>
                <w:color w:val="auto"/>
              </w:rPr>
            </w:pPr>
          </w:p>
        </w:tc>
        <w:tc>
          <w:tcPr>
            <w:tcW w:w="400" w:type="dxa"/>
            <w:vAlign w:val="bottom"/>
            <w:tcBorders>
              <w:bottom w:val="single" w:sz="8" w:color="BFBFBF"/>
            </w:tcBorders>
            <w:shd w:val="clear" w:color="auto" w:fill="DDEFF3"/>
          </w:tcPr>
          <w:p>
            <w:pPr>
              <w:spacing w:after="0"/>
              <w:rPr>
                <w:sz w:val="21"/>
                <w:szCs w:val="21"/>
                <w:color w:val="auto"/>
              </w:rPr>
            </w:pPr>
          </w:p>
        </w:tc>
        <w:tc>
          <w:tcPr>
            <w:tcW w:w="1200" w:type="dxa"/>
            <w:vAlign w:val="bottom"/>
            <w:tcBorders>
              <w:bottom w:val="single" w:sz="8" w:color="BFBFBF"/>
            </w:tcBorders>
            <w:shd w:val="clear" w:color="auto" w:fill="DDEFF3"/>
          </w:tcPr>
          <w:p>
            <w:pPr>
              <w:spacing w:after="0"/>
              <w:rPr>
                <w:sz w:val="21"/>
                <w:szCs w:val="21"/>
                <w:color w:val="auto"/>
              </w:rPr>
            </w:pPr>
          </w:p>
        </w:tc>
        <w:tc>
          <w:tcPr>
            <w:tcW w:w="24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8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Anna M. Ewing</w:t>
            </w:r>
          </w:p>
        </w:tc>
        <w:tc>
          <w:tcPr>
            <w:tcW w:w="128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2012</w:t>
            </w:r>
          </w:p>
        </w:tc>
        <w:tc>
          <w:tcPr>
            <w:tcW w:w="66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1,343,857</w:t>
            </w:r>
          </w:p>
        </w:tc>
        <w:tc>
          <w:tcPr>
            <w:tcW w:w="120" w:type="dxa"/>
            <w:vAlign w:val="bottom"/>
            <w:tcBorders>
              <w:bottom w:val="single" w:sz="8" w:color="BFBFBF"/>
              <w:right w:val="single" w:sz="8" w:color="BFBFBF"/>
            </w:tcBorders>
          </w:tcPr>
          <w:p>
            <w:pPr>
              <w:spacing w:after="0"/>
              <w:rPr>
                <w:sz w:val="17"/>
                <w:szCs w:val="17"/>
                <w:color w:val="auto"/>
              </w:rPr>
            </w:pPr>
          </w:p>
        </w:tc>
        <w:tc>
          <w:tcPr>
            <w:tcW w:w="30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1,343,857</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left w:val="single" w:sz="8" w:color="BFBFBF"/>
              <w:right w:val="single" w:sz="8" w:color="BFBFBF"/>
            </w:tcBorders>
          </w:tcPr>
          <w:p>
            <w:pPr>
              <w:ind w:left="340"/>
              <w:spacing w:after="0" w:line="196" w:lineRule="exact"/>
              <w:rPr>
                <w:sz w:val="20"/>
                <w:szCs w:val="20"/>
                <w:color w:val="auto"/>
              </w:rPr>
            </w:pPr>
            <w:r>
              <w:rPr>
                <w:rFonts w:ascii="Arial" w:cs="Arial" w:eastAsia="Arial" w:hAnsi="Arial"/>
                <w:sz w:val="18"/>
                <w:szCs w:val="18"/>
                <w:color w:val="auto"/>
              </w:rPr>
              <w:t>Executive Vice President, Global</w:t>
            </w:r>
          </w:p>
        </w:tc>
        <w:tc>
          <w:tcPr>
            <w:tcW w:w="128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2011</w:t>
            </w:r>
          </w:p>
        </w:tc>
        <w:tc>
          <w:tcPr>
            <w:tcW w:w="66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1,120,005</w:t>
            </w:r>
          </w:p>
        </w:tc>
        <w:tc>
          <w:tcPr>
            <w:tcW w:w="120" w:type="dxa"/>
            <w:vAlign w:val="bottom"/>
            <w:tcBorders>
              <w:bottom w:val="single" w:sz="8" w:color="BFBFBF"/>
              <w:right w:val="single" w:sz="8" w:color="BFBFBF"/>
            </w:tcBorders>
          </w:tcPr>
          <w:p>
            <w:pPr>
              <w:spacing w:after="0"/>
              <w:rPr>
                <w:sz w:val="17"/>
                <w:szCs w:val="17"/>
                <w:color w:val="auto"/>
              </w:rPr>
            </w:pPr>
          </w:p>
        </w:tc>
        <w:tc>
          <w:tcPr>
            <w:tcW w:w="30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1,120,005</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left w:val="single" w:sz="8" w:color="BFBFBF"/>
              <w:bottom w:val="single" w:sz="8" w:color="BFBFBF"/>
              <w:right w:val="single" w:sz="8" w:color="BFBFBF"/>
            </w:tcBorders>
          </w:tcPr>
          <w:p>
            <w:pPr>
              <w:ind w:left="340"/>
              <w:spacing w:after="0" w:line="195" w:lineRule="exact"/>
              <w:rPr>
                <w:sz w:val="20"/>
                <w:szCs w:val="20"/>
                <w:color w:val="auto"/>
              </w:rPr>
            </w:pPr>
            <w:r>
              <w:rPr>
                <w:rFonts w:ascii="Arial" w:cs="Arial" w:eastAsia="Arial" w:hAnsi="Arial"/>
                <w:sz w:val="18"/>
                <w:szCs w:val="18"/>
                <w:color w:val="auto"/>
              </w:rPr>
              <w:t>Technology Solutions</w:t>
            </w:r>
          </w:p>
        </w:tc>
        <w:tc>
          <w:tcPr>
            <w:tcW w:w="128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2010</w:t>
            </w:r>
          </w:p>
        </w:tc>
        <w:tc>
          <w:tcPr>
            <w:tcW w:w="66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BFBFBF"/>
              <w:right w:val="single" w:sz="8" w:color="BFBFBF"/>
            </w:tcBorders>
            <w:gridSpan w:val="2"/>
          </w:tcPr>
          <w:p>
            <w:pPr>
              <w:jc w:val="right"/>
              <w:ind w:right="120"/>
              <w:spacing w:after="0" w:line="196" w:lineRule="exact"/>
              <w:rPr>
                <w:sz w:val="20"/>
                <w:szCs w:val="20"/>
                <w:color w:val="auto"/>
              </w:rPr>
            </w:pPr>
            <w:r>
              <w:rPr>
                <w:rFonts w:ascii="Arial" w:cs="Arial" w:eastAsia="Arial" w:hAnsi="Arial"/>
                <w:sz w:val="18"/>
                <w:szCs w:val="18"/>
                <w:color w:val="auto"/>
              </w:rPr>
              <w:t>880,001</w:t>
            </w:r>
          </w:p>
        </w:tc>
        <w:tc>
          <w:tcPr>
            <w:tcW w:w="30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880,001</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8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160" w:type="dxa"/>
            <w:vAlign w:val="bottom"/>
            <w:tcBorders>
              <w:bottom w:val="single" w:sz="8" w:color="BFBFBF"/>
            </w:tcBorders>
            <w:shd w:val="clear" w:color="auto" w:fill="DDEFF3"/>
          </w:tcPr>
          <w:p>
            <w:pPr>
              <w:spacing w:after="0"/>
              <w:rPr>
                <w:sz w:val="21"/>
                <w:szCs w:val="21"/>
                <w:color w:val="auto"/>
              </w:rPr>
            </w:pPr>
          </w:p>
        </w:tc>
        <w:tc>
          <w:tcPr>
            <w:tcW w:w="8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300" w:type="dxa"/>
            <w:vAlign w:val="bottom"/>
            <w:tcBorders>
              <w:bottom w:val="single" w:sz="8" w:color="BFBFBF"/>
            </w:tcBorders>
            <w:shd w:val="clear" w:color="auto" w:fill="DDEFF3"/>
          </w:tcPr>
          <w:p>
            <w:pPr>
              <w:spacing w:after="0"/>
              <w:rPr>
                <w:sz w:val="21"/>
                <w:szCs w:val="21"/>
                <w:color w:val="auto"/>
              </w:rPr>
            </w:pPr>
          </w:p>
        </w:tc>
        <w:tc>
          <w:tcPr>
            <w:tcW w:w="340" w:type="dxa"/>
            <w:vAlign w:val="bottom"/>
            <w:tcBorders>
              <w:bottom w:val="single" w:sz="8" w:color="BFBFBF"/>
            </w:tcBorders>
            <w:shd w:val="clear" w:color="auto" w:fill="DDEFF3"/>
          </w:tcPr>
          <w:p>
            <w:pPr>
              <w:spacing w:after="0"/>
              <w:rPr>
                <w:sz w:val="21"/>
                <w:szCs w:val="21"/>
                <w:color w:val="auto"/>
              </w:rPr>
            </w:pPr>
          </w:p>
        </w:tc>
        <w:tc>
          <w:tcPr>
            <w:tcW w:w="1060" w:type="dxa"/>
            <w:vAlign w:val="bottom"/>
            <w:tcBorders>
              <w:bottom w:val="single" w:sz="8" w:color="BFBFBF"/>
            </w:tcBorders>
            <w:shd w:val="clear" w:color="auto" w:fill="DDEFF3"/>
          </w:tcPr>
          <w:p>
            <w:pPr>
              <w:spacing w:after="0"/>
              <w:rPr>
                <w:sz w:val="21"/>
                <w:szCs w:val="21"/>
                <w:color w:val="auto"/>
              </w:rPr>
            </w:pPr>
          </w:p>
        </w:tc>
        <w:tc>
          <w:tcPr>
            <w:tcW w:w="220" w:type="dxa"/>
            <w:vAlign w:val="bottom"/>
            <w:tcBorders>
              <w:bottom w:val="single" w:sz="8" w:color="BFBFBF"/>
              <w:right w:val="single" w:sz="8" w:color="BFBFBF"/>
            </w:tcBorders>
            <w:shd w:val="clear" w:color="auto" w:fill="DDEFF3"/>
          </w:tcPr>
          <w:p>
            <w:pPr>
              <w:spacing w:after="0"/>
              <w:rPr>
                <w:sz w:val="21"/>
                <w:szCs w:val="21"/>
                <w:color w:val="auto"/>
              </w:rPr>
            </w:pPr>
          </w:p>
        </w:tc>
        <w:tc>
          <w:tcPr>
            <w:tcW w:w="300" w:type="dxa"/>
            <w:vAlign w:val="bottom"/>
            <w:tcBorders>
              <w:bottom w:val="single" w:sz="8" w:color="BFBFBF"/>
            </w:tcBorders>
            <w:shd w:val="clear" w:color="auto" w:fill="DDEFF3"/>
          </w:tcPr>
          <w:p>
            <w:pPr>
              <w:spacing w:after="0"/>
              <w:rPr>
                <w:sz w:val="21"/>
                <w:szCs w:val="21"/>
                <w:color w:val="auto"/>
              </w:rPr>
            </w:pPr>
          </w:p>
        </w:tc>
        <w:tc>
          <w:tcPr>
            <w:tcW w:w="400" w:type="dxa"/>
            <w:vAlign w:val="bottom"/>
            <w:tcBorders>
              <w:bottom w:val="single" w:sz="8" w:color="BFBFBF"/>
            </w:tcBorders>
            <w:shd w:val="clear" w:color="auto" w:fill="DDEFF3"/>
          </w:tcPr>
          <w:p>
            <w:pPr>
              <w:spacing w:after="0"/>
              <w:rPr>
                <w:sz w:val="21"/>
                <w:szCs w:val="21"/>
                <w:color w:val="auto"/>
              </w:rPr>
            </w:pPr>
          </w:p>
        </w:tc>
        <w:tc>
          <w:tcPr>
            <w:tcW w:w="1200" w:type="dxa"/>
            <w:vAlign w:val="bottom"/>
            <w:tcBorders>
              <w:bottom w:val="single" w:sz="8" w:color="BFBFBF"/>
            </w:tcBorders>
            <w:shd w:val="clear" w:color="auto" w:fill="DDEFF3"/>
          </w:tcPr>
          <w:p>
            <w:pPr>
              <w:spacing w:after="0"/>
              <w:rPr>
                <w:sz w:val="21"/>
                <w:szCs w:val="21"/>
                <w:color w:val="auto"/>
              </w:rPr>
            </w:pPr>
          </w:p>
        </w:tc>
        <w:tc>
          <w:tcPr>
            <w:tcW w:w="24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8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Hans-Ole Jochumsen</w:t>
            </w:r>
          </w:p>
        </w:tc>
        <w:tc>
          <w:tcPr>
            <w:tcW w:w="128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2012</w:t>
            </w:r>
          </w:p>
        </w:tc>
        <w:tc>
          <w:tcPr>
            <w:tcW w:w="66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1,151,887</w:t>
            </w:r>
          </w:p>
        </w:tc>
        <w:tc>
          <w:tcPr>
            <w:tcW w:w="120" w:type="dxa"/>
            <w:vAlign w:val="bottom"/>
            <w:tcBorders>
              <w:bottom w:val="single" w:sz="8" w:color="BFBFBF"/>
              <w:right w:val="single" w:sz="8" w:color="BFBFBF"/>
            </w:tcBorders>
          </w:tcPr>
          <w:p>
            <w:pPr>
              <w:spacing w:after="0"/>
              <w:rPr>
                <w:sz w:val="17"/>
                <w:szCs w:val="17"/>
                <w:color w:val="auto"/>
              </w:rPr>
            </w:pPr>
          </w:p>
        </w:tc>
        <w:tc>
          <w:tcPr>
            <w:tcW w:w="30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1,151,887</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80" w:type="dxa"/>
            <w:vAlign w:val="bottom"/>
            <w:tcBorders>
              <w:left w:val="single" w:sz="8" w:color="BFBFBF"/>
              <w:right w:val="single" w:sz="8" w:color="BFBFBF"/>
            </w:tcBorders>
          </w:tcPr>
          <w:p>
            <w:pPr>
              <w:ind w:left="340"/>
              <w:spacing w:after="0" w:line="200" w:lineRule="exact"/>
              <w:rPr>
                <w:sz w:val="20"/>
                <w:szCs w:val="20"/>
                <w:color w:val="auto"/>
              </w:rPr>
            </w:pPr>
            <w:r>
              <w:rPr>
                <w:rFonts w:ascii="Arial" w:cs="Arial" w:eastAsia="Arial" w:hAnsi="Arial"/>
                <w:sz w:val="18"/>
                <w:szCs w:val="18"/>
                <w:color w:val="auto"/>
              </w:rPr>
              <w:t>Executive Vice President, Transaction Services</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BFBFBF"/>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BFBFBF"/>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right w:val="single" w:sz="8" w:color="BFBFBF"/>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480" w:type="dxa"/>
            <w:vAlign w:val="bottom"/>
            <w:tcBorders>
              <w:left w:val="single" w:sz="8" w:color="BFBFBF"/>
              <w:right w:val="single" w:sz="8" w:color="BFBFBF"/>
            </w:tcBorders>
            <w:vMerge w:val="restart"/>
          </w:tcPr>
          <w:p>
            <w:pPr>
              <w:ind w:left="340"/>
              <w:spacing w:after="0" w:line="200" w:lineRule="exact"/>
              <w:rPr>
                <w:sz w:val="20"/>
                <w:szCs w:val="20"/>
                <w:color w:val="auto"/>
              </w:rPr>
            </w:pPr>
            <w:r>
              <w:rPr>
                <w:rFonts w:ascii="Arial" w:cs="Arial" w:eastAsia="Arial" w:hAnsi="Arial"/>
                <w:sz w:val="18"/>
                <w:szCs w:val="18"/>
                <w:color w:val="auto"/>
              </w:rPr>
              <w:t>Nordic</w:t>
            </w:r>
          </w:p>
        </w:tc>
        <w:tc>
          <w:tcPr>
            <w:tcW w:w="500" w:type="dxa"/>
            <w:vAlign w:val="bottom"/>
            <w:tcBorders>
              <w:bottom w:val="single" w:sz="8" w:color="BFBFBF"/>
            </w:tcBorders>
          </w:tcPr>
          <w:p>
            <w:pPr>
              <w:spacing w:after="0"/>
              <w:rPr>
                <w:sz w:val="11"/>
                <w:szCs w:val="11"/>
                <w:color w:val="auto"/>
              </w:rPr>
            </w:pPr>
          </w:p>
        </w:tc>
        <w:tc>
          <w:tcPr>
            <w:tcW w:w="660" w:type="dxa"/>
            <w:vAlign w:val="bottom"/>
            <w:tcBorders>
              <w:bottom w:val="single" w:sz="8" w:color="BFBFBF"/>
            </w:tcBorders>
          </w:tcPr>
          <w:p>
            <w:pPr>
              <w:spacing w:after="0"/>
              <w:rPr>
                <w:sz w:val="11"/>
                <w:szCs w:val="11"/>
                <w:color w:val="auto"/>
              </w:rPr>
            </w:pPr>
          </w:p>
        </w:tc>
        <w:tc>
          <w:tcPr>
            <w:tcW w:w="120" w:type="dxa"/>
            <w:vAlign w:val="bottom"/>
            <w:tcBorders>
              <w:bottom w:val="single" w:sz="8" w:color="BFBFBF"/>
              <w:right w:val="single" w:sz="8" w:color="BFBFBF"/>
            </w:tcBorders>
          </w:tcPr>
          <w:p>
            <w:pPr>
              <w:spacing w:after="0"/>
              <w:rPr>
                <w:sz w:val="11"/>
                <w:szCs w:val="11"/>
                <w:color w:val="auto"/>
              </w:rPr>
            </w:pPr>
          </w:p>
        </w:tc>
        <w:tc>
          <w:tcPr>
            <w:tcW w:w="500" w:type="dxa"/>
            <w:vAlign w:val="bottom"/>
            <w:tcBorders>
              <w:bottom w:val="single" w:sz="8" w:color="BFBFBF"/>
            </w:tcBorders>
          </w:tcPr>
          <w:p>
            <w:pPr>
              <w:spacing w:after="0"/>
              <w:rPr>
                <w:sz w:val="11"/>
                <w:szCs w:val="11"/>
                <w:color w:val="auto"/>
              </w:rPr>
            </w:pPr>
          </w:p>
        </w:tc>
        <w:tc>
          <w:tcPr>
            <w:tcW w:w="160" w:type="dxa"/>
            <w:vAlign w:val="bottom"/>
            <w:tcBorders>
              <w:bottom w:val="single" w:sz="8" w:color="BFBFBF"/>
            </w:tcBorders>
          </w:tcPr>
          <w:p>
            <w:pPr>
              <w:spacing w:after="0"/>
              <w:rPr>
                <w:sz w:val="11"/>
                <w:szCs w:val="11"/>
                <w:color w:val="auto"/>
              </w:rPr>
            </w:pPr>
          </w:p>
        </w:tc>
        <w:tc>
          <w:tcPr>
            <w:tcW w:w="840" w:type="dxa"/>
            <w:vAlign w:val="bottom"/>
            <w:tcBorders>
              <w:bottom w:val="single" w:sz="8" w:color="BFBFBF"/>
            </w:tcBorders>
          </w:tcPr>
          <w:p>
            <w:pPr>
              <w:spacing w:after="0"/>
              <w:rPr>
                <w:sz w:val="11"/>
                <w:szCs w:val="11"/>
                <w:color w:val="auto"/>
              </w:rPr>
            </w:pPr>
          </w:p>
        </w:tc>
        <w:tc>
          <w:tcPr>
            <w:tcW w:w="120" w:type="dxa"/>
            <w:vAlign w:val="bottom"/>
            <w:tcBorders>
              <w:bottom w:val="single" w:sz="8" w:color="BFBFBF"/>
              <w:right w:val="single" w:sz="8" w:color="BFBFBF"/>
            </w:tcBorders>
          </w:tcPr>
          <w:p>
            <w:pPr>
              <w:spacing w:after="0"/>
              <w:rPr>
                <w:sz w:val="11"/>
                <w:szCs w:val="11"/>
                <w:color w:val="auto"/>
              </w:rPr>
            </w:pPr>
          </w:p>
        </w:tc>
        <w:tc>
          <w:tcPr>
            <w:tcW w:w="300" w:type="dxa"/>
            <w:vAlign w:val="bottom"/>
            <w:tcBorders>
              <w:bottom w:val="single" w:sz="8" w:color="BFBFBF"/>
            </w:tcBorders>
          </w:tcPr>
          <w:p>
            <w:pPr>
              <w:spacing w:after="0"/>
              <w:rPr>
                <w:sz w:val="11"/>
                <w:szCs w:val="11"/>
                <w:color w:val="auto"/>
              </w:rPr>
            </w:pPr>
          </w:p>
        </w:tc>
        <w:tc>
          <w:tcPr>
            <w:tcW w:w="340" w:type="dxa"/>
            <w:vAlign w:val="bottom"/>
            <w:tcBorders>
              <w:bottom w:val="single" w:sz="8" w:color="BFBFBF"/>
            </w:tcBorders>
          </w:tcPr>
          <w:p>
            <w:pPr>
              <w:spacing w:after="0"/>
              <w:rPr>
                <w:sz w:val="11"/>
                <w:szCs w:val="11"/>
                <w:color w:val="auto"/>
              </w:rPr>
            </w:pPr>
          </w:p>
        </w:tc>
        <w:tc>
          <w:tcPr>
            <w:tcW w:w="1060" w:type="dxa"/>
            <w:vAlign w:val="bottom"/>
            <w:tcBorders>
              <w:bottom w:val="single" w:sz="8" w:color="BFBFBF"/>
            </w:tcBorders>
          </w:tcPr>
          <w:p>
            <w:pPr>
              <w:spacing w:after="0"/>
              <w:rPr>
                <w:sz w:val="11"/>
                <w:szCs w:val="11"/>
                <w:color w:val="auto"/>
              </w:rPr>
            </w:pPr>
          </w:p>
        </w:tc>
        <w:tc>
          <w:tcPr>
            <w:tcW w:w="220" w:type="dxa"/>
            <w:vAlign w:val="bottom"/>
            <w:tcBorders>
              <w:bottom w:val="single" w:sz="8" w:color="BFBFBF"/>
              <w:right w:val="single" w:sz="8" w:color="BFBFBF"/>
            </w:tcBorders>
          </w:tcPr>
          <w:p>
            <w:pPr>
              <w:spacing w:after="0"/>
              <w:rPr>
                <w:sz w:val="11"/>
                <w:szCs w:val="11"/>
                <w:color w:val="auto"/>
              </w:rPr>
            </w:pPr>
          </w:p>
        </w:tc>
        <w:tc>
          <w:tcPr>
            <w:tcW w:w="300" w:type="dxa"/>
            <w:vAlign w:val="bottom"/>
            <w:tcBorders>
              <w:bottom w:val="single" w:sz="8" w:color="BFBFBF"/>
            </w:tcBorders>
          </w:tcPr>
          <w:p>
            <w:pPr>
              <w:spacing w:after="0"/>
              <w:rPr>
                <w:sz w:val="11"/>
                <w:szCs w:val="11"/>
                <w:color w:val="auto"/>
              </w:rPr>
            </w:pPr>
          </w:p>
        </w:tc>
        <w:tc>
          <w:tcPr>
            <w:tcW w:w="400" w:type="dxa"/>
            <w:vAlign w:val="bottom"/>
            <w:tcBorders>
              <w:bottom w:val="single" w:sz="8" w:color="BFBFBF"/>
            </w:tcBorders>
          </w:tcPr>
          <w:p>
            <w:pPr>
              <w:spacing w:after="0"/>
              <w:rPr>
                <w:sz w:val="11"/>
                <w:szCs w:val="11"/>
                <w:color w:val="auto"/>
              </w:rPr>
            </w:pPr>
          </w:p>
        </w:tc>
        <w:tc>
          <w:tcPr>
            <w:tcW w:w="1200" w:type="dxa"/>
            <w:vAlign w:val="bottom"/>
            <w:tcBorders>
              <w:bottom w:val="single" w:sz="8" w:color="BFBFBF"/>
            </w:tcBorders>
          </w:tcPr>
          <w:p>
            <w:pPr>
              <w:spacing w:after="0"/>
              <w:rPr>
                <w:sz w:val="11"/>
                <w:szCs w:val="11"/>
                <w:color w:val="auto"/>
              </w:rPr>
            </w:pPr>
          </w:p>
        </w:tc>
        <w:tc>
          <w:tcPr>
            <w:tcW w:w="240" w:type="dxa"/>
            <w:vAlign w:val="bottom"/>
            <w:tcBorders>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480" w:type="dxa"/>
            <w:vAlign w:val="bottom"/>
            <w:tcBorders>
              <w:left w:val="single" w:sz="8" w:color="BFBFBF"/>
              <w:bottom w:val="single" w:sz="8" w:color="BFBFBF"/>
              <w:right w:val="single" w:sz="8" w:color="BFBFBF"/>
            </w:tcBorders>
            <w:vMerge w:val="continue"/>
          </w:tcPr>
          <w:p>
            <w:pPr>
              <w:spacing w:after="0"/>
              <w:rPr>
                <w:sz w:val="4"/>
                <w:szCs w:val="4"/>
                <w:color w:val="auto"/>
              </w:rPr>
            </w:pPr>
          </w:p>
        </w:tc>
        <w:tc>
          <w:tcPr>
            <w:tcW w:w="500" w:type="dxa"/>
            <w:vAlign w:val="bottom"/>
            <w:tcBorders>
              <w:bottom w:val="single" w:sz="8" w:color="BFBFBF"/>
            </w:tcBorders>
          </w:tcPr>
          <w:p>
            <w:pPr>
              <w:spacing w:after="0"/>
              <w:rPr>
                <w:sz w:val="4"/>
                <w:szCs w:val="4"/>
                <w:color w:val="auto"/>
              </w:rPr>
            </w:pPr>
          </w:p>
        </w:tc>
        <w:tc>
          <w:tcPr>
            <w:tcW w:w="660" w:type="dxa"/>
            <w:vAlign w:val="bottom"/>
            <w:tcBorders>
              <w:bottom w:val="single" w:sz="8" w:color="BFBFBF"/>
            </w:tcBorders>
          </w:tcPr>
          <w:p>
            <w:pPr>
              <w:spacing w:after="0"/>
              <w:rPr>
                <w:sz w:val="4"/>
                <w:szCs w:val="4"/>
                <w:color w:val="auto"/>
              </w:rPr>
            </w:pPr>
          </w:p>
        </w:tc>
        <w:tc>
          <w:tcPr>
            <w:tcW w:w="120" w:type="dxa"/>
            <w:vAlign w:val="bottom"/>
            <w:tcBorders>
              <w:bottom w:val="single" w:sz="8" w:color="BFBFBF"/>
              <w:right w:val="single" w:sz="8" w:color="BFBFBF"/>
            </w:tcBorders>
          </w:tcPr>
          <w:p>
            <w:pPr>
              <w:spacing w:after="0"/>
              <w:rPr>
                <w:sz w:val="4"/>
                <w:szCs w:val="4"/>
                <w:color w:val="auto"/>
              </w:rPr>
            </w:pPr>
          </w:p>
        </w:tc>
        <w:tc>
          <w:tcPr>
            <w:tcW w:w="500" w:type="dxa"/>
            <w:vAlign w:val="bottom"/>
            <w:tcBorders>
              <w:bottom w:val="single" w:sz="8" w:color="BFBFBF"/>
            </w:tcBorders>
          </w:tcPr>
          <w:p>
            <w:pPr>
              <w:spacing w:after="0"/>
              <w:rPr>
                <w:sz w:val="4"/>
                <w:szCs w:val="4"/>
                <w:color w:val="auto"/>
              </w:rPr>
            </w:pPr>
          </w:p>
        </w:tc>
        <w:tc>
          <w:tcPr>
            <w:tcW w:w="160" w:type="dxa"/>
            <w:vAlign w:val="bottom"/>
            <w:tcBorders>
              <w:bottom w:val="single" w:sz="8" w:color="BFBFBF"/>
            </w:tcBorders>
          </w:tcPr>
          <w:p>
            <w:pPr>
              <w:spacing w:after="0"/>
              <w:rPr>
                <w:sz w:val="4"/>
                <w:szCs w:val="4"/>
                <w:color w:val="auto"/>
              </w:rPr>
            </w:pPr>
          </w:p>
        </w:tc>
        <w:tc>
          <w:tcPr>
            <w:tcW w:w="840" w:type="dxa"/>
            <w:vAlign w:val="bottom"/>
            <w:tcBorders>
              <w:bottom w:val="single" w:sz="8" w:color="BFBFBF"/>
            </w:tcBorders>
          </w:tcPr>
          <w:p>
            <w:pPr>
              <w:spacing w:after="0"/>
              <w:rPr>
                <w:sz w:val="4"/>
                <w:szCs w:val="4"/>
                <w:color w:val="auto"/>
              </w:rPr>
            </w:pPr>
          </w:p>
        </w:tc>
        <w:tc>
          <w:tcPr>
            <w:tcW w:w="120" w:type="dxa"/>
            <w:vAlign w:val="bottom"/>
            <w:tcBorders>
              <w:bottom w:val="single" w:sz="8" w:color="BFBFBF"/>
              <w:right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340" w:type="dxa"/>
            <w:vAlign w:val="bottom"/>
            <w:tcBorders>
              <w:bottom w:val="single" w:sz="8" w:color="BFBFBF"/>
            </w:tcBorders>
          </w:tcPr>
          <w:p>
            <w:pPr>
              <w:spacing w:after="0"/>
              <w:rPr>
                <w:sz w:val="4"/>
                <w:szCs w:val="4"/>
                <w:color w:val="auto"/>
              </w:rPr>
            </w:pPr>
          </w:p>
        </w:tc>
        <w:tc>
          <w:tcPr>
            <w:tcW w:w="1060" w:type="dxa"/>
            <w:vAlign w:val="bottom"/>
            <w:tcBorders>
              <w:bottom w:val="single" w:sz="8" w:color="BFBFBF"/>
            </w:tcBorders>
          </w:tcPr>
          <w:p>
            <w:pPr>
              <w:spacing w:after="0"/>
              <w:rPr>
                <w:sz w:val="4"/>
                <w:szCs w:val="4"/>
                <w:color w:val="auto"/>
              </w:rPr>
            </w:pPr>
          </w:p>
        </w:tc>
        <w:tc>
          <w:tcPr>
            <w:tcW w:w="220" w:type="dxa"/>
            <w:vAlign w:val="bottom"/>
            <w:tcBorders>
              <w:bottom w:val="single" w:sz="8" w:color="BFBFBF"/>
              <w:right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400" w:type="dxa"/>
            <w:vAlign w:val="bottom"/>
            <w:tcBorders>
              <w:bottom w:val="single" w:sz="8" w:color="BFBFBF"/>
            </w:tcBorders>
          </w:tcPr>
          <w:p>
            <w:pPr>
              <w:spacing w:after="0"/>
              <w:rPr>
                <w:sz w:val="4"/>
                <w:szCs w:val="4"/>
                <w:color w:val="auto"/>
              </w:rPr>
            </w:pPr>
          </w:p>
        </w:tc>
        <w:tc>
          <w:tcPr>
            <w:tcW w:w="1200" w:type="dxa"/>
            <w:vAlign w:val="bottom"/>
            <w:tcBorders>
              <w:bottom w:val="single" w:sz="8" w:color="BFBFBF"/>
            </w:tcBorders>
          </w:tcPr>
          <w:p>
            <w:pPr>
              <w:spacing w:after="0"/>
              <w:rPr>
                <w:sz w:val="4"/>
                <w:szCs w:val="4"/>
                <w:color w:val="auto"/>
              </w:rPr>
            </w:pPr>
          </w:p>
        </w:tc>
        <w:tc>
          <w:tcPr>
            <w:tcW w:w="240" w:type="dxa"/>
            <w:vAlign w:val="bottom"/>
            <w:tcBorders>
              <w:bottom w:val="single" w:sz="8" w:color="BFBFBF"/>
              <w:right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8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160" w:type="dxa"/>
            <w:vAlign w:val="bottom"/>
            <w:tcBorders>
              <w:bottom w:val="single" w:sz="8" w:color="BFBFBF"/>
            </w:tcBorders>
            <w:shd w:val="clear" w:color="auto" w:fill="DDEFF3"/>
          </w:tcPr>
          <w:p>
            <w:pPr>
              <w:spacing w:after="0"/>
              <w:rPr>
                <w:sz w:val="21"/>
                <w:szCs w:val="21"/>
                <w:color w:val="auto"/>
              </w:rPr>
            </w:pPr>
          </w:p>
        </w:tc>
        <w:tc>
          <w:tcPr>
            <w:tcW w:w="8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300" w:type="dxa"/>
            <w:vAlign w:val="bottom"/>
            <w:tcBorders>
              <w:bottom w:val="single" w:sz="8" w:color="BFBFBF"/>
            </w:tcBorders>
            <w:shd w:val="clear" w:color="auto" w:fill="DDEFF3"/>
          </w:tcPr>
          <w:p>
            <w:pPr>
              <w:spacing w:after="0"/>
              <w:rPr>
                <w:sz w:val="21"/>
                <w:szCs w:val="21"/>
                <w:color w:val="auto"/>
              </w:rPr>
            </w:pPr>
          </w:p>
        </w:tc>
        <w:tc>
          <w:tcPr>
            <w:tcW w:w="340" w:type="dxa"/>
            <w:vAlign w:val="bottom"/>
            <w:tcBorders>
              <w:bottom w:val="single" w:sz="8" w:color="BFBFBF"/>
            </w:tcBorders>
            <w:shd w:val="clear" w:color="auto" w:fill="DDEFF3"/>
          </w:tcPr>
          <w:p>
            <w:pPr>
              <w:spacing w:after="0"/>
              <w:rPr>
                <w:sz w:val="21"/>
                <w:szCs w:val="21"/>
                <w:color w:val="auto"/>
              </w:rPr>
            </w:pPr>
          </w:p>
        </w:tc>
        <w:tc>
          <w:tcPr>
            <w:tcW w:w="1060" w:type="dxa"/>
            <w:vAlign w:val="bottom"/>
            <w:tcBorders>
              <w:bottom w:val="single" w:sz="8" w:color="BFBFBF"/>
            </w:tcBorders>
            <w:shd w:val="clear" w:color="auto" w:fill="DDEFF3"/>
          </w:tcPr>
          <w:p>
            <w:pPr>
              <w:spacing w:after="0"/>
              <w:rPr>
                <w:sz w:val="21"/>
                <w:szCs w:val="21"/>
                <w:color w:val="auto"/>
              </w:rPr>
            </w:pPr>
          </w:p>
        </w:tc>
        <w:tc>
          <w:tcPr>
            <w:tcW w:w="220" w:type="dxa"/>
            <w:vAlign w:val="bottom"/>
            <w:tcBorders>
              <w:bottom w:val="single" w:sz="8" w:color="BFBFBF"/>
              <w:right w:val="single" w:sz="8" w:color="BFBFBF"/>
            </w:tcBorders>
            <w:shd w:val="clear" w:color="auto" w:fill="DDEFF3"/>
          </w:tcPr>
          <w:p>
            <w:pPr>
              <w:spacing w:after="0"/>
              <w:rPr>
                <w:sz w:val="21"/>
                <w:szCs w:val="21"/>
                <w:color w:val="auto"/>
              </w:rPr>
            </w:pPr>
          </w:p>
        </w:tc>
        <w:tc>
          <w:tcPr>
            <w:tcW w:w="300" w:type="dxa"/>
            <w:vAlign w:val="bottom"/>
            <w:tcBorders>
              <w:bottom w:val="single" w:sz="8" w:color="BFBFBF"/>
            </w:tcBorders>
            <w:shd w:val="clear" w:color="auto" w:fill="DDEFF3"/>
          </w:tcPr>
          <w:p>
            <w:pPr>
              <w:spacing w:after="0"/>
              <w:rPr>
                <w:sz w:val="21"/>
                <w:szCs w:val="21"/>
                <w:color w:val="auto"/>
              </w:rPr>
            </w:pPr>
          </w:p>
        </w:tc>
        <w:tc>
          <w:tcPr>
            <w:tcW w:w="400" w:type="dxa"/>
            <w:vAlign w:val="bottom"/>
            <w:tcBorders>
              <w:bottom w:val="single" w:sz="8" w:color="BFBFBF"/>
            </w:tcBorders>
            <w:shd w:val="clear" w:color="auto" w:fill="DDEFF3"/>
          </w:tcPr>
          <w:p>
            <w:pPr>
              <w:spacing w:after="0"/>
              <w:rPr>
                <w:sz w:val="21"/>
                <w:szCs w:val="21"/>
                <w:color w:val="auto"/>
              </w:rPr>
            </w:pPr>
          </w:p>
        </w:tc>
        <w:tc>
          <w:tcPr>
            <w:tcW w:w="1200" w:type="dxa"/>
            <w:vAlign w:val="bottom"/>
            <w:tcBorders>
              <w:bottom w:val="single" w:sz="8" w:color="BFBFBF"/>
            </w:tcBorders>
            <w:shd w:val="clear" w:color="auto" w:fill="DDEFF3"/>
          </w:tcPr>
          <w:p>
            <w:pPr>
              <w:spacing w:after="0"/>
              <w:rPr>
                <w:sz w:val="21"/>
                <w:szCs w:val="21"/>
                <w:color w:val="auto"/>
              </w:rPr>
            </w:pPr>
          </w:p>
        </w:tc>
        <w:tc>
          <w:tcPr>
            <w:tcW w:w="24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8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Eric W. Noll</w:t>
            </w:r>
          </w:p>
        </w:tc>
        <w:tc>
          <w:tcPr>
            <w:tcW w:w="128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2012</w:t>
            </w:r>
          </w:p>
        </w:tc>
        <w:tc>
          <w:tcPr>
            <w:tcW w:w="66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1,343,857</w:t>
            </w:r>
          </w:p>
        </w:tc>
        <w:tc>
          <w:tcPr>
            <w:tcW w:w="120" w:type="dxa"/>
            <w:vAlign w:val="bottom"/>
            <w:tcBorders>
              <w:bottom w:val="single" w:sz="8" w:color="BFBFBF"/>
              <w:right w:val="single" w:sz="8" w:color="BFBFBF"/>
            </w:tcBorders>
          </w:tcPr>
          <w:p>
            <w:pPr>
              <w:spacing w:after="0"/>
              <w:rPr>
                <w:sz w:val="17"/>
                <w:szCs w:val="17"/>
                <w:color w:val="auto"/>
              </w:rPr>
            </w:pPr>
          </w:p>
        </w:tc>
        <w:tc>
          <w:tcPr>
            <w:tcW w:w="30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1,343,857</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left w:val="single" w:sz="8" w:color="BFBFBF"/>
              <w:right w:val="single" w:sz="8" w:color="BFBFBF"/>
            </w:tcBorders>
          </w:tcPr>
          <w:p>
            <w:pPr>
              <w:ind w:left="340"/>
              <w:spacing w:after="0" w:line="196" w:lineRule="exact"/>
              <w:rPr>
                <w:sz w:val="20"/>
                <w:szCs w:val="20"/>
                <w:color w:val="auto"/>
              </w:rPr>
            </w:pPr>
            <w:r>
              <w:rPr>
                <w:rFonts w:ascii="Arial" w:cs="Arial" w:eastAsia="Arial" w:hAnsi="Arial"/>
                <w:sz w:val="18"/>
                <w:szCs w:val="18"/>
                <w:color w:val="auto"/>
              </w:rPr>
              <w:t>Executive Vice President, Transaction</w:t>
            </w:r>
          </w:p>
        </w:tc>
        <w:tc>
          <w:tcPr>
            <w:tcW w:w="128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2011</w:t>
            </w:r>
          </w:p>
        </w:tc>
        <w:tc>
          <w:tcPr>
            <w:tcW w:w="66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BFBFBF"/>
              <w:right w:val="single" w:sz="8" w:color="BFBFBF"/>
            </w:tcBorders>
            <w:gridSpan w:val="2"/>
          </w:tcPr>
          <w:p>
            <w:pPr>
              <w:jc w:val="right"/>
              <w:ind w:right="120"/>
              <w:spacing w:after="0" w:line="196" w:lineRule="exact"/>
              <w:rPr>
                <w:sz w:val="20"/>
                <w:szCs w:val="20"/>
                <w:color w:val="auto"/>
              </w:rPr>
            </w:pPr>
            <w:r>
              <w:rPr>
                <w:rFonts w:ascii="Arial" w:cs="Arial" w:eastAsia="Arial" w:hAnsi="Arial"/>
                <w:sz w:val="18"/>
                <w:szCs w:val="18"/>
                <w:color w:val="auto"/>
              </w:rPr>
              <w:t>960,008</w:t>
            </w:r>
          </w:p>
        </w:tc>
        <w:tc>
          <w:tcPr>
            <w:tcW w:w="30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960,008</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left w:val="single" w:sz="8" w:color="BFBFBF"/>
              <w:bottom w:val="single" w:sz="8" w:color="BFBFBF"/>
              <w:right w:val="single" w:sz="8" w:color="BFBFBF"/>
            </w:tcBorders>
          </w:tcPr>
          <w:p>
            <w:pPr>
              <w:ind w:left="340"/>
              <w:spacing w:after="0" w:line="195" w:lineRule="exact"/>
              <w:rPr>
                <w:sz w:val="20"/>
                <w:szCs w:val="20"/>
                <w:color w:val="auto"/>
              </w:rPr>
            </w:pPr>
            <w:r>
              <w:rPr>
                <w:rFonts w:ascii="Arial" w:cs="Arial" w:eastAsia="Arial" w:hAnsi="Arial"/>
                <w:sz w:val="18"/>
                <w:szCs w:val="18"/>
                <w:color w:val="auto"/>
              </w:rPr>
              <w:t>Services U.S. and U.K.</w:t>
            </w:r>
          </w:p>
        </w:tc>
        <w:tc>
          <w:tcPr>
            <w:tcW w:w="128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2010</w:t>
            </w:r>
          </w:p>
        </w:tc>
        <w:tc>
          <w:tcPr>
            <w:tcW w:w="660" w:type="dxa"/>
            <w:vAlign w:val="bottom"/>
            <w:tcBorders>
              <w:bottom w:val="single" w:sz="8" w:color="BFBFBF"/>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BFBFBF"/>
              <w:right w:val="single" w:sz="8" w:color="BFBFBF"/>
            </w:tcBorders>
            <w:gridSpan w:val="2"/>
          </w:tcPr>
          <w:p>
            <w:pPr>
              <w:jc w:val="right"/>
              <w:ind w:right="120"/>
              <w:spacing w:after="0" w:line="196" w:lineRule="exact"/>
              <w:rPr>
                <w:sz w:val="20"/>
                <w:szCs w:val="20"/>
                <w:color w:val="auto"/>
              </w:rPr>
            </w:pPr>
            <w:r>
              <w:rPr>
                <w:rFonts w:ascii="Arial" w:cs="Arial" w:eastAsia="Arial" w:hAnsi="Arial"/>
                <w:sz w:val="18"/>
                <w:szCs w:val="18"/>
                <w:color w:val="auto"/>
              </w:rPr>
              <w:t>720,006</w:t>
            </w:r>
          </w:p>
        </w:tc>
        <w:tc>
          <w:tcPr>
            <w:tcW w:w="30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tcBorders>
          </w:tcPr>
          <w:p>
            <w:pPr>
              <w:spacing w:after="0"/>
              <w:rPr>
                <w:sz w:val="17"/>
                <w:szCs w:val="17"/>
                <w:color w:val="auto"/>
              </w:rPr>
            </w:pPr>
          </w:p>
        </w:tc>
        <w:tc>
          <w:tcPr>
            <w:tcW w:w="1280" w:type="dxa"/>
            <w:vAlign w:val="bottom"/>
            <w:tcBorders>
              <w:bottom w:val="single" w:sz="8" w:color="BFBFBF"/>
              <w:right w:val="single" w:sz="8" w:color="BFBFBF"/>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720,006</w:t>
            </w:r>
          </w:p>
        </w:tc>
        <w:tc>
          <w:tcPr>
            <w:tcW w:w="2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-2752090</wp:posOffset>
            </wp:positionV>
            <wp:extent cx="889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-2752090</wp:posOffset>
            </wp:positionV>
            <wp:extent cx="889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86" w:lineRule="exact"/>
        <w:rPr>
          <w:sz w:val="20"/>
          <w:szCs w:val="20"/>
          <w:color w:val="auto"/>
        </w:rPr>
      </w:pPr>
    </w:p>
    <w:p>
      <w:pPr>
        <w:ind w:left="1140" w:right="140" w:hanging="565"/>
        <w:spacing w:after="0" w:line="23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Since the PSUs are subject to performance conditions, the grant date fair value reported for PSUs reflects the value at the grant date using the Monte Carlo simulation model based upon the probable outcome of the performance conditions, excluding the effect of estimated forfeitures. The table below shows the grant date fair value of the PSU awards, assuming that the maximum performance level will be achieved or exceeded.</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00" w:type="dxa"/>
            <w:vAlign w:val="bottom"/>
            <w:tcBorders>
              <w:left w:val="single" w:sz="8" w:color="BFBFBF"/>
              <w:right w:val="single" w:sz="8" w:color="BFBFBF"/>
            </w:tcBorders>
            <w:shd w:val="clear" w:color="auto" w:fill="0088A6"/>
          </w:tcPr>
          <w:p>
            <w:pPr>
              <w:ind w:left="3180"/>
              <w:spacing w:after="0"/>
              <w:rPr>
                <w:sz w:val="20"/>
                <w:szCs w:val="20"/>
                <w:color w:val="auto"/>
              </w:rPr>
            </w:pPr>
            <w:r>
              <w:rPr>
                <w:rFonts w:ascii="Arial" w:cs="Arial" w:eastAsia="Arial" w:hAnsi="Arial"/>
                <w:sz w:val="18"/>
                <w:szCs w:val="18"/>
                <w:b w:val="1"/>
                <w:bCs w:val="1"/>
                <w:color w:val="FFFFFF"/>
              </w:rPr>
              <w:t>Name and</w:t>
            </w:r>
          </w:p>
        </w:tc>
        <w:tc>
          <w:tcPr>
            <w:tcW w:w="640" w:type="dxa"/>
            <w:vAlign w:val="bottom"/>
            <w:shd w:val="clear" w:color="auto" w:fill="0088A6"/>
          </w:tcPr>
          <w:p>
            <w:pPr>
              <w:spacing w:after="0"/>
              <w:rPr>
                <w:sz w:val="18"/>
                <w:szCs w:val="18"/>
                <w:color w:val="auto"/>
              </w:rPr>
            </w:pPr>
          </w:p>
        </w:tc>
        <w:tc>
          <w:tcPr>
            <w:tcW w:w="500" w:type="dxa"/>
            <w:vAlign w:val="bottom"/>
            <w:shd w:val="clear" w:color="auto" w:fill="0088A6"/>
          </w:tcPr>
          <w:p>
            <w:pPr>
              <w:spacing w:after="0"/>
              <w:rPr>
                <w:sz w:val="18"/>
                <w:szCs w:val="18"/>
                <w:color w:val="auto"/>
              </w:rPr>
            </w:pPr>
          </w:p>
        </w:tc>
        <w:tc>
          <w:tcPr>
            <w:tcW w:w="600" w:type="dxa"/>
            <w:vAlign w:val="bottom"/>
            <w:tcBorders>
              <w:right w:val="single" w:sz="8" w:color="BFBFBF"/>
            </w:tcBorders>
            <w:shd w:val="clear" w:color="auto" w:fill="0088A6"/>
          </w:tcPr>
          <w:p>
            <w:pPr>
              <w:spacing w:after="0"/>
              <w:rPr>
                <w:sz w:val="18"/>
                <w:szCs w:val="18"/>
                <w:color w:val="auto"/>
              </w:rPr>
            </w:pPr>
          </w:p>
        </w:tc>
        <w:tc>
          <w:tcPr>
            <w:tcW w:w="640" w:type="dxa"/>
            <w:vAlign w:val="bottom"/>
            <w:shd w:val="clear" w:color="auto" w:fill="0088A6"/>
          </w:tcPr>
          <w:p>
            <w:pPr>
              <w:spacing w:after="0"/>
              <w:rPr>
                <w:sz w:val="18"/>
                <w:szCs w:val="18"/>
                <w:color w:val="auto"/>
              </w:rPr>
            </w:pPr>
          </w:p>
        </w:tc>
        <w:tc>
          <w:tcPr>
            <w:tcW w:w="240" w:type="dxa"/>
            <w:vAlign w:val="bottom"/>
            <w:shd w:val="clear" w:color="auto" w:fill="0088A6"/>
          </w:tcPr>
          <w:p>
            <w:pPr>
              <w:spacing w:after="0"/>
              <w:rPr>
                <w:sz w:val="18"/>
                <w:szCs w:val="18"/>
                <w:color w:val="auto"/>
              </w:rPr>
            </w:pPr>
          </w:p>
        </w:tc>
        <w:tc>
          <w:tcPr>
            <w:tcW w:w="1720" w:type="dxa"/>
            <w:vAlign w:val="bottom"/>
            <w:tcBorders>
              <w:right w:val="single" w:sz="8" w:color="BFBFBF"/>
            </w:tcBorders>
            <w:gridSpan w:val="2"/>
            <w:shd w:val="clear" w:color="auto" w:fill="0088A6"/>
          </w:tcPr>
          <w:p>
            <w:pPr>
              <w:ind w:left="160"/>
              <w:spacing w:after="0"/>
              <w:rPr>
                <w:sz w:val="20"/>
                <w:szCs w:val="20"/>
                <w:color w:val="auto"/>
              </w:rPr>
            </w:pPr>
            <w:r>
              <w:rPr>
                <w:rFonts w:ascii="Arial" w:cs="Arial" w:eastAsia="Arial" w:hAnsi="Arial"/>
                <w:sz w:val="18"/>
                <w:szCs w:val="18"/>
                <w:b w:val="1"/>
                <w:bCs w:val="1"/>
                <w:color w:val="FFFFFF"/>
              </w:rPr>
              <w:t>PSUs</w:t>
            </w:r>
          </w:p>
        </w:tc>
      </w:tr>
      <w:tr>
        <w:trPr>
          <w:trHeight w:val="275"/>
        </w:trPr>
        <w:tc>
          <w:tcPr>
            <w:tcW w:w="7100" w:type="dxa"/>
            <w:vAlign w:val="bottom"/>
            <w:tcBorders>
              <w:left w:val="single" w:sz="8" w:color="BFBFBF"/>
              <w:bottom w:val="single" w:sz="8" w:color="auto"/>
              <w:right w:val="single" w:sz="8" w:color="BFBFBF"/>
            </w:tcBorders>
            <w:shd w:val="clear" w:color="auto" w:fill="0088A6"/>
          </w:tcPr>
          <w:p>
            <w:pPr>
              <w:ind w:left="2840"/>
              <w:spacing w:after="0"/>
              <w:rPr>
                <w:sz w:val="20"/>
                <w:szCs w:val="20"/>
                <w:color w:val="auto"/>
              </w:rPr>
            </w:pPr>
            <w:r>
              <w:rPr>
                <w:rFonts w:ascii="Arial" w:cs="Arial" w:eastAsia="Arial" w:hAnsi="Arial"/>
                <w:sz w:val="18"/>
                <w:szCs w:val="18"/>
                <w:b w:val="1"/>
                <w:bCs w:val="1"/>
                <w:color w:val="FFFFFF"/>
              </w:rPr>
              <w:t>Principal Position</w:t>
            </w:r>
          </w:p>
        </w:tc>
        <w:tc>
          <w:tcPr>
            <w:tcW w:w="640" w:type="dxa"/>
            <w:vAlign w:val="bottom"/>
            <w:tcBorders>
              <w:bottom w:val="single" w:sz="8" w:color="0088A6"/>
            </w:tcBorders>
            <w:shd w:val="clear" w:color="auto" w:fill="0088A6"/>
          </w:tcPr>
          <w:p>
            <w:pPr>
              <w:spacing w:after="0"/>
              <w:rPr>
                <w:sz w:val="23"/>
                <w:szCs w:val="23"/>
                <w:color w:val="auto"/>
              </w:rPr>
            </w:pPr>
          </w:p>
        </w:tc>
        <w:tc>
          <w:tcPr>
            <w:tcW w:w="500" w:type="dxa"/>
            <w:vAlign w:val="bottom"/>
            <w:tcBorders>
              <w:bottom w:val="single" w:sz="8" w:color="auto"/>
            </w:tcBorders>
            <w:shd w:val="clear" w:color="auto" w:fill="0088A6"/>
          </w:tcPr>
          <w:p>
            <w:pPr>
              <w:ind w:left="80"/>
              <w:spacing w:after="0"/>
              <w:rPr>
                <w:sz w:val="20"/>
                <w:szCs w:val="20"/>
                <w:color w:val="auto"/>
              </w:rPr>
            </w:pPr>
            <w:r>
              <w:rPr>
                <w:rFonts w:ascii="Arial" w:cs="Arial" w:eastAsia="Arial" w:hAnsi="Arial"/>
                <w:sz w:val="18"/>
                <w:szCs w:val="18"/>
                <w:b w:val="1"/>
                <w:bCs w:val="1"/>
                <w:color w:val="FFFFFF"/>
              </w:rPr>
              <w:t>Year</w:t>
            </w:r>
          </w:p>
        </w:tc>
        <w:tc>
          <w:tcPr>
            <w:tcW w:w="600" w:type="dxa"/>
            <w:vAlign w:val="bottom"/>
            <w:tcBorders>
              <w:bottom w:val="single" w:sz="8" w:color="0088A6"/>
              <w:right w:val="single" w:sz="8" w:color="BFBFBF"/>
            </w:tcBorders>
            <w:shd w:val="clear" w:color="auto" w:fill="0088A6"/>
          </w:tcPr>
          <w:p>
            <w:pPr>
              <w:spacing w:after="0"/>
              <w:rPr>
                <w:sz w:val="23"/>
                <w:szCs w:val="23"/>
                <w:color w:val="auto"/>
              </w:rPr>
            </w:pPr>
          </w:p>
        </w:tc>
        <w:tc>
          <w:tcPr>
            <w:tcW w:w="640" w:type="dxa"/>
            <w:vAlign w:val="bottom"/>
            <w:tcBorders>
              <w:bottom w:val="single" w:sz="8" w:color="0088A6"/>
            </w:tcBorders>
            <w:shd w:val="clear" w:color="auto" w:fill="0088A6"/>
          </w:tcPr>
          <w:p>
            <w:pPr>
              <w:spacing w:after="0"/>
              <w:rPr>
                <w:sz w:val="23"/>
                <w:szCs w:val="23"/>
                <w:color w:val="auto"/>
              </w:rPr>
            </w:pPr>
          </w:p>
        </w:tc>
        <w:tc>
          <w:tcPr>
            <w:tcW w:w="240" w:type="dxa"/>
            <w:vAlign w:val="bottom"/>
            <w:tcBorders>
              <w:bottom w:val="single" w:sz="8" w:color="auto"/>
            </w:tcBorders>
            <w:shd w:val="clear" w:color="auto" w:fill="0088A6"/>
          </w:tcPr>
          <w:p>
            <w:pPr>
              <w:spacing w:after="0"/>
              <w:rPr>
                <w:sz w:val="23"/>
                <w:szCs w:val="23"/>
                <w:color w:val="auto"/>
              </w:rPr>
            </w:pPr>
          </w:p>
        </w:tc>
        <w:tc>
          <w:tcPr>
            <w:tcW w:w="1020" w:type="dxa"/>
            <w:vAlign w:val="bottom"/>
            <w:tcBorders>
              <w:bottom w:val="single" w:sz="8" w:color="auto"/>
            </w:tcBorders>
            <w:shd w:val="clear" w:color="auto" w:fill="0088A6"/>
          </w:tcPr>
          <w:p>
            <w:pPr>
              <w:jc w:val="right"/>
              <w:ind w:right="432"/>
              <w:spacing w:after="0"/>
              <w:rPr>
                <w:sz w:val="20"/>
                <w:szCs w:val="20"/>
                <w:color w:val="auto"/>
              </w:rPr>
            </w:pPr>
            <w:r>
              <w:rPr>
                <w:rFonts w:ascii="Arial" w:cs="Arial" w:eastAsia="Arial" w:hAnsi="Arial"/>
                <w:sz w:val="18"/>
                <w:szCs w:val="18"/>
                <w:b w:val="1"/>
                <w:bCs w:val="1"/>
                <w:color w:val="FFFFFF"/>
              </w:rPr>
              <w:t>($)</w:t>
            </w:r>
          </w:p>
        </w:tc>
        <w:tc>
          <w:tcPr>
            <w:tcW w:w="700" w:type="dxa"/>
            <w:vAlign w:val="bottom"/>
            <w:tcBorders>
              <w:bottom w:val="single" w:sz="8" w:color="0088A6"/>
              <w:right w:val="single" w:sz="8" w:color="BFBFBF"/>
            </w:tcBorders>
            <w:shd w:val="clear" w:color="auto" w:fill="0088A6"/>
          </w:tcPr>
          <w:p>
            <w:pPr>
              <w:spacing w:after="0"/>
              <w:rPr>
                <w:sz w:val="23"/>
                <w:szCs w:val="23"/>
                <w:color w:val="auto"/>
              </w:rPr>
            </w:pPr>
          </w:p>
        </w:tc>
      </w:tr>
      <w:tr>
        <w:trPr>
          <w:trHeight w:val="183"/>
        </w:trPr>
        <w:tc>
          <w:tcPr>
            <w:tcW w:w="7100" w:type="dxa"/>
            <w:vAlign w:val="bottom"/>
            <w:tcBorders>
              <w:left w:val="single" w:sz="8" w:color="BFBFBF"/>
              <w:bottom w:val="single" w:sz="8" w:color="BFBFBF"/>
              <w:right w:val="single" w:sz="8" w:color="BFBFBF"/>
            </w:tcBorders>
          </w:tcPr>
          <w:p>
            <w:pPr>
              <w:ind w:left="120"/>
              <w:spacing w:after="0" w:line="183" w:lineRule="exact"/>
              <w:rPr>
                <w:sz w:val="20"/>
                <w:szCs w:val="20"/>
                <w:color w:val="auto"/>
              </w:rPr>
            </w:pPr>
            <w:r>
              <w:rPr>
                <w:rFonts w:ascii="Arial" w:cs="Arial" w:eastAsia="Arial" w:hAnsi="Arial"/>
                <w:sz w:val="18"/>
                <w:szCs w:val="18"/>
                <w:color w:val="auto"/>
              </w:rPr>
              <w:t>Robert Greifeld</w:t>
            </w:r>
          </w:p>
        </w:tc>
        <w:tc>
          <w:tcPr>
            <w:tcW w:w="1740" w:type="dxa"/>
            <w:vAlign w:val="bottom"/>
            <w:tcBorders>
              <w:bottom w:val="single" w:sz="8" w:color="BFBFBF"/>
              <w:right w:val="single" w:sz="8" w:color="BFBFBF"/>
            </w:tcBorders>
            <w:gridSpan w:val="3"/>
          </w:tcPr>
          <w:p>
            <w:pPr>
              <w:jc w:val="right"/>
              <w:ind w:right="600"/>
              <w:spacing w:after="0" w:line="183" w:lineRule="exact"/>
              <w:rPr>
                <w:sz w:val="20"/>
                <w:szCs w:val="20"/>
                <w:color w:val="auto"/>
              </w:rPr>
            </w:pPr>
            <w:r>
              <w:rPr>
                <w:rFonts w:ascii="Arial" w:cs="Arial" w:eastAsia="Arial" w:hAnsi="Arial"/>
                <w:sz w:val="18"/>
                <w:szCs w:val="18"/>
                <w:color w:val="auto"/>
              </w:rPr>
              <w:t>2012</w:t>
            </w:r>
          </w:p>
        </w:tc>
        <w:tc>
          <w:tcPr>
            <w:tcW w:w="640" w:type="dxa"/>
            <w:vAlign w:val="bottom"/>
            <w:tcBorders>
              <w:bottom w:val="single" w:sz="8" w:color="BFBFBF"/>
            </w:tcBorders>
          </w:tcPr>
          <w:p>
            <w:pPr>
              <w:spacing w:after="0"/>
              <w:rPr>
                <w:sz w:val="15"/>
                <w:szCs w:val="15"/>
                <w:color w:val="auto"/>
              </w:rPr>
            </w:pPr>
          </w:p>
        </w:tc>
        <w:tc>
          <w:tcPr>
            <w:tcW w:w="240" w:type="dxa"/>
            <w:vAlign w:val="bottom"/>
            <w:tcBorders>
              <w:bottom w:val="single" w:sz="8" w:color="BFBFBF"/>
            </w:tcBorders>
          </w:tcPr>
          <w:p>
            <w:pPr>
              <w:jc w:val="right"/>
              <w:ind w:right="52"/>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83" w:lineRule="exact"/>
              <w:rPr>
                <w:sz w:val="20"/>
                <w:szCs w:val="20"/>
                <w:color w:val="auto"/>
              </w:rPr>
            </w:pPr>
            <w:r>
              <w:rPr>
                <w:rFonts w:ascii="Arial" w:cs="Arial" w:eastAsia="Arial" w:hAnsi="Arial"/>
                <w:sz w:val="18"/>
                <w:szCs w:val="18"/>
                <w:color w:val="auto"/>
              </w:rPr>
              <w:t>11,134,800</w:t>
            </w:r>
          </w:p>
        </w:tc>
        <w:tc>
          <w:tcPr>
            <w:tcW w:w="700" w:type="dxa"/>
            <w:vAlign w:val="bottom"/>
            <w:tcBorders>
              <w:bottom w:val="single" w:sz="8" w:color="BFBFBF"/>
              <w:right w:val="single" w:sz="8" w:color="BFBFBF"/>
            </w:tcBorders>
          </w:tcPr>
          <w:p>
            <w:pPr>
              <w:spacing w:after="0"/>
              <w:rPr>
                <w:sz w:val="15"/>
                <w:szCs w:val="15"/>
                <w:color w:val="auto"/>
              </w:rPr>
            </w:pPr>
          </w:p>
        </w:tc>
      </w:tr>
      <w:tr>
        <w:trPr>
          <w:trHeight w:val="196"/>
        </w:trPr>
        <w:tc>
          <w:tcPr>
            <w:tcW w:w="7100" w:type="dxa"/>
            <w:vAlign w:val="bottom"/>
            <w:tcBorders>
              <w:left w:val="single" w:sz="8" w:color="BFBFBF"/>
              <w:right w:val="single" w:sz="8" w:color="BFBFBF"/>
            </w:tcBorders>
          </w:tcPr>
          <w:p>
            <w:pPr>
              <w:ind w:left="340"/>
              <w:spacing w:after="0" w:line="196" w:lineRule="exact"/>
              <w:rPr>
                <w:sz w:val="20"/>
                <w:szCs w:val="20"/>
                <w:color w:val="auto"/>
              </w:rPr>
            </w:pPr>
            <w:r>
              <w:rPr>
                <w:rFonts w:ascii="Arial" w:cs="Arial" w:eastAsia="Arial" w:hAnsi="Arial"/>
                <w:sz w:val="18"/>
                <w:szCs w:val="18"/>
                <w:color w:val="auto"/>
              </w:rPr>
              <w:t>Chief Executive Officer</w:t>
            </w: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2011</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3,792,000</w:t>
            </w:r>
          </w:p>
        </w:tc>
        <w:tc>
          <w:tcPr>
            <w:tcW w:w="700" w:type="dxa"/>
            <w:vAlign w:val="bottom"/>
            <w:tcBorders>
              <w:bottom w:val="single" w:sz="8" w:color="BFBFBF"/>
              <w:right w:val="single" w:sz="8" w:color="BFBFBF"/>
            </w:tcBorders>
          </w:tcPr>
          <w:p>
            <w:pPr>
              <w:spacing w:after="0"/>
              <w:rPr>
                <w:sz w:val="17"/>
                <w:szCs w:val="17"/>
                <w:color w:val="auto"/>
              </w:rPr>
            </w:pPr>
          </w:p>
        </w:tc>
      </w:tr>
      <w:tr>
        <w:trPr>
          <w:trHeight w:val="196"/>
        </w:trPr>
        <w:tc>
          <w:tcPr>
            <w:tcW w:w="7100" w:type="dxa"/>
            <w:vAlign w:val="bottom"/>
            <w:tcBorders>
              <w:left w:val="single" w:sz="8" w:color="BFBFBF"/>
              <w:bottom w:val="single" w:sz="8" w:color="BFBFBF"/>
              <w:right w:val="single" w:sz="8" w:color="BFBFBF"/>
            </w:tcBorders>
          </w:tcPr>
          <w:p>
            <w:pPr>
              <w:spacing w:after="0"/>
              <w:rPr>
                <w:sz w:val="17"/>
                <w:szCs w:val="17"/>
                <w:color w:val="auto"/>
              </w:rPr>
            </w:pP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2010</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2,370,000</w:t>
            </w:r>
          </w:p>
        </w:tc>
        <w:tc>
          <w:tcPr>
            <w:tcW w:w="700" w:type="dxa"/>
            <w:vAlign w:val="bottom"/>
            <w:tcBorders>
              <w:bottom w:val="single" w:sz="8" w:color="BFBFBF"/>
              <w:right w:val="single" w:sz="8" w:color="BFBFBF"/>
            </w:tcBorders>
          </w:tcPr>
          <w:p>
            <w:pPr>
              <w:spacing w:after="0"/>
              <w:rPr>
                <w:sz w:val="17"/>
                <w:szCs w:val="17"/>
                <w:color w:val="auto"/>
              </w:rPr>
            </w:pPr>
          </w:p>
        </w:tc>
      </w:tr>
      <w:tr>
        <w:trPr>
          <w:trHeight w:val="250"/>
        </w:trPr>
        <w:tc>
          <w:tcPr>
            <w:tcW w:w="710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600" w:type="dxa"/>
            <w:vAlign w:val="bottom"/>
            <w:tcBorders>
              <w:bottom w:val="single" w:sz="8" w:color="BFBFBF"/>
              <w:right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020" w:type="dxa"/>
            <w:vAlign w:val="bottom"/>
            <w:tcBorders>
              <w:bottom w:val="single" w:sz="8" w:color="BFBFBF"/>
            </w:tcBorders>
            <w:shd w:val="clear" w:color="auto" w:fill="DDEFF3"/>
          </w:tcPr>
          <w:p>
            <w:pPr>
              <w:spacing w:after="0"/>
              <w:rPr>
                <w:sz w:val="21"/>
                <w:szCs w:val="21"/>
                <w:color w:val="auto"/>
              </w:rPr>
            </w:pPr>
          </w:p>
        </w:tc>
        <w:tc>
          <w:tcPr>
            <w:tcW w:w="700" w:type="dxa"/>
            <w:vAlign w:val="bottom"/>
            <w:tcBorders>
              <w:bottom w:val="single" w:sz="8" w:color="BFBFBF"/>
              <w:right w:val="single" w:sz="8" w:color="BFBFBF"/>
            </w:tcBorders>
            <w:shd w:val="clear" w:color="auto" w:fill="DDEFF3"/>
          </w:tcPr>
          <w:p>
            <w:pPr>
              <w:spacing w:after="0"/>
              <w:rPr>
                <w:sz w:val="21"/>
                <w:szCs w:val="21"/>
                <w:color w:val="auto"/>
              </w:rPr>
            </w:pPr>
          </w:p>
        </w:tc>
      </w:tr>
      <w:tr>
        <w:trPr>
          <w:trHeight w:val="196"/>
        </w:trPr>
        <w:tc>
          <w:tcPr>
            <w:tcW w:w="710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Lee Shavel</w:t>
            </w: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2012</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2,687,715</w:t>
            </w:r>
          </w:p>
        </w:tc>
        <w:tc>
          <w:tcPr>
            <w:tcW w:w="700" w:type="dxa"/>
            <w:vAlign w:val="bottom"/>
            <w:tcBorders>
              <w:bottom w:val="single" w:sz="8" w:color="BFBFBF"/>
              <w:right w:val="single" w:sz="8" w:color="BFBFBF"/>
            </w:tcBorders>
          </w:tcPr>
          <w:p>
            <w:pPr>
              <w:spacing w:after="0"/>
              <w:rPr>
                <w:sz w:val="17"/>
                <w:szCs w:val="17"/>
                <w:color w:val="auto"/>
              </w:rPr>
            </w:pPr>
          </w:p>
        </w:tc>
      </w:tr>
      <w:tr>
        <w:trPr>
          <w:trHeight w:val="196"/>
        </w:trPr>
        <w:tc>
          <w:tcPr>
            <w:tcW w:w="7100" w:type="dxa"/>
            <w:vAlign w:val="bottom"/>
            <w:tcBorders>
              <w:left w:val="single" w:sz="8" w:color="BFBFBF"/>
              <w:bottom w:val="single" w:sz="8" w:color="BFBFBF"/>
              <w:right w:val="single" w:sz="8" w:color="BFBFBF"/>
            </w:tcBorders>
          </w:tcPr>
          <w:p>
            <w:pPr>
              <w:ind w:left="340"/>
              <w:spacing w:after="0" w:line="196" w:lineRule="exact"/>
              <w:rPr>
                <w:sz w:val="20"/>
                <w:szCs w:val="20"/>
                <w:color w:val="auto"/>
              </w:rPr>
            </w:pPr>
            <w:r>
              <w:rPr>
                <w:rFonts w:ascii="Arial" w:cs="Arial" w:eastAsia="Arial" w:hAnsi="Arial"/>
                <w:sz w:val="18"/>
                <w:szCs w:val="18"/>
                <w:color w:val="auto"/>
              </w:rPr>
              <w:t>Chief Financial Officer and Executive Vice President, Corporate Strategy</w:t>
            </w: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2011</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1,680,008</w:t>
            </w:r>
          </w:p>
        </w:tc>
        <w:tc>
          <w:tcPr>
            <w:tcW w:w="700" w:type="dxa"/>
            <w:vAlign w:val="bottom"/>
            <w:tcBorders>
              <w:bottom w:val="single" w:sz="8" w:color="BFBFBF"/>
              <w:right w:val="single" w:sz="8" w:color="BFBFBF"/>
            </w:tcBorders>
          </w:tcPr>
          <w:p>
            <w:pPr>
              <w:spacing w:after="0"/>
              <w:rPr>
                <w:sz w:val="17"/>
                <w:szCs w:val="17"/>
                <w:color w:val="auto"/>
              </w:rPr>
            </w:pPr>
          </w:p>
        </w:tc>
      </w:tr>
      <w:tr>
        <w:trPr>
          <w:trHeight w:val="250"/>
        </w:trPr>
        <w:tc>
          <w:tcPr>
            <w:tcW w:w="710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600" w:type="dxa"/>
            <w:vAlign w:val="bottom"/>
            <w:tcBorders>
              <w:bottom w:val="single" w:sz="8" w:color="BFBFBF"/>
              <w:right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020" w:type="dxa"/>
            <w:vAlign w:val="bottom"/>
            <w:tcBorders>
              <w:bottom w:val="single" w:sz="8" w:color="BFBFBF"/>
            </w:tcBorders>
            <w:shd w:val="clear" w:color="auto" w:fill="DDEFF3"/>
          </w:tcPr>
          <w:p>
            <w:pPr>
              <w:spacing w:after="0"/>
              <w:rPr>
                <w:sz w:val="21"/>
                <w:szCs w:val="21"/>
                <w:color w:val="auto"/>
              </w:rPr>
            </w:pPr>
          </w:p>
        </w:tc>
        <w:tc>
          <w:tcPr>
            <w:tcW w:w="700" w:type="dxa"/>
            <w:vAlign w:val="bottom"/>
            <w:tcBorders>
              <w:bottom w:val="single" w:sz="8" w:color="BFBFBF"/>
              <w:right w:val="single" w:sz="8" w:color="BFBFBF"/>
            </w:tcBorders>
            <w:shd w:val="clear" w:color="auto" w:fill="DDEFF3"/>
          </w:tcPr>
          <w:p>
            <w:pPr>
              <w:spacing w:after="0"/>
              <w:rPr>
                <w:sz w:val="21"/>
                <w:szCs w:val="21"/>
                <w:color w:val="auto"/>
              </w:rPr>
            </w:pPr>
          </w:p>
        </w:tc>
      </w:tr>
      <w:tr>
        <w:trPr>
          <w:trHeight w:val="196"/>
        </w:trPr>
        <w:tc>
          <w:tcPr>
            <w:tcW w:w="710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Anna M. Ewing</w:t>
            </w: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2012</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2,687,715</w:t>
            </w:r>
          </w:p>
        </w:tc>
        <w:tc>
          <w:tcPr>
            <w:tcW w:w="700" w:type="dxa"/>
            <w:vAlign w:val="bottom"/>
            <w:tcBorders>
              <w:bottom w:val="single" w:sz="8" w:color="BFBFBF"/>
              <w:right w:val="single" w:sz="8" w:color="BFBFBF"/>
            </w:tcBorders>
          </w:tcPr>
          <w:p>
            <w:pPr>
              <w:spacing w:after="0"/>
              <w:rPr>
                <w:sz w:val="17"/>
                <w:szCs w:val="17"/>
                <w:color w:val="auto"/>
              </w:rPr>
            </w:pPr>
          </w:p>
        </w:tc>
      </w:tr>
      <w:tr>
        <w:trPr>
          <w:trHeight w:val="196"/>
        </w:trPr>
        <w:tc>
          <w:tcPr>
            <w:tcW w:w="7100" w:type="dxa"/>
            <w:vAlign w:val="bottom"/>
            <w:tcBorders>
              <w:left w:val="single" w:sz="8" w:color="BFBFBF"/>
              <w:right w:val="single" w:sz="8" w:color="BFBFBF"/>
            </w:tcBorders>
          </w:tcPr>
          <w:p>
            <w:pPr>
              <w:ind w:left="340"/>
              <w:spacing w:after="0" w:line="196" w:lineRule="exact"/>
              <w:rPr>
                <w:sz w:val="20"/>
                <w:szCs w:val="20"/>
                <w:color w:val="auto"/>
              </w:rPr>
            </w:pPr>
            <w:r>
              <w:rPr>
                <w:rFonts w:ascii="Arial" w:cs="Arial" w:eastAsia="Arial" w:hAnsi="Arial"/>
                <w:sz w:val="18"/>
                <w:szCs w:val="18"/>
                <w:color w:val="auto"/>
              </w:rPr>
              <w:t>Executive Vice President, Global Technology Solutions</w:t>
            </w: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2011</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1,680,008</w:t>
            </w:r>
          </w:p>
        </w:tc>
        <w:tc>
          <w:tcPr>
            <w:tcW w:w="700" w:type="dxa"/>
            <w:vAlign w:val="bottom"/>
            <w:tcBorders>
              <w:bottom w:val="single" w:sz="8" w:color="BFBFBF"/>
              <w:right w:val="single" w:sz="8" w:color="BFBFBF"/>
            </w:tcBorders>
          </w:tcPr>
          <w:p>
            <w:pPr>
              <w:spacing w:after="0"/>
              <w:rPr>
                <w:sz w:val="17"/>
                <w:szCs w:val="17"/>
                <w:color w:val="auto"/>
              </w:rPr>
            </w:pPr>
          </w:p>
        </w:tc>
      </w:tr>
      <w:tr>
        <w:trPr>
          <w:trHeight w:val="196"/>
        </w:trPr>
        <w:tc>
          <w:tcPr>
            <w:tcW w:w="7100" w:type="dxa"/>
            <w:vAlign w:val="bottom"/>
            <w:tcBorders>
              <w:left w:val="single" w:sz="8" w:color="BFBFBF"/>
              <w:bottom w:val="single" w:sz="8" w:color="BFBFBF"/>
              <w:right w:val="single" w:sz="8" w:color="BFBFBF"/>
            </w:tcBorders>
          </w:tcPr>
          <w:p>
            <w:pPr>
              <w:spacing w:after="0"/>
              <w:rPr>
                <w:sz w:val="17"/>
                <w:szCs w:val="17"/>
                <w:color w:val="auto"/>
              </w:rPr>
            </w:pP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2010</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1,320,001</w:t>
            </w:r>
          </w:p>
        </w:tc>
        <w:tc>
          <w:tcPr>
            <w:tcW w:w="700" w:type="dxa"/>
            <w:vAlign w:val="bottom"/>
            <w:tcBorders>
              <w:bottom w:val="single" w:sz="8" w:color="BFBFBF"/>
              <w:right w:val="single" w:sz="8" w:color="BFBFBF"/>
            </w:tcBorders>
          </w:tcPr>
          <w:p>
            <w:pPr>
              <w:spacing w:after="0"/>
              <w:rPr>
                <w:sz w:val="17"/>
                <w:szCs w:val="17"/>
                <w:color w:val="auto"/>
              </w:rPr>
            </w:pPr>
          </w:p>
        </w:tc>
      </w:tr>
      <w:tr>
        <w:trPr>
          <w:trHeight w:val="250"/>
        </w:trPr>
        <w:tc>
          <w:tcPr>
            <w:tcW w:w="710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600" w:type="dxa"/>
            <w:vAlign w:val="bottom"/>
            <w:tcBorders>
              <w:bottom w:val="single" w:sz="8" w:color="BFBFBF"/>
              <w:right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020" w:type="dxa"/>
            <w:vAlign w:val="bottom"/>
            <w:tcBorders>
              <w:bottom w:val="single" w:sz="8" w:color="BFBFBF"/>
            </w:tcBorders>
            <w:shd w:val="clear" w:color="auto" w:fill="DDEFF3"/>
          </w:tcPr>
          <w:p>
            <w:pPr>
              <w:spacing w:after="0"/>
              <w:rPr>
                <w:sz w:val="21"/>
                <w:szCs w:val="21"/>
                <w:color w:val="auto"/>
              </w:rPr>
            </w:pPr>
          </w:p>
        </w:tc>
        <w:tc>
          <w:tcPr>
            <w:tcW w:w="700" w:type="dxa"/>
            <w:vAlign w:val="bottom"/>
            <w:tcBorders>
              <w:bottom w:val="single" w:sz="8" w:color="BFBFBF"/>
              <w:right w:val="single" w:sz="8" w:color="BFBFBF"/>
            </w:tcBorders>
            <w:shd w:val="clear" w:color="auto" w:fill="DDEFF3"/>
          </w:tcPr>
          <w:p>
            <w:pPr>
              <w:spacing w:after="0"/>
              <w:rPr>
                <w:sz w:val="21"/>
                <w:szCs w:val="21"/>
                <w:color w:val="auto"/>
              </w:rPr>
            </w:pPr>
          </w:p>
        </w:tc>
      </w:tr>
      <w:tr>
        <w:trPr>
          <w:trHeight w:val="196"/>
        </w:trPr>
        <w:tc>
          <w:tcPr>
            <w:tcW w:w="710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Hans-Ole Jochumsen</w:t>
            </w: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2012</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2,303,775</w:t>
            </w:r>
          </w:p>
        </w:tc>
        <w:tc>
          <w:tcPr>
            <w:tcW w:w="700" w:type="dxa"/>
            <w:vAlign w:val="bottom"/>
            <w:tcBorders>
              <w:bottom w:val="single" w:sz="8" w:color="BFBFBF"/>
              <w:right w:val="single" w:sz="8" w:color="BFBFBF"/>
            </w:tcBorders>
          </w:tcPr>
          <w:p>
            <w:pPr>
              <w:spacing w:after="0"/>
              <w:rPr>
                <w:sz w:val="17"/>
                <w:szCs w:val="17"/>
                <w:color w:val="auto"/>
              </w:rPr>
            </w:pPr>
          </w:p>
        </w:tc>
      </w:tr>
      <w:tr>
        <w:trPr>
          <w:trHeight w:val="196"/>
        </w:trPr>
        <w:tc>
          <w:tcPr>
            <w:tcW w:w="7100" w:type="dxa"/>
            <w:vAlign w:val="bottom"/>
            <w:tcBorders>
              <w:left w:val="single" w:sz="8" w:color="BFBFBF"/>
              <w:right w:val="single" w:sz="8" w:color="BFBFBF"/>
            </w:tcBorders>
          </w:tcPr>
          <w:p>
            <w:pPr>
              <w:ind w:left="340"/>
              <w:spacing w:after="0" w:line="196" w:lineRule="exact"/>
              <w:rPr>
                <w:sz w:val="20"/>
                <w:szCs w:val="20"/>
                <w:color w:val="auto"/>
              </w:rPr>
            </w:pPr>
            <w:r>
              <w:rPr>
                <w:rFonts w:ascii="Arial" w:cs="Arial" w:eastAsia="Arial" w:hAnsi="Arial"/>
                <w:sz w:val="18"/>
                <w:szCs w:val="18"/>
                <w:color w:val="auto"/>
              </w:rPr>
              <w:t>Executive Vice President, Transaction Services Nordic</w:t>
            </w: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2011</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1,080,037</w:t>
            </w:r>
          </w:p>
        </w:tc>
        <w:tc>
          <w:tcPr>
            <w:tcW w:w="700" w:type="dxa"/>
            <w:vAlign w:val="bottom"/>
            <w:tcBorders>
              <w:bottom w:val="single" w:sz="8" w:color="BFBFBF"/>
              <w:right w:val="single" w:sz="8" w:color="BFBFBF"/>
            </w:tcBorders>
          </w:tcPr>
          <w:p>
            <w:pPr>
              <w:spacing w:after="0"/>
              <w:rPr>
                <w:sz w:val="17"/>
                <w:szCs w:val="17"/>
                <w:color w:val="auto"/>
              </w:rPr>
            </w:pPr>
          </w:p>
        </w:tc>
      </w:tr>
      <w:tr>
        <w:trPr>
          <w:trHeight w:val="196"/>
        </w:trPr>
        <w:tc>
          <w:tcPr>
            <w:tcW w:w="7100" w:type="dxa"/>
            <w:vAlign w:val="bottom"/>
            <w:tcBorders>
              <w:left w:val="single" w:sz="8" w:color="BFBFBF"/>
              <w:bottom w:val="single" w:sz="8" w:color="BFBFBF"/>
              <w:right w:val="single" w:sz="8" w:color="BFBFBF"/>
            </w:tcBorders>
          </w:tcPr>
          <w:p>
            <w:pPr>
              <w:spacing w:after="0"/>
              <w:rPr>
                <w:sz w:val="17"/>
                <w:szCs w:val="17"/>
                <w:color w:val="auto"/>
              </w:rPr>
            </w:pP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2010</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839,987</w:t>
            </w:r>
          </w:p>
        </w:tc>
        <w:tc>
          <w:tcPr>
            <w:tcW w:w="700" w:type="dxa"/>
            <w:vAlign w:val="bottom"/>
            <w:tcBorders>
              <w:bottom w:val="single" w:sz="8" w:color="BFBFBF"/>
              <w:right w:val="single" w:sz="8" w:color="BFBFBF"/>
            </w:tcBorders>
          </w:tcPr>
          <w:p>
            <w:pPr>
              <w:spacing w:after="0"/>
              <w:rPr>
                <w:sz w:val="17"/>
                <w:szCs w:val="17"/>
                <w:color w:val="auto"/>
              </w:rPr>
            </w:pPr>
          </w:p>
        </w:tc>
      </w:tr>
      <w:tr>
        <w:trPr>
          <w:trHeight w:val="250"/>
        </w:trPr>
        <w:tc>
          <w:tcPr>
            <w:tcW w:w="710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500" w:type="dxa"/>
            <w:vAlign w:val="bottom"/>
            <w:tcBorders>
              <w:bottom w:val="single" w:sz="8" w:color="BFBFBF"/>
            </w:tcBorders>
            <w:shd w:val="clear" w:color="auto" w:fill="DDEFF3"/>
          </w:tcPr>
          <w:p>
            <w:pPr>
              <w:spacing w:after="0"/>
              <w:rPr>
                <w:sz w:val="21"/>
                <w:szCs w:val="21"/>
                <w:color w:val="auto"/>
              </w:rPr>
            </w:pPr>
          </w:p>
        </w:tc>
        <w:tc>
          <w:tcPr>
            <w:tcW w:w="600" w:type="dxa"/>
            <w:vAlign w:val="bottom"/>
            <w:tcBorders>
              <w:bottom w:val="single" w:sz="8" w:color="BFBFBF"/>
              <w:right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020" w:type="dxa"/>
            <w:vAlign w:val="bottom"/>
            <w:tcBorders>
              <w:bottom w:val="single" w:sz="8" w:color="BFBFBF"/>
            </w:tcBorders>
            <w:shd w:val="clear" w:color="auto" w:fill="DDEFF3"/>
          </w:tcPr>
          <w:p>
            <w:pPr>
              <w:spacing w:after="0"/>
              <w:rPr>
                <w:sz w:val="21"/>
                <w:szCs w:val="21"/>
                <w:color w:val="auto"/>
              </w:rPr>
            </w:pPr>
          </w:p>
        </w:tc>
        <w:tc>
          <w:tcPr>
            <w:tcW w:w="700" w:type="dxa"/>
            <w:vAlign w:val="bottom"/>
            <w:tcBorders>
              <w:bottom w:val="single" w:sz="8" w:color="BFBFBF"/>
              <w:right w:val="single" w:sz="8" w:color="BFBFBF"/>
            </w:tcBorders>
            <w:shd w:val="clear" w:color="auto" w:fill="DDEFF3"/>
          </w:tcPr>
          <w:p>
            <w:pPr>
              <w:spacing w:after="0"/>
              <w:rPr>
                <w:sz w:val="21"/>
                <w:szCs w:val="21"/>
                <w:color w:val="auto"/>
              </w:rPr>
            </w:pPr>
          </w:p>
        </w:tc>
      </w:tr>
      <w:tr>
        <w:trPr>
          <w:trHeight w:val="196"/>
        </w:trPr>
        <w:tc>
          <w:tcPr>
            <w:tcW w:w="710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Eric W. Noll</w:t>
            </w: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2012</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2,687,715</w:t>
            </w:r>
          </w:p>
        </w:tc>
        <w:tc>
          <w:tcPr>
            <w:tcW w:w="700" w:type="dxa"/>
            <w:vAlign w:val="bottom"/>
            <w:tcBorders>
              <w:bottom w:val="single" w:sz="8" w:color="BFBFBF"/>
              <w:right w:val="single" w:sz="8" w:color="BFBFBF"/>
            </w:tcBorders>
          </w:tcPr>
          <w:p>
            <w:pPr>
              <w:spacing w:after="0"/>
              <w:rPr>
                <w:sz w:val="17"/>
                <w:szCs w:val="17"/>
                <w:color w:val="auto"/>
              </w:rPr>
            </w:pPr>
          </w:p>
        </w:tc>
      </w:tr>
      <w:tr>
        <w:trPr>
          <w:trHeight w:val="196"/>
        </w:trPr>
        <w:tc>
          <w:tcPr>
            <w:tcW w:w="7100" w:type="dxa"/>
            <w:vAlign w:val="bottom"/>
            <w:tcBorders>
              <w:left w:val="single" w:sz="8" w:color="BFBFBF"/>
              <w:right w:val="single" w:sz="8" w:color="BFBFBF"/>
            </w:tcBorders>
          </w:tcPr>
          <w:p>
            <w:pPr>
              <w:ind w:left="340"/>
              <w:spacing w:after="0" w:line="196" w:lineRule="exact"/>
              <w:rPr>
                <w:sz w:val="20"/>
                <w:szCs w:val="20"/>
                <w:color w:val="auto"/>
              </w:rPr>
            </w:pPr>
            <w:r>
              <w:rPr>
                <w:rFonts w:ascii="Arial" w:cs="Arial" w:eastAsia="Arial" w:hAnsi="Arial"/>
                <w:sz w:val="18"/>
                <w:szCs w:val="18"/>
                <w:color w:val="auto"/>
              </w:rPr>
              <w:t>Executive Vice President, Transaction Services U.S. and U.K.</w:t>
            </w: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2011</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1,440,025</w:t>
            </w:r>
          </w:p>
        </w:tc>
        <w:tc>
          <w:tcPr>
            <w:tcW w:w="700" w:type="dxa"/>
            <w:vAlign w:val="bottom"/>
            <w:tcBorders>
              <w:bottom w:val="single" w:sz="8" w:color="BFBFBF"/>
              <w:right w:val="single" w:sz="8" w:color="BFBFBF"/>
            </w:tcBorders>
          </w:tcPr>
          <w:p>
            <w:pPr>
              <w:spacing w:after="0"/>
              <w:rPr>
                <w:sz w:val="17"/>
                <w:szCs w:val="17"/>
                <w:color w:val="auto"/>
              </w:rPr>
            </w:pPr>
          </w:p>
        </w:tc>
      </w:tr>
      <w:tr>
        <w:trPr>
          <w:trHeight w:val="196"/>
        </w:trPr>
        <w:tc>
          <w:tcPr>
            <w:tcW w:w="7100" w:type="dxa"/>
            <w:vAlign w:val="bottom"/>
            <w:tcBorders>
              <w:left w:val="single" w:sz="8" w:color="BFBFBF"/>
              <w:bottom w:val="single" w:sz="8" w:color="BFBFBF"/>
              <w:right w:val="single" w:sz="8" w:color="BFBFBF"/>
            </w:tcBorders>
          </w:tcPr>
          <w:p>
            <w:pPr>
              <w:spacing w:after="0"/>
              <w:rPr>
                <w:sz w:val="17"/>
                <w:szCs w:val="17"/>
                <w:color w:val="auto"/>
              </w:rPr>
            </w:pPr>
          </w:p>
        </w:tc>
        <w:tc>
          <w:tcPr>
            <w:tcW w:w="1740" w:type="dxa"/>
            <w:vAlign w:val="bottom"/>
            <w:tcBorders>
              <w:bottom w:val="single" w:sz="8" w:color="BFBFBF"/>
              <w:right w:val="single" w:sz="8" w:color="BFBFBF"/>
            </w:tcBorders>
            <w:gridSpan w:val="3"/>
          </w:tcPr>
          <w:p>
            <w:pPr>
              <w:jc w:val="right"/>
              <w:ind w:right="600"/>
              <w:spacing w:after="0" w:line="196" w:lineRule="exact"/>
              <w:rPr>
                <w:sz w:val="20"/>
                <w:szCs w:val="20"/>
                <w:color w:val="auto"/>
              </w:rPr>
            </w:pPr>
            <w:r>
              <w:rPr>
                <w:rFonts w:ascii="Arial" w:cs="Arial" w:eastAsia="Arial" w:hAnsi="Arial"/>
                <w:sz w:val="18"/>
                <w:szCs w:val="18"/>
                <w:color w:val="auto"/>
              </w:rPr>
              <w:t>2010</w:t>
            </w:r>
          </w:p>
        </w:tc>
        <w:tc>
          <w:tcPr>
            <w:tcW w:w="640" w:type="dxa"/>
            <w:vAlign w:val="bottom"/>
            <w:tcBorders>
              <w:bottom w:val="single" w:sz="8" w:color="BFBFBF"/>
            </w:tcBorders>
          </w:tcPr>
          <w:p>
            <w:pPr>
              <w:spacing w:after="0"/>
              <w:rPr>
                <w:sz w:val="17"/>
                <w:szCs w:val="17"/>
                <w:color w:val="auto"/>
              </w:rPr>
            </w:pPr>
          </w:p>
        </w:tc>
        <w:tc>
          <w:tcPr>
            <w:tcW w:w="240" w:type="dxa"/>
            <w:vAlign w:val="bottom"/>
            <w:tcBorders>
              <w:bottom w:val="single" w:sz="8" w:color="BFBFBF"/>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1,080,009</w:t>
            </w:r>
          </w:p>
        </w:tc>
        <w:tc>
          <w:tcPr>
            <w:tcW w:w="700" w:type="dxa"/>
            <w:vAlign w:val="bottom"/>
            <w:tcBorders>
              <w:bottom w:val="single" w:sz="8" w:color="BFBFBF"/>
              <w:right w:val="single" w:sz="8" w:color="BFBFBF"/>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-2632075</wp:posOffset>
            </wp:positionV>
            <wp:extent cx="889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-2632075</wp:posOffset>
            </wp:positionV>
            <wp:extent cx="889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32"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58</w:t>
      </w:r>
    </w:p>
    <w:p>
      <w:pPr>
        <w:sectPr>
          <w:pgSz w:w="11900" w:h="16838" w:orient="portrait"/>
          <w:cols w:equalWidth="0" w:num="1">
            <w:col w:w="11440"/>
          </w:cols>
          <w:pgMar w:left="240" w:top="459" w:right="2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580" w:right="240" w:hanging="572"/>
        <w:spacing w:after="0" w:line="23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reported in this column reflect the grant date fair value of the option awards computed in accordance with FASB ASC Topic 718. The assumptions used in the calculation of these amounts are included in footnote 12 to the company’s audited financial statements for the fiscal year ended December 31, 2012 included in our Form 10-K.</w:t>
      </w:r>
    </w:p>
    <w:p>
      <w:pPr>
        <w:spacing w:after="0" w:line="59" w:lineRule="exact"/>
        <w:rPr>
          <w:rFonts w:ascii="Arial" w:cs="Arial" w:eastAsia="Arial" w:hAnsi="Arial"/>
          <w:sz w:val="18"/>
          <w:szCs w:val="18"/>
          <w:color w:val="auto"/>
        </w:rPr>
      </w:pPr>
    </w:p>
    <w:p>
      <w:pPr>
        <w:ind w:left="580" w:right="60" w:hanging="572"/>
        <w:spacing w:after="0" w:line="239"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reported in this column reflect the cash awards made to the named executive officers under the ECIP and other performance-based incentive compensation programs.</w:t>
      </w:r>
    </w:p>
    <w:p>
      <w:pPr>
        <w:spacing w:after="0" w:line="60" w:lineRule="exact"/>
        <w:rPr>
          <w:rFonts w:ascii="Arial" w:cs="Arial" w:eastAsia="Arial" w:hAnsi="Arial"/>
          <w:sz w:val="18"/>
          <w:szCs w:val="18"/>
          <w:color w:val="auto"/>
        </w:rPr>
      </w:pPr>
    </w:p>
    <w:p>
      <w:pPr>
        <w:ind w:left="580" w:right="120" w:hanging="572"/>
        <w:spacing w:after="0" w:line="269"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amounts reported in this column reflect the actuarial increase in the present value of the named executive officers’ benefits under all pension plans established by NASDAQ OMX. Assumptions used in calculating the amounts include a 4.00% discount rate as of December 31, 2012, a 5.00% discount rate as of December 31, 2011, a 5.25% discount rate as of December 31, 2010, a 5.75% discount rate as of December 31, 2009, retirement at age 62 (which is the earliest age at which a participant may retire and receive unreduced benefits under the plans) and other assumptions used for financial reporting purposes under generally accepted accounting principles as described in footnote 11 to our audited financial statements for the fiscal year ended December 31, 2012 included in our Form 10-K. The named executive officers may not currently be entitled to receive benefits under the pension plans if such amounts are not vested. None of the named executive officers received above-market or preferential earnings on deferred compensation in 2012, 2011 or 2010.</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The following table sets forth the 2012 amounts reported in the “All Other Compensation” column by type.</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2400" w:type="dxa"/>
            <w:vAlign w:val="bottom"/>
            <w:tcBorders>
              <w:left w:val="single" w:sz="8" w:color="BFBFBF"/>
              <w:right w:val="single" w:sz="8" w:color="BFBFBF"/>
            </w:tcBorders>
            <w:shd w:val="clear" w:color="auto" w:fill="0088A6"/>
          </w:tcPr>
          <w:p>
            <w:pPr>
              <w:spacing w:after="0"/>
              <w:rPr>
                <w:sz w:val="24"/>
                <w:szCs w:val="24"/>
                <w:color w:val="auto"/>
              </w:rPr>
            </w:pPr>
          </w:p>
        </w:tc>
        <w:tc>
          <w:tcPr>
            <w:tcW w:w="140" w:type="dxa"/>
            <w:vAlign w:val="bottom"/>
            <w:shd w:val="clear" w:color="auto" w:fill="0088A6"/>
          </w:tcPr>
          <w:p>
            <w:pPr>
              <w:spacing w:after="0"/>
              <w:rPr>
                <w:sz w:val="24"/>
                <w:szCs w:val="24"/>
                <w:color w:val="auto"/>
              </w:rPr>
            </w:pPr>
          </w:p>
        </w:tc>
        <w:tc>
          <w:tcPr>
            <w:tcW w:w="80" w:type="dxa"/>
            <w:vAlign w:val="bottom"/>
            <w:shd w:val="clear" w:color="auto" w:fill="0088A6"/>
          </w:tcPr>
          <w:p>
            <w:pPr>
              <w:spacing w:after="0"/>
              <w:rPr>
                <w:sz w:val="24"/>
                <w:szCs w:val="24"/>
                <w:color w:val="auto"/>
              </w:rPr>
            </w:pPr>
          </w:p>
        </w:tc>
        <w:tc>
          <w:tcPr>
            <w:tcW w:w="700" w:type="dxa"/>
            <w:vAlign w:val="bottom"/>
            <w:shd w:val="clear" w:color="auto" w:fill="0088A6"/>
          </w:tcPr>
          <w:p>
            <w:pPr>
              <w:spacing w:after="0"/>
              <w:rPr>
                <w:sz w:val="24"/>
                <w:szCs w:val="24"/>
                <w:color w:val="auto"/>
              </w:rPr>
            </w:pPr>
          </w:p>
        </w:tc>
        <w:tc>
          <w:tcPr>
            <w:tcW w:w="200" w:type="dxa"/>
            <w:vAlign w:val="bottom"/>
            <w:tcBorders>
              <w:right w:val="single" w:sz="8" w:color="BFBFBF"/>
            </w:tcBorders>
            <w:shd w:val="clear" w:color="auto" w:fill="0088A6"/>
          </w:tcPr>
          <w:p>
            <w:pPr>
              <w:spacing w:after="0"/>
              <w:rPr>
                <w:sz w:val="24"/>
                <w:szCs w:val="24"/>
                <w:color w:val="auto"/>
              </w:rPr>
            </w:pPr>
          </w:p>
        </w:tc>
        <w:tc>
          <w:tcPr>
            <w:tcW w:w="140" w:type="dxa"/>
            <w:vAlign w:val="bottom"/>
            <w:shd w:val="clear" w:color="auto" w:fill="0088A6"/>
          </w:tcPr>
          <w:p>
            <w:pPr>
              <w:spacing w:after="0"/>
              <w:rPr>
                <w:sz w:val="24"/>
                <w:szCs w:val="24"/>
                <w:color w:val="auto"/>
              </w:rPr>
            </w:pPr>
          </w:p>
        </w:tc>
        <w:tc>
          <w:tcPr>
            <w:tcW w:w="80" w:type="dxa"/>
            <w:vAlign w:val="bottom"/>
            <w:shd w:val="clear" w:color="auto" w:fill="0088A6"/>
          </w:tcPr>
          <w:p>
            <w:pPr>
              <w:spacing w:after="0"/>
              <w:rPr>
                <w:sz w:val="24"/>
                <w:szCs w:val="24"/>
                <w:color w:val="auto"/>
              </w:rPr>
            </w:pPr>
          </w:p>
        </w:tc>
        <w:tc>
          <w:tcPr>
            <w:tcW w:w="760" w:type="dxa"/>
            <w:vAlign w:val="bottom"/>
            <w:tcBorders>
              <w:right w:val="single" w:sz="8" w:color="BFBFBF"/>
            </w:tcBorders>
            <w:gridSpan w:val="2"/>
            <w:shd w:val="clear" w:color="auto" w:fill="0088A6"/>
          </w:tcPr>
          <w:p>
            <w:pPr>
              <w:jc w:val="center"/>
              <w:ind w:right="280"/>
              <w:spacing w:after="0"/>
              <w:rPr>
                <w:sz w:val="20"/>
                <w:szCs w:val="20"/>
                <w:color w:val="auto"/>
              </w:rPr>
            </w:pPr>
            <w:r>
              <w:rPr>
                <w:rFonts w:ascii="Arial" w:cs="Arial" w:eastAsia="Arial" w:hAnsi="Arial"/>
                <w:sz w:val="14"/>
                <w:szCs w:val="14"/>
                <w:b w:val="1"/>
                <w:bCs w:val="1"/>
                <w:color w:val="FFFFFF"/>
                <w:w w:val="99"/>
              </w:rPr>
              <w:t>Cost of</w:t>
            </w:r>
          </w:p>
        </w:tc>
        <w:tc>
          <w:tcPr>
            <w:tcW w:w="140" w:type="dxa"/>
            <w:vAlign w:val="bottom"/>
            <w:shd w:val="clear" w:color="auto" w:fill="0088A6"/>
          </w:tcPr>
          <w:p>
            <w:pPr>
              <w:spacing w:after="0"/>
              <w:rPr>
                <w:sz w:val="24"/>
                <w:szCs w:val="24"/>
                <w:color w:val="auto"/>
              </w:rPr>
            </w:pPr>
          </w:p>
        </w:tc>
        <w:tc>
          <w:tcPr>
            <w:tcW w:w="100" w:type="dxa"/>
            <w:vAlign w:val="bottom"/>
            <w:shd w:val="clear" w:color="auto" w:fill="0088A6"/>
          </w:tcPr>
          <w:p>
            <w:pPr>
              <w:spacing w:after="0"/>
              <w:rPr>
                <w:sz w:val="24"/>
                <w:szCs w:val="24"/>
                <w:color w:val="auto"/>
              </w:rPr>
            </w:pPr>
          </w:p>
        </w:tc>
        <w:tc>
          <w:tcPr>
            <w:tcW w:w="760" w:type="dxa"/>
            <w:vAlign w:val="bottom"/>
            <w:shd w:val="clear" w:color="auto" w:fill="0088A6"/>
          </w:tcPr>
          <w:p>
            <w:pPr>
              <w:spacing w:after="0"/>
              <w:rPr>
                <w:sz w:val="24"/>
                <w:szCs w:val="24"/>
                <w:color w:val="auto"/>
              </w:rPr>
            </w:pPr>
          </w:p>
        </w:tc>
        <w:tc>
          <w:tcPr>
            <w:tcW w:w="180" w:type="dxa"/>
            <w:vAlign w:val="bottom"/>
            <w:tcBorders>
              <w:right w:val="single" w:sz="8" w:color="BFBFBF"/>
            </w:tcBorders>
            <w:shd w:val="clear" w:color="auto" w:fill="0088A6"/>
          </w:tcPr>
          <w:p>
            <w:pPr>
              <w:spacing w:after="0"/>
              <w:rPr>
                <w:sz w:val="24"/>
                <w:szCs w:val="24"/>
                <w:color w:val="auto"/>
              </w:rPr>
            </w:pPr>
          </w:p>
        </w:tc>
        <w:tc>
          <w:tcPr>
            <w:tcW w:w="140" w:type="dxa"/>
            <w:vAlign w:val="bottom"/>
            <w:shd w:val="clear" w:color="auto" w:fill="0088A6"/>
          </w:tcPr>
          <w:p>
            <w:pPr>
              <w:spacing w:after="0"/>
              <w:rPr>
                <w:sz w:val="24"/>
                <w:szCs w:val="24"/>
                <w:color w:val="auto"/>
              </w:rPr>
            </w:pPr>
          </w:p>
        </w:tc>
        <w:tc>
          <w:tcPr>
            <w:tcW w:w="1020" w:type="dxa"/>
            <w:vAlign w:val="bottom"/>
            <w:tcBorders>
              <w:right w:val="single" w:sz="8" w:color="BFBFBF"/>
            </w:tcBorders>
            <w:gridSpan w:val="3"/>
            <w:shd w:val="clear" w:color="auto" w:fill="0088A6"/>
          </w:tcPr>
          <w:p>
            <w:pPr>
              <w:spacing w:after="0"/>
              <w:rPr>
                <w:sz w:val="20"/>
                <w:szCs w:val="20"/>
                <w:color w:val="auto"/>
              </w:rPr>
            </w:pPr>
            <w:r>
              <w:rPr>
                <w:rFonts w:ascii="Arial" w:cs="Arial" w:eastAsia="Arial" w:hAnsi="Arial"/>
                <w:sz w:val="14"/>
                <w:szCs w:val="14"/>
                <w:b w:val="1"/>
                <w:bCs w:val="1"/>
                <w:color w:val="FFFFFF"/>
              </w:rPr>
              <w:t>Contribution</w:t>
            </w:r>
          </w:p>
        </w:tc>
        <w:tc>
          <w:tcPr>
            <w:tcW w:w="140" w:type="dxa"/>
            <w:vAlign w:val="bottom"/>
            <w:shd w:val="clear" w:color="auto" w:fill="0088A6"/>
          </w:tcPr>
          <w:p>
            <w:pPr>
              <w:spacing w:after="0"/>
              <w:rPr>
                <w:sz w:val="24"/>
                <w:szCs w:val="24"/>
                <w:color w:val="auto"/>
              </w:rPr>
            </w:pPr>
          </w:p>
        </w:tc>
        <w:tc>
          <w:tcPr>
            <w:tcW w:w="160" w:type="dxa"/>
            <w:vAlign w:val="bottom"/>
            <w:shd w:val="clear" w:color="auto" w:fill="0088A6"/>
          </w:tcPr>
          <w:p>
            <w:pPr>
              <w:spacing w:after="0"/>
              <w:rPr>
                <w:sz w:val="24"/>
                <w:szCs w:val="24"/>
                <w:color w:val="auto"/>
              </w:rPr>
            </w:pPr>
          </w:p>
        </w:tc>
        <w:tc>
          <w:tcPr>
            <w:tcW w:w="640" w:type="dxa"/>
            <w:vAlign w:val="bottom"/>
            <w:shd w:val="clear" w:color="auto" w:fill="0088A6"/>
          </w:tcPr>
          <w:p>
            <w:pPr>
              <w:spacing w:after="0"/>
              <w:rPr>
                <w:sz w:val="24"/>
                <w:szCs w:val="24"/>
                <w:color w:val="auto"/>
              </w:rPr>
            </w:pPr>
          </w:p>
        </w:tc>
        <w:tc>
          <w:tcPr>
            <w:tcW w:w="200" w:type="dxa"/>
            <w:vAlign w:val="bottom"/>
            <w:tcBorders>
              <w:right w:val="single" w:sz="8" w:color="BFBFBF"/>
            </w:tcBorders>
            <w:shd w:val="clear" w:color="auto" w:fill="0088A6"/>
          </w:tcPr>
          <w:p>
            <w:pPr>
              <w:spacing w:after="0"/>
              <w:rPr>
                <w:sz w:val="24"/>
                <w:szCs w:val="24"/>
                <w:color w:val="auto"/>
              </w:rPr>
            </w:pPr>
          </w:p>
        </w:tc>
        <w:tc>
          <w:tcPr>
            <w:tcW w:w="140" w:type="dxa"/>
            <w:vAlign w:val="bottom"/>
            <w:shd w:val="clear" w:color="auto" w:fill="0088A6"/>
          </w:tcPr>
          <w:p>
            <w:pPr>
              <w:spacing w:after="0"/>
              <w:rPr>
                <w:sz w:val="24"/>
                <w:szCs w:val="24"/>
                <w:color w:val="auto"/>
              </w:rPr>
            </w:pPr>
          </w:p>
        </w:tc>
        <w:tc>
          <w:tcPr>
            <w:tcW w:w="180" w:type="dxa"/>
            <w:vAlign w:val="bottom"/>
            <w:shd w:val="clear" w:color="auto" w:fill="0088A6"/>
          </w:tcPr>
          <w:p>
            <w:pPr>
              <w:spacing w:after="0"/>
              <w:rPr>
                <w:sz w:val="24"/>
                <w:szCs w:val="24"/>
                <w:color w:val="auto"/>
              </w:rPr>
            </w:pPr>
          </w:p>
        </w:tc>
        <w:tc>
          <w:tcPr>
            <w:tcW w:w="720" w:type="dxa"/>
            <w:vAlign w:val="bottom"/>
            <w:shd w:val="clear" w:color="auto" w:fill="0088A6"/>
          </w:tcPr>
          <w:p>
            <w:pPr>
              <w:spacing w:after="0"/>
              <w:rPr>
                <w:sz w:val="24"/>
                <w:szCs w:val="24"/>
                <w:color w:val="auto"/>
              </w:rPr>
            </w:pPr>
          </w:p>
        </w:tc>
        <w:tc>
          <w:tcPr>
            <w:tcW w:w="200" w:type="dxa"/>
            <w:vAlign w:val="bottom"/>
            <w:tcBorders>
              <w:right w:val="single" w:sz="8" w:color="BFBFBF"/>
            </w:tcBorders>
            <w:shd w:val="clear" w:color="auto" w:fill="0088A6"/>
          </w:tcPr>
          <w:p>
            <w:pPr>
              <w:spacing w:after="0"/>
              <w:rPr>
                <w:sz w:val="24"/>
                <w:szCs w:val="24"/>
                <w:color w:val="auto"/>
              </w:rPr>
            </w:pPr>
          </w:p>
        </w:tc>
        <w:tc>
          <w:tcPr>
            <w:tcW w:w="140" w:type="dxa"/>
            <w:vAlign w:val="bottom"/>
            <w:shd w:val="clear" w:color="auto" w:fill="0088A6"/>
          </w:tcPr>
          <w:p>
            <w:pPr>
              <w:spacing w:after="0"/>
              <w:rPr>
                <w:sz w:val="24"/>
                <w:szCs w:val="24"/>
                <w:color w:val="auto"/>
              </w:rPr>
            </w:pPr>
          </w:p>
        </w:tc>
        <w:tc>
          <w:tcPr>
            <w:tcW w:w="560" w:type="dxa"/>
            <w:vAlign w:val="bottom"/>
            <w:shd w:val="clear" w:color="auto" w:fill="0088A6"/>
          </w:tcPr>
          <w:p>
            <w:pPr>
              <w:spacing w:after="0"/>
              <w:rPr>
                <w:sz w:val="24"/>
                <w:szCs w:val="24"/>
                <w:color w:val="auto"/>
              </w:rPr>
            </w:pPr>
          </w:p>
        </w:tc>
        <w:tc>
          <w:tcPr>
            <w:tcW w:w="200" w:type="dxa"/>
            <w:vAlign w:val="bottom"/>
            <w:tcBorders>
              <w:right w:val="single" w:sz="8" w:color="BFBFBF"/>
            </w:tcBorders>
            <w:shd w:val="clear" w:color="auto" w:fill="0088A6"/>
          </w:tcPr>
          <w:p>
            <w:pPr>
              <w:spacing w:after="0"/>
              <w:rPr>
                <w:sz w:val="24"/>
                <w:szCs w:val="24"/>
                <w:color w:val="auto"/>
              </w:rPr>
            </w:pPr>
          </w:p>
        </w:tc>
        <w:tc>
          <w:tcPr>
            <w:tcW w:w="140" w:type="dxa"/>
            <w:vAlign w:val="bottom"/>
            <w:shd w:val="clear" w:color="auto" w:fill="0088A6"/>
          </w:tcPr>
          <w:p>
            <w:pPr>
              <w:spacing w:after="0"/>
              <w:rPr>
                <w:sz w:val="24"/>
                <w:szCs w:val="24"/>
                <w:color w:val="auto"/>
              </w:rPr>
            </w:pPr>
          </w:p>
        </w:tc>
        <w:tc>
          <w:tcPr>
            <w:tcW w:w="140" w:type="dxa"/>
            <w:vAlign w:val="bottom"/>
            <w:shd w:val="clear" w:color="auto" w:fill="0088A6"/>
          </w:tcPr>
          <w:p>
            <w:pPr>
              <w:spacing w:after="0"/>
              <w:rPr>
                <w:sz w:val="24"/>
                <w:szCs w:val="24"/>
                <w:color w:val="auto"/>
              </w:rPr>
            </w:pPr>
          </w:p>
        </w:tc>
        <w:tc>
          <w:tcPr>
            <w:tcW w:w="800" w:type="dxa"/>
            <w:vAlign w:val="bottom"/>
            <w:shd w:val="clear" w:color="auto" w:fill="0088A6"/>
          </w:tcPr>
          <w:p>
            <w:pPr>
              <w:spacing w:after="0"/>
              <w:rPr>
                <w:sz w:val="24"/>
                <w:szCs w:val="24"/>
                <w:color w:val="auto"/>
              </w:rPr>
            </w:pPr>
          </w:p>
        </w:tc>
        <w:tc>
          <w:tcPr>
            <w:tcW w:w="240" w:type="dxa"/>
            <w:vAlign w:val="bottom"/>
            <w:tcBorders>
              <w:right w:val="single" w:sz="8" w:color="BFBFBF"/>
            </w:tcBorders>
            <w:shd w:val="clear" w:color="auto" w:fill="0088A6"/>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0" w:type="dxa"/>
            <w:vAlign w:val="bottom"/>
            <w:tcBorders>
              <w:left w:val="single" w:sz="8" w:color="BFBFBF"/>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980" w:type="dxa"/>
            <w:vAlign w:val="bottom"/>
            <w:tcBorders>
              <w:right w:val="single" w:sz="8" w:color="BFBFBF"/>
            </w:tcBorders>
            <w:gridSpan w:val="3"/>
            <w:shd w:val="clear" w:color="auto" w:fill="0088A6"/>
          </w:tcPr>
          <w:p>
            <w:pPr>
              <w:jc w:val="center"/>
              <w:ind w:right="180"/>
              <w:spacing w:after="0" w:line="149" w:lineRule="exact"/>
              <w:rPr>
                <w:sz w:val="20"/>
                <w:szCs w:val="20"/>
                <w:color w:val="auto"/>
              </w:rPr>
            </w:pPr>
            <w:r>
              <w:rPr>
                <w:rFonts w:ascii="Arial" w:cs="Arial" w:eastAsia="Arial" w:hAnsi="Arial"/>
                <w:sz w:val="14"/>
                <w:szCs w:val="14"/>
                <w:b w:val="1"/>
                <w:bCs w:val="1"/>
                <w:color w:val="FFFFFF"/>
                <w:w w:val="96"/>
              </w:rPr>
              <w:t>Incremental</w:t>
            </w:r>
          </w:p>
        </w:tc>
        <w:tc>
          <w:tcPr>
            <w:tcW w:w="140" w:type="dxa"/>
            <w:vAlign w:val="bottom"/>
            <w:shd w:val="clear" w:color="auto" w:fill="0088A6"/>
          </w:tcPr>
          <w:p>
            <w:pPr>
              <w:spacing w:after="0"/>
              <w:rPr>
                <w:sz w:val="12"/>
                <w:szCs w:val="12"/>
                <w:color w:val="auto"/>
              </w:rPr>
            </w:pPr>
          </w:p>
        </w:tc>
        <w:tc>
          <w:tcPr>
            <w:tcW w:w="840" w:type="dxa"/>
            <w:vAlign w:val="bottom"/>
            <w:tcBorders>
              <w:right w:val="single" w:sz="8" w:color="BFBFBF"/>
            </w:tcBorders>
            <w:gridSpan w:val="3"/>
            <w:shd w:val="clear" w:color="auto" w:fill="0088A6"/>
          </w:tcPr>
          <w:p>
            <w:pPr>
              <w:spacing w:after="0" w:line="149" w:lineRule="exact"/>
              <w:rPr>
                <w:sz w:val="20"/>
                <w:szCs w:val="20"/>
                <w:color w:val="auto"/>
              </w:rPr>
            </w:pPr>
            <w:r>
              <w:rPr>
                <w:rFonts w:ascii="Arial" w:cs="Arial" w:eastAsia="Arial" w:hAnsi="Arial"/>
                <w:sz w:val="14"/>
                <w:szCs w:val="14"/>
                <w:b w:val="1"/>
                <w:bCs w:val="1"/>
                <w:color w:val="FFFFFF"/>
              </w:rPr>
              <w:t>Executive</w:t>
            </w:r>
          </w:p>
        </w:tc>
        <w:tc>
          <w:tcPr>
            <w:tcW w:w="14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8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020" w:type="dxa"/>
            <w:vAlign w:val="bottom"/>
            <w:tcBorders>
              <w:right w:val="single" w:sz="8" w:color="BFBFBF"/>
            </w:tcBorders>
            <w:gridSpan w:val="3"/>
            <w:shd w:val="clear" w:color="auto" w:fill="0088A6"/>
          </w:tcPr>
          <w:p>
            <w:pPr>
              <w:ind w:left="20"/>
              <w:spacing w:after="0" w:line="149" w:lineRule="exact"/>
              <w:rPr>
                <w:sz w:val="20"/>
                <w:szCs w:val="20"/>
                <w:color w:val="auto"/>
              </w:rPr>
            </w:pPr>
            <w:r>
              <w:rPr>
                <w:rFonts w:ascii="Arial" w:cs="Arial" w:eastAsia="Arial" w:hAnsi="Arial"/>
                <w:sz w:val="14"/>
                <w:szCs w:val="14"/>
                <w:b w:val="1"/>
                <w:bCs w:val="1"/>
                <w:color w:val="FFFFFF"/>
              </w:rPr>
              <w:t>to the 401(k)</w:t>
            </w: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24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Borders>
              <w:left w:val="single" w:sz="8" w:color="BFBFBF"/>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00" w:type="dxa"/>
            <w:vAlign w:val="bottom"/>
            <w:tcBorders>
              <w:right w:val="single" w:sz="8" w:color="BFBFBF"/>
            </w:tcBorders>
            <w:gridSpan w:val="2"/>
            <w:shd w:val="clear" w:color="auto" w:fill="0088A6"/>
          </w:tcPr>
          <w:p>
            <w:pPr>
              <w:jc w:val="center"/>
              <w:ind w:right="280"/>
              <w:spacing w:after="0" w:line="149" w:lineRule="exact"/>
              <w:rPr>
                <w:sz w:val="20"/>
                <w:szCs w:val="20"/>
                <w:color w:val="auto"/>
              </w:rPr>
            </w:pPr>
            <w:r>
              <w:rPr>
                <w:rFonts w:ascii="Arial" w:cs="Arial" w:eastAsia="Arial" w:hAnsi="Arial"/>
                <w:sz w:val="14"/>
                <w:szCs w:val="14"/>
                <w:b w:val="1"/>
                <w:bCs w:val="1"/>
                <w:color w:val="FFFFFF"/>
                <w:w w:val="95"/>
              </w:rPr>
              <w:t>Cost of</w:t>
            </w:r>
          </w:p>
        </w:tc>
        <w:tc>
          <w:tcPr>
            <w:tcW w:w="14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tcBorders>
              <w:right w:val="single" w:sz="8" w:color="BFBFBF"/>
            </w:tcBorders>
            <w:gridSpan w:val="2"/>
            <w:shd w:val="clear" w:color="auto" w:fill="0088A6"/>
          </w:tcPr>
          <w:p>
            <w:pPr>
              <w:jc w:val="center"/>
              <w:ind w:right="280"/>
              <w:spacing w:after="0" w:line="149" w:lineRule="exact"/>
              <w:rPr>
                <w:sz w:val="20"/>
                <w:szCs w:val="20"/>
                <w:color w:val="auto"/>
              </w:rPr>
            </w:pPr>
            <w:r>
              <w:rPr>
                <w:rFonts w:ascii="Arial" w:cs="Arial" w:eastAsia="Arial" w:hAnsi="Arial"/>
                <w:sz w:val="14"/>
                <w:szCs w:val="14"/>
                <w:b w:val="1"/>
                <w:bCs w:val="1"/>
                <w:color w:val="FFFFFF"/>
                <w:w w:val="93"/>
              </w:rPr>
              <w:t>Health</w:t>
            </w:r>
          </w:p>
        </w:tc>
        <w:tc>
          <w:tcPr>
            <w:tcW w:w="14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8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tcBorders>
              <w:right w:val="single" w:sz="8" w:color="BFBFBF"/>
            </w:tcBorders>
            <w:gridSpan w:val="2"/>
            <w:shd w:val="clear" w:color="auto" w:fill="0088A6"/>
          </w:tcPr>
          <w:p>
            <w:pPr>
              <w:jc w:val="center"/>
              <w:ind w:right="320"/>
              <w:spacing w:after="0" w:line="149" w:lineRule="exact"/>
              <w:rPr>
                <w:sz w:val="20"/>
                <w:szCs w:val="20"/>
                <w:color w:val="auto"/>
              </w:rPr>
            </w:pPr>
            <w:r>
              <w:rPr>
                <w:rFonts w:ascii="Arial" w:cs="Arial" w:eastAsia="Arial" w:hAnsi="Arial"/>
                <w:sz w:val="14"/>
                <w:szCs w:val="14"/>
                <w:b w:val="1"/>
                <w:bCs w:val="1"/>
                <w:color w:val="FFFFFF"/>
                <w:w w:val="96"/>
              </w:rPr>
              <w:t>Plan or</w:t>
            </w: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24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Borders>
              <w:left w:val="single" w:sz="8" w:color="BFBFBF"/>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00" w:type="dxa"/>
            <w:vAlign w:val="bottom"/>
            <w:tcBorders>
              <w:right w:val="single" w:sz="8" w:color="BFBFBF"/>
            </w:tcBorders>
            <w:gridSpan w:val="2"/>
            <w:shd w:val="clear" w:color="auto" w:fill="0088A6"/>
          </w:tcPr>
          <w:p>
            <w:pPr>
              <w:jc w:val="center"/>
              <w:ind w:right="280"/>
              <w:spacing w:after="0" w:line="149" w:lineRule="exact"/>
              <w:rPr>
                <w:sz w:val="20"/>
                <w:szCs w:val="20"/>
                <w:color w:val="auto"/>
              </w:rPr>
            </w:pPr>
            <w:r>
              <w:rPr>
                <w:rFonts w:ascii="Arial" w:cs="Arial" w:eastAsia="Arial" w:hAnsi="Arial"/>
                <w:sz w:val="14"/>
                <w:szCs w:val="14"/>
                <w:b w:val="1"/>
                <w:bCs w:val="1"/>
                <w:color w:val="FFFFFF"/>
                <w:w w:val="97"/>
              </w:rPr>
              <w:t>Personal</w:t>
            </w:r>
          </w:p>
        </w:tc>
        <w:tc>
          <w:tcPr>
            <w:tcW w:w="140" w:type="dxa"/>
            <w:vAlign w:val="bottom"/>
            <w:shd w:val="clear" w:color="auto" w:fill="0088A6"/>
          </w:tcPr>
          <w:p>
            <w:pPr>
              <w:spacing w:after="0"/>
              <w:rPr>
                <w:sz w:val="12"/>
                <w:szCs w:val="12"/>
                <w:color w:val="auto"/>
              </w:rPr>
            </w:pPr>
          </w:p>
        </w:tc>
        <w:tc>
          <w:tcPr>
            <w:tcW w:w="840" w:type="dxa"/>
            <w:vAlign w:val="bottom"/>
            <w:tcBorders>
              <w:right w:val="single" w:sz="8" w:color="BFBFBF"/>
            </w:tcBorders>
            <w:gridSpan w:val="3"/>
            <w:shd w:val="clear" w:color="auto" w:fill="0088A6"/>
          </w:tcPr>
          <w:p>
            <w:pPr>
              <w:jc w:val="center"/>
              <w:ind w:right="200"/>
              <w:spacing w:after="0" w:line="149" w:lineRule="exact"/>
              <w:rPr>
                <w:sz w:val="20"/>
                <w:szCs w:val="20"/>
                <w:color w:val="auto"/>
              </w:rPr>
            </w:pPr>
            <w:r>
              <w:rPr>
                <w:rFonts w:ascii="Arial" w:cs="Arial" w:eastAsia="Arial" w:hAnsi="Arial"/>
                <w:sz w:val="14"/>
                <w:szCs w:val="14"/>
                <w:b w:val="1"/>
                <w:bCs w:val="1"/>
                <w:color w:val="FFFFFF"/>
                <w:w w:val="94"/>
              </w:rPr>
              <w:t>Exam or</w:t>
            </w:r>
          </w:p>
        </w:tc>
        <w:tc>
          <w:tcPr>
            <w:tcW w:w="14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280"/>
              <w:spacing w:after="0" w:line="149" w:lineRule="exact"/>
              <w:rPr>
                <w:sz w:val="20"/>
                <w:szCs w:val="20"/>
                <w:color w:val="auto"/>
              </w:rPr>
            </w:pPr>
            <w:r>
              <w:rPr>
                <w:rFonts w:ascii="Arial" w:cs="Arial" w:eastAsia="Arial" w:hAnsi="Arial"/>
                <w:sz w:val="14"/>
                <w:szCs w:val="14"/>
                <w:b w:val="1"/>
                <w:bCs w:val="1"/>
                <w:color w:val="FFFFFF"/>
                <w:w w:val="95"/>
              </w:rPr>
              <w:t>Cost of</w:t>
            </w:r>
          </w:p>
        </w:tc>
        <w:tc>
          <w:tcPr>
            <w:tcW w:w="14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tcBorders>
              <w:right w:val="single" w:sz="8" w:color="BFBFBF"/>
            </w:tcBorders>
            <w:gridSpan w:val="2"/>
            <w:shd w:val="clear" w:color="auto" w:fill="0088A6"/>
          </w:tcPr>
          <w:p>
            <w:pPr>
              <w:jc w:val="center"/>
              <w:ind w:right="300"/>
              <w:spacing w:after="0" w:line="149" w:lineRule="exact"/>
              <w:rPr>
                <w:sz w:val="20"/>
                <w:szCs w:val="20"/>
                <w:color w:val="auto"/>
              </w:rPr>
            </w:pPr>
            <w:r>
              <w:rPr>
                <w:rFonts w:ascii="Arial" w:cs="Arial" w:eastAsia="Arial" w:hAnsi="Arial"/>
                <w:sz w:val="14"/>
                <w:szCs w:val="14"/>
                <w:b w:val="1"/>
                <w:bCs w:val="1"/>
                <w:color w:val="FFFFFF"/>
                <w:w w:val="96"/>
              </w:rPr>
              <w:t>Other</w:t>
            </w: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100" w:type="dxa"/>
            <w:vAlign w:val="bottom"/>
            <w:tcBorders>
              <w:right w:val="single" w:sz="8" w:color="BFBFBF"/>
            </w:tcBorders>
            <w:gridSpan w:val="3"/>
            <w:shd w:val="clear" w:color="auto" w:fill="0088A6"/>
          </w:tcPr>
          <w:p>
            <w:pPr>
              <w:jc w:val="center"/>
              <w:ind w:right="200"/>
              <w:spacing w:after="0" w:line="149" w:lineRule="exact"/>
              <w:rPr>
                <w:sz w:val="20"/>
                <w:szCs w:val="20"/>
                <w:color w:val="auto"/>
              </w:rPr>
            </w:pPr>
            <w:r>
              <w:rPr>
                <w:rFonts w:ascii="Arial" w:cs="Arial" w:eastAsia="Arial" w:hAnsi="Arial"/>
                <w:sz w:val="14"/>
                <w:szCs w:val="14"/>
                <w:b w:val="1"/>
                <w:bCs w:val="1"/>
                <w:color w:val="FFFFFF"/>
                <w:w w:val="97"/>
              </w:rPr>
              <w:t>Contribution</w:t>
            </w:r>
          </w:p>
        </w:tc>
        <w:tc>
          <w:tcPr>
            <w:tcW w:w="14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24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Borders>
              <w:left w:val="single" w:sz="8" w:color="BFBFBF"/>
              <w:right w:val="single" w:sz="8" w:color="BFBFBF"/>
            </w:tcBorders>
            <w:vMerge w:val="restart"/>
            <w:shd w:val="clear" w:color="auto" w:fill="0088A6"/>
          </w:tcPr>
          <w:p>
            <w:pPr>
              <w:jc w:val="center"/>
              <w:ind w:left="52"/>
              <w:spacing w:after="0"/>
              <w:rPr>
                <w:sz w:val="20"/>
                <w:szCs w:val="20"/>
                <w:color w:val="auto"/>
              </w:rPr>
            </w:pPr>
            <w:r>
              <w:rPr>
                <w:rFonts w:ascii="Arial" w:cs="Arial" w:eastAsia="Arial" w:hAnsi="Arial"/>
                <w:sz w:val="14"/>
                <w:szCs w:val="14"/>
                <w:b w:val="1"/>
                <w:bCs w:val="1"/>
                <w:color w:val="FFFFFF"/>
                <w:w w:val="95"/>
              </w:rPr>
              <w:t>Name and</w:t>
            </w:r>
          </w:p>
        </w:tc>
        <w:tc>
          <w:tcPr>
            <w:tcW w:w="14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00" w:type="dxa"/>
            <w:vAlign w:val="bottom"/>
            <w:tcBorders>
              <w:right w:val="single" w:sz="8" w:color="BFBFBF"/>
            </w:tcBorders>
            <w:gridSpan w:val="2"/>
            <w:shd w:val="clear" w:color="auto" w:fill="0088A6"/>
          </w:tcPr>
          <w:p>
            <w:pPr>
              <w:jc w:val="center"/>
              <w:ind w:right="280"/>
              <w:spacing w:after="0" w:line="149" w:lineRule="exact"/>
              <w:rPr>
                <w:sz w:val="20"/>
                <w:szCs w:val="20"/>
                <w:color w:val="auto"/>
              </w:rPr>
            </w:pPr>
            <w:r>
              <w:rPr>
                <w:rFonts w:ascii="Arial" w:cs="Arial" w:eastAsia="Arial" w:hAnsi="Arial"/>
                <w:sz w:val="14"/>
                <w:szCs w:val="14"/>
                <w:b w:val="1"/>
                <w:bCs w:val="1"/>
                <w:color w:val="FFFFFF"/>
                <w:w w:val="98"/>
              </w:rPr>
              <w:t>Use of</w:t>
            </w:r>
          </w:p>
        </w:tc>
        <w:tc>
          <w:tcPr>
            <w:tcW w:w="140" w:type="dxa"/>
            <w:vAlign w:val="bottom"/>
            <w:shd w:val="clear" w:color="auto" w:fill="0088A6"/>
          </w:tcPr>
          <w:p>
            <w:pPr>
              <w:spacing w:after="0"/>
              <w:rPr>
                <w:sz w:val="12"/>
                <w:szCs w:val="12"/>
                <w:color w:val="auto"/>
              </w:rPr>
            </w:pPr>
          </w:p>
        </w:tc>
        <w:tc>
          <w:tcPr>
            <w:tcW w:w="840" w:type="dxa"/>
            <w:vAlign w:val="bottom"/>
            <w:tcBorders>
              <w:right w:val="single" w:sz="8" w:color="BFBFBF"/>
            </w:tcBorders>
            <w:gridSpan w:val="3"/>
            <w:shd w:val="clear" w:color="auto" w:fill="0088A6"/>
          </w:tcPr>
          <w:p>
            <w:pPr>
              <w:ind w:left="20"/>
              <w:spacing w:after="0" w:line="149" w:lineRule="exact"/>
              <w:rPr>
                <w:sz w:val="20"/>
                <w:szCs w:val="20"/>
                <w:color w:val="auto"/>
              </w:rPr>
            </w:pPr>
            <w:r>
              <w:rPr>
                <w:rFonts w:ascii="Arial" w:cs="Arial" w:eastAsia="Arial" w:hAnsi="Arial"/>
                <w:sz w:val="14"/>
                <w:szCs w:val="14"/>
                <w:b w:val="1"/>
                <w:bCs w:val="1"/>
                <w:color w:val="FFFFFF"/>
              </w:rPr>
              <w:t>Extended</w:t>
            </w: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gridSpan w:val="3"/>
            <w:shd w:val="clear" w:color="auto" w:fill="0088A6"/>
          </w:tcPr>
          <w:p>
            <w:pPr>
              <w:jc w:val="center"/>
              <w:ind w:right="200"/>
              <w:spacing w:after="0" w:line="149" w:lineRule="exact"/>
              <w:rPr>
                <w:sz w:val="20"/>
                <w:szCs w:val="20"/>
                <w:color w:val="auto"/>
              </w:rPr>
            </w:pPr>
            <w:r>
              <w:rPr>
                <w:rFonts w:ascii="Arial" w:cs="Arial" w:eastAsia="Arial" w:hAnsi="Arial"/>
                <w:sz w:val="14"/>
                <w:szCs w:val="14"/>
                <w:b w:val="1"/>
                <w:bCs w:val="1"/>
                <w:color w:val="FFFFFF"/>
                <w:w w:val="94"/>
              </w:rPr>
              <w:t>Financial/Tax</w:t>
            </w:r>
          </w:p>
        </w:tc>
        <w:tc>
          <w:tcPr>
            <w:tcW w:w="14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tcBorders>
              <w:right w:val="single" w:sz="8" w:color="BFBFBF"/>
            </w:tcBorders>
            <w:gridSpan w:val="2"/>
            <w:shd w:val="clear" w:color="auto" w:fill="0088A6"/>
          </w:tcPr>
          <w:p>
            <w:pPr>
              <w:jc w:val="center"/>
              <w:ind w:right="320"/>
              <w:spacing w:after="0" w:line="149" w:lineRule="exact"/>
              <w:rPr>
                <w:sz w:val="20"/>
                <w:szCs w:val="20"/>
                <w:color w:val="auto"/>
              </w:rPr>
            </w:pPr>
            <w:r>
              <w:rPr>
                <w:rFonts w:ascii="Arial" w:cs="Arial" w:eastAsia="Arial" w:hAnsi="Arial"/>
                <w:sz w:val="14"/>
                <w:szCs w:val="14"/>
                <w:b w:val="1"/>
                <w:bCs w:val="1"/>
                <w:color w:val="FFFFFF"/>
                <w:w w:val="97"/>
              </w:rPr>
              <w:t>Defined</w:t>
            </w:r>
          </w:p>
        </w:tc>
        <w:tc>
          <w:tcPr>
            <w:tcW w:w="140" w:type="dxa"/>
            <w:vAlign w:val="bottom"/>
            <w:shd w:val="clear" w:color="auto" w:fill="0088A6"/>
          </w:tcPr>
          <w:p>
            <w:pPr>
              <w:spacing w:after="0"/>
              <w:rPr>
                <w:sz w:val="12"/>
                <w:szCs w:val="12"/>
                <w:color w:val="auto"/>
              </w:rPr>
            </w:pPr>
          </w:p>
        </w:tc>
        <w:tc>
          <w:tcPr>
            <w:tcW w:w="1000" w:type="dxa"/>
            <w:vAlign w:val="bottom"/>
            <w:tcBorders>
              <w:right w:val="single" w:sz="8" w:color="BFBFBF"/>
            </w:tcBorders>
            <w:gridSpan w:val="3"/>
            <w:shd w:val="clear" w:color="auto" w:fill="0088A6"/>
          </w:tcPr>
          <w:p>
            <w:pPr>
              <w:spacing w:after="0" w:line="149" w:lineRule="exact"/>
              <w:rPr>
                <w:sz w:val="20"/>
                <w:szCs w:val="20"/>
                <w:color w:val="auto"/>
              </w:rPr>
            </w:pPr>
            <w:r>
              <w:rPr>
                <w:rFonts w:ascii="Arial" w:cs="Arial" w:eastAsia="Arial" w:hAnsi="Arial"/>
                <w:sz w:val="14"/>
                <w:szCs w:val="14"/>
                <w:b w:val="1"/>
                <w:bCs w:val="1"/>
                <w:color w:val="FFFFFF"/>
              </w:rPr>
              <w:t>Contribution</w:t>
            </w:r>
          </w:p>
        </w:tc>
        <w:tc>
          <w:tcPr>
            <w:tcW w:w="140" w:type="dxa"/>
            <w:vAlign w:val="bottom"/>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920" w:type="dxa"/>
            <w:vAlign w:val="bottom"/>
            <w:tcBorders>
              <w:right w:val="single" w:sz="8" w:color="BFBFBF"/>
            </w:tcBorders>
            <w:gridSpan w:val="2"/>
            <w:shd w:val="clear" w:color="auto" w:fill="0088A6"/>
          </w:tcPr>
          <w:p>
            <w:pPr>
              <w:jc w:val="center"/>
              <w:ind w:right="380"/>
              <w:spacing w:after="0" w:line="149" w:lineRule="exact"/>
              <w:rPr>
                <w:sz w:val="20"/>
                <w:szCs w:val="20"/>
                <w:color w:val="auto"/>
              </w:rPr>
            </w:pPr>
            <w:r>
              <w:rPr>
                <w:rFonts w:ascii="Arial" w:cs="Arial" w:eastAsia="Arial" w:hAnsi="Arial"/>
                <w:sz w:val="14"/>
                <w:szCs w:val="14"/>
                <w:b w:val="1"/>
                <w:bCs w:val="1"/>
                <w:color w:val="FFFFFF"/>
                <w:w w:val="99"/>
              </w:rPr>
              <w:t>to the</w:t>
            </w:r>
          </w:p>
        </w:tc>
        <w:tc>
          <w:tcPr>
            <w:tcW w:w="14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gridSpan w:val="2"/>
            <w:shd w:val="clear" w:color="auto" w:fill="0088A6"/>
          </w:tcPr>
          <w:p>
            <w:pPr>
              <w:jc w:val="center"/>
              <w:ind w:right="360"/>
              <w:spacing w:after="0" w:line="149" w:lineRule="exact"/>
              <w:rPr>
                <w:sz w:val="20"/>
                <w:szCs w:val="20"/>
                <w:color w:val="auto"/>
              </w:rPr>
            </w:pPr>
            <w:r>
              <w:rPr>
                <w:rFonts w:ascii="Arial" w:cs="Arial" w:eastAsia="Arial" w:hAnsi="Arial"/>
                <w:sz w:val="14"/>
                <w:szCs w:val="14"/>
                <w:b w:val="1"/>
                <w:bCs w:val="1"/>
                <w:color w:val="FFFFFF"/>
                <w:w w:val="94"/>
              </w:rPr>
              <w:t>Total All</w:t>
            </w:r>
          </w:p>
        </w:tc>
        <w:tc>
          <w:tcPr>
            <w:tcW w:w="0" w:type="dxa"/>
            <w:vAlign w:val="bottom"/>
          </w:tcPr>
          <w:p>
            <w:pPr>
              <w:spacing w:after="0"/>
              <w:rPr>
                <w:sz w:val="1"/>
                <w:szCs w:val="1"/>
                <w:color w:val="auto"/>
              </w:rPr>
            </w:pPr>
          </w:p>
        </w:tc>
      </w:tr>
      <w:tr>
        <w:trPr>
          <w:trHeight w:val="138"/>
        </w:trPr>
        <w:tc>
          <w:tcPr>
            <w:tcW w:w="2400" w:type="dxa"/>
            <w:vAlign w:val="bottom"/>
            <w:tcBorders>
              <w:left w:val="single" w:sz="8" w:color="BFBFBF"/>
              <w:right w:val="single" w:sz="8" w:color="BFBFBF"/>
            </w:tcBorders>
            <w:vMerge w:val="continue"/>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00" w:type="dxa"/>
            <w:vAlign w:val="bottom"/>
            <w:tcBorders>
              <w:right w:val="single" w:sz="8" w:color="BFBFBF"/>
            </w:tcBorders>
            <w:gridSpan w:val="2"/>
            <w:shd w:val="clear" w:color="auto" w:fill="0088A6"/>
          </w:tcPr>
          <w:p>
            <w:pPr>
              <w:jc w:val="center"/>
              <w:ind w:right="280"/>
              <w:spacing w:after="0" w:line="139" w:lineRule="exact"/>
              <w:rPr>
                <w:sz w:val="20"/>
                <w:szCs w:val="20"/>
                <w:color w:val="auto"/>
              </w:rPr>
            </w:pPr>
            <w:r>
              <w:rPr>
                <w:rFonts w:ascii="Arial" w:cs="Arial" w:eastAsia="Arial" w:hAnsi="Arial"/>
                <w:sz w:val="14"/>
                <w:szCs w:val="14"/>
                <w:b w:val="1"/>
                <w:bCs w:val="1"/>
                <w:color w:val="FFFFFF"/>
                <w:w w:val="97"/>
              </w:rPr>
              <w:t>Company</w:t>
            </w:r>
          </w:p>
        </w:tc>
        <w:tc>
          <w:tcPr>
            <w:tcW w:w="140" w:type="dxa"/>
            <w:vAlign w:val="bottom"/>
            <w:shd w:val="clear" w:color="auto" w:fill="0088A6"/>
          </w:tcPr>
          <w:p>
            <w:pPr>
              <w:spacing w:after="0"/>
              <w:rPr>
                <w:sz w:val="12"/>
                <w:szCs w:val="12"/>
                <w:color w:val="auto"/>
              </w:rPr>
            </w:pPr>
          </w:p>
        </w:tc>
        <w:tc>
          <w:tcPr>
            <w:tcW w:w="840" w:type="dxa"/>
            <w:vAlign w:val="bottom"/>
            <w:tcBorders>
              <w:right w:val="single" w:sz="8" w:color="BFBFBF"/>
            </w:tcBorders>
            <w:gridSpan w:val="3"/>
            <w:shd w:val="clear" w:color="auto" w:fill="0088A6"/>
          </w:tcPr>
          <w:p>
            <w:pPr>
              <w:jc w:val="center"/>
              <w:ind w:right="200"/>
              <w:spacing w:after="0" w:line="139" w:lineRule="exact"/>
              <w:rPr>
                <w:sz w:val="20"/>
                <w:szCs w:val="20"/>
                <w:color w:val="auto"/>
              </w:rPr>
            </w:pPr>
            <w:r>
              <w:rPr>
                <w:rFonts w:ascii="Arial" w:cs="Arial" w:eastAsia="Arial" w:hAnsi="Arial"/>
                <w:sz w:val="14"/>
                <w:szCs w:val="14"/>
                <w:b w:val="1"/>
                <w:bCs w:val="1"/>
                <w:color w:val="FFFFFF"/>
                <w:w w:val="98"/>
              </w:rPr>
              <w:t>Sickness</w:t>
            </w:r>
          </w:p>
        </w:tc>
        <w:tc>
          <w:tcPr>
            <w:tcW w:w="14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280"/>
              <w:spacing w:after="0" w:line="139" w:lineRule="exact"/>
              <w:rPr>
                <w:sz w:val="20"/>
                <w:szCs w:val="20"/>
                <w:color w:val="auto"/>
              </w:rPr>
            </w:pPr>
            <w:r>
              <w:rPr>
                <w:rFonts w:ascii="Arial" w:cs="Arial" w:eastAsia="Arial" w:hAnsi="Arial"/>
                <w:sz w:val="14"/>
                <w:szCs w:val="14"/>
                <w:b w:val="1"/>
                <w:bCs w:val="1"/>
                <w:color w:val="FFFFFF"/>
                <w:w w:val="98"/>
              </w:rPr>
              <w:t>Planning</w:t>
            </w:r>
          </w:p>
        </w:tc>
        <w:tc>
          <w:tcPr>
            <w:tcW w:w="140" w:type="dxa"/>
            <w:vAlign w:val="bottom"/>
            <w:shd w:val="clear" w:color="auto" w:fill="0088A6"/>
          </w:tcPr>
          <w:p>
            <w:pPr>
              <w:spacing w:after="0"/>
              <w:rPr>
                <w:sz w:val="12"/>
                <w:szCs w:val="12"/>
                <w:color w:val="auto"/>
              </w:rPr>
            </w:pPr>
          </w:p>
        </w:tc>
        <w:tc>
          <w:tcPr>
            <w:tcW w:w="1020" w:type="dxa"/>
            <w:vAlign w:val="bottom"/>
            <w:tcBorders>
              <w:right w:val="single" w:sz="8" w:color="BFBFBF"/>
            </w:tcBorders>
            <w:gridSpan w:val="3"/>
            <w:shd w:val="clear" w:color="auto" w:fill="0088A6"/>
          </w:tcPr>
          <w:p>
            <w:pPr>
              <w:spacing w:after="0" w:line="139" w:lineRule="exact"/>
              <w:rPr>
                <w:sz w:val="20"/>
                <w:szCs w:val="20"/>
                <w:color w:val="auto"/>
              </w:rPr>
            </w:pPr>
            <w:r>
              <w:rPr>
                <w:rFonts w:ascii="Arial" w:cs="Arial" w:eastAsia="Arial" w:hAnsi="Arial"/>
                <w:sz w:val="14"/>
                <w:szCs w:val="14"/>
                <w:b w:val="1"/>
                <w:bCs w:val="1"/>
                <w:color w:val="FFFFFF"/>
              </w:rPr>
              <w:t>Contribution</w:t>
            </w:r>
          </w:p>
        </w:tc>
        <w:tc>
          <w:tcPr>
            <w:tcW w:w="140" w:type="dxa"/>
            <w:vAlign w:val="bottom"/>
            <w:shd w:val="clear" w:color="auto" w:fill="0088A6"/>
          </w:tcPr>
          <w:p>
            <w:pPr>
              <w:spacing w:after="0"/>
              <w:rPr>
                <w:sz w:val="12"/>
                <w:szCs w:val="12"/>
                <w:color w:val="auto"/>
              </w:rPr>
            </w:pPr>
          </w:p>
        </w:tc>
        <w:tc>
          <w:tcPr>
            <w:tcW w:w="1000" w:type="dxa"/>
            <w:vAlign w:val="bottom"/>
            <w:tcBorders>
              <w:right w:val="single" w:sz="8" w:color="BFBFBF"/>
            </w:tcBorders>
            <w:gridSpan w:val="3"/>
            <w:shd w:val="clear" w:color="auto" w:fill="0088A6"/>
          </w:tcPr>
          <w:p>
            <w:pPr>
              <w:jc w:val="center"/>
              <w:ind w:right="200"/>
              <w:spacing w:after="0" w:line="139" w:lineRule="exact"/>
              <w:rPr>
                <w:sz w:val="20"/>
                <w:szCs w:val="20"/>
                <w:color w:val="auto"/>
              </w:rPr>
            </w:pPr>
            <w:r>
              <w:rPr>
                <w:rFonts w:ascii="Arial" w:cs="Arial" w:eastAsia="Arial" w:hAnsi="Arial"/>
                <w:sz w:val="14"/>
                <w:szCs w:val="14"/>
                <w:b w:val="1"/>
                <w:bCs w:val="1"/>
                <w:color w:val="FFFFFF"/>
                <w:w w:val="95"/>
              </w:rPr>
              <w:t>to the Basic</w:t>
            </w:r>
          </w:p>
        </w:tc>
        <w:tc>
          <w:tcPr>
            <w:tcW w:w="140" w:type="dxa"/>
            <w:vAlign w:val="bottom"/>
            <w:shd w:val="clear" w:color="auto" w:fill="0088A6"/>
          </w:tcPr>
          <w:p>
            <w:pPr>
              <w:spacing w:after="0"/>
              <w:rPr>
                <w:sz w:val="12"/>
                <w:szCs w:val="12"/>
                <w:color w:val="auto"/>
              </w:rPr>
            </w:pPr>
          </w:p>
        </w:tc>
        <w:tc>
          <w:tcPr>
            <w:tcW w:w="1100" w:type="dxa"/>
            <w:vAlign w:val="bottom"/>
            <w:tcBorders>
              <w:right w:val="single" w:sz="8" w:color="BFBFBF"/>
            </w:tcBorders>
            <w:gridSpan w:val="3"/>
            <w:shd w:val="clear" w:color="auto" w:fill="0088A6"/>
          </w:tcPr>
          <w:p>
            <w:pPr>
              <w:spacing w:after="0" w:line="139" w:lineRule="exact"/>
              <w:rPr>
                <w:sz w:val="20"/>
                <w:szCs w:val="20"/>
                <w:color w:val="auto"/>
              </w:rPr>
            </w:pPr>
            <w:r>
              <w:rPr>
                <w:rFonts w:ascii="Arial" w:cs="Arial" w:eastAsia="Arial" w:hAnsi="Arial"/>
                <w:sz w:val="14"/>
                <w:szCs w:val="14"/>
                <w:b w:val="1"/>
                <w:bCs w:val="1"/>
                <w:color w:val="FFFFFF"/>
              </w:rPr>
              <w:t>Supplemental</w:t>
            </w:r>
          </w:p>
        </w:tc>
        <w:tc>
          <w:tcPr>
            <w:tcW w:w="140" w:type="dxa"/>
            <w:vAlign w:val="bottom"/>
            <w:shd w:val="clear" w:color="auto" w:fill="0088A6"/>
          </w:tcPr>
          <w:p>
            <w:pPr>
              <w:spacing w:after="0"/>
              <w:rPr>
                <w:sz w:val="12"/>
                <w:szCs w:val="12"/>
                <w:color w:val="auto"/>
              </w:rPr>
            </w:pPr>
          </w:p>
        </w:tc>
        <w:tc>
          <w:tcPr>
            <w:tcW w:w="760" w:type="dxa"/>
            <w:vAlign w:val="bottom"/>
            <w:tcBorders>
              <w:right w:val="single" w:sz="8" w:color="BFBFBF"/>
            </w:tcBorders>
            <w:gridSpan w:val="2"/>
            <w:shd w:val="clear" w:color="auto" w:fill="0088A6"/>
          </w:tcPr>
          <w:p>
            <w:pPr>
              <w:jc w:val="center"/>
              <w:ind w:right="200"/>
              <w:spacing w:after="0" w:line="139" w:lineRule="exact"/>
              <w:rPr>
                <w:sz w:val="20"/>
                <w:szCs w:val="20"/>
                <w:color w:val="auto"/>
              </w:rPr>
            </w:pPr>
            <w:r>
              <w:rPr>
                <w:rFonts w:ascii="Arial" w:cs="Arial" w:eastAsia="Arial" w:hAnsi="Arial"/>
                <w:sz w:val="14"/>
                <w:szCs w:val="14"/>
                <w:b w:val="1"/>
                <w:bCs w:val="1"/>
                <w:color w:val="FFFFFF"/>
                <w:w w:val="95"/>
              </w:rPr>
              <w:t>Vacation</w:t>
            </w:r>
          </w:p>
        </w:tc>
        <w:tc>
          <w:tcPr>
            <w:tcW w:w="14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040" w:type="dxa"/>
            <w:vAlign w:val="bottom"/>
            <w:tcBorders>
              <w:right w:val="single" w:sz="8" w:color="BFBFBF"/>
            </w:tcBorders>
            <w:gridSpan w:val="2"/>
            <w:shd w:val="clear" w:color="auto" w:fill="0088A6"/>
          </w:tcPr>
          <w:p>
            <w:pPr>
              <w:jc w:val="center"/>
              <w:ind w:right="360"/>
              <w:spacing w:after="0" w:line="139" w:lineRule="exact"/>
              <w:rPr>
                <w:sz w:val="20"/>
                <w:szCs w:val="20"/>
                <w:color w:val="auto"/>
              </w:rPr>
            </w:pPr>
            <w:r>
              <w:rPr>
                <w:rFonts w:ascii="Arial" w:cs="Arial" w:eastAsia="Arial" w:hAnsi="Arial"/>
                <w:sz w:val="14"/>
                <w:szCs w:val="14"/>
                <w:b w:val="1"/>
                <w:bCs w:val="1"/>
                <w:color w:val="FFFFFF"/>
                <w:w w:val="96"/>
              </w:rPr>
              <w:t>Other</w:t>
            </w:r>
          </w:p>
        </w:tc>
        <w:tc>
          <w:tcPr>
            <w:tcW w:w="0" w:type="dxa"/>
            <w:vAlign w:val="bottom"/>
          </w:tcPr>
          <w:p>
            <w:pPr>
              <w:spacing w:after="0"/>
              <w:rPr>
                <w:sz w:val="1"/>
                <w:szCs w:val="1"/>
                <w:color w:val="auto"/>
              </w:rPr>
            </w:pPr>
          </w:p>
        </w:tc>
      </w:tr>
      <w:tr>
        <w:trPr>
          <w:trHeight w:val="149"/>
        </w:trPr>
        <w:tc>
          <w:tcPr>
            <w:tcW w:w="2400" w:type="dxa"/>
            <w:vAlign w:val="bottom"/>
            <w:tcBorders>
              <w:left w:val="single" w:sz="8" w:color="BFBFBF"/>
              <w:right w:val="single" w:sz="8" w:color="BFBFBF"/>
            </w:tcBorders>
            <w:shd w:val="clear" w:color="auto" w:fill="0088A6"/>
          </w:tcPr>
          <w:p>
            <w:pPr>
              <w:jc w:val="center"/>
              <w:ind w:left="52"/>
              <w:spacing w:after="0" w:line="149" w:lineRule="exact"/>
              <w:rPr>
                <w:sz w:val="20"/>
                <w:szCs w:val="20"/>
                <w:color w:val="auto"/>
              </w:rPr>
            </w:pPr>
            <w:r>
              <w:rPr>
                <w:rFonts w:ascii="Arial" w:cs="Arial" w:eastAsia="Arial" w:hAnsi="Arial"/>
                <w:sz w:val="14"/>
                <w:szCs w:val="14"/>
                <w:b w:val="1"/>
                <w:bCs w:val="1"/>
                <w:color w:val="FFFFFF"/>
                <w:w w:val="94"/>
              </w:rPr>
              <w:t>Principal</w:t>
            </w:r>
          </w:p>
        </w:tc>
        <w:tc>
          <w:tcPr>
            <w:tcW w:w="14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00" w:type="dxa"/>
            <w:vAlign w:val="bottom"/>
            <w:tcBorders>
              <w:right w:val="single" w:sz="8" w:color="BFBFBF"/>
            </w:tcBorders>
            <w:gridSpan w:val="2"/>
            <w:shd w:val="clear" w:color="auto" w:fill="0088A6"/>
          </w:tcPr>
          <w:p>
            <w:pPr>
              <w:jc w:val="center"/>
              <w:ind w:right="280"/>
              <w:spacing w:after="0" w:line="149" w:lineRule="exact"/>
              <w:rPr>
                <w:sz w:val="20"/>
                <w:szCs w:val="20"/>
                <w:color w:val="auto"/>
              </w:rPr>
            </w:pPr>
            <w:r>
              <w:rPr>
                <w:rFonts w:ascii="Arial" w:cs="Arial" w:eastAsia="Arial" w:hAnsi="Arial"/>
                <w:sz w:val="14"/>
                <w:szCs w:val="14"/>
                <w:b w:val="1"/>
                <w:bCs w:val="1"/>
                <w:color w:val="FFFFFF"/>
                <w:w w:val="94"/>
              </w:rPr>
              <w:t>Car</w:t>
            </w:r>
          </w:p>
        </w:tc>
        <w:tc>
          <w:tcPr>
            <w:tcW w:w="140" w:type="dxa"/>
            <w:vAlign w:val="bottom"/>
            <w:shd w:val="clear" w:color="auto" w:fill="0088A6"/>
          </w:tcPr>
          <w:p>
            <w:pPr>
              <w:spacing w:after="0"/>
              <w:rPr>
                <w:sz w:val="12"/>
                <w:szCs w:val="12"/>
                <w:color w:val="auto"/>
              </w:rPr>
            </w:pPr>
          </w:p>
        </w:tc>
        <w:tc>
          <w:tcPr>
            <w:tcW w:w="840" w:type="dxa"/>
            <w:vAlign w:val="bottom"/>
            <w:tcBorders>
              <w:right w:val="single" w:sz="8" w:color="BFBFBF"/>
            </w:tcBorders>
            <w:gridSpan w:val="3"/>
            <w:shd w:val="clear" w:color="auto" w:fill="0088A6"/>
          </w:tcPr>
          <w:p>
            <w:pPr>
              <w:spacing w:after="0" w:line="149" w:lineRule="exact"/>
              <w:rPr>
                <w:sz w:val="20"/>
                <w:szCs w:val="20"/>
                <w:color w:val="auto"/>
              </w:rPr>
            </w:pPr>
            <w:r>
              <w:rPr>
                <w:rFonts w:ascii="Arial" w:cs="Arial" w:eastAsia="Arial" w:hAnsi="Arial"/>
                <w:sz w:val="14"/>
                <w:szCs w:val="14"/>
                <w:b w:val="1"/>
                <w:bCs w:val="1"/>
                <w:color w:val="FFFFFF"/>
              </w:rPr>
              <w:t>Insurance</w:t>
            </w:r>
          </w:p>
        </w:tc>
        <w:tc>
          <w:tcPr>
            <w:tcW w:w="14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300"/>
              <w:spacing w:after="0" w:line="149" w:lineRule="exact"/>
              <w:rPr>
                <w:sz w:val="20"/>
                <w:szCs w:val="20"/>
                <w:color w:val="auto"/>
              </w:rPr>
            </w:pPr>
            <w:r>
              <w:rPr>
                <w:rFonts w:ascii="Arial" w:cs="Arial" w:eastAsia="Arial" w:hAnsi="Arial"/>
                <w:sz w:val="14"/>
                <w:szCs w:val="14"/>
                <w:b w:val="1"/>
                <w:bCs w:val="1"/>
                <w:color w:val="FFFFFF"/>
                <w:w w:val="97"/>
              </w:rPr>
              <w:t>Services</w:t>
            </w:r>
          </w:p>
        </w:tc>
        <w:tc>
          <w:tcPr>
            <w:tcW w:w="14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tcBorders>
              <w:right w:val="single" w:sz="8" w:color="BFBFBF"/>
            </w:tcBorders>
            <w:gridSpan w:val="2"/>
            <w:shd w:val="clear" w:color="auto" w:fill="0088A6"/>
          </w:tcPr>
          <w:p>
            <w:pPr>
              <w:jc w:val="center"/>
              <w:ind w:right="300"/>
              <w:spacing w:after="0" w:line="149" w:lineRule="exact"/>
              <w:rPr>
                <w:sz w:val="20"/>
                <w:szCs w:val="20"/>
                <w:color w:val="auto"/>
              </w:rPr>
            </w:pPr>
            <w:r>
              <w:rPr>
                <w:rFonts w:ascii="Arial" w:cs="Arial" w:eastAsia="Arial" w:hAnsi="Arial"/>
                <w:sz w:val="14"/>
                <w:szCs w:val="14"/>
                <w:b w:val="1"/>
                <w:bCs w:val="1"/>
                <w:color w:val="FFFFFF"/>
                <w:w w:val="96"/>
              </w:rPr>
              <w:t>Plans</w:t>
            </w: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840" w:type="dxa"/>
            <w:vAlign w:val="bottom"/>
            <w:tcBorders>
              <w:right w:val="single" w:sz="8" w:color="BFBFBF"/>
            </w:tcBorders>
            <w:gridSpan w:val="2"/>
            <w:shd w:val="clear" w:color="auto" w:fill="0088A6"/>
          </w:tcPr>
          <w:p>
            <w:pPr>
              <w:jc w:val="center"/>
              <w:ind w:right="360"/>
              <w:spacing w:after="0" w:line="149" w:lineRule="exact"/>
              <w:rPr>
                <w:sz w:val="20"/>
                <w:szCs w:val="20"/>
                <w:color w:val="auto"/>
              </w:rPr>
            </w:pPr>
            <w:r>
              <w:rPr>
                <w:rFonts w:ascii="Arial" w:cs="Arial" w:eastAsia="Arial" w:hAnsi="Arial"/>
                <w:sz w:val="14"/>
                <w:szCs w:val="14"/>
                <w:b w:val="1"/>
                <w:bCs w:val="1"/>
                <w:color w:val="FFFFFF"/>
                <w:w w:val="94"/>
              </w:rPr>
              <w:t>ERC</w:t>
            </w:r>
          </w:p>
        </w:tc>
        <w:tc>
          <w:tcPr>
            <w:tcW w:w="140" w:type="dxa"/>
            <w:vAlign w:val="bottom"/>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920" w:type="dxa"/>
            <w:vAlign w:val="bottom"/>
            <w:tcBorders>
              <w:right w:val="single" w:sz="8" w:color="BFBFBF"/>
            </w:tcBorders>
            <w:gridSpan w:val="2"/>
            <w:shd w:val="clear" w:color="auto" w:fill="0088A6"/>
          </w:tcPr>
          <w:p>
            <w:pPr>
              <w:jc w:val="center"/>
              <w:ind w:right="380"/>
              <w:spacing w:after="0" w:line="149" w:lineRule="exact"/>
              <w:rPr>
                <w:sz w:val="20"/>
                <w:szCs w:val="20"/>
                <w:color w:val="auto"/>
              </w:rPr>
            </w:pPr>
            <w:r>
              <w:rPr>
                <w:rFonts w:ascii="Arial" w:cs="Arial" w:eastAsia="Arial" w:hAnsi="Arial"/>
                <w:sz w:val="14"/>
                <w:szCs w:val="14"/>
                <w:b w:val="1"/>
                <w:bCs w:val="1"/>
                <w:color w:val="FFFFFF"/>
              </w:rPr>
              <w:t>ERC</w:t>
            </w:r>
          </w:p>
        </w:tc>
        <w:tc>
          <w:tcPr>
            <w:tcW w:w="140" w:type="dxa"/>
            <w:vAlign w:val="bottom"/>
            <w:shd w:val="clear" w:color="auto" w:fill="0088A6"/>
          </w:tcPr>
          <w:p>
            <w:pPr>
              <w:spacing w:after="0"/>
              <w:rPr>
                <w:sz w:val="12"/>
                <w:szCs w:val="12"/>
                <w:color w:val="auto"/>
              </w:rPr>
            </w:pPr>
          </w:p>
        </w:tc>
        <w:tc>
          <w:tcPr>
            <w:tcW w:w="760" w:type="dxa"/>
            <w:vAlign w:val="bottom"/>
            <w:tcBorders>
              <w:right w:val="single" w:sz="8" w:color="BFBFBF"/>
            </w:tcBorders>
            <w:gridSpan w:val="2"/>
            <w:shd w:val="clear" w:color="auto" w:fill="0088A6"/>
          </w:tcPr>
          <w:p>
            <w:pPr>
              <w:jc w:val="center"/>
              <w:ind w:right="200"/>
              <w:spacing w:after="0" w:line="149" w:lineRule="exact"/>
              <w:rPr>
                <w:sz w:val="20"/>
                <w:szCs w:val="20"/>
                <w:color w:val="auto"/>
              </w:rPr>
            </w:pPr>
            <w:r>
              <w:rPr>
                <w:rFonts w:ascii="Arial" w:cs="Arial" w:eastAsia="Arial" w:hAnsi="Arial"/>
                <w:sz w:val="14"/>
                <w:szCs w:val="14"/>
                <w:b w:val="1"/>
                <w:bCs w:val="1"/>
                <w:color w:val="FFFFFF"/>
                <w:w w:val="96"/>
              </w:rPr>
              <w:t>Pay</w:t>
            </w:r>
          </w:p>
        </w:tc>
        <w:tc>
          <w:tcPr>
            <w:tcW w:w="140" w:type="dxa"/>
            <w:vAlign w:val="bottom"/>
            <w:shd w:val="clear" w:color="auto" w:fill="0088A6"/>
          </w:tcPr>
          <w:p>
            <w:pPr>
              <w:spacing w:after="0"/>
              <w:rPr>
                <w:sz w:val="12"/>
                <w:szCs w:val="12"/>
                <w:color w:val="auto"/>
              </w:rPr>
            </w:pPr>
          </w:p>
        </w:tc>
        <w:tc>
          <w:tcPr>
            <w:tcW w:w="1180" w:type="dxa"/>
            <w:vAlign w:val="bottom"/>
            <w:tcBorders>
              <w:right w:val="single" w:sz="8" w:color="BFBFBF"/>
            </w:tcBorders>
            <w:gridSpan w:val="3"/>
            <w:shd w:val="clear" w:color="auto" w:fill="0088A6"/>
          </w:tcPr>
          <w:p>
            <w:pPr>
              <w:spacing w:after="0" w:line="149" w:lineRule="exact"/>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216"/>
        </w:trPr>
        <w:tc>
          <w:tcPr>
            <w:tcW w:w="2400" w:type="dxa"/>
            <w:vAlign w:val="bottom"/>
            <w:tcBorders>
              <w:left w:val="single" w:sz="8" w:color="BFBFBF"/>
              <w:bottom w:val="single" w:sz="8" w:color="auto"/>
              <w:right w:val="single" w:sz="8" w:color="BFBFBF"/>
            </w:tcBorders>
            <w:shd w:val="clear" w:color="auto" w:fill="0088A6"/>
          </w:tcPr>
          <w:p>
            <w:pPr>
              <w:jc w:val="center"/>
              <w:ind w:left="52"/>
              <w:spacing w:after="0"/>
              <w:rPr>
                <w:sz w:val="20"/>
                <w:szCs w:val="20"/>
                <w:color w:val="auto"/>
              </w:rPr>
            </w:pPr>
            <w:r>
              <w:rPr>
                <w:rFonts w:ascii="Arial" w:cs="Arial" w:eastAsia="Arial" w:hAnsi="Arial"/>
                <w:sz w:val="14"/>
                <w:szCs w:val="14"/>
                <w:b w:val="1"/>
                <w:bCs w:val="1"/>
                <w:color w:val="FFFFFF"/>
                <w:w w:val="94"/>
              </w:rPr>
              <w:t>Position</w:t>
            </w:r>
          </w:p>
        </w:tc>
        <w:tc>
          <w:tcPr>
            <w:tcW w:w="140" w:type="dxa"/>
            <w:vAlign w:val="bottom"/>
            <w:tcBorders>
              <w:bottom w:val="single" w:sz="8" w:color="0088A6"/>
            </w:tcBorders>
            <w:shd w:val="clear" w:color="auto" w:fill="0088A6"/>
          </w:tcPr>
          <w:p>
            <w:pPr>
              <w:spacing w:after="0"/>
              <w:rPr>
                <w:sz w:val="18"/>
                <w:szCs w:val="18"/>
                <w:color w:val="auto"/>
              </w:rPr>
            </w:pPr>
          </w:p>
        </w:tc>
        <w:tc>
          <w:tcPr>
            <w:tcW w:w="80" w:type="dxa"/>
            <w:vAlign w:val="bottom"/>
            <w:tcBorders>
              <w:bottom w:val="single" w:sz="8" w:color="auto"/>
            </w:tcBorders>
            <w:shd w:val="clear" w:color="auto" w:fill="0088A6"/>
          </w:tcPr>
          <w:p>
            <w:pPr>
              <w:spacing w:after="0"/>
              <w:rPr>
                <w:sz w:val="18"/>
                <w:szCs w:val="18"/>
                <w:color w:val="auto"/>
              </w:rPr>
            </w:pPr>
          </w:p>
        </w:tc>
        <w:tc>
          <w:tcPr>
            <w:tcW w:w="700" w:type="dxa"/>
            <w:vAlign w:val="bottom"/>
            <w:tcBorders>
              <w:bottom w:val="single" w:sz="8" w:color="auto"/>
            </w:tcBorders>
            <w:shd w:val="clear" w:color="auto" w:fill="0088A6"/>
          </w:tcPr>
          <w:p>
            <w:pPr>
              <w:jc w:val="center"/>
              <w:ind w:right="12"/>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0088A6"/>
              <w:right w:val="single" w:sz="8" w:color="BFBFBF"/>
            </w:tcBorders>
            <w:shd w:val="clear" w:color="auto" w:fill="0088A6"/>
          </w:tcPr>
          <w:p>
            <w:pPr>
              <w:spacing w:after="0"/>
              <w:rPr>
                <w:sz w:val="18"/>
                <w:szCs w:val="18"/>
                <w:color w:val="auto"/>
              </w:rPr>
            </w:pPr>
          </w:p>
        </w:tc>
        <w:tc>
          <w:tcPr>
            <w:tcW w:w="140" w:type="dxa"/>
            <w:vAlign w:val="bottom"/>
            <w:tcBorders>
              <w:bottom w:val="single" w:sz="8" w:color="0088A6"/>
            </w:tcBorders>
            <w:shd w:val="clear" w:color="auto" w:fill="0088A6"/>
          </w:tcPr>
          <w:p>
            <w:pPr>
              <w:spacing w:after="0"/>
              <w:rPr>
                <w:sz w:val="18"/>
                <w:szCs w:val="18"/>
                <w:color w:val="auto"/>
              </w:rPr>
            </w:pPr>
          </w:p>
        </w:tc>
        <w:tc>
          <w:tcPr>
            <w:tcW w:w="80" w:type="dxa"/>
            <w:vAlign w:val="bottom"/>
            <w:tcBorders>
              <w:bottom w:val="single" w:sz="8" w:color="auto"/>
            </w:tcBorders>
            <w:shd w:val="clear" w:color="auto" w:fill="0088A6"/>
          </w:tcPr>
          <w:p>
            <w:pPr>
              <w:spacing w:after="0"/>
              <w:rPr>
                <w:sz w:val="18"/>
                <w:szCs w:val="18"/>
                <w:color w:val="auto"/>
              </w:rPr>
            </w:pPr>
          </w:p>
        </w:tc>
        <w:tc>
          <w:tcPr>
            <w:tcW w:w="560" w:type="dxa"/>
            <w:vAlign w:val="bottom"/>
            <w:tcBorders>
              <w:bottom w:val="single" w:sz="8" w:color="auto"/>
            </w:tcBorders>
            <w:shd w:val="clear" w:color="auto" w:fill="0088A6"/>
          </w:tcPr>
          <w:p>
            <w:pPr>
              <w:jc w:val="center"/>
              <w:ind w:right="12"/>
              <w:spacing w:after="0"/>
              <w:rPr>
                <w:sz w:val="20"/>
                <w:szCs w:val="20"/>
                <w:color w:val="auto"/>
              </w:rPr>
            </w:pPr>
            <w:r>
              <w:rPr>
                <w:rFonts w:ascii="Arial" w:cs="Arial" w:eastAsia="Arial" w:hAnsi="Arial"/>
                <w:sz w:val="14"/>
                <w:szCs w:val="14"/>
                <w:b w:val="1"/>
                <w:bCs w:val="1"/>
                <w:color w:val="FFFFFF"/>
                <w:w w:val="93"/>
              </w:rPr>
              <w:t>($)</w:t>
            </w:r>
          </w:p>
        </w:tc>
        <w:tc>
          <w:tcPr>
            <w:tcW w:w="200" w:type="dxa"/>
            <w:vAlign w:val="bottom"/>
            <w:tcBorders>
              <w:bottom w:val="single" w:sz="8" w:color="0088A6"/>
              <w:right w:val="single" w:sz="8" w:color="BFBFBF"/>
            </w:tcBorders>
            <w:shd w:val="clear" w:color="auto" w:fill="0088A6"/>
          </w:tcPr>
          <w:p>
            <w:pPr>
              <w:spacing w:after="0"/>
              <w:rPr>
                <w:sz w:val="18"/>
                <w:szCs w:val="18"/>
                <w:color w:val="auto"/>
              </w:rPr>
            </w:pPr>
          </w:p>
        </w:tc>
        <w:tc>
          <w:tcPr>
            <w:tcW w:w="140" w:type="dxa"/>
            <w:vAlign w:val="bottom"/>
            <w:tcBorders>
              <w:bottom w:val="single" w:sz="8" w:color="0088A6"/>
            </w:tcBorders>
            <w:shd w:val="clear" w:color="auto" w:fill="0088A6"/>
          </w:tcPr>
          <w:p>
            <w:pPr>
              <w:spacing w:after="0"/>
              <w:rPr>
                <w:sz w:val="18"/>
                <w:szCs w:val="18"/>
                <w:color w:val="auto"/>
              </w:rPr>
            </w:pPr>
          </w:p>
        </w:tc>
        <w:tc>
          <w:tcPr>
            <w:tcW w:w="100" w:type="dxa"/>
            <w:vAlign w:val="bottom"/>
            <w:tcBorders>
              <w:bottom w:val="single" w:sz="8" w:color="auto"/>
            </w:tcBorders>
            <w:shd w:val="clear" w:color="auto" w:fill="0088A6"/>
          </w:tcPr>
          <w:p>
            <w:pPr>
              <w:spacing w:after="0"/>
              <w:rPr>
                <w:sz w:val="18"/>
                <w:szCs w:val="18"/>
                <w:color w:val="auto"/>
              </w:rPr>
            </w:pPr>
          </w:p>
        </w:tc>
        <w:tc>
          <w:tcPr>
            <w:tcW w:w="760" w:type="dxa"/>
            <w:vAlign w:val="bottom"/>
            <w:tcBorders>
              <w:bottom w:val="single" w:sz="8" w:color="auto"/>
            </w:tcBorders>
            <w:shd w:val="clear" w:color="auto" w:fill="0088A6"/>
          </w:tcPr>
          <w:p>
            <w:pPr>
              <w:jc w:val="center"/>
              <w:ind w:right="52"/>
              <w:spacing w:after="0"/>
              <w:rPr>
                <w:sz w:val="20"/>
                <w:szCs w:val="20"/>
                <w:color w:val="auto"/>
              </w:rPr>
            </w:pPr>
            <w:r>
              <w:rPr>
                <w:rFonts w:ascii="Arial" w:cs="Arial" w:eastAsia="Arial" w:hAnsi="Arial"/>
                <w:sz w:val="14"/>
                <w:szCs w:val="14"/>
                <w:b w:val="1"/>
                <w:bCs w:val="1"/>
                <w:color w:val="FFFFFF"/>
                <w:w w:val="93"/>
              </w:rPr>
              <w:t>($)</w:t>
            </w:r>
          </w:p>
        </w:tc>
        <w:tc>
          <w:tcPr>
            <w:tcW w:w="180" w:type="dxa"/>
            <w:vAlign w:val="bottom"/>
            <w:tcBorders>
              <w:bottom w:val="single" w:sz="8" w:color="0088A6"/>
              <w:right w:val="single" w:sz="8" w:color="BFBFBF"/>
            </w:tcBorders>
            <w:shd w:val="clear" w:color="auto" w:fill="0088A6"/>
          </w:tcPr>
          <w:p>
            <w:pPr>
              <w:spacing w:after="0"/>
              <w:rPr>
                <w:sz w:val="18"/>
                <w:szCs w:val="18"/>
                <w:color w:val="auto"/>
              </w:rPr>
            </w:pPr>
          </w:p>
        </w:tc>
        <w:tc>
          <w:tcPr>
            <w:tcW w:w="140" w:type="dxa"/>
            <w:vAlign w:val="bottom"/>
            <w:tcBorders>
              <w:bottom w:val="single" w:sz="8" w:color="0088A6"/>
            </w:tcBorders>
            <w:shd w:val="clear" w:color="auto" w:fill="0088A6"/>
          </w:tcPr>
          <w:p>
            <w:pPr>
              <w:spacing w:after="0"/>
              <w:rPr>
                <w:sz w:val="18"/>
                <w:szCs w:val="18"/>
                <w:color w:val="auto"/>
              </w:rPr>
            </w:pPr>
          </w:p>
        </w:tc>
        <w:tc>
          <w:tcPr>
            <w:tcW w:w="120" w:type="dxa"/>
            <w:vAlign w:val="bottom"/>
            <w:tcBorders>
              <w:bottom w:val="single" w:sz="8" w:color="auto"/>
            </w:tcBorders>
            <w:shd w:val="clear" w:color="auto" w:fill="0088A6"/>
          </w:tcPr>
          <w:p>
            <w:pPr>
              <w:spacing w:after="0"/>
              <w:rPr>
                <w:sz w:val="18"/>
                <w:szCs w:val="18"/>
                <w:color w:val="auto"/>
              </w:rPr>
            </w:pPr>
          </w:p>
        </w:tc>
        <w:tc>
          <w:tcPr>
            <w:tcW w:w="700" w:type="dxa"/>
            <w:vAlign w:val="bottom"/>
            <w:tcBorders>
              <w:bottom w:val="single" w:sz="8" w:color="auto"/>
            </w:tcBorders>
            <w:shd w:val="clear" w:color="auto" w:fill="0088A6"/>
          </w:tcPr>
          <w:p>
            <w:pPr>
              <w:jc w:val="center"/>
              <w:ind w:right="32"/>
              <w:spacing w:after="0"/>
              <w:rPr>
                <w:sz w:val="20"/>
                <w:szCs w:val="20"/>
                <w:color w:val="auto"/>
              </w:rPr>
            </w:pPr>
            <w:r>
              <w:rPr>
                <w:rFonts w:ascii="Arial" w:cs="Arial" w:eastAsia="Arial" w:hAnsi="Arial"/>
                <w:sz w:val="14"/>
                <w:szCs w:val="14"/>
                <w:b w:val="1"/>
                <w:bCs w:val="1"/>
                <w:color w:val="FFFFFF"/>
                <w:w w:val="93"/>
              </w:rPr>
              <w:t>($)</w:t>
            </w:r>
          </w:p>
        </w:tc>
        <w:tc>
          <w:tcPr>
            <w:tcW w:w="200" w:type="dxa"/>
            <w:vAlign w:val="bottom"/>
            <w:tcBorders>
              <w:bottom w:val="single" w:sz="8" w:color="0088A6"/>
              <w:right w:val="single" w:sz="8" w:color="BFBFBF"/>
            </w:tcBorders>
            <w:shd w:val="clear" w:color="auto" w:fill="0088A6"/>
          </w:tcPr>
          <w:p>
            <w:pPr>
              <w:spacing w:after="0"/>
              <w:rPr>
                <w:sz w:val="18"/>
                <w:szCs w:val="18"/>
                <w:color w:val="auto"/>
              </w:rPr>
            </w:pPr>
          </w:p>
        </w:tc>
        <w:tc>
          <w:tcPr>
            <w:tcW w:w="140" w:type="dxa"/>
            <w:vAlign w:val="bottom"/>
            <w:tcBorders>
              <w:bottom w:val="single" w:sz="8" w:color="0088A6"/>
            </w:tcBorders>
            <w:shd w:val="clear" w:color="auto" w:fill="0088A6"/>
          </w:tcPr>
          <w:p>
            <w:pPr>
              <w:spacing w:after="0"/>
              <w:rPr>
                <w:sz w:val="18"/>
                <w:szCs w:val="18"/>
                <w:color w:val="auto"/>
              </w:rPr>
            </w:pPr>
          </w:p>
        </w:tc>
        <w:tc>
          <w:tcPr>
            <w:tcW w:w="160" w:type="dxa"/>
            <w:vAlign w:val="bottom"/>
            <w:tcBorders>
              <w:bottom w:val="single" w:sz="8" w:color="auto"/>
            </w:tcBorders>
            <w:shd w:val="clear" w:color="auto" w:fill="0088A6"/>
          </w:tcPr>
          <w:p>
            <w:pPr>
              <w:spacing w:after="0"/>
              <w:rPr>
                <w:sz w:val="18"/>
                <w:szCs w:val="18"/>
                <w:color w:val="auto"/>
              </w:rPr>
            </w:pPr>
          </w:p>
        </w:tc>
        <w:tc>
          <w:tcPr>
            <w:tcW w:w="640" w:type="dxa"/>
            <w:vAlign w:val="bottom"/>
            <w:tcBorders>
              <w:bottom w:val="single" w:sz="8" w:color="auto"/>
            </w:tcBorders>
            <w:shd w:val="clear" w:color="auto" w:fill="0088A6"/>
          </w:tcPr>
          <w:p>
            <w:pPr>
              <w:jc w:val="center"/>
              <w:ind w:right="92"/>
              <w:spacing w:after="0"/>
              <w:rPr>
                <w:sz w:val="20"/>
                <w:szCs w:val="20"/>
                <w:color w:val="auto"/>
              </w:rPr>
            </w:pPr>
            <w:r>
              <w:rPr>
                <w:rFonts w:ascii="Arial" w:cs="Arial" w:eastAsia="Arial" w:hAnsi="Arial"/>
                <w:sz w:val="14"/>
                <w:szCs w:val="14"/>
                <w:b w:val="1"/>
                <w:bCs w:val="1"/>
                <w:color w:val="FFFFFF"/>
                <w:w w:val="93"/>
              </w:rPr>
              <w:t>($)</w:t>
            </w:r>
          </w:p>
        </w:tc>
        <w:tc>
          <w:tcPr>
            <w:tcW w:w="200" w:type="dxa"/>
            <w:vAlign w:val="bottom"/>
            <w:tcBorders>
              <w:bottom w:val="single" w:sz="8" w:color="0088A6"/>
              <w:right w:val="single" w:sz="8" w:color="BFBFBF"/>
            </w:tcBorders>
            <w:shd w:val="clear" w:color="auto" w:fill="0088A6"/>
          </w:tcPr>
          <w:p>
            <w:pPr>
              <w:spacing w:after="0"/>
              <w:rPr>
                <w:sz w:val="18"/>
                <w:szCs w:val="18"/>
                <w:color w:val="auto"/>
              </w:rPr>
            </w:pPr>
          </w:p>
        </w:tc>
        <w:tc>
          <w:tcPr>
            <w:tcW w:w="140" w:type="dxa"/>
            <w:vAlign w:val="bottom"/>
            <w:tcBorders>
              <w:bottom w:val="single" w:sz="8" w:color="0088A6"/>
            </w:tcBorders>
            <w:shd w:val="clear" w:color="auto" w:fill="0088A6"/>
          </w:tcPr>
          <w:p>
            <w:pPr>
              <w:spacing w:after="0"/>
              <w:rPr>
                <w:sz w:val="18"/>
                <w:szCs w:val="18"/>
                <w:color w:val="auto"/>
              </w:rPr>
            </w:pPr>
          </w:p>
        </w:tc>
        <w:tc>
          <w:tcPr>
            <w:tcW w:w="180" w:type="dxa"/>
            <w:vAlign w:val="bottom"/>
            <w:tcBorders>
              <w:bottom w:val="single" w:sz="8" w:color="auto"/>
            </w:tcBorders>
            <w:shd w:val="clear" w:color="auto" w:fill="0088A6"/>
          </w:tcPr>
          <w:p>
            <w:pPr>
              <w:spacing w:after="0"/>
              <w:rPr>
                <w:sz w:val="18"/>
                <w:szCs w:val="18"/>
                <w:color w:val="auto"/>
              </w:rPr>
            </w:pPr>
          </w:p>
        </w:tc>
        <w:tc>
          <w:tcPr>
            <w:tcW w:w="720" w:type="dxa"/>
            <w:vAlign w:val="bottom"/>
            <w:tcBorders>
              <w:bottom w:val="single" w:sz="8" w:color="auto"/>
            </w:tcBorders>
            <w:shd w:val="clear" w:color="auto" w:fill="0088A6"/>
          </w:tcPr>
          <w:p>
            <w:pPr>
              <w:jc w:val="center"/>
              <w:ind w:right="112"/>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0088A6"/>
              <w:right w:val="single" w:sz="8" w:color="BFBFBF"/>
            </w:tcBorders>
            <w:shd w:val="clear" w:color="auto" w:fill="0088A6"/>
          </w:tcPr>
          <w:p>
            <w:pPr>
              <w:spacing w:after="0"/>
              <w:rPr>
                <w:sz w:val="18"/>
                <w:szCs w:val="18"/>
                <w:color w:val="auto"/>
              </w:rPr>
            </w:pPr>
          </w:p>
        </w:tc>
        <w:tc>
          <w:tcPr>
            <w:tcW w:w="140" w:type="dxa"/>
            <w:vAlign w:val="bottom"/>
            <w:tcBorders>
              <w:bottom w:val="single" w:sz="8" w:color="0088A6"/>
            </w:tcBorders>
            <w:shd w:val="clear" w:color="auto" w:fill="0088A6"/>
          </w:tcPr>
          <w:p>
            <w:pPr>
              <w:spacing w:after="0"/>
              <w:rPr>
                <w:sz w:val="18"/>
                <w:szCs w:val="18"/>
                <w:color w:val="auto"/>
              </w:rPr>
            </w:pPr>
          </w:p>
        </w:tc>
        <w:tc>
          <w:tcPr>
            <w:tcW w:w="56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3"/>
              </w:rPr>
              <w:t>($)</w:t>
            </w:r>
          </w:p>
        </w:tc>
        <w:tc>
          <w:tcPr>
            <w:tcW w:w="200" w:type="dxa"/>
            <w:vAlign w:val="bottom"/>
            <w:tcBorders>
              <w:bottom w:val="single" w:sz="8" w:color="0088A6"/>
              <w:right w:val="single" w:sz="8" w:color="BFBFBF"/>
            </w:tcBorders>
            <w:shd w:val="clear" w:color="auto" w:fill="0088A6"/>
          </w:tcPr>
          <w:p>
            <w:pPr>
              <w:spacing w:after="0"/>
              <w:rPr>
                <w:sz w:val="18"/>
                <w:szCs w:val="18"/>
                <w:color w:val="auto"/>
              </w:rPr>
            </w:pPr>
          </w:p>
        </w:tc>
        <w:tc>
          <w:tcPr>
            <w:tcW w:w="140" w:type="dxa"/>
            <w:vAlign w:val="bottom"/>
            <w:tcBorders>
              <w:bottom w:val="single" w:sz="8" w:color="0088A6"/>
            </w:tcBorders>
            <w:shd w:val="clear" w:color="auto" w:fill="0088A6"/>
          </w:tcPr>
          <w:p>
            <w:pPr>
              <w:spacing w:after="0"/>
              <w:rPr>
                <w:sz w:val="18"/>
                <w:szCs w:val="18"/>
                <w:color w:val="auto"/>
              </w:rPr>
            </w:pPr>
          </w:p>
        </w:tc>
        <w:tc>
          <w:tcPr>
            <w:tcW w:w="140" w:type="dxa"/>
            <w:vAlign w:val="bottom"/>
            <w:tcBorders>
              <w:bottom w:val="single" w:sz="8" w:color="auto"/>
            </w:tcBorders>
            <w:shd w:val="clear" w:color="auto" w:fill="0088A6"/>
          </w:tcPr>
          <w:p>
            <w:pPr>
              <w:spacing w:after="0"/>
              <w:rPr>
                <w:sz w:val="18"/>
                <w:szCs w:val="18"/>
                <w:color w:val="auto"/>
              </w:rPr>
            </w:pPr>
          </w:p>
        </w:tc>
        <w:tc>
          <w:tcPr>
            <w:tcW w:w="800" w:type="dxa"/>
            <w:vAlign w:val="bottom"/>
            <w:tcBorders>
              <w:bottom w:val="single" w:sz="8" w:color="auto"/>
            </w:tcBorders>
            <w:shd w:val="clear" w:color="auto" w:fill="0088A6"/>
          </w:tcPr>
          <w:p>
            <w:pPr>
              <w:jc w:val="center"/>
              <w:ind w:right="72"/>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0088A6"/>
              <w:right w:val="single" w:sz="8" w:color="BFBFBF"/>
            </w:tcBorders>
            <w:shd w:val="clear" w:color="auto" w:fill="0088A6"/>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400" w:type="dxa"/>
            <w:vAlign w:val="bottom"/>
            <w:tcBorders>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Robert Greifeld</w:t>
            </w:r>
          </w:p>
        </w:tc>
        <w:tc>
          <w:tcPr>
            <w:tcW w:w="220" w:type="dxa"/>
            <w:vAlign w:val="bottom"/>
            <w:tcBorders>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27,742</w:t>
            </w:r>
          </w:p>
        </w:tc>
        <w:tc>
          <w:tcPr>
            <w:tcW w:w="200" w:type="dxa"/>
            <w:vAlign w:val="bottom"/>
            <w:tcBorders>
              <w:bottom w:val="single" w:sz="8" w:color="BFBFBF"/>
              <w:right w:val="single" w:sz="8" w:color="BFBFBF"/>
            </w:tcBorders>
          </w:tcPr>
          <w:p>
            <w:pPr>
              <w:spacing w:after="0"/>
              <w:rPr>
                <w:sz w:val="11"/>
                <w:szCs w:val="11"/>
                <w:color w:val="auto"/>
              </w:rPr>
            </w:pPr>
          </w:p>
        </w:tc>
        <w:tc>
          <w:tcPr>
            <w:tcW w:w="140" w:type="dxa"/>
            <w:vAlign w:val="bottom"/>
            <w:tcBorders>
              <w:bottom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7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BFBFBF"/>
            </w:tcBorders>
          </w:tcPr>
          <w:p>
            <w:pPr>
              <w:spacing w:after="0"/>
              <w:rPr>
                <w:sz w:val="11"/>
                <w:szCs w:val="11"/>
                <w:color w:val="auto"/>
              </w:rPr>
            </w:pPr>
          </w:p>
        </w:tc>
        <w:tc>
          <w:tcPr>
            <w:tcW w:w="100" w:type="dxa"/>
            <w:vAlign w:val="bottom"/>
            <w:tcBorders>
              <w:bottom w:val="single" w:sz="8" w:color="BFBFBF"/>
            </w:tcBorders>
          </w:tcPr>
          <w:p>
            <w:pPr>
              <w:spacing w:after="0"/>
              <w:rPr>
                <w:sz w:val="11"/>
                <w:szCs w:val="11"/>
                <w:color w:val="auto"/>
              </w:rPr>
            </w:pPr>
          </w:p>
        </w:tc>
        <w:tc>
          <w:tcPr>
            <w:tcW w:w="940" w:type="dxa"/>
            <w:vAlign w:val="bottom"/>
            <w:tcBorders>
              <w:bottom w:val="single" w:sz="8" w:color="BFBFBF"/>
              <w:right w:val="single" w:sz="8" w:color="BFBFBF"/>
            </w:tcBorders>
            <w:gridSpan w:val="2"/>
          </w:tcPr>
          <w:p>
            <w:pPr>
              <w:jc w:val="right"/>
              <w:ind w:right="180"/>
              <w:spacing w:after="0" w:line="12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10,000</w:t>
            </w:r>
          </w:p>
        </w:tc>
        <w:tc>
          <w:tcPr>
            <w:tcW w:w="30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10,000</w:t>
            </w:r>
          </w:p>
        </w:tc>
        <w:tc>
          <w:tcPr>
            <w:tcW w:w="200" w:type="dxa"/>
            <w:vAlign w:val="bottom"/>
            <w:tcBorders>
              <w:bottom w:val="single" w:sz="8" w:color="BFBFBF"/>
              <w:right w:val="single" w:sz="8" w:color="BFBFBF"/>
            </w:tcBorders>
          </w:tcPr>
          <w:p>
            <w:pPr>
              <w:spacing w:after="0"/>
              <w:rPr>
                <w:sz w:val="11"/>
                <w:szCs w:val="11"/>
                <w:color w:val="auto"/>
              </w:rPr>
            </w:pPr>
          </w:p>
        </w:tc>
        <w:tc>
          <w:tcPr>
            <w:tcW w:w="32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30,000</w:t>
            </w:r>
          </w:p>
        </w:tc>
        <w:tc>
          <w:tcPr>
            <w:tcW w:w="200" w:type="dxa"/>
            <w:vAlign w:val="bottom"/>
            <w:tcBorders>
              <w:bottom w:val="single" w:sz="8" w:color="BFBFBF"/>
              <w:right w:val="single" w:sz="8" w:color="BFBFBF"/>
            </w:tcBorders>
          </w:tcPr>
          <w:p>
            <w:pPr>
              <w:spacing w:after="0"/>
              <w:rPr>
                <w:sz w:val="11"/>
                <w:szCs w:val="11"/>
                <w:color w:val="auto"/>
              </w:rPr>
            </w:pPr>
          </w:p>
        </w:tc>
        <w:tc>
          <w:tcPr>
            <w:tcW w:w="140" w:type="dxa"/>
            <w:vAlign w:val="bottom"/>
            <w:tcBorders>
              <w:bottom w:val="single" w:sz="8" w:color="BFBFBF"/>
            </w:tcBorders>
          </w:tcPr>
          <w:p>
            <w:pPr>
              <w:spacing w:after="0"/>
              <w:rPr>
                <w:sz w:val="11"/>
                <w:szCs w:val="11"/>
                <w:color w:val="auto"/>
              </w:rPr>
            </w:pPr>
          </w:p>
        </w:tc>
        <w:tc>
          <w:tcPr>
            <w:tcW w:w="7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77,742</w:t>
            </w:r>
          </w:p>
        </w:tc>
        <w:tc>
          <w:tcPr>
            <w:tcW w:w="240" w:type="dxa"/>
            <w:vAlign w:val="bottom"/>
            <w:tcBorders>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400" w:type="dxa"/>
            <w:vAlign w:val="bottom"/>
            <w:tcBorders>
              <w:left w:val="single" w:sz="8" w:color="BFBFBF"/>
              <w:bottom w:val="single" w:sz="8" w:color="BFBFBF"/>
              <w:right w:val="single" w:sz="8" w:color="BFBFBF"/>
            </w:tcBorders>
          </w:tcPr>
          <w:p>
            <w:pPr>
              <w:ind w:left="340"/>
              <w:spacing w:after="0" w:line="142" w:lineRule="exact"/>
              <w:rPr>
                <w:sz w:val="20"/>
                <w:szCs w:val="20"/>
                <w:color w:val="auto"/>
              </w:rPr>
            </w:pPr>
            <w:r>
              <w:rPr>
                <w:rFonts w:ascii="Arial" w:cs="Arial" w:eastAsia="Arial" w:hAnsi="Arial"/>
                <w:sz w:val="14"/>
                <w:szCs w:val="14"/>
                <w:color w:val="auto"/>
              </w:rPr>
              <w:t>Chief Executive Officer</w:t>
            </w:r>
          </w:p>
        </w:tc>
        <w:tc>
          <w:tcPr>
            <w:tcW w:w="140" w:type="dxa"/>
            <w:vAlign w:val="bottom"/>
            <w:tcBorders>
              <w:bottom w:val="single" w:sz="8" w:color="BFBFBF"/>
            </w:tcBorders>
          </w:tcPr>
          <w:p>
            <w:pPr>
              <w:spacing w:after="0"/>
              <w:rPr>
                <w:sz w:val="15"/>
                <w:szCs w:val="15"/>
                <w:color w:val="auto"/>
              </w:rPr>
            </w:pPr>
          </w:p>
        </w:tc>
        <w:tc>
          <w:tcPr>
            <w:tcW w:w="80" w:type="dxa"/>
            <w:vAlign w:val="bottom"/>
            <w:tcBorders>
              <w:bottom w:val="single" w:sz="8" w:color="BFBFBF"/>
            </w:tcBorders>
          </w:tcPr>
          <w:p>
            <w:pPr>
              <w:spacing w:after="0"/>
              <w:rPr>
                <w:sz w:val="15"/>
                <w:szCs w:val="15"/>
                <w:color w:val="auto"/>
              </w:rPr>
            </w:pPr>
          </w:p>
        </w:tc>
        <w:tc>
          <w:tcPr>
            <w:tcW w:w="700" w:type="dxa"/>
            <w:vAlign w:val="bottom"/>
            <w:tcBorders>
              <w:bottom w:val="single" w:sz="8" w:color="BFBFBF"/>
            </w:tcBorders>
          </w:tcPr>
          <w:p>
            <w:pPr>
              <w:spacing w:after="0"/>
              <w:rPr>
                <w:sz w:val="15"/>
                <w:szCs w:val="15"/>
                <w:color w:val="auto"/>
              </w:rPr>
            </w:pPr>
          </w:p>
        </w:tc>
        <w:tc>
          <w:tcPr>
            <w:tcW w:w="200" w:type="dxa"/>
            <w:vAlign w:val="bottom"/>
            <w:tcBorders>
              <w:bottom w:val="single" w:sz="8" w:color="BFBFBF"/>
              <w:right w:val="single" w:sz="8" w:color="BFBFBF"/>
            </w:tcBorders>
          </w:tcPr>
          <w:p>
            <w:pPr>
              <w:spacing w:after="0"/>
              <w:rPr>
                <w:sz w:val="15"/>
                <w:szCs w:val="15"/>
                <w:color w:val="auto"/>
              </w:rPr>
            </w:pPr>
          </w:p>
        </w:tc>
        <w:tc>
          <w:tcPr>
            <w:tcW w:w="140" w:type="dxa"/>
            <w:vAlign w:val="bottom"/>
            <w:tcBorders>
              <w:bottom w:val="single" w:sz="8" w:color="BFBFBF"/>
            </w:tcBorders>
          </w:tcPr>
          <w:p>
            <w:pPr>
              <w:spacing w:after="0"/>
              <w:rPr>
                <w:sz w:val="15"/>
                <w:szCs w:val="15"/>
                <w:color w:val="auto"/>
              </w:rPr>
            </w:pPr>
          </w:p>
        </w:tc>
        <w:tc>
          <w:tcPr>
            <w:tcW w:w="8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200" w:type="dxa"/>
            <w:vAlign w:val="bottom"/>
            <w:tcBorders>
              <w:bottom w:val="single" w:sz="8" w:color="BFBFBF"/>
              <w:right w:val="single" w:sz="8" w:color="BFBFBF"/>
            </w:tcBorders>
          </w:tcPr>
          <w:p>
            <w:pPr>
              <w:spacing w:after="0"/>
              <w:rPr>
                <w:sz w:val="15"/>
                <w:szCs w:val="15"/>
                <w:color w:val="auto"/>
              </w:rPr>
            </w:pPr>
          </w:p>
        </w:tc>
        <w:tc>
          <w:tcPr>
            <w:tcW w:w="140" w:type="dxa"/>
            <w:vAlign w:val="bottom"/>
            <w:tcBorders>
              <w:bottom w:val="single" w:sz="8" w:color="BFBFBF"/>
            </w:tcBorders>
          </w:tcPr>
          <w:p>
            <w:pPr>
              <w:spacing w:after="0"/>
              <w:rPr>
                <w:sz w:val="15"/>
                <w:szCs w:val="15"/>
                <w:color w:val="auto"/>
              </w:rPr>
            </w:pPr>
          </w:p>
        </w:tc>
        <w:tc>
          <w:tcPr>
            <w:tcW w:w="100" w:type="dxa"/>
            <w:vAlign w:val="bottom"/>
            <w:tcBorders>
              <w:bottom w:val="single" w:sz="8" w:color="BFBFBF"/>
            </w:tcBorders>
          </w:tcPr>
          <w:p>
            <w:pPr>
              <w:spacing w:after="0"/>
              <w:rPr>
                <w:sz w:val="15"/>
                <w:szCs w:val="15"/>
                <w:color w:val="auto"/>
              </w:rPr>
            </w:pPr>
          </w:p>
        </w:tc>
        <w:tc>
          <w:tcPr>
            <w:tcW w:w="760" w:type="dxa"/>
            <w:vAlign w:val="bottom"/>
            <w:tcBorders>
              <w:bottom w:val="single" w:sz="8" w:color="BFBFBF"/>
            </w:tcBorders>
          </w:tcPr>
          <w:p>
            <w:pPr>
              <w:spacing w:after="0"/>
              <w:rPr>
                <w:sz w:val="15"/>
                <w:szCs w:val="15"/>
                <w:color w:val="auto"/>
              </w:rPr>
            </w:pPr>
          </w:p>
        </w:tc>
        <w:tc>
          <w:tcPr>
            <w:tcW w:w="180" w:type="dxa"/>
            <w:vAlign w:val="bottom"/>
            <w:tcBorders>
              <w:bottom w:val="single" w:sz="8" w:color="BFBFBF"/>
              <w:right w:val="single" w:sz="8" w:color="BFBFBF"/>
            </w:tcBorders>
          </w:tcPr>
          <w:p>
            <w:pPr>
              <w:spacing w:after="0"/>
              <w:rPr>
                <w:sz w:val="15"/>
                <w:szCs w:val="15"/>
                <w:color w:val="auto"/>
              </w:rPr>
            </w:pPr>
          </w:p>
        </w:tc>
        <w:tc>
          <w:tcPr>
            <w:tcW w:w="140" w:type="dxa"/>
            <w:vAlign w:val="bottom"/>
            <w:tcBorders>
              <w:bottom w:val="single" w:sz="8" w:color="BFBFBF"/>
            </w:tcBorders>
          </w:tcPr>
          <w:p>
            <w:pPr>
              <w:spacing w:after="0"/>
              <w:rPr>
                <w:sz w:val="15"/>
                <w:szCs w:val="15"/>
                <w:color w:val="auto"/>
              </w:rPr>
            </w:pPr>
          </w:p>
        </w:tc>
        <w:tc>
          <w:tcPr>
            <w:tcW w:w="120" w:type="dxa"/>
            <w:vAlign w:val="bottom"/>
            <w:tcBorders>
              <w:bottom w:val="single" w:sz="8" w:color="BFBFBF"/>
            </w:tcBorders>
          </w:tcPr>
          <w:p>
            <w:pPr>
              <w:spacing w:after="0"/>
              <w:rPr>
                <w:sz w:val="15"/>
                <w:szCs w:val="15"/>
                <w:color w:val="auto"/>
              </w:rPr>
            </w:pPr>
          </w:p>
        </w:tc>
        <w:tc>
          <w:tcPr>
            <w:tcW w:w="700" w:type="dxa"/>
            <w:vAlign w:val="bottom"/>
            <w:tcBorders>
              <w:bottom w:val="single" w:sz="8" w:color="BFBFBF"/>
            </w:tcBorders>
          </w:tcPr>
          <w:p>
            <w:pPr>
              <w:spacing w:after="0"/>
              <w:rPr>
                <w:sz w:val="15"/>
                <w:szCs w:val="15"/>
                <w:color w:val="auto"/>
              </w:rPr>
            </w:pPr>
          </w:p>
        </w:tc>
        <w:tc>
          <w:tcPr>
            <w:tcW w:w="200" w:type="dxa"/>
            <w:vAlign w:val="bottom"/>
            <w:tcBorders>
              <w:bottom w:val="single" w:sz="8" w:color="BFBFBF"/>
              <w:right w:val="single" w:sz="8" w:color="BFBFBF"/>
            </w:tcBorders>
          </w:tcPr>
          <w:p>
            <w:pPr>
              <w:spacing w:after="0"/>
              <w:rPr>
                <w:sz w:val="15"/>
                <w:szCs w:val="15"/>
                <w:color w:val="auto"/>
              </w:rPr>
            </w:pPr>
          </w:p>
        </w:tc>
        <w:tc>
          <w:tcPr>
            <w:tcW w:w="140" w:type="dxa"/>
            <w:vAlign w:val="bottom"/>
            <w:tcBorders>
              <w:bottom w:val="single" w:sz="8" w:color="BFBFBF"/>
            </w:tcBorders>
          </w:tcPr>
          <w:p>
            <w:pPr>
              <w:spacing w:after="0"/>
              <w:rPr>
                <w:sz w:val="15"/>
                <w:szCs w:val="15"/>
                <w:color w:val="auto"/>
              </w:rPr>
            </w:pPr>
          </w:p>
        </w:tc>
        <w:tc>
          <w:tcPr>
            <w:tcW w:w="160" w:type="dxa"/>
            <w:vAlign w:val="bottom"/>
            <w:tcBorders>
              <w:bottom w:val="single" w:sz="8" w:color="BFBFBF"/>
            </w:tcBorders>
          </w:tcPr>
          <w:p>
            <w:pPr>
              <w:spacing w:after="0"/>
              <w:rPr>
                <w:sz w:val="15"/>
                <w:szCs w:val="15"/>
                <w:color w:val="auto"/>
              </w:rPr>
            </w:pPr>
          </w:p>
        </w:tc>
        <w:tc>
          <w:tcPr>
            <w:tcW w:w="640" w:type="dxa"/>
            <w:vAlign w:val="bottom"/>
            <w:tcBorders>
              <w:bottom w:val="single" w:sz="8" w:color="BFBFBF"/>
            </w:tcBorders>
          </w:tcPr>
          <w:p>
            <w:pPr>
              <w:spacing w:after="0"/>
              <w:rPr>
                <w:sz w:val="15"/>
                <w:szCs w:val="15"/>
                <w:color w:val="auto"/>
              </w:rPr>
            </w:pPr>
          </w:p>
        </w:tc>
        <w:tc>
          <w:tcPr>
            <w:tcW w:w="200" w:type="dxa"/>
            <w:vAlign w:val="bottom"/>
            <w:tcBorders>
              <w:bottom w:val="single" w:sz="8" w:color="BFBFBF"/>
              <w:right w:val="single" w:sz="8" w:color="BFBFBF"/>
            </w:tcBorders>
          </w:tcPr>
          <w:p>
            <w:pPr>
              <w:spacing w:after="0"/>
              <w:rPr>
                <w:sz w:val="15"/>
                <w:szCs w:val="15"/>
                <w:color w:val="auto"/>
              </w:rPr>
            </w:pPr>
          </w:p>
        </w:tc>
        <w:tc>
          <w:tcPr>
            <w:tcW w:w="140" w:type="dxa"/>
            <w:vAlign w:val="bottom"/>
            <w:tcBorders>
              <w:bottom w:val="single" w:sz="8" w:color="BFBFBF"/>
            </w:tcBorders>
          </w:tcPr>
          <w:p>
            <w:pPr>
              <w:spacing w:after="0"/>
              <w:rPr>
                <w:sz w:val="15"/>
                <w:szCs w:val="15"/>
                <w:color w:val="auto"/>
              </w:rPr>
            </w:pPr>
          </w:p>
        </w:tc>
        <w:tc>
          <w:tcPr>
            <w:tcW w:w="180" w:type="dxa"/>
            <w:vAlign w:val="bottom"/>
            <w:tcBorders>
              <w:bottom w:val="single" w:sz="8" w:color="BFBFBF"/>
            </w:tcBorders>
          </w:tcPr>
          <w:p>
            <w:pPr>
              <w:spacing w:after="0"/>
              <w:rPr>
                <w:sz w:val="15"/>
                <w:szCs w:val="15"/>
                <w:color w:val="auto"/>
              </w:rPr>
            </w:pPr>
          </w:p>
        </w:tc>
        <w:tc>
          <w:tcPr>
            <w:tcW w:w="720" w:type="dxa"/>
            <w:vAlign w:val="bottom"/>
            <w:tcBorders>
              <w:bottom w:val="single" w:sz="8" w:color="BFBFBF"/>
            </w:tcBorders>
          </w:tcPr>
          <w:p>
            <w:pPr>
              <w:spacing w:after="0"/>
              <w:rPr>
                <w:sz w:val="15"/>
                <w:szCs w:val="15"/>
                <w:color w:val="auto"/>
              </w:rPr>
            </w:pPr>
          </w:p>
        </w:tc>
        <w:tc>
          <w:tcPr>
            <w:tcW w:w="200" w:type="dxa"/>
            <w:vAlign w:val="bottom"/>
            <w:tcBorders>
              <w:bottom w:val="single" w:sz="8" w:color="BFBFBF"/>
              <w:right w:val="single" w:sz="8" w:color="BFBFBF"/>
            </w:tcBorders>
          </w:tcPr>
          <w:p>
            <w:pPr>
              <w:spacing w:after="0"/>
              <w:rPr>
                <w:sz w:val="15"/>
                <w:szCs w:val="15"/>
                <w:color w:val="auto"/>
              </w:rPr>
            </w:pPr>
          </w:p>
        </w:tc>
        <w:tc>
          <w:tcPr>
            <w:tcW w:w="14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200" w:type="dxa"/>
            <w:vAlign w:val="bottom"/>
            <w:tcBorders>
              <w:bottom w:val="single" w:sz="8" w:color="BFBFBF"/>
              <w:right w:val="single" w:sz="8" w:color="BFBFBF"/>
            </w:tcBorders>
          </w:tcPr>
          <w:p>
            <w:pPr>
              <w:spacing w:after="0"/>
              <w:rPr>
                <w:sz w:val="15"/>
                <w:szCs w:val="15"/>
                <w:color w:val="auto"/>
              </w:rPr>
            </w:pPr>
          </w:p>
        </w:tc>
        <w:tc>
          <w:tcPr>
            <w:tcW w:w="140" w:type="dxa"/>
            <w:vAlign w:val="bottom"/>
            <w:tcBorders>
              <w:bottom w:val="single" w:sz="8" w:color="BFBFBF"/>
            </w:tcBorders>
          </w:tcPr>
          <w:p>
            <w:pPr>
              <w:spacing w:after="0"/>
              <w:rPr>
                <w:sz w:val="15"/>
                <w:szCs w:val="15"/>
                <w:color w:val="auto"/>
              </w:rPr>
            </w:pPr>
          </w:p>
        </w:tc>
        <w:tc>
          <w:tcPr>
            <w:tcW w:w="140" w:type="dxa"/>
            <w:vAlign w:val="bottom"/>
            <w:tcBorders>
              <w:bottom w:val="single" w:sz="8" w:color="BFBFBF"/>
            </w:tcBorders>
          </w:tcPr>
          <w:p>
            <w:pPr>
              <w:spacing w:after="0"/>
              <w:rPr>
                <w:sz w:val="15"/>
                <w:szCs w:val="15"/>
                <w:color w:val="auto"/>
              </w:rPr>
            </w:pPr>
          </w:p>
        </w:tc>
        <w:tc>
          <w:tcPr>
            <w:tcW w:w="800" w:type="dxa"/>
            <w:vAlign w:val="bottom"/>
            <w:tcBorders>
              <w:bottom w:val="single" w:sz="8" w:color="BFBFBF"/>
            </w:tcBorders>
          </w:tcPr>
          <w:p>
            <w:pPr>
              <w:spacing w:after="0"/>
              <w:rPr>
                <w:sz w:val="15"/>
                <w:szCs w:val="15"/>
                <w:color w:val="auto"/>
              </w:rPr>
            </w:pPr>
          </w:p>
        </w:tc>
        <w:tc>
          <w:tcPr>
            <w:tcW w:w="240" w:type="dxa"/>
            <w:vAlign w:val="bottom"/>
            <w:tcBorders>
              <w:bottom w:val="single" w:sz="8" w:color="BFBFBF"/>
              <w:right w:val="single" w:sz="8" w:color="BFBFB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400" w:type="dxa"/>
            <w:vAlign w:val="bottom"/>
            <w:tcBorders>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Lee Shavel</w:t>
            </w:r>
          </w:p>
        </w:tc>
        <w:tc>
          <w:tcPr>
            <w:tcW w:w="140" w:type="dxa"/>
            <w:vAlign w:val="bottom"/>
            <w:tcBorders>
              <w:bottom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90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2,450</w:t>
            </w:r>
          </w:p>
        </w:tc>
        <w:tc>
          <w:tcPr>
            <w:tcW w:w="140" w:type="dxa"/>
            <w:vAlign w:val="bottom"/>
            <w:tcBorders>
              <w:bottom w:val="single" w:sz="8" w:color="BFBFBF"/>
            </w:tcBorders>
          </w:tcPr>
          <w:p>
            <w:pPr>
              <w:spacing w:after="0"/>
              <w:rPr>
                <w:sz w:val="11"/>
                <w:szCs w:val="11"/>
                <w:color w:val="auto"/>
              </w:rPr>
            </w:pPr>
          </w:p>
        </w:tc>
        <w:tc>
          <w:tcPr>
            <w:tcW w:w="100" w:type="dxa"/>
            <w:vAlign w:val="bottom"/>
            <w:tcBorders>
              <w:bottom w:val="single" w:sz="8" w:color="BFBFBF"/>
            </w:tcBorders>
          </w:tcPr>
          <w:p>
            <w:pPr>
              <w:spacing w:after="0"/>
              <w:rPr>
                <w:sz w:val="11"/>
                <w:szCs w:val="11"/>
                <w:color w:val="auto"/>
              </w:rPr>
            </w:pPr>
          </w:p>
        </w:tc>
        <w:tc>
          <w:tcPr>
            <w:tcW w:w="940" w:type="dxa"/>
            <w:vAlign w:val="bottom"/>
            <w:tcBorders>
              <w:bottom w:val="single" w:sz="8" w:color="BFBFBF"/>
              <w:right w:val="single" w:sz="8" w:color="BFBFBF"/>
            </w:tcBorders>
            <w:gridSpan w:val="2"/>
          </w:tcPr>
          <w:p>
            <w:pPr>
              <w:jc w:val="right"/>
              <w:ind w:right="180"/>
              <w:spacing w:after="0" w:line="12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10,000</w:t>
            </w:r>
          </w:p>
        </w:tc>
        <w:tc>
          <w:tcPr>
            <w:tcW w:w="30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5,000</w:t>
            </w:r>
          </w:p>
        </w:tc>
        <w:tc>
          <w:tcPr>
            <w:tcW w:w="32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5,000</w:t>
            </w:r>
          </w:p>
        </w:tc>
        <w:tc>
          <w:tcPr>
            <w:tcW w:w="200" w:type="dxa"/>
            <w:vAlign w:val="bottom"/>
            <w:tcBorders>
              <w:bottom w:val="single" w:sz="8" w:color="BFBFBF"/>
              <w:right w:val="single" w:sz="8" w:color="BFBFBF"/>
            </w:tcBorders>
          </w:tcPr>
          <w:p>
            <w:pPr>
              <w:spacing w:after="0"/>
              <w:rPr>
                <w:sz w:val="11"/>
                <w:szCs w:val="11"/>
                <w:color w:val="auto"/>
              </w:rPr>
            </w:pPr>
          </w:p>
        </w:tc>
        <w:tc>
          <w:tcPr>
            <w:tcW w:w="140" w:type="dxa"/>
            <w:vAlign w:val="bottom"/>
            <w:tcBorders>
              <w:bottom w:val="single" w:sz="8" w:color="BFBFBF"/>
            </w:tcBorders>
          </w:tcPr>
          <w:p>
            <w:pPr>
              <w:spacing w:after="0"/>
              <w:rPr>
                <w:sz w:val="11"/>
                <w:szCs w:val="11"/>
                <w:color w:val="auto"/>
              </w:rPr>
            </w:pPr>
          </w:p>
        </w:tc>
        <w:tc>
          <w:tcPr>
            <w:tcW w:w="7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22,450</w:t>
            </w:r>
          </w:p>
        </w:tc>
        <w:tc>
          <w:tcPr>
            <w:tcW w:w="240" w:type="dxa"/>
            <w:vAlign w:val="bottom"/>
            <w:tcBorders>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00" w:type="dxa"/>
            <w:vAlign w:val="bottom"/>
            <w:tcBorders>
              <w:left w:val="single" w:sz="8" w:color="BFBFBF"/>
              <w:right w:val="single" w:sz="8" w:color="BFBFBF"/>
            </w:tcBorders>
          </w:tcPr>
          <w:p>
            <w:pPr>
              <w:ind w:left="340"/>
              <w:spacing w:after="0" w:line="141" w:lineRule="exact"/>
              <w:rPr>
                <w:sz w:val="20"/>
                <w:szCs w:val="20"/>
                <w:color w:val="auto"/>
              </w:rPr>
            </w:pPr>
            <w:r>
              <w:rPr>
                <w:rFonts w:ascii="Arial" w:cs="Arial" w:eastAsia="Arial" w:hAnsi="Arial"/>
                <w:sz w:val="14"/>
                <w:szCs w:val="14"/>
                <w:color w:val="auto"/>
              </w:rPr>
              <w:t>Chief Financial Officer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Borders>
              <w:left w:val="single" w:sz="8" w:color="BFBFBF"/>
              <w:right w:val="single" w:sz="8" w:color="BFBFBF"/>
            </w:tcBorders>
          </w:tcPr>
          <w:p>
            <w:pPr>
              <w:ind w:left="340"/>
              <w:spacing w:after="0" w:line="149" w:lineRule="exact"/>
              <w:rPr>
                <w:sz w:val="20"/>
                <w:szCs w:val="20"/>
                <w:color w:val="auto"/>
              </w:rPr>
            </w:pPr>
            <w:r>
              <w:rPr>
                <w:rFonts w:ascii="Arial" w:cs="Arial" w:eastAsia="Arial" w:hAnsi="Arial"/>
                <w:sz w:val="14"/>
                <w:szCs w:val="14"/>
                <w:color w:val="auto"/>
              </w:rPr>
              <w:t>Executive Vice President,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BFBFBF"/>
              <w:bottom w:val="single" w:sz="8" w:color="BFBFBF"/>
              <w:right w:val="single" w:sz="8" w:color="BFBFBF"/>
            </w:tcBorders>
          </w:tcPr>
          <w:p>
            <w:pPr>
              <w:ind w:left="340"/>
              <w:spacing w:after="0" w:line="149" w:lineRule="exact"/>
              <w:rPr>
                <w:sz w:val="20"/>
                <w:szCs w:val="20"/>
                <w:color w:val="auto"/>
              </w:rPr>
            </w:pPr>
            <w:r>
              <w:rPr>
                <w:rFonts w:ascii="Arial" w:cs="Arial" w:eastAsia="Arial" w:hAnsi="Arial"/>
                <w:sz w:val="14"/>
                <w:szCs w:val="14"/>
                <w:color w:val="auto"/>
              </w:rPr>
              <w:t>Corporate Strategy</w:t>
            </w:r>
          </w:p>
        </w:tc>
        <w:tc>
          <w:tcPr>
            <w:tcW w:w="140" w:type="dxa"/>
            <w:vAlign w:val="bottom"/>
            <w:tcBorders>
              <w:bottom w:val="single" w:sz="8" w:color="BFBFBF"/>
            </w:tcBorders>
          </w:tcPr>
          <w:p>
            <w:pPr>
              <w:spacing w:after="0"/>
              <w:rPr>
                <w:sz w:val="16"/>
                <w:szCs w:val="16"/>
                <w:color w:val="auto"/>
              </w:rPr>
            </w:pPr>
          </w:p>
        </w:tc>
        <w:tc>
          <w:tcPr>
            <w:tcW w:w="80" w:type="dxa"/>
            <w:vAlign w:val="bottom"/>
            <w:tcBorders>
              <w:bottom w:val="single" w:sz="8" w:color="BFBFBF"/>
            </w:tcBorders>
          </w:tcPr>
          <w:p>
            <w:pPr>
              <w:spacing w:after="0"/>
              <w:rPr>
                <w:sz w:val="16"/>
                <w:szCs w:val="16"/>
                <w:color w:val="auto"/>
              </w:rPr>
            </w:pPr>
          </w:p>
        </w:tc>
        <w:tc>
          <w:tcPr>
            <w:tcW w:w="70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80" w:type="dxa"/>
            <w:vAlign w:val="bottom"/>
            <w:tcBorders>
              <w:bottom w:val="single" w:sz="8" w:color="BFBFBF"/>
            </w:tcBorders>
          </w:tcPr>
          <w:p>
            <w:pPr>
              <w:spacing w:after="0"/>
              <w:rPr>
                <w:sz w:val="16"/>
                <w:szCs w:val="16"/>
                <w:color w:val="auto"/>
              </w:rPr>
            </w:pPr>
          </w:p>
        </w:tc>
        <w:tc>
          <w:tcPr>
            <w:tcW w:w="56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00" w:type="dxa"/>
            <w:vAlign w:val="bottom"/>
            <w:tcBorders>
              <w:bottom w:val="single" w:sz="8" w:color="BFBFBF"/>
            </w:tcBorders>
          </w:tcPr>
          <w:p>
            <w:pPr>
              <w:spacing w:after="0"/>
              <w:rPr>
                <w:sz w:val="16"/>
                <w:szCs w:val="16"/>
                <w:color w:val="auto"/>
              </w:rPr>
            </w:pPr>
          </w:p>
        </w:tc>
        <w:tc>
          <w:tcPr>
            <w:tcW w:w="760" w:type="dxa"/>
            <w:vAlign w:val="bottom"/>
            <w:tcBorders>
              <w:bottom w:val="single" w:sz="8" w:color="BFBFBF"/>
            </w:tcBorders>
          </w:tcPr>
          <w:p>
            <w:pPr>
              <w:spacing w:after="0"/>
              <w:rPr>
                <w:sz w:val="16"/>
                <w:szCs w:val="16"/>
                <w:color w:val="auto"/>
              </w:rPr>
            </w:pPr>
          </w:p>
        </w:tc>
        <w:tc>
          <w:tcPr>
            <w:tcW w:w="18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20" w:type="dxa"/>
            <w:vAlign w:val="bottom"/>
            <w:tcBorders>
              <w:bottom w:val="single" w:sz="8" w:color="BFBFBF"/>
            </w:tcBorders>
          </w:tcPr>
          <w:p>
            <w:pPr>
              <w:spacing w:after="0"/>
              <w:rPr>
                <w:sz w:val="16"/>
                <w:szCs w:val="16"/>
                <w:color w:val="auto"/>
              </w:rPr>
            </w:pPr>
          </w:p>
        </w:tc>
        <w:tc>
          <w:tcPr>
            <w:tcW w:w="70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60" w:type="dxa"/>
            <w:vAlign w:val="bottom"/>
            <w:tcBorders>
              <w:bottom w:val="single" w:sz="8" w:color="BFBFBF"/>
            </w:tcBorders>
          </w:tcPr>
          <w:p>
            <w:pPr>
              <w:spacing w:after="0"/>
              <w:rPr>
                <w:sz w:val="16"/>
                <w:szCs w:val="16"/>
                <w:color w:val="auto"/>
              </w:rPr>
            </w:pPr>
          </w:p>
        </w:tc>
        <w:tc>
          <w:tcPr>
            <w:tcW w:w="64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80" w:type="dxa"/>
            <w:vAlign w:val="bottom"/>
            <w:tcBorders>
              <w:bottom w:val="single" w:sz="8" w:color="BFBFBF"/>
            </w:tcBorders>
          </w:tcPr>
          <w:p>
            <w:pPr>
              <w:spacing w:after="0"/>
              <w:rPr>
                <w:sz w:val="16"/>
                <w:szCs w:val="16"/>
                <w:color w:val="auto"/>
              </w:rPr>
            </w:pPr>
          </w:p>
        </w:tc>
        <w:tc>
          <w:tcPr>
            <w:tcW w:w="72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56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800" w:type="dxa"/>
            <w:vAlign w:val="bottom"/>
            <w:tcBorders>
              <w:bottom w:val="single" w:sz="8" w:color="BFBFBF"/>
            </w:tcBorders>
          </w:tcPr>
          <w:p>
            <w:pPr>
              <w:spacing w:after="0"/>
              <w:rPr>
                <w:sz w:val="16"/>
                <w:szCs w:val="16"/>
                <w:color w:val="auto"/>
              </w:rPr>
            </w:pPr>
          </w:p>
        </w:tc>
        <w:tc>
          <w:tcPr>
            <w:tcW w:w="240" w:type="dxa"/>
            <w:vAlign w:val="bottom"/>
            <w:tcBorders>
              <w:bottom w:val="single" w:sz="8" w:color="BFBFBF"/>
              <w:right w:val="single" w:sz="8" w:color="BFBFBF"/>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400" w:type="dxa"/>
            <w:vAlign w:val="bottom"/>
            <w:tcBorders>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Anna M. Ewing</w:t>
            </w:r>
          </w:p>
        </w:tc>
        <w:tc>
          <w:tcPr>
            <w:tcW w:w="140" w:type="dxa"/>
            <w:vAlign w:val="bottom"/>
            <w:tcBorders>
              <w:bottom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90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3,000</w:t>
            </w:r>
          </w:p>
        </w:tc>
        <w:tc>
          <w:tcPr>
            <w:tcW w:w="240" w:type="dxa"/>
            <w:vAlign w:val="bottom"/>
            <w:tcBorders>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BFBFBF"/>
              <w:right w:val="single" w:sz="8" w:color="BFBFBF"/>
            </w:tcBorders>
            <w:gridSpan w:val="2"/>
          </w:tcPr>
          <w:p>
            <w:pPr>
              <w:jc w:val="right"/>
              <w:ind w:right="180"/>
              <w:spacing w:after="0" w:line="129" w:lineRule="exact"/>
              <w:rPr>
                <w:sz w:val="20"/>
                <w:szCs w:val="20"/>
                <w:color w:val="auto"/>
              </w:rPr>
            </w:pPr>
            <w:r>
              <w:rPr>
                <w:rFonts w:ascii="Arial" w:cs="Arial" w:eastAsia="Arial" w:hAnsi="Arial"/>
                <w:sz w:val="14"/>
                <w:szCs w:val="14"/>
                <w:color w:val="auto"/>
              </w:rPr>
              <w:t>14,925</w:t>
            </w:r>
          </w:p>
        </w:tc>
        <w:tc>
          <w:tcPr>
            <w:tcW w:w="26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10,000</w:t>
            </w:r>
          </w:p>
        </w:tc>
        <w:tc>
          <w:tcPr>
            <w:tcW w:w="30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15,000</w:t>
            </w:r>
          </w:p>
        </w:tc>
        <w:tc>
          <w:tcPr>
            <w:tcW w:w="200" w:type="dxa"/>
            <w:vAlign w:val="bottom"/>
            <w:tcBorders>
              <w:bottom w:val="single" w:sz="8" w:color="BFBFBF"/>
              <w:right w:val="single" w:sz="8" w:color="BFBFBF"/>
            </w:tcBorders>
          </w:tcPr>
          <w:p>
            <w:pPr>
              <w:spacing w:after="0"/>
              <w:rPr>
                <w:sz w:val="11"/>
                <w:szCs w:val="11"/>
                <w:color w:val="auto"/>
              </w:rPr>
            </w:pPr>
          </w:p>
        </w:tc>
        <w:tc>
          <w:tcPr>
            <w:tcW w:w="32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15,000</w:t>
            </w:r>
          </w:p>
        </w:tc>
        <w:tc>
          <w:tcPr>
            <w:tcW w:w="200" w:type="dxa"/>
            <w:vAlign w:val="bottom"/>
            <w:tcBorders>
              <w:bottom w:val="single" w:sz="8" w:color="BFBFBF"/>
              <w:right w:val="single" w:sz="8" w:color="BFBFBF"/>
            </w:tcBorders>
          </w:tcPr>
          <w:p>
            <w:pPr>
              <w:spacing w:after="0"/>
              <w:rPr>
                <w:sz w:val="11"/>
                <w:szCs w:val="11"/>
                <w:color w:val="auto"/>
              </w:rPr>
            </w:pPr>
          </w:p>
        </w:tc>
        <w:tc>
          <w:tcPr>
            <w:tcW w:w="140" w:type="dxa"/>
            <w:vAlign w:val="bottom"/>
            <w:tcBorders>
              <w:bottom w:val="single" w:sz="8" w:color="BFBFBF"/>
            </w:tcBorders>
          </w:tcPr>
          <w:p>
            <w:pPr>
              <w:spacing w:after="0"/>
              <w:rPr>
                <w:sz w:val="11"/>
                <w:szCs w:val="11"/>
                <w:color w:val="auto"/>
              </w:rPr>
            </w:pPr>
          </w:p>
        </w:tc>
        <w:tc>
          <w:tcPr>
            <w:tcW w:w="7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57,925</w:t>
            </w:r>
          </w:p>
        </w:tc>
        <w:tc>
          <w:tcPr>
            <w:tcW w:w="240" w:type="dxa"/>
            <w:vAlign w:val="bottom"/>
            <w:tcBorders>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00" w:type="dxa"/>
            <w:vAlign w:val="bottom"/>
            <w:tcBorders>
              <w:left w:val="single" w:sz="8" w:color="BFBFBF"/>
              <w:right w:val="single" w:sz="8" w:color="BFBFBF"/>
            </w:tcBorders>
          </w:tcPr>
          <w:p>
            <w:pPr>
              <w:ind w:left="340"/>
              <w:spacing w:after="0" w:line="141" w:lineRule="exact"/>
              <w:rPr>
                <w:sz w:val="20"/>
                <w:szCs w:val="20"/>
                <w:color w:val="auto"/>
              </w:rPr>
            </w:pPr>
            <w:r>
              <w:rPr>
                <w:rFonts w:ascii="Arial" w:cs="Arial" w:eastAsia="Arial" w:hAnsi="Arial"/>
                <w:sz w:val="14"/>
                <w:szCs w:val="14"/>
                <w:color w:val="auto"/>
                <w:w w:val="99"/>
              </w:rPr>
              <w:t>Executive Vice President, Global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BFBFBF"/>
              <w:bottom w:val="single" w:sz="8" w:color="BFBFBF"/>
              <w:right w:val="single" w:sz="8" w:color="BFBFBF"/>
            </w:tcBorders>
          </w:tcPr>
          <w:p>
            <w:pPr>
              <w:ind w:left="340"/>
              <w:spacing w:after="0" w:line="149" w:lineRule="exact"/>
              <w:rPr>
                <w:sz w:val="20"/>
                <w:szCs w:val="20"/>
                <w:color w:val="auto"/>
              </w:rPr>
            </w:pPr>
            <w:r>
              <w:rPr>
                <w:rFonts w:ascii="Arial" w:cs="Arial" w:eastAsia="Arial" w:hAnsi="Arial"/>
                <w:sz w:val="14"/>
                <w:szCs w:val="14"/>
                <w:color w:val="auto"/>
              </w:rPr>
              <w:t>Technology Solutions</w:t>
            </w:r>
          </w:p>
        </w:tc>
        <w:tc>
          <w:tcPr>
            <w:tcW w:w="140" w:type="dxa"/>
            <w:vAlign w:val="bottom"/>
            <w:tcBorders>
              <w:bottom w:val="single" w:sz="8" w:color="BFBFBF"/>
            </w:tcBorders>
          </w:tcPr>
          <w:p>
            <w:pPr>
              <w:spacing w:after="0"/>
              <w:rPr>
                <w:sz w:val="16"/>
                <w:szCs w:val="16"/>
                <w:color w:val="auto"/>
              </w:rPr>
            </w:pPr>
          </w:p>
        </w:tc>
        <w:tc>
          <w:tcPr>
            <w:tcW w:w="80" w:type="dxa"/>
            <w:vAlign w:val="bottom"/>
            <w:tcBorders>
              <w:bottom w:val="single" w:sz="8" w:color="BFBFBF"/>
            </w:tcBorders>
          </w:tcPr>
          <w:p>
            <w:pPr>
              <w:spacing w:after="0"/>
              <w:rPr>
                <w:sz w:val="16"/>
                <w:szCs w:val="16"/>
                <w:color w:val="auto"/>
              </w:rPr>
            </w:pPr>
          </w:p>
        </w:tc>
        <w:tc>
          <w:tcPr>
            <w:tcW w:w="70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80" w:type="dxa"/>
            <w:vAlign w:val="bottom"/>
            <w:tcBorders>
              <w:bottom w:val="single" w:sz="8" w:color="BFBFBF"/>
            </w:tcBorders>
          </w:tcPr>
          <w:p>
            <w:pPr>
              <w:spacing w:after="0"/>
              <w:rPr>
                <w:sz w:val="16"/>
                <w:szCs w:val="16"/>
                <w:color w:val="auto"/>
              </w:rPr>
            </w:pPr>
          </w:p>
        </w:tc>
        <w:tc>
          <w:tcPr>
            <w:tcW w:w="56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00" w:type="dxa"/>
            <w:vAlign w:val="bottom"/>
            <w:tcBorders>
              <w:bottom w:val="single" w:sz="8" w:color="BFBFBF"/>
            </w:tcBorders>
          </w:tcPr>
          <w:p>
            <w:pPr>
              <w:spacing w:after="0"/>
              <w:rPr>
                <w:sz w:val="16"/>
                <w:szCs w:val="16"/>
                <w:color w:val="auto"/>
              </w:rPr>
            </w:pPr>
          </w:p>
        </w:tc>
        <w:tc>
          <w:tcPr>
            <w:tcW w:w="760" w:type="dxa"/>
            <w:vAlign w:val="bottom"/>
            <w:tcBorders>
              <w:bottom w:val="single" w:sz="8" w:color="BFBFBF"/>
            </w:tcBorders>
          </w:tcPr>
          <w:p>
            <w:pPr>
              <w:spacing w:after="0"/>
              <w:rPr>
                <w:sz w:val="16"/>
                <w:szCs w:val="16"/>
                <w:color w:val="auto"/>
              </w:rPr>
            </w:pPr>
          </w:p>
        </w:tc>
        <w:tc>
          <w:tcPr>
            <w:tcW w:w="18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20" w:type="dxa"/>
            <w:vAlign w:val="bottom"/>
            <w:tcBorders>
              <w:bottom w:val="single" w:sz="8" w:color="BFBFBF"/>
            </w:tcBorders>
          </w:tcPr>
          <w:p>
            <w:pPr>
              <w:spacing w:after="0"/>
              <w:rPr>
                <w:sz w:val="16"/>
                <w:szCs w:val="16"/>
                <w:color w:val="auto"/>
              </w:rPr>
            </w:pPr>
          </w:p>
        </w:tc>
        <w:tc>
          <w:tcPr>
            <w:tcW w:w="70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60" w:type="dxa"/>
            <w:vAlign w:val="bottom"/>
            <w:tcBorders>
              <w:bottom w:val="single" w:sz="8" w:color="BFBFBF"/>
            </w:tcBorders>
          </w:tcPr>
          <w:p>
            <w:pPr>
              <w:spacing w:after="0"/>
              <w:rPr>
                <w:sz w:val="16"/>
                <w:szCs w:val="16"/>
                <w:color w:val="auto"/>
              </w:rPr>
            </w:pPr>
          </w:p>
        </w:tc>
        <w:tc>
          <w:tcPr>
            <w:tcW w:w="64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80" w:type="dxa"/>
            <w:vAlign w:val="bottom"/>
            <w:tcBorders>
              <w:bottom w:val="single" w:sz="8" w:color="BFBFBF"/>
            </w:tcBorders>
          </w:tcPr>
          <w:p>
            <w:pPr>
              <w:spacing w:after="0"/>
              <w:rPr>
                <w:sz w:val="16"/>
                <w:szCs w:val="16"/>
                <w:color w:val="auto"/>
              </w:rPr>
            </w:pPr>
          </w:p>
        </w:tc>
        <w:tc>
          <w:tcPr>
            <w:tcW w:w="72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56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800" w:type="dxa"/>
            <w:vAlign w:val="bottom"/>
            <w:tcBorders>
              <w:bottom w:val="single" w:sz="8" w:color="BFBFBF"/>
            </w:tcBorders>
          </w:tcPr>
          <w:p>
            <w:pPr>
              <w:spacing w:after="0"/>
              <w:rPr>
                <w:sz w:val="16"/>
                <w:szCs w:val="16"/>
                <w:color w:val="auto"/>
              </w:rPr>
            </w:pPr>
          </w:p>
        </w:tc>
        <w:tc>
          <w:tcPr>
            <w:tcW w:w="240" w:type="dxa"/>
            <w:vAlign w:val="bottom"/>
            <w:tcBorders>
              <w:bottom w:val="single" w:sz="8" w:color="BFBFBF"/>
              <w:right w:val="single" w:sz="8" w:color="BFBFBF"/>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400" w:type="dxa"/>
            <w:vAlign w:val="bottom"/>
            <w:tcBorders>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Hans-Ole Jochumsen</w:t>
            </w:r>
          </w:p>
        </w:tc>
        <w:tc>
          <w:tcPr>
            <w:tcW w:w="140" w:type="dxa"/>
            <w:vAlign w:val="bottom"/>
            <w:tcBorders>
              <w:bottom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90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1,552</w:t>
            </w:r>
          </w:p>
        </w:tc>
        <w:tc>
          <w:tcPr>
            <w:tcW w:w="240" w:type="dxa"/>
            <w:vAlign w:val="bottom"/>
            <w:tcBorders>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BFBFBF"/>
              <w:right w:val="single" w:sz="8" w:color="BFBFBF"/>
            </w:tcBorders>
            <w:gridSpan w:val="2"/>
          </w:tcPr>
          <w:p>
            <w:pPr>
              <w:jc w:val="right"/>
              <w:ind w:right="180"/>
              <w:spacing w:after="0" w:line="129" w:lineRule="exact"/>
              <w:rPr>
                <w:sz w:val="20"/>
                <w:szCs w:val="20"/>
                <w:color w:val="auto"/>
              </w:rPr>
            </w:pPr>
            <w:r>
              <w:rPr>
                <w:rFonts w:ascii="Arial" w:cs="Arial" w:eastAsia="Arial" w:hAnsi="Arial"/>
                <w:sz w:val="14"/>
                <w:szCs w:val="14"/>
                <w:color w:val="auto"/>
              </w:rPr>
              <w:t>4,342</w:t>
            </w:r>
          </w:p>
        </w:tc>
        <w:tc>
          <w:tcPr>
            <w:tcW w:w="26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99,322</w:t>
            </w:r>
          </w:p>
        </w:tc>
        <w:tc>
          <w:tcPr>
            <w:tcW w:w="140" w:type="dxa"/>
            <w:vAlign w:val="bottom"/>
            <w:tcBorders>
              <w:bottom w:val="single" w:sz="8" w:color="BFBFBF"/>
            </w:tcBorders>
          </w:tcPr>
          <w:p>
            <w:pPr>
              <w:spacing w:after="0"/>
              <w:rPr>
                <w:sz w:val="11"/>
                <w:szCs w:val="11"/>
                <w:color w:val="auto"/>
              </w:rPr>
            </w:pPr>
          </w:p>
        </w:tc>
        <w:tc>
          <w:tcPr>
            <w:tcW w:w="160" w:type="dxa"/>
            <w:vAlign w:val="bottom"/>
            <w:tcBorders>
              <w:bottom w:val="single" w:sz="8" w:color="BFBFBF"/>
            </w:tcBorders>
          </w:tcPr>
          <w:p>
            <w:pPr>
              <w:spacing w:after="0"/>
              <w:rPr>
                <w:sz w:val="11"/>
                <w:szCs w:val="11"/>
                <w:color w:val="auto"/>
              </w:rPr>
            </w:pPr>
          </w:p>
        </w:tc>
        <w:tc>
          <w:tcPr>
            <w:tcW w:w="84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BFBFBF"/>
            </w:tcBorders>
          </w:tcPr>
          <w:p>
            <w:pPr>
              <w:spacing w:after="0"/>
              <w:rPr>
                <w:sz w:val="11"/>
                <w:szCs w:val="11"/>
                <w:color w:val="auto"/>
              </w:rPr>
            </w:pPr>
          </w:p>
        </w:tc>
        <w:tc>
          <w:tcPr>
            <w:tcW w:w="180" w:type="dxa"/>
            <w:vAlign w:val="bottom"/>
            <w:tcBorders>
              <w:bottom w:val="single" w:sz="8" w:color="BFBFBF"/>
            </w:tcBorders>
          </w:tcPr>
          <w:p>
            <w:pPr>
              <w:spacing w:after="0"/>
              <w:rPr>
                <w:sz w:val="11"/>
                <w:szCs w:val="11"/>
                <w:color w:val="auto"/>
              </w:rPr>
            </w:pPr>
          </w:p>
        </w:tc>
        <w:tc>
          <w:tcPr>
            <w:tcW w:w="92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3"/>
          </w:tcPr>
          <w:p>
            <w:pPr>
              <w:jc w:val="right"/>
              <w:ind w:right="200"/>
              <w:spacing w:after="0" w:line="129" w:lineRule="exact"/>
              <w:rPr>
                <w:sz w:val="20"/>
                <w:szCs w:val="20"/>
                <w:color w:val="auto"/>
              </w:rPr>
            </w:pPr>
            <w:r>
              <w:rPr>
                <w:rFonts w:ascii="Arial" w:cs="Arial" w:eastAsia="Arial" w:hAnsi="Arial"/>
                <w:sz w:val="14"/>
                <w:szCs w:val="14"/>
                <w:color w:val="auto"/>
              </w:rPr>
              <w:t>$ 11,422</w:t>
            </w:r>
          </w:p>
        </w:tc>
        <w:tc>
          <w:tcPr>
            <w:tcW w:w="28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116,638</w:t>
            </w:r>
          </w:p>
        </w:tc>
        <w:tc>
          <w:tcPr>
            <w:tcW w:w="240" w:type="dxa"/>
            <w:vAlign w:val="bottom"/>
            <w:tcBorders>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00" w:type="dxa"/>
            <w:vAlign w:val="bottom"/>
            <w:tcBorders>
              <w:left w:val="single" w:sz="8" w:color="BFBFBF"/>
              <w:right w:val="single" w:sz="8" w:color="BFBFBF"/>
            </w:tcBorders>
          </w:tcPr>
          <w:p>
            <w:pPr>
              <w:ind w:left="340"/>
              <w:spacing w:after="0" w:line="141" w:lineRule="exact"/>
              <w:rPr>
                <w:sz w:val="20"/>
                <w:szCs w:val="20"/>
                <w:color w:val="auto"/>
              </w:rPr>
            </w:pPr>
            <w:r>
              <w:rPr>
                <w:rFonts w:ascii="Arial" w:cs="Arial" w:eastAsia="Arial" w:hAnsi="Arial"/>
                <w:sz w:val="14"/>
                <w:szCs w:val="14"/>
                <w:color w:val="auto"/>
              </w:rPr>
              <w:t>Executive Vice President,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BFBFBF"/>
              <w:bottom w:val="single" w:sz="8" w:color="BFBFBF"/>
              <w:right w:val="single" w:sz="8" w:color="BFBFBF"/>
            </w:tcBorders>
          </w:tcPr>
          <w:p>
            <w:pPr>
              <w:ind w:left="340"/>
              <w:spacing w:after="0" w:line="149" w:lineRule="exact"/>
              <w:rPr>
                <w:sz w:val="20"/>
                <w:szCs w:val="20"/>
                <w:color w:val="auto"/>
              </w:rPr>
            </w:pPr>
            <w:r>
              <w:rPr>
                <w:rFonts w:ascii="Arial" w:cs="Arial" w:eastAsia="Arial" w:hAnsi="Arial"/>
                <w:sz w:val="14"/>
                <w:szCs w:val="14"/>
                <w:color w:val="auto"/>
              </w:rPr>
              <w:t>Transaction Services Nordic</w:t>
            </w:r>
          </w:p>
        </w:tc>
        <w:tc>
          <w:tcPr>
            <w:tcW w:w="140" w:type="dxa"/>
            <w:vAlign w:val="bottom"/>
            <w:tcBorders>
              <w:bottom w:val="single" w:sz="8" w:color="BFBFBF"/>
            </w:tcBorders>
          </w:tcPr>
          <w:p>
            <w:pPr>
              <w:spacing w:after="0"/>
              <w:rPr>
                <w:sz w:val="16"/>
                <w:szCs w:val="16"/>
                <w:color w:val="auto"/>
              </w:rPr>
            </w:pPr>
          </w:p>
        </w:tc>
        <w:tc>
          <w:tcPr>
            <w:tcW w:w="80" w:type="dxa"/>
            <w:vAlign w:val="bottom"/>
            <w:tcBorders>
              <w:bottom w:val="single" w:sz="8" w:color="BFBFBF"/>
            </w:tcBorders>
          </w:tcPr>
          <w:p>
            <w:pPr>
              <w:spacing w:after="0"/>
              <w:rPr>
                <w:sz w:val="16"/>
                <w:szCs w:val="16"/>
                <w:color w:val="auto"/>
              </w:rPr>
            </w:pPr>
          </w:p>
        </w:tc>
        <w:tc>
          <w:tcPr>
            <w:tcW w:w="70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80" w:type="dxa"/>
            <w:vAlign w:val="bottom"/>
            <w:tcBorders>
              <w:bottom w:val="single" w:sz="8" w:color="BFBFBF"/>
            </w:tcBorders>
          </w:tcPr>
          <w:p>
            <w:pPr>
              <w:spacing w:after="0"/>
              <w:rPr>
                <w:sz w:val="16"/>
                <w:szCs w:val="16"/>
                <w:color w:val="auto"/>
              </w:rPr>
            </w:pPr>
          </w:p>
        </w:tc>
        <w:tc>
          <w:tcPr>
            <w:tcW w:w="56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00" w:type="dxa"/>
            <w:vAlign w:val="bottom"/>
            <w:tcBorders>
              <w:bottom w:val="single" w:sz="8" w:color="BFBFBF"/>
            </w:tcBorders>
          </w:tcPr>
          <w:p>
            <w:pPr>
              <w:spacing w:after="0"/>
              <w:rPr>
                <w:sz w:val="16"/>
                <w:szCs w:val="16"/>
                <w:color w:val="auto"/>
              </w:rPr>
            </w:pPr>
          </w:p>
        </w:tc>
        <w:tc>
          <w:tcPr>
            <w:tcW w:w="760" w:type="dxa"/>
            <w:vAlign w:val="bottom"/>
            <w:tcBorders>
              <w:bottom w:val="single" w:sz="8" w:color="BFBFBF"/>
            </w:tcBorders>
          </w:tcPr>
          <w:p>
            <w:pPr>
              <w:spacing w:after="0"/>
              <w:rPr>
                <w:sz w:val="16"/>
                <w:szCs w:val="16"/>
                <w:color w:val="auto"/>
              </w:rPr>
            </w:pPr>
          </w:p>
        </w:tc>
        <w:tc>
          <w:tcPr>
            <w:tcW w:w="18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20" w:type="dxa"/>
            <w:vAlign w:val="bottom"/>
            <w:tcBorders>
              <w:bottom w:val="single" w:sz="8" w:color="BFBFBF"/>
            </w:tcBorders>
          </w:tcPr>
          <w:p>
            <w:pPr>
              <w:spacing w:after="0"/>
              <w:rPr>
                <w:sz w:val="16"/>
                <w:szCs w:val="16"/>
                <w:color w:val="auto"/>
              </w:rPr>
            </w:pPr>
          </w:p>
        </w:tc>
        <w:tc>
          <w:tcPr>
            <w:tcW w:w="70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60" w:type="dxa"/>
            <w:vAlign w:val="bottom"/>
            <w:tcBorders>
              <w:bottom w:val="single" w:sz="8" w:color="BFBFBF"/>
            </w:tcBorders>
          </w:tcPr>
          <w:p>
            <w:pPr>
              <w:spacing w:after="0"/>
              <w:rPr>
                <w:sz w:val="16"/>
                <w:szCs w:val="16"/>
                <w:color w:val="auto"/>
              </w:rPr>
            </w:pPr>
          </w:p>
        </w:tc>
        <w:tc>
          <w:tcPr>
            <w:tcW w:w="64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80" w:type="dxa"/>
            <w:vAlign w:val="bottom"/>
            <w:tcBorders>
              <w:bottom w:val="single" w:sz="8" w:color="BFBFBF"/>
            </w:tcBorders>
          </w:tcPr>
          <w:p>
            <w:pPr>
              <w:spacing w:after="0"/>
              <w:rPr>
                <w:sz w:val="16"/>
                <w:szCs w:val="16"/>
                <w:color w:val="auto"/>
              </w:rPr>
            </w:pPr>
          </w:p>
        </w:tc>
        <w:tc>
          <w:tcPr>
            <w:tcW w:w="72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560" w:type="dxa"/>
            <w:vAlign w:val="bottom"/>
            <w:tcBorders>
              <w:bottom w:val="single" w:sz="8" w:color="BFBFBF"/>
            </w:tcBorders>
          </w:tcPr>
          <w:p>
            <w:pPr>
              <w:spacing w:after="0"/>
              <w:rPr>
                <w:sz w:val="16"/>
                <w:szCs w:val="16"/>
                <w:color w:val="auto"/>
              </w:rPr>
            </w:pPr>
          </w:p>
        </w:tc>
        <w:tc>
          <w:tcPr>
            <w:tcW w:w="200" w:type="dxa"/>
            <w:vAlign w:val="bottom"/>
            <w:tcBorders>
              <w:bottom w:val="single" w:sz="8" w:color="BFBFBF"/>
              <w:right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800" w:type="dxa"/>
            <w:vAlign w:val="bottom"/>
            <w:tcBorders>
              <w:bottom w:val="single" w:sz="8" w:color="BFBFBF"/>
            </w:tcBorders>
          </w:tcPr>
          <w:p>
            <w:pPr>
              <w:spacing w:after="0"/>
              <w:rPr>
                <w:sz w:val="16"/>
                <w:szCs w:val="16"/>
                <w:color w:val="auto"/>
              </w:rPr>
            </w:pPr>
          </w:p>
        </w:tc>
        <w:tc>
          <w:tcPr>
            <w:tcW w:w="240" w:type="dxa"/>
            <w:vAlign w:val="bottom"/>
            <w:tcBorders>
              <w:bottom w:val="single" w:sz="8" w:color="BFBFBF"/>
              <w:right w:val="single" w:sz="8" w:color="BFBFBF"/>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400" w:type="dxa"/>
            <w:vAlign w:val="bottom"/>
            <w:tcBorders>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Eric W. Noll</w:t>
            </w:r>
          </w:p>
        </w:tc>
        <w:tc>
          <w:tcPr>
            <w:tcW w:w="140" w:type="dxa"/>
            <w:vAlign w:val="bottom"/>
            <w:tcBorders>
              <w:bottom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90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3,000</w:t>
            </w:r>
          </w:p>
        </w:tc>
        <w:tc>
          <w:tcPr>
            <w:tcW w:w="140" w:type="dxa"/>
            <w:vAlign w:val="bottom"/>
            <w:tcBorders>
              <w:bottom w:val="single" w:sz="8" w:color="BFBFBF"/>
            </w:tcBorders>
          </w:tcPr>
          <w:p>
            <w:pPr>
              <w:spacing w:after="0"/>
              <w:rPr>
                <w:sz w:val="11"/>
                <w:szCs w:val="11"/>
                <w:color w:val="auto"/>
              </w:rPr>
            </w:pPr>
          </w:p>
        </w:tc>
        <w:tc>
          <w:tcPr>
            <w:tcW w:w="100" w:type="dxa"/>
            <w:vAlign w:val="bottom"/>
            <w:tcBorders>
              <w:bottom w:val="single" w:sz="8" w:color="BFBFBF"/>
            </w:tcBorders>
          </w:tcPr>
          <w:p>
            <w:pPr>
              <w:spacing w:after="0"/>
              <w:rPr>
                <w:sz w:val="11"/>
                <w:szCs w:val="11"/>
                <w:color w:val="auto"/>
              </w:rPr>
            </w:pPr>
          </w:p>
        </w:tc>
        <w:tc>
          <w:tcPr>
            <w:tcW w:w="940" w:type="dxa"/>
            <w:vAlign w:val="bottom"/>
            <w:tcBorders>
              <w:bottom w:val="single" w:sz="8" w:color="BFBFBF"/>
              <w:right w:val="single" w:sz="8" w:color="BFBFBF"/>
            </w:tcBorders>
            <w:gridSpan w:val="2"/>
          </w:tcPr>
          <w:p>
            <w:pPr>
              <w:jc w:val="right"/>
              <w:ind w:right="180"/>
              <w:spacing w:after="0" w:line="12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10,000</w:t>
            </w:r>
          </w:p>
        </w:tc>
        <w:tc>
          <w:tcPr>
            <w:tcW w:w="30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5,000</w:t>
            </w:r>
          </w:p>
        </w:tc>
        <w:tc>
          <w:tcPr>
            <w:tcW w:w="32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5,000</w:t>
            </w:r>
          </w:p>
        </w:tc>
        <w:tc>
          <w:tcPr>
            <w:tcW w:w="200" w:type="dxa"/>
            <w:vAlign w:val="bottom"/>
            <w:tcBorders>
              <w:bottom w:val="single" w:sz="8" w:color="BFBFBF"/>
              <w:right w:val="single" w:sz="8" w:color="BFBFBF"/>
            </w:tcBorders>
          </w:tcPr>
          <w:p>
            <w:pPr>
              <w:spacing w:after="0"/>
              <w:rPr>
                <w:sz w:val="11"/>
                <w:szCs w:val="11"/>
                <w:color w:val="auto"/>
              </w:rPr>
            </w:pPr>
          </w:p>
        </w:tc>
        <w:tc>
          <w:tcPr>
            <w:tcW w:w="140" w:type="dxa"/>
            <w:vAlign w:val="bottom"/>
            <w:tcBorders>
              <w:bottom w:val="single" w:sz="8" w:color="BFBFBF"/>
            </w:tcBorders>
          </w:tcPr>
          <w:p>
            <w:pPr>
              <w:spacing w:after="0"/>
              <w:rPr>
                <w:sz w:val="11"/>
                <w:szCs w:val="11"/>
                <w:color w:val="auto"/>
              </w:rPr>
            </w:pPr>
          </w:p>
        </w:tc>
        <w:tc>
          <w:tcPr>
            <w:tcW w:w="7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BFBFBF"/>
            </w:tcBorders>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23,000</w:t>
            </w:r>
          </w:p>
        </w:tc>
        <w:tc>
          <w:tcPr>
            <w:tcW w:w="240" w:type="dxa"/>
            <w:vAlign w:val="bottom"/>
            <w:tcBorders>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00" w:type="dxa"/>
            <w:vAlign w:val="bottom"/>
            <w:tcBorders>
              <w:left w:val="single" w:sz="8" w:color="BFBFBF"/>
              <w:right w:val="single" w:sz="8" w:color="BFBFBF"/>
            </w:tcBorders>
          </w:tcPr>
          <w:p>
            <w:pPr>
              <w:ind w:left="340"/>
              <w:spacing w:after="0" w:line="141" w:lineRule="exact"/>
              <w:rPr>
                <w:sz w:val="20"/>
                <w:szCs w:val="20"/>
                <w:color w:val="auto"/>
              </w:rPr>
            </w:pPr>
            <w:r>
              <w:rPr>
                <w:rFonts w:ascii="Arial" w:cs="Arial" w:eastAsia="Arial" w:hAnsi="Arial"/>
                <w:sz w:val="14"/>
                <w:szCs w:val="14"/>
                <w:color w:val="auto"/>
              </w:rPr>
              <w:t>Executive Vice President,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Borders>
              <w:left w:val="single" w:sz="8" w:color="BFBFBF"/>
              <w:right w:val="single" w:sz="8" w:color="BFBFBF"/>
            </w:tcBorders>
          </w:tcPr>
          <w:p>
            <w:pPr>
              <w:ind w:left="340"/>
              <w:spacing w:after="0" w:line="149" w:lineRule="exact"/>
              <w:rPr>
                <w:sz w:val="20"/>
                <w:szCs w:val="20"/>
                <w:color w:val="auto"/>
              </w:rPr>
            </w:pPr>
            <w:r>
              <w:rPr>
                <w:rFonts w:ascii="Arial" w:cs="Arial" w:eastAsia="Arial" w:hAnsi="Arial"/>
                <w:sz w:val="14"/>
                <w:szCs w:val="14"/>
                <w:color w:val="auto"/>
              </w:rPr>
              <w:t>Transaction Services U.S.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Borders>
              <w:left w:val="single" w:sz="8" w:color="BFBFBF"/>
              <w:bottom w:val="single" w:sz="8" w:color="BFBFBF"/>
              <w:right w:val="single" w:sz="8" w:color="BFBFBF"/>
            </w:tcBorders>
          </w:tcPr>
          <w:p>
            <w:pPr>
              <w:ind w:left="340"/>
              <w:spacing w:after="0" w:line="149" w:lineRule="exact"/>
              <w:rPr>
                <w:sz w:val="20"/>
                <w:szCs w:val="20"/>
                <w:color w:val="auto"/>
              </w:rPr>
            </w:pPr>
            <w:r>
              <w:rPr>
                <w:rFonts w:ascii="Arial" w:cs="Arial" w:eastAsia="Arial" w:hAnsi="Arial"/>
                <w:sz w:val="14"/>
                <w:szCs w:val="14"/>
                <w:color w:val="auto"/>
              </w:rPr>
              <w:t>U.K.</w:t>
            </w:r>
          </w:p>
        </w:tc>
        <w:tc>
          <w:tcPr>
            <w:tcW w:w="140" w:type="dxa"/>
            <w:vAlign w:val="bottom"/>
            <w:tcBorders>
              <w:bottom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56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spacing w:after="0"/>
              <w:rPr>
                <w:sz w:val="12"/>
                <w:szCs w:val="12"/>
                <w:color w:val="auto"/>
              </w:rPr>
            </w:pPr>
          </w:p>
        </w:tc>
        <w:tc>
          <w:tcPr>
            <w:tcW w:w="18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70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160" w:type="dxa"/>
            <w:vAlign w:val="bottom"/>
            <w:tcBorders>
              <w:bottom w:val="single" w:sz="8" w:color="BFBFBF"/>
            </w:tcBorders>
          </w:tcPr>
          <w:p>
            <w:pPr>
              <w:spacing w:after="0"/>
              <w:rPr>
                <w:sz w:val="12"/>
                <w:szCs w:val="12"/>
                <w:color w:val="auto"/>
              </w:rPr>
            </w:pPr>
          </w:p>
        </w:tc>
        <w:tc>
          <w:tcPr>
            <w:tcW w:w="64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180" w:type="dxa"/>
            <w:vAlign w:val="bottom"/>
            <w:tcBorders>
              <w:bottom w:val="single" w:sz="8" w:color="BFBFBF"/>
            </w:tcBorders>
          </w:tcPr>
          <w:p>
            <w:pPr>
              <w:spacing w:after="0"/>
              <w:rPr>
                <w:sz w:val="12"/>
                <w:szCs w:val="12"/>
                <w:color w:val="auto"/>
              </w:rPr>
            </w:pPr>
          </w:p>
        </w:tc>
        <w:tc>
          <w:tcPr>
            <w:tcW w:w="72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56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right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80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-419735</wp:posOffset>
            </wp:positionV>
            <wp:extent cx="889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6410960</wp:posOffset>
            </wp:positionH>
            <wp:positionV relativeFrom="paragraph">
              <wp:posOffset>-419735</wp:posOffset>
            </wp:positionV>
            <wp:extent cx="889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-419735</wp:posOffset>
            </wp:positionV>
            <wp:extent cx="889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-419735</wp:posOffset>
            </wp:positionV>
            <wp:extent cx="889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-419735</wp:posOffset>
            </wp:positionV>
            <wp:extent cx="889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-419735</wp:posOffset>
            </wp:positionV>
            <wp:extent cx="889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-419735</wp:posOffset>
            </wp:positionV>
            <wp:extent cx="889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-419735</wp:posOffset>
            </wp:positionV>
            <wp:extent cx="889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889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-419735</wp:posOffset>
            </wp:positionV>
            <wp:extent cx="889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-736600</wp:posOffset>
            </wp:positionV>
            <wp:extent cx="889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6410960</wp:posOffset>
            </wp:positionH>
            <wp:positionV relativeFrom="paragraph">
              <wp:posOffset>-736600</wp:posOffset>
            </wp:positionV>
            <wp:extent cx="889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-736600</wp:posOffset>
            </wp:positionV>
            <wp:extent cx="889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-736600</wp:posOffset>
            </wp:positionV>
            <wp:extent cx="889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-736600</wp:posOffset>
            </wp:positionV>
            <wp:extent cx="889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-736600</wp:posOffset>
            </wp:positionV>
            <wp:extent cx="889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-736600</wp:posOffset>
            </wp:positionV>
            <wp:extent cx="889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-736600</wp:posOffset>
            </wp:positionV>
            <wp:extent cx="889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889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-736600</wp:posOffset>
            </wp:positionV>
            <wp:extent cx="889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-1054100</wp:posOffset>
            </wp:positionV>
            <wp:extent cx="889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6410960</wp:posOffset>
            </wp:positionH>
            <wp:positionV relativeFrom="paragraph">
              <wp:posOffset>-1054100</wp:posOffset>
            </wp:positionV>
            <wp:extent cx="889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-1054100</wp:posOffset>
            </wp:positionV>
            <wp:extent cx="889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-1054100</wp:posOffset>
            </wp:positionV>
            <wp:extent cx="889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-1054100</wp:posOffset>
            </wp:positionV>
            <wp:extent cx="889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-1054100</wp:posOffset>
            </wp:positionV>
            <wp:extent cx="889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-1054100</wp:posOffset>
            </wp:positionV>
            <wp:extent cx="889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-1054100</wp:posOffset>
            </wp:positionV>
            <wp:extent cx="889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889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-1054100</wp:posOffset>
            </wp:positionV>
            <wp:extent cx="889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-1465580</wp:posOffset>
            </wp:positionV>
            <wp:extent cx="889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6410960</wp:posOffset>
            </wp:positionH>
            <wp:positionV relativeFrom="paragraph">
              <wp:posOffset>-1465580</wp:posOffset>
            </wp:positionV>
            <wp:extent cx="889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-1465580</wp:posOffset>
            </wp:positionV>
            <wp:extent cx="889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-1465580</wp:posOffset>
            </wp:positionV>
            <wp:extent cx="889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-1465580</wp:posOffset>
            </wp:positionV>
            <wp:extent cx="889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-1465580</wp:posOffset>
            </wp:positionV>
            <wp:extent cx="889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-1465580</wp:posOffset>
            </wp:positionV>
            <wp:extent cx="889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-1465580</wp:posOffset>
            </wp:positionV>
            <wp:extent cx="889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889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-1465580</wp:posOffset>
            </wp:positionV>
            <wp:extent cx="889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-1689100</wp:posOffset>
            </wp:positionV>
            <wp:extent cx="889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-1689100</wp:posOffset>
            </wp:positionV>
            <wp:extent cx="889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86" w:lineRule="exact"/>
        <w:rPr>
          <w:sz w:val="20"/>
          <w:szCs w:val="20"/>
          <w:color w:val="auto"/>
        </w:rPr>
      </w:pPr>
    </w:p>
    <w:p>
      <w:pPr>
        <w:ind w:left="1140" w:right="100" w:hanging="565"/>
        <w:spacing w:after="0" w:line="239"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incremental cost of personal use of the company car (including commutation) is calculated based on an allocation of the cost of the driver, tolls, fuel and maintenance.</w:t>
      </w:r>
    </w:p>
    <w:p>
      <w:pPr>
        <w:spacing w:after="0" w:line="60"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Shavel began employment at NASDAQ OMX effective May 23, 2011.</w:t>
      </w:r>
    </w:p>
    <w:p>
      <w:pPr>
        <w:spacing w:after="0" w:line="144"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59</w:t>
      </w:r>
    </w:p>
    <w:p>
      <w:pPr>
        <w:sectPr>
          <w:pgSz w:w="11900" w:h="16838" w:orient="portrait"/>
          <w:cols w:equalWidth="0" w:num="1">
            <w:col w:w="11440"/>
          </w:cols>
          <w:pgMar w:left="240" w:top="459" w:right="2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NASDAQ OMX currently has employment agreements with two of its named executive officers, Messrs. Greifeld and Jochumsen.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88A6"/>
        </w:rPr>
        <w:t>Robert Greifeld</w:t>
      </w:r>
    </w:p>
    <w:p>
      <w:pPr>
        <w:spacing w:after="0" w:line="72"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On February 22, 2012, NASDAQ OMX entered into a new employment agreement with Robert Greifeld, NASDAQ OMX’s CEO. The new employment agreement replaced NASDAQ OMX’s existing employment agreement with Mr. Greifeld, which was effective January 1, 2007. In addition to the new employment agreement, NASDAQ OMX and Mr. Greifeld entered into a confidentiality, non-solicitation and invention assignment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new employment agreement with Mr. Greifeld has a term of five years, with no automatic renewals thereafter. The agreement provides for:</w:t>
      </w:r>
    </w:p>
    <w:p>
      <w:pPr>
        <w:spacing w:after="0" w:line="63" w:lineRule="exact"/>
        <w:rPr>
          <w:sz w:val="20"/>
          <w:szCs w:val="20"/>
          <w:color w:val="auto"/>
        </w:rPr>
      </w:pPr>
    </w:p>
    <w:p>
      <w:pPr>
        <w:ind w:left="1120" w:hanging="437"/>
        <w:spacing w:after="0"/>
        <w:tabs>
          <w:tab w:leader="none" w:pos="1120" w:val="left"/>
        </w:tabs>
        <w:numPr>
          <w:ilvl w:val="0"/>
          <w:numId w:val="52"/>
        </w:numPr>
        <w:rPr>
          <w:rFonts w:ascii="Arial" w:cs="Arial" w:eastAsia="Arial" w:hAnsi="Arial"/>
          <w:sz w:val="18"/>
          <w:szCs w:val="18"/>
          <w:color w:val="0088A6"/>
        </w:rPr>
      </w:pPr>
      <w:r>
        <w:rPr>
          <w:rFonts w:ascii="Arial" w:cs="Arial" w:eastAsia="Arial" w:hAnsi="Arial"/>
          <w:sz w:val="18"/>
          <w:szCs w:val="18"/>
          <w:color w:val="auto"/>
        </w:rPr>
        <w:t>annual base salary of not less than $1,000,000; and</w:t>
      </w:r>
    </w:p>
    <w:p>
      <w:pPr>
        <w:spacing w:after="0" w:line="63" w:lineRule="exact"/>
        <w:rPr>
          <w:rFonts w:ascii="Arial" w:cs="Arial" w:eastAsia="Arial" w:hAnsi="Arial"/>
          <w:sz w:val="18"/>
          <w:szCs w:val="18"/>
          <w:color w:val="0088A6"/>
        </w:rPr>
      </w:pPr>
    </w:p>
    <w:p>
      <w:pPr>
        <w:ind w:left="1120" w:right="220" w:hanging="437"/>
        <w:spacing w:after="0" w:line="299" w:lineRule="auto"/>
        <w:tabs>
          <w:tab w:leader="none" w:pos="1120" w:val="left"/>
        </w:tabs>
        <w:numPr>
          <w:ilvl w:val="0"/>
          <w:numId w:val="52"/>
        </w:numPr>
        <w:rPr>
          <w:rFonts w:ascii="Arial" w:cs="Arial" w:eastAsia="Arial" w:hAnsi="Arial"/>
          <w:sz w:val="16"/>
          <w:szCs w:val="16"/>
          <w:color w:val="0088A6"/>
        </w:rPr>
      </w:pPr>
      <w:r>
        <w:rPr>
          <w:rFonts w:ascii="Arial" w:cs="Arial" w:eastAsia="Arial" w:hAnsi="Arial"/>
          <w:sz w:val="16"/>
          <w:szCs w:val="16"/>
          <w:color w:val="auto"/>
        </w:rPr>
        <w:t>annual incentive compensation that is targeted at not less than 200% of base salary based on the achievement of one or more performance goals established for such year by the management compensation committee of NASDAQ OMX’s board of directors.</w:t>
      </w:r>
    </w:p>
    <w:p>
      <w:pPr>
        <w:spacing w:after="0" w:line="6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agreement does not guarantee the grant of any equity awards to Mr. Greifeld. Mr. Greifeld may be granted equity awards under the Equity Plan, based on the management compensation committee’s evaluation of the performance of NASDAQ OMX and Mr. Greifeld, peer group market data and internal equity, and consistent with past practices with respect to the combined aggregate value of prior grants.</w:t>
      </w:r>
    </w:p>
    <w:p>
      <w:pPr>
        <w:spacing w:after="0" w:line="1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agreement prohibits Mr. Greifeld from rendering services to a competing entity for a period of two years following the date of termination of employment. To receive certain termination payments and benefits under the new employment agreement, Mr. Greifeld must execute a general release of claims against NASDAQ OMX. In addition, such termination payments and benefits are generally subject to discontinuation in the event Mr. Greifeld breaches the restrictive covenants in either the employment agreement or the confidentiality, non-solicitation and invention assignment agreement.</w:t>
      </w:r>
    </w:p>
    <w:p>
      <w:pPr>
        <w:spacing w:after="0" w:line="117"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On December 11, 2012, NASDAQ OMX entered into a memorandum of understanding with Mr. Greifeld relating to the calculation of certain severance payments under his employment agreement. The memorandum of understanding clarifies the meanings of certain terms relevant to these calculations.</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employment agreement, as clarified by the memorandum of understanding, sets forth the payments that Mr. Greifeld will receive under various termination scenarios. For further information about these payments and benefits, see “Executive Compensation – Potential Payments Upon Termination or Change in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0088A6"/>
        </w:rPr>
        <w:t>Hans-Ole Jochumsen</w:t>
      </w:r>
    </w:p>
    <w:p>
      <w:pPr>
        <w:spacing w:after="0" w:line="7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NASDAQ OMX also has an employment agreement with Hans-Ole Jochumsen, our Executive Vice President, Transaction Services Nordic. The employment agreement was entered into on July 1, 2008 and may be terminated by NASDAQ OMX, subject to twelve months’ prior notice, or by Mr. Jochumsen, subject to six months’ prior notice. If not previously terminated, the agreement will automatically terminate at the earlier of the date of Mr. Jochumsen’s retirement or his reaching the age of sixty-five.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agreement provides for:</w:t>
      </w:r>
    </w:p>
    <w:p>
      <w:pPr>
        <w:spacing w:after="0" w:line="63" w:lineRule="exact"/>
        <w:rPr>
          <w:sz w:val="20"/>
          <w:szCs w:val="20"/>
          <w:color w:val="auto"/>
        </w:rPr>
      </w:pPr>
    </w:p>
    <w:p>
      <w:pPr>
        <w:ind w:left="1120" w:right="660" w:hanging="437"/>
        <w:spacing w:after="0" w:line="239" w:lineRule="auto"/>
        <w:tabs>
          <w:tab w:leader="none" w:pos="1120" w:val="left"/>
        </w:tabs>
        <w:numPr>
          <w:ilvl w:val="0"/>
          <w:numId w:val="53"/>
        </w:numPr>
        <w:rPr>
          <w:rFonts w:ascii="Arial" w:cs="Arial" w:eastAsia="Arial" w:hAnsi="Arial"/>
          <w:sz w:val="18"/>
          <w:szCs w:val="18"/>
          <w:color w:val="0088A6"/>
        </w:rPr>
      </w:pPr>
      <w:r>
        <w:rPr>
          <w:rFonts w:ascii="Arial" w:cs="Arial" w:eastAsia="Arial" w:hAnsi="Arial"/>
          <w:sz w:val="18"/>
          <w:szCs w:val="18"/>
          <w:color w:val="auto"/>
        </w:rPr>
        <w:t>an annual base salary of not less than 3,200,000 Swedish Krona, to be reviewed each year consistent with NASDAQ OMX’s policies; and</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20" w:hanging="437"/>
        <w:spacing w:after="0"/>
        <w:tabs>
          <w:tab w:leader="none" w:pos="1120" w:val="left"/>
        </w:tabs>
        <w:numPr>
          <w:ilvl w:val="0"/>
          <w:numId w:val="54"/>
        </w:numPr>
        <w:rPr>
          <w:rFonts w:ascii="Arial" w:cs="Arial" w:eastAsia="Arial" w:hAnsi="Arial"/>
          <w:sz w:val="18"/>
          <w:szCs w:val="18"/>
          <w:color w:val="0088A6"/>
        </w:rPr>
      </w:pPr>
      <w:r>
        <w:rPr>
          <w:rFonts w:ascii="Arial" w:cs="Arial" w:eastAsia="Arial" w:hAnsi="Arial"/>
          <w:sz w:val="18"/>
          <w:szCs w:val="18"/>
          <w:color w:val="auto"/>
        </w:rPr>
        <w:t>a pension contribution totaling 20% of his monthly base salary during the term of the agreement.</w:t>
      </w:r>
    </w:p>
    <w:p>
      <w:pPr>
        <w:spacing w:after="0" w:line="117"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The agreement does not guarantee the grant of any equity awards to Mr. Jochumsen. Mr. Jochumsen may be granted equity awards under the Equity Plan, at the discretion of the board of directors. Mr. Jochumsen is entitled to health and long term disability coverage and other benefits consistent with NASDAQ OMX’s policies.</w:t>
      </w:r>
    </w:p>
    <w:p>
      <w:pPr>
        <w:spacing w:after="0" w:line="1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Upon termination of employment by Mr. Jochumsen, the agreement prohibits Mr. Jochumsen from rendering services to a competing entity for a period of six months following the date of termination. During this six month period, Mr. Jochumsen will be entitled to his monthly salary. Upon termination of the employment agreement by Mr. Jochumsen or NASDAQ OMX, Mr. Jochumsen is restricted from soliciting NASDAQ OMX employees for a period of twelve months from the termination date.</w:t>
      </w:r>
    </w:p>
    <w:p>
      <w:pPr>
        <w:spacing w:after="0" w:line="11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agreement sets forth the payments that Mr. Jochumsen will receive under various termination scenarios. For further information about these payments and benefits, see “Executive Compensation – Potential Payments Upon Termination or Change in Control.”</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7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following table sets forth certain information with respect to the plan-based awards granted to each of the named executive officers during the fiscal year ended December 31, 2012.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Grants of Plan-Based Awards Table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220" w:type="dxa"/>
            <w:vAlign w:val="bottom"/>
            <w:tcBorders>
              <w:left w:val="single" w:sz="8" w:color="BFBFBF"/>
              <w:right w:val="single" w:sz="8" w:color="BFBFBF"/>
            </w:tcBorders>
            <w:shd w:val="clear" w:color="auto" w:fill="0088A6"/>
          </w:tcPr>
          <w:p>
            <w:pPr>
              <w:spacing w:after="0"/>
              <w:rPr>
                <w:sz w:val="14"/>
                <w:szCs w:val="14"/>
                <w:color w:val="auto"/>
              </w:rPr>
            </w:pPr>
          </w:p>
        </w:tc>
        <w:tc>
          <w:tcPr>
            <w:tcW w:w="60" w:type="dxa"/>
            <w:vAlign w:val="bottom"/>
            <w:shd w:val="clear" w:color="auto" w:fill="0088A6"/>
          </w:tcPr>
          <w:p>
            <w:pPr>
              <w:spacing w:after="0"/>
              <w:rPr>
                <w:sz w:val="14"/>
                <w:szCs w:val="14"/>
                <w:color w:val="auto"/>
              </w:rPr>
            </w:pPr>
          </w:p>
        </w:tc>
        <w:tc>
          <w:tcPr>
            <w:tcW w:w="620" w:type="dxa"/>
            <w:vAlign w:val="bottom"/>
            <w:tcBorders>
              <w:right w:val="single" w:sz="8" w:color="BFBFBF"/>
            </w:tcBorders>
            <w:shd w:val="clear" w:color="auto" w:fill="0088A6"/>
          </w:tcPr>
          <w:p>
            <w:pPr>
              <w:spacing w:after="0"/>
              <w:rPr>
                <w:sz w:val="14"/>
                <w:szCs w:val="14"/>
                <w:color w:val="auto"/>
              </w:rPr>
            </w:pPr>
          </w:p>
        </w:tc>
        <w:tc>
          <w:tcPr>
            <w:tcW w:w="60" w:type="dxa"/>
            <w:vAlign w:val="bottom"/>
            <w:shd w:val="clear" w:color="auto" w:fill="0088A6"/>
          </w:tcPr>
          <w:p>
            <w:pPr>
              <w:spacing w:after="0"/>
              <w:rPr>
                <w:sz w:val="14"/>
                <w:szCs w:val="14"/>
                <w:color w:val="auto"/>
              </w:rPr>
            </w:pPr>
          </w:p>
        </w:tc>
        <w:tc>
          <w:tcPr>
            <w:tcW w:w="2640" w:type="dxa"/>
            <w:vAlign w:val="bottom"/>
            <w:tcBorders>
              <w:right w:val="single" w:sz="8" w:color="BFBFBF"/>
            </w:tcBorders>
            <w:gridSpan w:val="8"/>
            <w:shd w:val="clear" w:color="auto" w:fill="0088A6"/>
          </w:tcPr>
          <w:p>
            <w:pPr>
              <w:jc w:val="center"/>
              <w:ind w:right="120"/>
              <w:spacing w:after="0"/>
              <w:rPr>
                <w:sz w:val="20"/>
                <w:szCs w:val="20"/>
                <w:color w:val="auto"/>
              </w:rPr>
            </w:pPr>
            <w:r>
              <w:rPr>
                <w:rFonts w:ascii="Arial" w:cs="Arial" w:eastAsia="Arial" w:hAnsi="Arial"/>
                <w:sz w:val="14"/>
                <w:szCs w:val="14"/>
                <w:b w:val="1"/>
                <w:bCs w:val="1"/>
                <w:color w:val="FFFFFF"/>
                <w:w w:val="96"/>
              </w:rPr>
              <w:t>Estimated Possible Payouts</w:t>
            </w:r>
          </w:p>
        </w:tc>
        <w:tc>
          <w:tcPr>
            <w:tcW w:w="40" w:type="dxa"/>
            <w:vAlign w:val="bottom"/>
            <w:shd w:val="clear" w:color="auto" w:fill="0088A6"/>
          </w:tcPr>
          <w:p>
            <w:pPr>
              <w:spacing w:after="0"/>
              <w:rPr>
                <w:sz w:val="14"/>
                <w:szCs w:val="14"/>
                <w:color w:val="auto"/>
              </w:rPr>
            </w:pPr>
          </w:p>
        </w:tc>
        <w:tc>
          <w:tcPr>
            <w:tcW w:w="2320" w:type="dxa"/>
            <w:vAlign w:val="bottom"/>
            <w:tcBorders>
              <w:right w:val="single" w:sz="8" w:color="BFBFBF"/>
            </w:tcBorders>
            <w:gridSpan w:val="9"/>
            <w:shd w:val="clear" w:color="auto" w:fill="0088A6"/>
          </w:tcPr>
          <w:p>
            <w:pPr>
              <w:jc w:val="center"/>
              <w:ind w:right="100"/>
              <w:spacing w:after="0"/>
              <w:rPr>
                <w:sz w:val="20"/>
                <w:szCs w:val="20"/>
                <w:color w:val="auto"/>
              </w:rPr>
            </w:pPr>
            <w:r>
              <w:rPr>
                <w:rFonts w:ascii="Arial" w:cs="Arial" w:eastAsia="Arial" w:hAnsi="Arial"/>
                <w:sz w:val="14"/>
                <w:szCs w:val="14"/>
                <w:b w:val="1"/>
                <w:bCs w:val="1"/>
                <w:color w:val="FFFFFF"/>
                <w:w w:val="96"/>
              </w:rPr>
              <w:t>Estimated Future Payouts</w:t>
            </w:r>
          </w:p>
        </w:tc>
        <w:tc>
          <w:tcPr>
            <w:tcW w:w="80" w:type="dxa"/>
            <w:vAlign w:val="bottom"/>
            <w:shd w:val="clear" w:color="auto" w:fill="0088A6"/>
          </w:tcPr>
          <w:p>
            <w:pPr>
              <w:spacing w:after="0"/>
              <w:rPr>
                <w:sz w:val="14"/>
                <w:szCs w:val="14"/>
                <w:color w:val="auto"/>
              </w:rPr>
            </w:pPr>
          </w:p>
        </w:tc>
        <w:tc>
          <w:tcPr>
            <w:tcW w:w="540" w:type="dxa"/>
            <w:vAlign w:val="bottom"/>
            <w:shd w:val="clear" w:color="auto" w:fill="0088A6"/>
          </w:tcPr>
          <w:p>
            <w:pPr>
              <w:spacing w:after="0"/>
              <w:rPr>
                <w:sz w:val="14"/>
                <w:szCs w:val="14"/>
                <w:color w:val="auto"/>
              </w:rPr>
            </w:pPr>
          </w:p>
        </w:tc>
        <w:tc>
          <w:tcPr>
            <w:tcW w:w="12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720" w:type="dxa"/>
            <w:vAlign w:val="bottom"/>
            <w:shd w:val="clear" w:color="auto" w:fill="0088A6"/>
          </w:tcPr>
          <w:p>
            <w:pPr>
              <w:spacing w:after="0"/>
              <w:rPr>
                <w:sz w:val="14"/>
                <w:szCs w:val="14"/>
                <w:color w:val="auto"/>
              </w:rPr>
            </w:pPr>
          </w:p>
        </w:tc>
        <w:tc>
          <w:tcPr>
            <w:tcW w:w="100" w:type="dxa"/>
            <w:vAlign w:val="bottom"/>
            <w:tcBorders>
              <w:right w:val="single" w:sz="8" w:color="BFBFBF"/>
            </w:tcBorders>
            <w:shd w:val="clear" w:color="auto" w:fill="0088A6"/>
          </w:tcPr>
          <w:p>
            <w:pPr>
              <w:spacing w:after="0"/>
              <w:rPr>
                <w:sz w:val="14"/>
                <w:szCs w:val="14"/>
                <w:color w:val="auto"/>
              </w:rPr>
            </w:pPr>
          </w:p>
        </w:tc>
        <w:tc>
          <w:tcPr>
            <w:tcW w:w="100" w:type="dxa"/>
            <w:vAlign w:val="bottom"/>
            <w:shd w:val="clear" w:color="auto" w:fill="0088A6"/>
          </w:tcPr>
          <w:p>
            <w:pPr>
              <w:spacing w:after="0"/>
              <w:rPr>
                <w:sz w:val="14"/>
                <w:szCs w:val="14"/>
                <w:color w:val="auto"/>
              </w:rPr>
            </w:pPr>
          </w:p>
        </w:tc>
        <w:tc>
          <w:tcPr>
            <w:tcW w:w="560" w:type="dxa"/>
            <w:vAlign w:val="bottom"/>
            <w:shd w:val="clear" w:color="auto" w:fill="0088A6"/>
          </w:tcPr>
          <w:p>
            <w:pPr>
              <w:spacing w:after="0"/>
              <w:rPr>
                <w:sz w:val="14"/>
                <w:szCs w:val="14"/>
                <w:color w:val="auto"/>
              </w:rPr>
            </w:pPr>
          </w:p>
        </w:tc>
        <w:tc>
          <w:tcPr>
            <w:tcW w:w="100" w:type="dxa"/>
            <w:vAlign w:val="bottom"/>
            <w:tcBorders>
              <w:right w:val="single" w:sz="8" w:color="BFBFBF"/>
            </w:tcBorders>
            <w:shd w:val="clear" w:color="auto" w:fill="0088A6"/>
          </w:tcPr>
          <w:p>
            <w:pPr>
              <w:spacing w:after="0"/>
              <w:rPr>
                <w:sz w:val="14"/>
                <w:szCs w:val="14"/>
                <w:color w:val="auto"/>
              </w:rPr>
            </w:pPr>
          </w:p>
        </w:tc>
        <w:tc>
          <w:tcPr>
            <w:tcW w:w="60" w:type="dxa"/>
            <w:vAlign w:val="bottom"/>
            <w:shd w:val="clear" w:color="auto" w:fill="0088A6"/>
          </w:tcPr>
          <w:p>
            <w:pPr>
              <w:spacing w:after="0"/>
              <w:rPr>
                <w:sz w:val="14"/>
                <w:szCs w:val="14"/>
                <w:color w:val="auto"/>
              </w:rPr>
            </w:pPr>
          </w:p>
        </w:tc>
        <w:tc>
          <w:tcPr>
            <w:tcW w:w="820" w:type="dxa"/>
            <w:vAlign w:val="bottom"/>
            <w:shd w:val="clear" w:color="auto" w:fill="0088A6"/>
          </w:tcPr>
          <w:p>
            <w:pPr>
              <w:spacing w:after="0"/>
              <w:rPr>
                <w:sz w:val="14"/>
                <w:szCs w:val="14"/>
                <w:color w:val="auto"/>
              </w:rPr>
            </w:pPr>
          </w:p>
        </w:tc>
        <w:tc>
          <w:tcPr>
            <w:tcW w:w="200" w:type="dxa"/>
            <w:vAlign w:val="bottom"/>
            <w:tcBorders>
              <w:right w:val="single" w:sz="8" w:color="BFBFBF"/>
            </w:tcBorders>
            <w:shd w:val="clear" w:color="auto" w:fill="0088A6"/>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BFBFBF"/>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1980" w:type="dxa"/>
            <w:vAlign w:val="bottom"/>
            <w:tcBorders>
              <w:right w:val="single" w:sz="8" w:color="BFBFBF"/>
            </w:tcBorders>
            <w:gridSpan w:val="7"/>
            <w:shd w:val="clear" w:color="auto" w:fill="0088A6"/>
          </w:tcPr>
          <w:p>
            <w:pPr>
              <w:jc w:val="center"/>
              <w:ind w:right="800"/>
              <w:spacing w:after="0" w:line="149" w:lineRule="exact"/>
              <w:rPr>
                <w:sz w:val="20"/>
                <w:szCs w:val="20"/>
                <w:color w:val="auto"/>
              </w:rPr>
            </w:pPr>
            <w:r>
              <w:rPr>
                <w:rFonts w:ascii="Arial" w:cs="Arial" w:eastAsia="Arial" w:hAnsi="Arial"/>
                <w:sz w:val="14"/>
                <w:szCs w:val="14"/>
                <w:b w:val="1"/>
                <w:bCs w:val="1"/>
                <w:color w:val="FFFFFF"/>
                <w:w w:val="95"/>
              </w:rPr>
              <w:t>Under Non-Equity</w:t>
            </w:r>
          </w:p>
        </w:tc>
        <w:tc>
          <w:tcPr>
            <w:tcW w:w="4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900" w:type="dxa"/>
            <w:vAlign w:val="bottom"/>
            <w:gridSpan w:val="5"/>
            <w:shd w:val="clear" w:color="auto" w:fill="0088A6"/>
          </w:tcPr>
          <w:p>
            <w:pPr>
              <w:jc w:val="center"/>
              <w:ind w:right="60"/>
              <w:spacing w:after="0" w:line="149" w:lineRule="exact"/>
              <w:rPr>
                <w:sz w:val="20"/>
                <w:szCs w:val="20"/>
                <w:color w:val="auto"/>
              </w:rPr>
            </w:pPr>
            <w:r>
              <w:rPr>
                <w:rFonts w:ascii="Arial" w:cs="Arial" w:eastAsia="Arial" w:hAnsi="Arial"/>
                <w:sz w:val="14"/>
                <w:szCs w:val="14"/>
                <w:b w:val="1"/>
                <w:bCs w:val="1"/>
                <w:color w:val="FFFFFF"/>
                <w:w w:val="96"/>
              </w:rPr>
              <w:t>Under Equity</w:t>
            </w:r>
          </w:p>
        </w:tc>
        <w:tc>
          <w:tcPr>
            <w:tcW w:w="64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54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82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20" w:type="dxa"/>
            <w:vAlign w:val="bottom"/>
            <w:tcBorders>
              <w:left w:val="single" w:sz="8" w:color="BFBFBF"/>
              <w:right w:val="single" w:sz="8" w:color="BFBFBF"/>
            </w:tcBorders>
            <w:shd w:val="clear" w:color="auto" w:fill="0088A6"/>
          </w:tcPr>
          <w:p>
            <w:pPr>
              <w:spacing w:after="0"/>
              <w:rPr>
                <w:sz w:val="16"/>
                <w:szCs w:val="16"/>
                <w:color w:val="auto"/>
              </w:rPr>
            </w:pPr>
          </w:p>
        </w:tc>
        <w:tc>
          <w:tcPr>
            <w:tcW w:w="60" w:type="dxa"/>
            <w:vAlign w:val="bottom"/>
            <w:shd w:val="clear" w:color="auto" w:fill="0088A6"/>
          </w:tcPr>
          <w:p>
            <w:pPr>
              <w:spacing w:after="0"/>
              <w:rPr>
                <w:sz w:val="16"/>
                <w:szCs w:val="16"/>
                <w:color w:val="auto"/>
              </w:rPr>
            </w:pPr>
          </w:p>
        </w:tc>
        <w:tc>
          <w:tcPr>
            <w:tcW w:w="620" w:type="dxa"/>
            <w:vAlign w:val="bottom"/>
            <w:tcBorders>
              <w:right w:val="single" w:sz="8" w:color="BFBFBF"/>
            </w:tcBorders>
            <w:shd w:val="clear" w:color="auto" w:fill="0088A6"/>
          </w:tcPr>
          <w:p>
            <w:pPr>
              <w:spacing w:after="0"/>
              <w:rPr>
                <w:sz w:val="16"/>
                <w:szCs w:val="16"/>
                <w:color w:val="auto"/>
              </w:rPr>
            </w:pPr>
          </w:p>
        </w:tc>
        <w:tc>
          <w:tcPr>
            <w:tcW w:w="60" w:type="dxa"/>
            <w:vAlign w:val="bottom"/>
            <w:shd w:val="clear" w:color="auto" w:fill="0088A6"/>
          </w:tcPr>
          <w:p>
            <w:pPr>
              <w:spacing w:after="0"/>
              <w:rPr>
                <w:sz w:val="16"/>
                <w:szCs w:val="16"/>
                <w:color w:val="auto"/>
              </w:rPr>
            </w:pPr>
          </w:p>
        </w:tc>
        <w:tc>
          <w:tcPr>
            <w:tcW w:w="2640" w:type="dxa"/>
            <w:vAlign w:val="bottom"/>
            <w:tcBorders>
              <w:right w:val="single" w:sz="8" w:color="BFBFBF"/>
            </w:tcBorders>
            <w:gridSpan w:val="8"/>
            <w:shd w:val="clear" w:color="auto" w:fill="0088A6"/>
          </w:tcPr>
          <w:p>
            <w:pPr>
              <w:jc w:val="center"/>
              <w:ind w:right="120"/>
              <w:spacing w:after="0"/>
              <w:rPr>
                <w:sz w:val="20"/>
                <w:szCs w:val="20"/>
                <w:color w:val="auto"/>
              </w:rPr>
            </w:pPr>
            <w:r>
              <w:rPr>
                <w:rFonts w:ascii="Arial" w:cs="Arial" w:eastAsia="Arial" w:hAnsi="Arial"/>
                <w:sz w:val="14"/>
                <w:szCs w:val="14"/>
                <w:b w:val="1"/>
                <w:bCs w:val="1"/>
                <w:color w:val="FFFFFF"/>
                <w:w w:val="96"/>
              </w:rPr>
              <w:t>Incentive Plan Awards(1)</w:t>
            </w:r>
          </w:p>
        </w:tc>
        <w:tc>
          <w:tcPr>
            <w:tcW w:w="40" w:type="dxa"/>
            <w:vAlign w:val="bottom"/>
            <w:shd w:val="clear" w:color="auto" w:fill="0088A6"/>
          </w:tcPr>
          <w:p>
            <w:pPr>
              <w:spacing w:after="0"/>
              <w:rPr>
                <w:sz w:val="16"/>
                <w:szCs w:val="16"/>
                <w:color w:val="auto"/>
              </w:rPr>
            </w:pPr>
          </w:p>
        </w:tc>
        <w:tc>
          <w:tcPr>
            <w:tcW w:w="2320" w:type="dxa"/>
            <w:vAlign w:val="bottom"/>
            <w:tcBorders>
              <w:right w:val="single" w:sz="8" w:color="BFBFBF"/>
            </w:tcBorders>
            <w:gridSpan w:val="9"/>
            <w:shd w:val="clear" w:color="auto" w:fill="0088A6"/>
          </w:tcPr>
          <w:p>
            <w:pPr>
              <w:jc w:val="center"/>
              <w:ind w:right="120"/>
              <w:spacing w:after="0"/>
              <w:rPr>
                <w:sz w:val="20"/>
                <w:szCs w:val="20"/>
                <w:color w:val="auto"/>
              </w:rPr>
            </w:pPr>
            <w:r>
              <w:rPr>
                <w:rFonts w:ascii="Arial" w:cs="Arial" w:eastAsia="Arial" w:hAnsi="Arial"/>
                <w:sz w:val="14"/>
                <w:szCs w:val="14"/>
                <w:b w:val="1"/>
                <w:bCs w:val="1"/>
                <w:color w:val="FFFFFF"/>
                <w:w w:val="96"/>
              </w:rPr>
              <w:t>Incentive Plan Awards(2)</w:t>
            </w:r>
          </w:p>
        </w:tc>
        <w:tc>
          <w:tcPr>
            <w:tcW w:w="80" w:type="dxa"/>
            <w:vAlign w:val="bottom"/>
            <w:shd w:val="clear" w:color="auto" w:fill="0088A6"/>
          </w:tcPr>
          <w:p>
            <w:pPr>
              <w:spacing w:after="0"/>
              <w:rPr>
                <w:sz w:val="16"/>
                <w:szCs w:val="16"/>
                <w:color w:val="auto"/>
              </w:rPr>
            </w:pPr>
          </w:p>
        </w:tc>
        <w:tc>
          <w:tcPr>
            <w:tcW w:w="540" w:type="dxa"/>
            <w:vAlign w:val="bottom"/>
            <w:shd w:val="clear" w:color="auto" w:fill="0088A6"/>
          </w:tcPr>
          <w:p>
            <w:pPr>
              <w:spacing w:after="0"/>
              <w:rPr>
                <w:sz w:val="16"/>
                <w:szCs w:val="16"/>
                <w:color w:val="auto"/>
              </w:rPr>
            </w:pPr>
          </w:p>
        </w:tc>
        <w:tc>
          <w:tcPr>
            <w:tcW w:w="120" w:type="dxa"/>
            <w:vAlign w:val="bottom"/>
            <w:tcBorders>
              <w:right w:val="single" w:sz="8" w:color="BFBFBF"/>
            </w:tcBorders>
            <w:shd w:val="clear" w:color="auto" w:fill="0088A6"/>
          </w:tcPr>
          <w:p>
            <w:pPr>
              <w:spacing w:after="0"/>
              <w:rPr>
                <w:sz w:val="16"/>
                <w:szCs w:val="16"/>
                <w:color w:val="auto"/>
              </w:rPr>
            </w:pPr>
          </w:p>
        </w:tc>
        <w:tc>
          <w:tcPr>
            <w:tcW w:w="80" w:type="dxa"/>
            <w:vAlign w:val="bottom"/>
            <w:shd w:val="clear" w:color="auto" w:fill="0088A6"/>
          </w:tcPr>
          <w:p>
            <w:pPr>
              <w:spacing w:after="0"/>
              <w:rPr>
                <w:sz w:val="16"/>
                <w:szCs w:val="16"/>
                <w:color w:val="auto"/>
              </w:rPr>
            </w:pPr>
          </w:p>
        </w:tc>
        <w:tc>
          <w:tcPr>
            <w:tcW w:w="720" w:type="dxa"/>
            <w:vAlign w:val="bottom"/>
            <w:shd w:val="clear" w:color="auto" w:fill="0088A6"/>
          </w:tcPr>
          <w:p>
            <w:pPr>
              <w:spacing w:after="0"/>
              <w:rPr>
                <w:sz w:val="16"/>
                <w:szCs w:val="16"/>
                <w:color w:val="auto"/>
              </w:rPr>
            </w:pPr>
          </w:p>
        </w:tc>
        <w:tc>
          <w:tcPr>
            <w:tcW w:w="100" w:type="dxa"/>
            <w:vAlign w:val="bottom"/>
            <w:tcBorders>
              <w:right w:val="single" w:sz="8" w:color="BFBFBF"/>
            </w:tcBorders>
            <w:shd w:val="clear" w:color="auto" w:fill="0088A6"/>
          </w:tcPr>
          <w:p>
            <w:pPr>
              <w:spacing w:after="0"/>
              <w:rPr>
                <w:sz w:val="16"/>
                <w:szCs w:val="16"/>
                <w:color w:val="auto"/>
              </w:rPr>
            </w:pPr>
          </w:p>
        </w:tc>
        <w:tc>
          <w:tcPr>
            <w:tcW w:w="100" w:type="dxa"/>
            <w:vAlign w:val="bottom"/>
            <w:shd w:val="clear" w:color="auto" w:fill="0088A6"/>
          </w:tcPr>
          <w:p>
            <w:pPr>
              <w:spacing w:after="0"/>
              <w:rPr>
                <w:sz w:val="16"/>
                <w:szCs w:val="16"/>
                <w:color w:val="auto"/>
              </w:rPr>
            </w:pPr>
          </w:p>
        </w:tc>
        <w:tc>
          <w:tcPr>
            <w:tcW w:w="560" w:type="dxa"/>
            <w:vAlign w:val="bottom"/>
            <w:shd w:val="clear" w:color="auto" w:fill="0088A6"/>
          </w:tcPr>
          <w:p>
            <w:pPr>
              <w:spacing w:after="0"/>
              <w:rPr>
                <w:sz w:val="16"/>
                <w:szCs w:val="16"/>
                <w:color w:val="auto"/>
              </w:rPr>
            </w:pPr>
          </w:p>
        </w:tc>
        <w:tc>
          <w:tcPr>
            <w:tcW w:w="100" w:type="dxa"/>
            <w:vAlign w:val="bottom"/>
            <w:tcBorders>
              <w:right w:val="single" w:sz="8" w:color="BFBFBF"/>
            </w:tcBorders>
            <w:shd w:val="clear" w:color="auto" w:fill="0088A6"/>
          </w:tcPr>
          <w:p>
            <w:pPr>
              <w:spacing w:after="0"/>
              <w:rPr>
                <w:sz w:val="16"/>
                <w:szCs w:val="16"/>
                <w:color w:val="auto"/>
              </w:rPr>
            </w:pPr>
          </w:p>
        </w:tc>
        <w:tc>
          <w:tcPr>
            <w:tcW w:w="60" w:type="dxa"/>
            <w:vAlign w:val="bottom"/>
            <w:shd w:val="clear" w:color="auto" w:fill="0088A6"/>
          </w:tcPr>
          <w:p>
            <w:pPr>
              <w:spacing w:after="0"/>
              <w:rPr>
                <w:sz w:val="16"/>
                <w:szCs w:val="16"/>
                <w:color w:val="auto"/>
              </w:rPr>
            </w:pPr>
          </w:p>
        </w:tc>
        <w:tc>
          <w:tcPr>
            <w:tcW w:w="820" w:type="dxa"/>
            <w:vAlign w:val="bottom"/>
            <w:shd w:val="clear" w:color="auto" w:fill="0088A6"/>
          </w:tcPr>
          <w:p>
            <w:pPr>
              <w:spacing w:after="0"/>
              <w:rPr>
                <w:sz w:val="16"/>
                <w:szCs w:val="16"/>
                <w:color w:val="auto"/>
              </w:rPr>
            </w:pPr>
          </w:p>
        </w:tc>
        <w:tc>
          <w:tcPr>
            <w:tcW w:w="200" w:type="dxa"/>
            <w:vAlign w:val="bottom"/>
            <w:tcBorders>
              <w:right w:val="single" w:sz="8" w:color="BFBFBF"/>
            </w:tcBorders>
            <w:shd w:val="clear" w:color="auto" w:fill="0088A6"/>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220" w:type="dxa"/>
            <w:vAlign w:val="bottom"/>
            <w:tcBorders>
              <w:top w:val="single" w:sz="8" w:color="0088A6"/>
              <w:left w:val="single" w:sz="8" w:color="BFBFBF"/>
              <w:right w:val="single" w:sz="8" w:color="BFBFBF"/>
            </w:tcBorders>
            <w:shd w:val="clear" w:color="auto" w:fill="0088A6"/>
          </w:tcPr>
          <w:p>
            <w:pPr>
              <w:spacing w:after="0"/>
              <w:rPr>
                <w:sz w:val="11"/>
                <w:szCs w:val="11"/>
                <w:color w:val="auto"/>
              </w:rPr>
            </w:pPr>
          </w:p>
        </w:tc>
        <w:tc>
          <w:tcPr>
            <w:tcW w:w="60" w:type="dxa"/>
            <w:vAlign w:val="bottom"/>
            <w:tcBorders>
              <w:top w:val="single" w:sz="8" w:color="0088A6"/>
            </w:tcBorders>
            <w:shd w:val="clear" w:color="auto" w:fill="0088A6"/>
          </w:tcPr>
          <w:p>
            <w:pPr>
              <w:spacing w:after="0"/>
              <w:rPr>
                <w:sz w:val="11"/>
                <w:szCs w:val="11"/>
                <w:color w:val="auto"/>
              </w:rPr>
            </w:pPr>
          </w:p>
        </w:tc>
        <w:tc>
          <w:tcPr>
            <w:tcW w:w="620" w:type="dxa"/>
            <w:vAlign w:val="bottom"/>
            <w:tcBorders>
              <w:top w:val="single" w:sz="8" w:color="0088A6"/>
              <w:right w:val="single" w:sz="8" w:color="BFBFBF"/>
            </w:tcBorders>
            <w:shd w:val="clear" w:color="auto" w:fill="0088A6"/>
          </w:tcPr>
          <w:p>
            <w:pPr>
              <w:spacing w:after="0"/>
              <w:rPr>
                <w:sz w:val="11"/>
                <w:szCs w:val="11"/>
                <w:color w:val="auto"/>
              </w:rPr>
            </w:pPr>
          </w:p>
        </w:tc>
        <w:tc>
          <w:tcPr>
            <w:tcW w:w="60" w:type="dxa"/>
            <w:vAlign w:val="bottom"/>
            <w:tcBorders>
              <w:top w:val="single" w:sz="8" w:color="0088A6"/>
            </w:tcBorders>
            <w:shd w:val="clear" w:color="auto" w:fill="0088A6"/>
          </w:tcPr>
          <w:p>
            <w:pPr>
              <w:spacing w:after="0"/>
              <w:rPr>
                <w:sz w:val="11"/>
                <w:szCs w:val="11"/>
                <w:color w:val="auto"/>
              </w:rPr>
            </w:pPr>
          </w:p>
        </w:tc>
        <w:tc>
          <w:tcPr>
            <w:tcW w:w="660" w:type="dxa"/>
            <w:vAlign w:val="bottom"/>
            <w:tcBorders>
              <w:top w:val="single" w:sz="8" w:color="auto"/>
            </w:tcBorders>
            <w:shd w:val="clear" w:color="auto" w:fill="0088A6"/>
          </w:tcPr>
          <w:p>
            <w:pPr>
              <w:spacing w:after="0"/>
              <w:rPr>
                <w:sz w:val="11"/>
                <w:szCs w:val="11"/>
                <w:color w:val="auto"/>
              </w:rPr>
            </w:pPr>
          </w:p>
        </w:tc>
        <w:tc>
          <w:tcPr>
            <w:tcW w:w="100" w:type="dxa"/>
            <w:vAlign w:val="bottom"/>
            <w:tcBorders>
              <w:top w:val="single" w:sz="8" w:color="auto"/>
              <w:right w:val="single" w:sz="8" w:color="BFBFBF"/>
            </w:tcBorders>
            <w:shd w:val="clear" w:color="auto" w:fill="0088A6"/>
          </w:tcPr>
          <w:p>
            <w:pPr>
              <w:spacing w:after="0"/>
              <w:rPr>
                <w:sz w:val="11"/>
                <w:szCs w:val="11"/>
                <w:color w:val="auto"/>
              </w:rPr>
            </w:pPr>
          </w:p>
        </w:tc>
        <w:tc>
          <w:tcPr>
            <w:tcW w:w="60" w:type="dxa"/>
            <w:vAlign w:val="bottom"/>
            <w:tcBorders>
              <w:top w:val="single" w:sz="8" w:color="auto"/>
            </w:tcBorders>
            <w:shd w:val="clear" w:color="auto" w:fill="0088A6"/>
          </w:tcPr>
          <w:p>
            <w:pPr>
              <w:spacing w:after="0"/>
              <w:rPr>
                <w:sz w:val="11"/>
                <w:szCs w:val="11"/>
                <w:color w:val="auto"/>
              </w:rPr>
            </w:pPr>
          </w:p>
        </w:tc>
        <w:tc>
          <w:tcPr>
            <w:tcW w:w="680" w:type="dxa"/>
            <w:vAlign w:val="bottom"/>
            <w:tcBorders>
              <w:top w:val="single" w:sz="8" w:color="auto"/>
            </w:tcBorders>
            <w:shd w:val="clear" w:color="auto" w:fill="0088A6"/>
          </w:tcPr>
          <w:p>
            <w:pPr>
              <w:spacing w:after="0"/>
              <w:rPr>
                <w:sz w:val="11"/>
                <w:szCs w:val="11"/>
                <w:color w:val="auto"/>
              </w:rPr>
            </w:pPr>
          </w:p>
        </w:tc>
        <w:tc>
          <w:tcPr>
            <w:tcW w:w="120" w:type="dxa"/>
            <w:vAlign w:val="bottom"/>
            <w:tcBorders>
              <w:top w:val="single" w:sz="8" w:color="auto"/>
              <w:right w:val="single" w:sz="8" w:color="BFBFBF"/>
            </w:tcBorders>
            <w:shd w:val="clear" w:color="auto" w:fill="0088A6"/>
          </w:tcPr>
          <w:p>
            <w:pPr>
              <w:spacing w:after="0"/>
              <w:rPr>
                <w:sz w:val="11"/>
                <w:szCs w:val="11"/>
                <w:color w:val="auto"/>
              </w:rPr>
            </w:pPr>
          </w:p>
        </w:tc>
        <w:tc>
          <w:tcPr>
            <w:tcW w:w="40" w:type="dxa"/>
            <w:vAlign w:val="bottom"/>
            <w:tcBorders>
              <w:top w:val="single" w:sz="8" w:color="auto"/>
            </w:tcBorders>
            <w:shd w:val="clear" w:color="auto" w:fill="0088A6"/>
          </w:tcPr>
          <w:p>
            <w:pPr>
              <w:spacing w:after="0"/>
              <w:rPr>
                <w:sz w:val="11"/>
                <w:szCs w:val="11"/>
                <w:color w:val="auto"/>
              </w:rPr>
            </w:pPr>
          </w:p>
        </w:tc>
        <w:tc>
          <w:tcPr>
            <w:tcW w:w="860" w:type="dxa"/>
            <w:vAlign w:val="bottom"/>
            <w:tcBorders>
              <w:top w:val="single" w:sz="8" w:color="auto"/>
            </w:tcBorders>
            <w:shd w:val="clear" w:color="auto" w:fill="0088A6"/>
          </w:tcPr>
          <w:p>
            <w:pPr>
              <w:spacing w:after="0"/>
              <w:rPr>
                <w:sz w:val="11"/>
                <w:szCs w:val="11"/>
                <w:color w:val="auto"/>
              </w:rPr>
            </w:pPr>
          </w:p>
        </w:tc>
        <w:tc>
          <w:tcPr>
            <w:tcW w:w="120" w:type="dxa"/>
            <w:vAlign w:val="bottom"/>
            <w:tcBorders>
              <w:top w:val="single" w:sz="8" w:color="0088A6"/>
              <w:right w:val="single" w:sz="8" w:color="BFBFBF"/>
            </w:tcBorders>
            <w:shd w:val="clear" w:color="auto" w:fill="0088A6"/>
          </w:tcPr>
          <w:p>
            <w:pPr>
              <w:spacing w:after="0"/>
              <w:rPr>
                <w:sz w:val="11"/>
                <w:szCs w:val="11"/>
                <w:color w:val="auto"/>
              </w:rPr>
            </w:pPr>
          </w:p>
        </w:tc>
        <w:tc>
          <w:tcPr>
            <w:tcW w:w="40" w:type="dxa"/>
            <w:vAlign w:val="bottom"/>
            <w:tcBorders>
              <w:top w:val="single" w:sz="8" w:color="0088A6"/>
            </w:tcBorders>
            <w:shd w:val="clear" w:color="auto" w:fill="0088A6"/>
          </w:tcPr>
          <w:p>
            <w:pPr>
              <w:spacing w:after="0"/>
              <w:rPr>
                <w:sz w:val="11"/>
                <w:szCs w:val="11"/>
                <w:color w:val="auto"/>
              </w:rPr>
            </w:pPr>
          </w:p>
        </w:tc>
        <w:tc>
          <w:tcPr>
            <w:tcW w:w="660" w:type="dxa"/>
            <w:vAlign w:val="bottom"/>
            <w:tcBorders>
              <w:top w:val="single" w:sz="8" w:color="auto"/>
            </w:tcBorders>
            <w:shd w:val="clear" w:color="auto" w:fill="0088A6"/>
          </w:tcPr>
          <w:p>
            <w:pPr>
              <w:spacing w:after="0"/>
              <w:rPr>
                <w:sz w:val="11"/>
                <w:szCs w:val="11"/>
                <w:color w:val="auto"/>
              </w:rPr>
            </w:pPr>
          </w:p>
        </w:tc>
        <w:tc>
          <w:tcPr>
            <w:tcW w:w="20" w:type="dxa"/>
            <w:vAlign w:val="bottom"/>
            <w:tcBorders>
              <w:top w:val="single" w:sz="8" w:color="auto"/>
            </w:tcBorders>
            <w:shd w:val="clear" w:color="auto" w:fill="0088A6"/>
          </w:tcPr>
          <w:p>
            <w:pPr>
              <w:spacing w:after="0"/>
              <w:rPr>
                <w:sz w:val="11"/>
                <w:szCs w:val="11"/>
                <w:color w:val="auto"/>
              </w:rPr>
            </w:pPr>
          </w:p>
        </w:tc>
        <w:tc>
          <w:tcPr>
            <w:tcW w:w="100" w:type="dxa"/>
            <w:vAlign w:val="bottom"/>
            <w:tcBorders>
              <w:top w:val="single" w:sz="8" w:color="auto"/>
              <w:right w:val="single" w:sz="8" w:color="BFBFBF"/>
            </w:tcBorders>
            <w:shd w:val="clear" w:color="auto" w:fill="0088A6"/>
          </w:tcPr>
          <w:p>
            <w:pPr>
              <w:spacing w:after="0"/>
              <w:rPr>
                <w:sz w:val="11"/>
                <w:szCs w:val="11"/>
                <w:color w:val="auto"/>
              </w:rPr>
            </w:pPr>
          </w:p>
        </w:tc>
        <w:tc>
          <w:tcPr>
            <w:tcW w:w="60" w:type="dxa"/>
            <w:vAlign w:val="bottom"/>
            <w:tcBorders>
              <w:top w:val="single" w:sz="8" w:color="auto"/>
            </w:tcBorders>
            <w:shd w:val="clear" w:color="auto" w:fill="0088A6"/>
          </w:tcPr>
          <w:p>
            <w:pPr>
              <w:spacing w:after="0"/>
              <w:rPr>
                <w:sz w:val="11"/>
                <w:szCs w:val="11"/>
                <w:color w:val="auto"/>
              </w:rPr>
            </w:pPr>
          </w:p>
        </w:tc>
        <w:tc>
          <w:tcPr>
            <w:tcW w:w="560" w:type="dxa"/>
            <w:vAlign w:val="bottom"/>
            <w:tcBorders>
              <w:top w:val="single" w:sz="8" w:color="auto"/>
            </w:tcBorders>
            <w:shd w:val="clear" w:color="auto" w:fill="0088A6"/>
          </w:tcPr>
          <w:p>
            <w:pPr>
              <w:spacing w:after="0"/>
              <w:rPr>
                <w:sz w:val="11"/>
                <w:szCs w:val="11"/>
                <w:color w:val="auto"/>
              </w:rPr>
            </w:pPr>
          </w:p>
        </w:tc>
        <w:tc>
          <w:tcPr>
            <w:tcW w:w="120" w:type="dxa"/>
            <w:vAlign w:val="bottom"/>
            <w:tcBorders>
              <w:top w:val="single" w:sz="8" w:color="auto"/>
              <w:right w:val="single" w:sz="8" w:color="BFBFBF"/>
            </w:tcBorders>
            <w:shd w:val="clear" w:color="auto" w:fill="0088A6"/>
          </w:tcPr>
          <w:p>
            <w:pPr>
              <w:spacing w:after="0"/>
              <w:rPr>
                <w:sz w:val="11"/>
                <w:szCs w:val="11"/>
                <w:color w:val="auto"/>
              </w:rPr>
            </w:pPr>
          </w:p>
        </w:tc>
        <w:tc>
          <w:tcPr>
            <w:tcW w:w="60" w:type="dxa"/>
            <w:vAlign w:val="bottom"/>
            <w:tcBorders>
              <w:top w:val="single" w:sz="8" w:color="auto"/>
            </w:tcBorders>
            <w:shd w:val="clear" w:color="auto" w:fill="0088A6"/>
          </w:tcPr>
          <w:p>
            <w:pPr>
              <w:spacing w:after="0"/>
              <w:rPr>
                <w:sz w:val="11"/>
                <w:szCs w:val="11"/>
                <w:color w:val="auto"/>
              </w:rPr>
            </w:pPr>
          </w:p>
        </w:tc>
        <w:tc>
          <w:tcPr>
            <w:tcW w:w="640" w:type="dxa"/>
            <w:vAlign w:val="bottom"/>
            <w:tcBorders>
              <w:top w:val="single" w:sz="8" w:color="auto"/>
            </w:tcBorders>
            <w:shd w:val="clear" w:color="auto" w:fill="0088A6"/>
          </w:tcPr>
          <w:p>
            <w:pPr>
              <w:spacing w:after="0"/>
              <w:rPr>
                <w:sz w:val="11"/>
                <w:szCs w:val="11"/>
                <w:color w:val="auto"/>
              </w:rPr>
            </w:pPr>
          </w:p>
        </w:tc>
        <w:tc>
          <w:tcPr>
            <w:tcW w:w="100" w:type="dxa"/>
            <w:vAlign w:val="bottom"/>
            <w:tcBorders>
              <w:top w:val="single" w:sz="8" w:color="0088A6"/>
              <w:right w:val="single" w:sz="8" w:color="BFBFBF"/>
            </w:tcBorders>
            <w:shd w:val="clear" w:color="auto" w:fill="0088A6"/>
          </w:tcPr>
          <w:p>
            <w:pPr>
              <w:spacing w:after="0"/>
              <w:rPr>
                <w:sz w:val="11"/>
                <w:szCs w:val="11"/>
                <w:color w:val="auto"/>
              </w:rPr>
            </w:pPr>
          </w:p>
        </w:tc>
        <w:tc>
          <w:tcPr>
            <w:tcW w:w="80" w:type="dxa"/>
            <w:vAlign w:val="bottom"/>
            <w:tcBorders>
              <w:top w:val="single" w:sz="8" w:color="0088A6"/>
            </w:tcBorders>
            <w:shd w:val="clear" w:color="auto" w:fill="0088A6"/>
          </w:tcPr>
          <w:p>
            <w:pPr>
              <w:spacing w:after="0"/>
              <w:rPr>
                <w:sz w:val="11"/>
                <w:szCs w:val="11"/>
                <w:color w:val="auto"/>
              </w:rPr>
            </w:pPr>
          </w:p>
        </w:tc>
        <w:tc>
          <w:tcPr>
            <w:tcW w:w="660" w:type="dxa"/>
            <w:vAlign w:val="bottom"/>
            <w:tcBorders>
              <w:top w:val="single" w:sz="8" w:color="0088A6"/>
              <w:right w:val="single" w:sz="8" w:color="BFBFBF"/>
            </w:tcBorders>
            <w:gridSpan w:val="2"/>
            <w:shd w:val="clear" w:color="auto" w:fill="0088A6"/>
          </w:tcPr>
          <w:p>
            <w:pPr>
              <w:jc w:val="center"/>
              <w:ind w:right="160"/>
              <w:spacing w:after="0" w:line="133" w:lineRule="exact"/>
              <w:rPr>
                <w:sz w:val="20"/>
                <w:szCs w:val="20"/>
                <w:color w:val="auto"/>
              </w:rPr>
            </w:pPr>
            <w:r>
              <w:rPr>
                <w:rFonts w:ascii="Arial" w:cs="Arial" w:eastAsia="Arial" w:hAnsi="Arial"/>
                <w:sz w:val="14"/>
                <w:szCs w:val="14"/>
                <w:b w:val="1"/>
                <w:bCs w:val="1"/>
                <w:color w:val="FFFFFF"/>
              </w:rPr>
              <w:t>All</w:t>
            </w:r>
          </w:p>
        </w:tc>
        <w:tc>
          <w:tcPr>
            <w:tcW w:w="80" w:type="dxa"/>
            <w:vAlign w:val="bottom"/>
            <w:tcBorders>
              <w:top w:val="single" w:sz="8" w:color="0088A6"/>
            </w:tcBorders>
            <w:shd w:val="clear" w:color="auto" w:fill="0088A6"/>
          </w:tcPr>
          <w:p>
            <w:pPr>
              <w:spacing w:after="0"/>
              <w:rPr>
                <w:sz w:val="11"/>
                <w:szCs w:val="11"/>
                <w:color w:val="auto"/>
              </w:rPr>
            </w:pPr>
          </w:p>
        </w:tc>
        <w:tc>
          <w:tcPr>
            <w:tcW w:w="720" w:type="dxa"/>
            <w:vAlign w:val="bottom"/>
            <w:tcBorders>
              <w:top w:val="single" w:sz="8" w:color="0088A6"/>
            </w:tcBorders>
            <w:shd w:val="clear" w:color="auto" w:fill="0088A6"/>
          </w:tcPr>
          <w:p>
            <w:pPr>
              <w:spacing w:after="0"/>
              <w:rPr>
                <w:sz w:val="11"/>
                <w:szCs w:val="11"/>
                <w:color w:val="auto"/>
              </w:rPr>
            </w:pPr>
          </w:p>
        </w:tc>
        <w:tc>
          <w:tcPr>
            <w:tcW w:w="100" w:type="dxa"/>
            <w:vAlign w:val="bottom"/>
            <w:tcBorders>
              <w:top w:val="single" w:sz="8" w:color="0088A6"/>
              <w:right w:val="single" w:sz="8" w:color="BFBFBF"/>
            </w:tcBorders>
            <w:shd w:val="clear" w:color="auto" w:fill="0088A6"/>
          </w:tcPr>
          <w:p>
            <w:pPr>
              <w:spacing w:after="0"/>
              <w:rPr>
                <w:sz w:val="11"/>
                <w:szCs w:val="11"/>
                <w:color w:val="auto"/>
              </w:rPr>
            </w:pPr>
          </w:p>
        </w:tc>
        <w:tc>
          <w:tcPr>
            <w:tcW w:w="100" w:type="dxa"/>
            <w:vAlign w:val="bottom"/>
            <w:tcBorders>
              <w:top w:val="single" w:sz="8" w:color="0088A6"/>
            </w:tcBorders>
            <w:shd w:val="clear" w:color="auto" w:fill="0088A6"/>
          </w:tcPr>
          <w:p>
            <w:pPr>
              <w:spacing w:after="0"/>
              <w:rPr>
                <w:sz w:val="11"/>
                <w:szCs w:val="11"/>
                <w:color w:val="auto"/>
              </w:rPr>
            </w:pPr>
          </w:p>
        </w:tc>
        <w:tc>
          <w:tcPr>
            <w:tcW w:w="560" w:type="dxa"/>
            <w:vAlign w:val="bottom"/>
            <w:tcBorders>
              <w:top w:val="single" w:sz="8" w:color="0088A6"/>
            </w:tcBorders>
            <w:shd w:val="clear" w:color="auto" w:fill="0088A6"/>
          </w:tcPr>
          <w:p>
            <w:pPr>
              <w:spacing w:after="0"/>
              <w:rPr>
                <w:sz w:val="11"/>
                <w:szCs w:val="11"/>
                <w:color w:val="auto"/>
              </w:rPr>
            </w:pPr>
          </w:p>
        </w:tc>
        <w:tc>
          <w:tcPr>
            <w:tcW w:w="100" w:type="dxa"/>
            <w:vAlign w:val="bottom"/>
            <w:tcBorders>
              <w:top w:val="single" w:sz="8" w:color="0088A6"/>
              <w:right w:val="single" w:sz="8" w:color="BFBFBF"/>
            </w:tcBorders>
            <w:shd w:val="clear" w:color="auto" w:fill="0088A6"/>
          </w:tcPr>
          <w:p>
            <w:pPr>
              <w:spacing w:after="0"/>
              <w:rPr>
                <w:sz w:val="11"/>
                <w:szCs w:val="11"/>
                <w:color w:val="auto"/>
              </w:rPr>
            </w:pPr>
          </w:p>
        </w:tc>
        <w:tc>
          <w:tcPr>
            <w:tcW w:w="60" w:type="dxa"/>
            <w:vAlign w:val="bottom"/>
            <w:tcBorders>
              <w:top w:val="single" w:sz="8" w:color="0088A6"/>
            </w:tcBorders>
            <w:shd w:val="clear" w:color="auto" w:fill="0088A6"/>
          </w:tcPr>
          <w:p>
            <w:pPr>
              <w:spacing w:after="0"/>
              <w:rPr>
                <w:sz w:val="11"/>
                <w:szCs w:val="11"/>
                <w:color w:val="auto"/>
              </w:rPr>
            </w:pPr>
          </w:p>
        </w:tc>
        <w:tc>
          <w:tcPr>
            <w:tcW w:w="820" w:type="dxa"/>
            <w:vAlign w:val="bottom"/>
            <w:tcBorders>
              <w:top w:val="single" w:sz="8" w:color="0088A6"/>
            </w:tcBorders>
            <w:shd w:val="clear" w:color="auto" w:fill="0088A6"/>
          </w:tcPr>
          <w:p>
            <w:pPr>
              <w:spacing w:after="0"/>
              <w:rPr>
                <w:sz w:val="11"/>
                <w:szCs w:val="11"/>
                <w:color w:val="auto"/>
              </w:rPr>
            </w:pPr>
          </w:p>
        </w:tc>
        <w:tc>
          <w:tcPr>
            <w:tcW w:w="200" w:type="dxa"/>
            <w:vAlign w:val="bottom"/>
            <w:tcBorders>
              <w:top w:val="single" w:sz="8" w:color="0088A6"/>
              <w:right w:val="single" w:sz="8" w:color="BFBFBF"/>
            </w:tcBorders>
            <w:shd w:val="clear" w:color="auto" w:fill="0088A6"/>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BFBFBF"/>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8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6"/>
              </w:rPr>
              <w:t>Other</w:t>
            </w:r>
          </w:p>
        </w:tc>
        <w:tc>
          <w:tcPr>
            <w:tcW w:w="80" w:type="dxa"/>
            <w:vAlign w:val="bottom"/>
            <w:shd w:val="clear" w:color="auto" w:fill="0088A6"/>
          </w:tcPr>
          <w:p>
            <w:pPr>
              <w:spacing w:after="0"/>
              <w:rPr>
                <w:sz w:val="12"/>
                <w:szCs w:val="12"/>
                <w:color w:val="auto"/>
              </w:rPr>
            </w:pPr>
          </w:p>
        </w:tc>
        <w:tc>
          <w:tcPr>
            <w:tcW w:w="82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rPr>
              <w:t>All</w:t>
            </w:r>
          </w:p>
        </w:tc>
        <w:tc>
          <w:tcPr>
            <w:tcW w:w="10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82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BFBFBF"/>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8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9"/>
              </w:rPr>
              <w:t>Stock</w:t>
            </w:r>
          </w:p>
        </w:tc>
        <w:tc>
          <w:tcPr>
            <w:tcW w:w="80" w:type="dxa"/>
            <w:vAlign w:val="bottom"/>
            <w:shd w:val="clear" w:color="auto" w:fill="0088A6"/>
          </w:tcPr>
          <w:p>
            <w:pPr>
              <w:spacing w:after="0"/>
              <w:rPr>
                <w:sz w:val="12"/>
                <w:szCs w:val="12"/>
                <w:color w:val="auto"/>
              </w:rPr>
            </w:pPr>
          </w:p>
        </w:tc>
        <w:tc>
          <w:tcPr>
            <w:tcW w:w="820" w:type="dxa"/>
            <w:vAlign w:val="bottom"/>
            <w:tcBorders>
              <w:right w:val="single" w:sz="8" w:color="BFBFBF"/>
            </w:tcBorders>
            <w:gridSpan w:val="2"/>
            <w:shd w:val="clear" w:color="auto" w:fill="0088A6"/>
          </w:tcPr>
          <w:p>
            <w:pPr>
              <w:jc w:val="center"/>
              <w:ind w:right="100"/>
              <w:spacing w:after="0" w:line="149" w:lineRule="exact"/>
              <w:rPr>
                <w:sz w:val="20"/>
                <w:szCs w:val="20"/>
                <w:color w:val="auto"/>
              </w:rPr>
            </w:pPr>
            <w:r>
              <w:rPr>
                <w:rFonts w:ascii="Arial" w:cs="Arial" w:eastAsia="Arial" w:hAnsi="Arial"/>
                <w:sz w:val="14"/>
                <w:szCs w:val="14"/>
                <w:b w:val="1"/>
                <w:bCs w:val="1"/>
                <w:color w:val="FFFFFF"/>
                <w:w w:val="96"/>
              </w:rPr>
              <w:t>Other</w:t>
            </w:r>
          </w:p>
        </w:tc>
        <w:tc>
          <w:tcPr>
            <w:tcW w:w="10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82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BFBFBF"/>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8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7"/>
              </w:rPr>
              <w:t>Awards:</w:t>
            </w:r>
          </w:p>
        </w:tc>
        <w:tc>
          <w:tcPr>
            <w:tcW w:w="80" w:type="dxa"/>
            <w:vAlign w:val="bottom"/>
            <w:shd w:val="clear" w:color="auto" w:fill="0088A6"/>
          </w:tcPr>
          <w:p>
            <w:pPr>
              <w:spacing w:after="0"/>
              <w:rPr>
                <w:sz w:val="12"/>
                <w:szCs w:val="12"/>
                <w:color w:val="auto"/>
              </w:rPr>
            </w:pPr>
          </w:p>
        </w:tc>
        <w:tc>
          <w:tcPr>
            <w:tcW w:w="820" w:type="dxa"/>
            <w:vAlign w:val="bottom"/>
            <w:tcBorders>
              <w:right w:val="single" w:sz="8" w:color="BFBFBF"/>
            </w:tcBorders>
            <w:gridSpan w:val="2"/>
            <w:shd w:val="clear" w:color="auto" w:fill="0088A6"/>
          </w:tcPr>
          <w:p>
            <w:pPr>
              <w:jc w:val="center"/>
              <w:ind w:right="100"/>
              <w:spacing w:after="0" w:line="149" w:lineRule="exact"/>
              <w:rPr>
                <w:sz w:val="20"/>
                <w:szCs w:val="20"/>
                <w:color w:val="auto"/>
              </w:rPr>
            </w:pPr>
            <w:r>
              <w:rPr>
                <w:rFonts w:ascii="Arial" w:cs="Arial" w:eastAsia="Arial" w:hAnsi="Arial"/>
                <w:sz w:val="14"/>
                <w:szCs w:val="14"/>
                <w:b w:val="1"/>
                <w:bCs w:val="1"/>
                <w:color w:val="FFFFFF"/>
                <w:w w:val="97"/>
              </w:rPr>
              <w:t>Option</w:t>
            </w:r>
          </w:p>
        </w:tc>
        <w:tc>
          <w:tcPr>
            <w:tcW w:w="10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820" w:type="dxa"/>
            <w:vAlign w:val="bottom"/>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BFBFBF"/>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8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4"/>
              </w:rPr>
              <w:t>Number</w:t>
            </w:r>
          </w:p>
        </w:tc>
        <w:tc>
          <w:tcPr>
            <w:tcW w:w="80" w:type="dxa"/>
            <w:vAlign w:val="bottom"/>
            <w:shd w:val="clear" w:color="auto" w:fill="0088A6"/>
          </w:tcPr>
          <w:p>
            <w:pPr>
              <w:spacing w:after="0"/>
              <w:rPr>
                <w:sz w:val="12"/>
                <w:szCs w:val="12"/>
                <w:color w:val="auto"/>
              </w:rPr>
            </w:pPr>
          </w:p>
        </w:tc>
        <w:tc>
          <w:tcPr>
            <w:tcW w:w="820" w:type="dxa"/>
            <w:vAlign w:val="bottom"/>
            <w:tcBorders>
              <w:right w:val="single" w:sz="8" w:color="BFBFBF"/>
            </w:tcBorders>
            <w:gridSpan w:val="2"/>
            <w:shd w:val="clear" w:color="auto" w:fill="0088A6"/>
          </w:tcPr>
          <w:p>
            <w:pPr>
              <w:jc w:val="center"/>
              <w:ind w:right="100"/>
              <w:spacing w:after="0" w:line="149" w:lineRule="exact"/>
              <w:rPr>
                <w:sz w:val="20"/>
                <w:szCs w:val="20"/>
                <w:color w:val="auto"/>
              </w:rPr>
            </w:pPr>
            <w:r>
              <w:rPr>
                <w:rFonts w:ascii="Arial" w:cs="Arial" w:eastAsia="Arial" w:hAnsi="Arial"/>
                <w:sz w:val="14"/>
                <w:szCs w:val="14"/>
                <w:b w:val="1"/>
                <w:bCs w:val="1"/>
                <w:color w:val="FFFFFF"/>
                <w:w w:val="94"/>
              </w:rPr>
              <w:t>Awards:</w:t>
            </w:r>
          </w:p>
        </w:tc>
        <w:tc>
          <w:tcPr>
            <w:tcW w:w="10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right"/>
              <w:ind w:right="100"/>
              <w:spacing w:after="0" w:line="149" w:lineRule="exact"/>
              <w:rPr>
                <w:sz w:val="20"/>
                <w:szCs w:val="20"/>
                <w:color w:val="auto"/>
              </w:rPr>
            </w:pPr>
            <w:r>
              <w:rPr>
                <w:rFonts w:ascii="Arial" w:cs="Arial" w:eastAsia="Arial" w:hAnsi="Arial"/>
                <w:sz w:val="14"/>
                <w:szCs w:val="14"/>
                <w:b w:val="1"/>
                <w:bCs w:val="1"/>
                <w:color w:val="FFFFFF"/>
                <w:w w:val="93"/>
              </w:rPr>
              <w:t>Exercise</w:t>
            </w:r>
          </w:p>
        </w:tc>
        <w:tc>
          <w:tcPr>
            <w:tcW w:w="60" w:type="dxa"/>
            <w:vAlign w:val="bottom"/>
            <w:shd w:val="clear" w:color="auto" w:fill="0088A6"/>
          </w:tcPr>
          <w:p>
            <w:pPr>
              <w:spacing w:after="0"/>
              <w:rPr>
                <w:sz w:val="12"/>
                <w:szCs w:val="12"/>
                <w:color w:val="auto"/>
              </w:rPr>
            </w:pPr>
          </w:p>
        </w:tc>
        <w:tc>
          <w:tcPr>
            <w:tcW w:w="1020" w:type="dxa"/>
            <w:vAlign w:val="bottom"/>
            <w:tcBorders>
              <w:right w:val="single" w:sz="8" w:color="BFBFBF"/>
            </w:tcBorders>
            <w:gridSpan w:val="2"/>
            <w:shd w:val="clear" w:color="auto" w:fill="0088A6"/>
          </w:tcPr>
          <w:p>
            <w:pPr>
              <w:jc w:val="center"/>
              <w:ind w:right="240"/>
              <w:spacing w:after="0" w:line="149" w:lineRule="exact"/>
              <w:rPr>
                <w:sz w:val="20"/>
                <w:szCs w:val="20"/>
                <w:color w:val="auto"/>
              </w:rPr>
            </w:pPr>
            <w:r>
              <w:rPr>
                <w:rFonts w:ascii="Arial" w:cs="Arial" w:eastAsia="Arial" w:hAnsi="Arial"/>
                <w:sz w:val="14"/>
                <w:szCs w:val="14"/>
                <w:b w:val="1"/>
                <w:bCs w:val="1"/>
                <w:color w:val="FFFFFF"/>
                <w:w w:val="97"/>
              </w:rPr>
              <w:t>Grant Date</w:t>
            </w:r>
          </w:p>
        </w:tc>
        <w:tc>
          <w:tcPr>
            <w:tcW w:w="0" w:type="dxa"/>
            <w:vAlign w:val="bottom"/>
          </w:tcPr>
          <w:p>
            <w:pPr>
              <w:spacing w:after="0"/>
              <w:rPr>
                <w:sz w:val="1"/>
                <w:szCs w:val="1"/>
                <w:color w:val="auto"/>
              </w:rPr>
            </w:pPr>
          </w:p>
        </w:tc>
      </w:tr>
      <w:tr>
        <w:trPr>
          <w:trHeight w:val="149"/>
        </w:trPr>
        <w:tc>
          <w:tcPr>
            <w:tcW w:w="2220" w:type="dxa"/>
            <w:vAlign w:val="bottom"/>
            <w:tcBorders>
              <w:left w:val="single" w:sz="8" w:color="BFBFBF"/>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8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rPr>
              <w:t>of</w:t>
            </w:r>
          </w:p>
        </w:tc>
        <w:tc>
          <w:tcPr>
            <w:tcW w:w="80" w:type="dxa"/>
            <w:vAlign w:val="bottom"/>
            <w:shd w:val="clear" w:color="auto" w:fill="0088A6"/>
          </w:tcPr>
          <w:p>
            <w:pPr>
              <w:spacing w:after="0"/>
              <w:rPr>
                <w:sz w:val="12"/>
                <w:szCs w:val="12"/>
                <w:color w:val="auto"/>
              </w:rPr>
            </w:pPr>
          </w:p>
        </w:tc>
        <w:tc>
          <w:tcPr>
            <w:tcW w:w="820" w:type="dxa"/>
            <w:vAlign w:val="bottom"/>
            <w:tcBorders>
              <w:right w:val="single" w:sz="8" w:color="BFBFBF"/>
            </w:tcBorders>
            <w:gridSpan w:val="2"/>
            <w:shd w:val="clear" w:color="auto" w:fill="0088A6"/>
          </w:tcPr>
          <w:p>
            <w:pPr>
              <w:jc w:val="center"/>
              <w:ind w:right="100"/>
              <w:spacing w:after="0" w:line="149" w:lineRule="exact"/>
              <w:rPr>
                <w:sz w:val="20"/>
                <w:szCs w:val="20"/>
                <w:color w:val="auto"/>
              </w:rPr>
            </w:pPr>
            <w:r>
              <w:rPr>
                <w:rFonts w:ascii="Arial" w:cs="Arial" w:eastAsia="Arial" w:hAnsi="Arial"/>
                <w:sz w:val="14"/>
                <w:szCs w:val="14"/>
                <w:b w:val="1"/>
                <w:bCs w:val="1"/>
                <w:color w:val="FFFFFF"/>
                <w:w w:val="97"/>
              </w:rPr>
              <w:t>Number of</w:t>
            </w:r>
          </w:p>
        </w:tc>
        <w:tc>
          <w:tcPr>
            <w:tcW w:w="10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7"/>
              </w:rPr>
              <w:t>or Base</w:t>
            </w:r>
          </w:p>
        </w:tc>
        <w:tc>
          <w:tcPr>
            <w:tcW w:w="60" w:type="dxa"/>
            <w:vAlign w:val="bottom"/>
            <w:shd w:val="clear" w:color="auto" w:fill="0088A6"/>
          </w:tcPr>
          <w:p>
            <w:pPr>
              <w:spacing w:after="0"/>
              <w:rPr>
                <w:sz w:val="12"/>
                <w:szCs w:val="12"/>
                <w:color w:val="auto"/>
              </w:rPr>
            </w:pPr>
          </w:p>
        </w:tc>
        <w:tc>
          <w:tcPr>
            <w:tcW w:w="1020" w:type="dxa"/>
            <w:vAlign w:val="bottom"/>
            <w:tcBorders>
              <w:right w:val="single" w:sz="8" w:color="BFBFBF"/>
            </w:tcBorders>
            <w:gridSpan w:val="2"/>
            <w:shd w:val="clear" w:color="auto" w:fill="0088A6"/>
          </w:tcPr>
          <w:p>
            <w:pPr>
              <w:jc w:val="center"/>
              <w:ind w:right="220"/>
              <w:spacing w:after="0" w:line="149" w:lineRule="exact"/>
              <w:rPr>
                <w:sz w:val="20"/>
                <w:szCs w:val="20"/>
                <w:color w:val="auto"/>
              </w:rPr>
            </w:pPr>
            <w:r>
              <w:rPr>
                <w:rFonts w:ascii="Arial" w:cs="Arial" w:eastAsia="Arial" w:hAnsi="Arial"/>
                <w:sz w:val="14"/>
                <w:szCs w:val="14"/>
                <w:b w:val="1"/>
                <w:bCs w:val="1"/>
                <w:color w:val="FFFFFF"/>
                <w:w w:val="95"/>
              </w:rPr>
              <w:t>Fair Value of</w:t>
            </w:r>
          </w:p>
        </w:tc>
        <w:tc>
          <w:tcPr>
            <w:tcW w:w="0" w:type="dxa"/>
            <w:vAlign w:val="bottom"/>
          </w:tcPr>
          <w:p>
            <w:pPr>
              <w:spacing w:after="0"/>
              <w:rPr>
                <w:sz w:val="1"/>
                <w:szCs w:val="1"/>
                <w:color w:val="auto"/>
              </w:rPr>
            </w:pPr>
          </w:p>
        </w:tc>
      </w:tr>
      <w:tr>
        <w:trPr>
          <w:trHeight w:val="149"/>
        </w:trPr>
        <w:tc>
          <w:tcPr>
            <w:tcW w:w="2220" w:type="dxa"/>
            <w:vAlign w:val="bottom"/>
            <w:tcBorders>
              <w:left w:val="single" w:sz="8" w:color="BFBFBF"/>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8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8"/>
              </w:rPr>
              <w:t>Shares</w:t>
            </w:r>
          </w:p>
        </w:tc>
        <w:tc>
          <w:tcPr>
            <w:tcW w:w="80" w:type="dxa"/>
            <w:vAlign w:val="bottom"/>
            <w:shd w:val="clear" w:color="auto" w:fill="0088A6"/>
          </w:tcPr>
          <w:p>
            <w:pPr>
              <w:spacing w:after="0"/>
              <w:rPr>
                <w:sz w:val="12"/>
                <w:szCs w:val="12"/>
                <w:color w:val="auto"/>
              </w:rPr>
            </w:pPr>
          </w:p>
        </w:tc>
        <w:tc>
          <w:tcPr>
            <w:tcW w:w="820" w:type="dxa"/>
            <w:vAlign w:val="bottom"/>
            <w:tcBorders>
              <w:right w:val="single" w:sz="8" w:color="BFBFBF"/>
            </w:tcBorders>
            <w:gridSpan w:val="2"/>
            <w:shd w:val="clear" w:color="auto" w:fill="0088A6"/>
          </w:tcPr>
          <w:p>
            <w:pPr>
              <w:jc w:val="center"/>
              <w:ind w:right="100"/>
              <w:spacing w:after="0" w:line="149" w:lineRule="exact"/>
              <w:rPr>
                <w:sz w:val="20"/>
                <w:szCs w:val="20"/>
                <w:color w:val="auto"/>
              </w:rPr>
            </w:pPr>
            <w:r>
              <w:rPr>
                <w:rFonts w:ascii="Arial" w:cs="Arial" w:eastAsia="Arial" w:hAnsi="Arial"/>
                <w:sz w:val="14"/>
                <w:szCs w:val="14"/>
                <w:b w:val="1"/>
                <w:bCs w:val="1"/>
                <w:color w:val="FFFFFF"/>
                <w:w w:val="95"/>
              </w:rPr>
              <w:t>Securities</w:t>
            </w:r>
          </w:p>
        </w:tc>
        <w:tc>
          <w:tcPr>
            <w:tcW w:w="10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7"/>
              </w:rPr>
              <w:t>Price of</w:t>
            </w:r>
          </w:p>
        </w:tc>
        <w:tc>
          <w:tcPr>
            <w:tcW w:w="60" w:type="dxa"/>
            <w:vAlign w:val="bottom"/>
            <w:shd w:val="clear" w:color="auto" w:fill="0088A6"/>
          </w:tcPr>
          <w:p>
            <w:pPr>
              <w:spacing w:after="0"/>
              <w:rPr>
                <w:sz w:val="12"/>
                <w:szCs w:val="12"/>
                <w:color w:val="auto"/>
              </w:rPr>
            </w:pPr>
          </w:p>
        </w:tc>
        <w:tc>
          <w:tcPr>
            <w:tcW w:w="1020" w:type="dxa"/>
            <w:vAlign w:val="bottom"/>
            <w:tcBorders>
              <w:right w:val="single" w:sz="8" w:color="BFBFBF"/>
            </w:tcBorders>
            <w:gridSpan w:val="2"/>
            <w:shd w:val="clear" w:color="auto" w:fill="0088A6"/>
          </w:tcPr>
          <w:p>
            <w:pPr>
              <w:jc w:val="center"/>
              <w:ind w:right="220"/>
              <w:spacing w:after="0" w:line="149" w:lineRule="exact"/>
              <w:rPr>
                <w:sz w:val="20"/>
                <w:szCs w:val="20"/>
                <w:color w:val="auto"/>
              </w:rPr>
            </w:pPr>
            <w:r>
              <w:rPr>
                <w:rFonts w:ascii="Arial" w:cs="Arial" w:eastAsia="Arial" w:hAnsi="Arial"/>
                <w:sz w:val="14"/>
                <w:szCs w:val="14"/>
                <w:b w:val="1"/>
                <w:bCs w:val="1"/>
                <w:color w:val="FFFFFF"/>
                <w:w w:val="95"/>
              </w:rPr>
              <w:t>Stock and</w:t>
            </w:r>
          </w:p>
        </w:tc>
        <w:tc>
          <w:tcPr>
            <w:tcW w:w="0" w:type="dxa"/>
            <w:vAlign w:val="bottom"/>
          </w:tcPr>
          <w:p>
            <w:pPr>
              <w:spacing w:after="0"/>
              <w:rPr>
                <w:sz w:val="1"/>
                <w:szCs w:val="1"/>
                <w:color w:val="auto"/>
              </w:rPr>
            </w:pPr>
          </w:p>
        </w:tc>
      </w:tr>
      <w:tr>
        <w:trPr>
          <w:trHeight w:val="149"/>
        </w:trPr>
        <w:tc>
          <w:tcPr>
            <w:tcW w:w="2220" w:type="dxa"/>
            <w:vAlign w:val="bottom"/>
            <w:tcBorders>
              <w:left w:val="single" w:sz="8" w:color="BFBFBF"/>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8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8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40" w:type="dxa"/>
            <w:vAlign w:val="bottom"/>
            <w:shd w:val="clear" w:color="auto" w:fill="0088A6"/>
          </w:tcPr>
          <w:p>
            <w:pPr>
              <w:spacing w:after="0"/>
              <w:rPr>
                <w:sz w:val="12"/>
                <w:szCs w:val="12"/>
                <w:color w:val="auto"/>
              </w:rPr>
            </w:pPr>
          </w:p>
        </w:tc>
        <w:tc>
          <w:tcPr>
            <w:tcW w:w="6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5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4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rPr>
              <w:t>of</w:t>
            </w:r>
          </w:p>
        </w:tc>
        <w:tc>
          <w:tcPr>
            <w:tcW w:w="80" w:type="dxa"/>
            <w:vAlign w:val="bottom"/>
            <w:shd w:val="clear" w:color="auto" w:fill="0088A6"/>
          </w:tcPr>
          <w:p>
            <w:pPr>
              <w:spacing w:after="0"/>
              <w:rPr>
                <w:sz w:val="12"/>
                <w:szCs w:val="12"/>
                <w:color w:val="auto"/>
              </w:rPr>
            </w:pPr>
          </w:p>
        </w:tc>
        <w:tc>
          <w:tcPr>
            <w:tcW w:w="820" w:type="dxa"/>
            <w:vAlign w:val="bottom"/>
            <w:tcBorders>
              <w:right w:val="single" w:sz="8" w:color="BFBFBF"/>
            </w:tcBorders>
            <w:gridSpan w:val="2"/>
            <w:shd w:val="clear" w:color="auto" w:fill="0088A6"/>
          </w:tcPr>
          <w:p>
            <w:pPr>
              <w:jc w:val="right"/>
              <w:ind w:right="100"/>
              <w:spacing w:after="0" w:line="149" w:lineRule="exact"/>
              <w:rPr>
                <w:sz w:val="20"/>
                <w:szCs w:val="20"/>
                <w:color w:val="auto"/>
              </w:rPr>
            </w:pPr>
            <w:r>
              <w:rPr>
                <w:rFonts w:ascii="Arial" w:cs="Arial" w:eastAsia="Arial" w:hAnsi="Arial"/>
                <w:sz w:val="14"/>
                <w:szCs w:val="14"/>
                <w:b w:val="1"/>
                <w:bCs w:val="1"/>
                <w:color w:val="FFFFFF"/>
                <w:w w:val="95"/>
              </w:rPr>
              <w:t>Underlying</w:t>
            </w:r>
          </w:p>
        </w:tc>
        <w:tc>
          <w:tcPr>
            <w:tcW w:w="10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center"/>
              <w:ind w:right="100"/>
              <w:spacing w:after="0" w:line="149" w:lineRule="exact"/>
              <w:rPr>
                <w:sz w:val="20"/>
                <w:szCs w:val="20"/>
                <w:color w:val="auto"/>
              </w:rPr>
            </w:pPr>
            <w:r>
              <w:rPr>
                <w:rFonts w:ascii="Arial" w:cs="Arial" w:eastAsia="Arial" w:hAnsi="Arial"/>
                <w:sz w:val="14"/>
                <w:szCs w:val="14"/>
                <w:b w:val="1"/>
                <w:bCs w:val="1"/>
                <w:color w:val="FFFFFF"/>
                <w:w w:val="97"/>
              </w:rPr>
              <w:t>Option</w:t>
            </w:r>
          </w:p>
        </w:tc>
        <w:tc>
          <w:tcPr>
            <w:tcW w:w="60" w:type="dxa"/>
            <w:vAlign w:val="bottom"/>
            <w:shd w:val="clear" w:color="auto" w:fill="0088A6"/>
          </w:tcPr>
          <w:p>
            <w:pPr>
              <w:spacing w:after="0"/>
              <w:rPr>
                <w:sz w:val="12"/>
                <w:szCs w:val="12"/>
                <w:color w:val="auto"/>
              </w:rPr>
            </w:pPr>
          </w:p>
        </w:tc>
        <w:tc>
          <w:tcPr>
            <w:tcW w:w="1020" w:type="dxa"/>
            <w:vAlign w:val="bottom"/>
            <w:tcBorders>
              <w:right w:val="single" w:sz="8" w:color="BFBFBF"/>
            </w:tcBorders>
            <w:gridSpan w:val="2"/>
            <w:shd w:val="clear" w:color="auto" w:fill="0088A6"/>
          </w:tcPr>
          <w:p>
            <w:pPr>
              <w:jc w:val="center"/>
              <w:ind w:right="220"/>
              <w:spacing w:after="0" w:line="149" w:lineRule="exact"/>
              <w:rPr>
                <w:sz w:val="20"/>
                <w:szCs w:val="20"/>
                <w:color w:val="auto"/>
              </w:rPr>
            </w:pPr>
            <w:r>
              <w:rPr>
                <w:rFonts w:ascii="Arial" w:cs="Arial" w:eastAsia="Arial" w:hAnsi="Arial"/>
                <w:sz w:val="14"/>
                <w:szCs w:val="14"/>
                <w:b w:val="1"/>
                <w:bCs w:val="1"/>
                <w:color w:val="FFFFFF"/>
                <w:w w:val="97"/>
              </w:rPr>
              <w:t>Option</w:t>
            </w:r>
          </w:p>
        </w:tc>
        <w:tc>
          <w:tcPr>
            <w:tcW w:w="0" w:type="dxa"/>
            <w:vAlign w:val="bottom"/>
          </w:tcPr>
          <w:p>
            <w:pPr>
              <w:spacing w:after="0"/>
              <w:rPr>
                <w:sz w:val="1"/>
                <w:szCs w:val="1"/>
                <w:color w:val="auto"/>
              </w:rPr>
            </w:pPr>
          </w:p>
        </w:tc>
      </w:tr>
      <w:tr>
        <w:trPr>
          <w:trHeight w:val="149"/>
        </w:trPr>
        <w:tc>
          <w:tcPr>
            <w:tcW w:w="2220" w:type="dxa"/>
            <w:vAlign w:val="bottom"/>
            <w:tcBorders>
              <w:left w:val="single" w:sz="8" w:color="BFBFBF"/>
              <w:right w:val="single" w:sz="8" w:color="BFBFBF"/>
            </w:tcBorders>
            <w:vMerge w:val="restart"/>
            <w:shd w:val="clear" w:color="auto" w:fill="0088A6"/>
          </w:tcPr>
          <w:p>
            <w:pPr>
              <w:ind w:left="980"/>
              <w:spacing w:after="0"/>
              <w:rPr>
                <w:sz w:val="20"/>
                <w:szCs w:val="20"/>
                <w:color w:val="auto"/>
              </w:rPr>
            </w:pPr>
            <w:r>
              <w:rPr>
                <w:rFonts w:ascii="Arial" w:cs="Arial" w:eastAsia="Arial" w:hAnsi="Arial"/>
                <w:sz w:val="14"/>
                <w:szCs w:val="14"/>
                <w:b w:val="1"/>
                <w:bCs w:val="1"/>
                <w:color w:val="FFFFFF"/>
              </w:rPr>
              <w:t>Name</w:t>
            </w:r>
          </w:p>
        </w:tc>
        <w:tc>
          <w:tcPr>
            <w:tcW w:w="60" w:type="dxa"/>
            <w:vAlign w:val="bottom"/>
            <w:shd w:val="clear" w:color="auto" w:fill="0088A6"/>
          </w:tcPr>
          <w:p>
            <w:pPr>
              <w:spacing w:after="0"/>
              <w:rPr>
                <w:sz w:val="12"/>
                <w:szCs w:val="12"/>
                <w:color w:val="auto"/>
              </w:rPr>
            </w:pPr>
          </w:p>
        </w:tc>
        <w:tc>
          <w:tcPr>
            <w:tcW w:w="620" w:type="dxa"/>
            <w:vAlign w:val="bottom"/>
            <w:tcBorders>
              <w:right w:val="single" w:sz="8" w:color="BFBFBF"/>
            </w:tcBorders>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6"/>
              </w:rPr>
              <w:t>Grant</w:t>
            </w:r>
          </w:p>
        </w:tc>
        <w:tc>
          <w:tcPr>
            <w:tcW w:w="60" w:type="dxa"/>
            <w:vAlign w:val="bottom"/>
            <w:shd w:val="clear" w:color="auto" w:fill="0088A6"/>
          </w:tcPr>
          <w:p>
            <w:pPr>
              <w:spacing w:after="0"/>
              <w:rPr>
                <w:sz w:val="12"/>
                <w:szCs w:val="12"/>
                <w:color w:val="auto"/>
              </w:rPr>
            </w:pPr>
          </w:p>
        </w:tc>
        <w:tc>
          <w:tcPr>
            <w:tcW w:w="660" w:type="dxa"/>
            <w:vAlign w:val="bottom"/>
            <w:shd w:val="clear" w:color="auto" w:fill="0088A6"/>
          </w:tcPr>
          <w:p>
            <w:pPr>
              <w:jc w:val="right"/>
              <w:spacing w:after="0" w:line="149" w:lineRule="exact"/>
              <w:rPr>
                <w:sz w:val="20"/>
                <w:szCs w:val="20"/>
                <w:color w:val="auto"/>
              </w:rPr>
            </w:pPr>
            <w:r>
              <w:rPr>
                <w:rFonts w:ascii="Arial" w:cs="Arial" w:eastAsia="Arial" w:hAnsi="Arial"/>
                <w:sz w:val="14"/>
                <w:szCs w:val="14"/>
                <w:b w:val="1"/>
                <w:bCs w:val="1"/>
                <w:color w:val="FFFFFF"/>
                <w:w w:val="91"/>
              </w:rPr>
              <w:t>Threshold</w:t>
            </w: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800" w:type="dxa"/>
            <w:vAlign w:val="bottom"/>
            <w:tcBorders>
              <w:right w:val="single" w:sz="8" w:color="BFBFBF"/>
            </w:tcBorders>
            <w:gridSpan w:val="2"/>
            <w:shd w:val="clear" w:color="auto" w:fill="0088A6"/>
          </w:tcPr>
          <w:p>
            <w:pPr>
              <w:jc w:val="center"/>
              <w:ind w:right="160"/>
              <w:spacing w:after="0" w:line="149" w:lineRule="exact"/>
              <w:rPr>
                <w:sz w:val="20"/>
                <w:szCs w:val="20"/>
                <w:color w:val="auto"/>
              </w:rPr>
            </w:pPr>
            <w:r>
              <w:rPr>
                <w:rFonts w:ascii="Arial" w:cs="Arial" w:eastAsia="Arial" w:hAnsi="Arial"/>
                <w:sz w:val="14"/>
                <w:szCs w:val="14"/>
                <w:b w:val="1"/>
                <w:bCs w:val="1"/>
                <w:color w:val="FFFFFF"/>
                <w:w w:val="93"/>
              </w:rPr>
              <w:t>Target</w:t>
            </w:r>
          </w:p>
        </w:tc>
        <w:tc>
          <w:tcPr>
            <w:tcW w:w="40" w:type="dxa"/>
            <w:vAlign w:val="bottom"/>
            <w:shd w:val="clear" w:color="auto" w:fill="0088A6"/>
          </w:tcPr>
          <w:p>
            <w:pPr>
              <w:spacing w:after="0"/>
              <w:rPr>
                <w:sz w:val="12"/>
                <w:szCs w:val="12"/>
                <w:color w:val="auto"/>
              </w:rPr>
            </w:pPr>
          </w:p>
        </w:tc>
        <w:tc>
          <w:tcPr>
            <w:tcW w:w="980" w:type="dxa"/>
            <w:vAlign w:val="bottom"/>
            <w:tcBorders>
              <w:right w:val="single" w:sz="8" w:color="BFBFBF"/>
            </w:tcBorders>
            <w:gridSpan w:val="2"/>
            <w:shd w:val="clear" w:color="auto" w:fill="0088A6"/>
          </w:tcPr>
          <w:p>
            <w:pPr>
              <w:ind w:left="100"/>
              <w:spacing w:after="0" w:line="149" w:lineRule="exact"/>
              <w:rPr>
                <w:sz w:val="20"/>
                <w:szCs w:val="20"/>
                <w:color w:val="auto"/>
              </w:rPr>
            </w:pPr>
            <w:r>
              <w:rPr>
                <w:rFonts w:ascii="Arial" w:cs="Arial" w:eastAsia="Arial" w:hAnsi="Arial"/>
                <w:sz w:val="14"/>
                <w:szCs w:val="14"/>
                <w:b w:val="1"/>
                <w:bCs w:val="1"/>
                <w:color w:val="FFFFFF"/>
              </w:rPr>
              <w:t>Maximum</w:t>
            </w:r>
          </w:p>
        </w:tc>
        <w:tc>
          <w:tcPr>
            <w:tcW w:w="40" w:type="dxa"/>
            <w:vAlign w:val="bottom"/>
            <w:shd w:val="clear" w:color="auto" w:fill="0088A6"/>
          </w:tcPr>
          <w:p>
            <w:pPr>
              <w:spacing w:after="0"/>
              <w:rPr>
                <w:sz w:val="12"/>
                <w:szCs w:val="12"/>
                <w:color w:val="auto"/>
              </w:rPr>
            </w:pPr>
          </w:p>
        </w:tc>
        <w:tc>
          <w:tcPr>
            <w:tcW w:w="680" w:type="dxa"/>
            <w:vAlign w:val="bottom"/>
            <w:gridSpan w:val="2"/>
            <w:shd w:val="clear" w:color="auto" w:fill="0088A6"/>
          </w:tcPr>
          <w:p>
            <w:pPr>
              <w:jc w:val="center"/>
              <w:ind w:right="20"/>
              <w:spacing w:after="0" w:line="149" w:lineRule="exact"/>
              <w:rPr>
                <w:sz w:val="20"/>
                <w:szCs w:val="20"/>
                <w:color w:val="auto"/>
              </w:rPr>
            </w:pPr>
            <w:r>
              <w:rPr>
                <w:rFonts w:ascii="Arial" w:cs="Arial" w:eastAsia="Arial" w:hAnsi="Arial"/>
                <w:sz w:val="14"/>
                <w:szCs w:val="14"/>
                <w:b w:val="1"/>
                <w:bCs w:val="1"/>
                <w:color w:val="FFFFFF"/>
                <w:w w:val="97"/>
              </w:rPr>
              <w:t>Threshold</w:t>
            </w:r>
          </w:p>
        </w:tc>
        <w:tc>
          <w:tcPr>
            <w:tcW w:w="1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680" w:type="dxa"/>
            <w:vAlign w:val="bottom"/>
            <w:tcBorders>
              <w:right w:val="single" w:sz="8" w:color="BFBFBF"/>
            </w:tcBorders>
            <w:gridSpan w:val="2"/>
            <w:shd w:val="clear" w:color="auto" w:fill="0088A6"/>
          </w:tcPr>
          <w:p>
            <w:pPr>
              <w:jc w:val="center"/>
              <w:ind w:right="160"/>
              <w:spacing w:after="0" w:line="149" w:lineRule="exact"/>
              <w:rPr>
                <w:sz w:val="20"/>
                <w:szCs w:val="20"/>
                <w:color w:val="auto"/>
              </w:rPr>
            </w:pPr>
            <w:r>
              <w:rPr>
                <w:rFonts w:ascii="Arial" w:cs="Arial" w:eastAsia="Arial" w:hAnsi="Arial"/>
                <w:sz w:val="14"/>
                <w:szCs w:val="14"/>
                <w:b w:val="1"/>
                <w:bCs w:val="1"/>
                <w:color w:val="FFFFFF"/>
                <w:w w:val="93"/>
              </w:rPr>
              <w:t>Target</w:t>
            </w:r>
          </w:p>
        </w:tc>
        <w:tc>
          <w:tcPr>
            <w:tcW w:w="60" w:type="dxa"/>
            <w:vAlign w:val="bottom"/>
            <w:shd w:val="clear" w:color="auto" w:fill="0088A6"/>
          </w:tcPr>
          <w:p>
            <w:pPr>
              <w:spacing w:after="0"/>
              <w:rPr>
                <w:sz w:val="12"/>
                <w:szCs w:val="12"/>
                <w:color w:val="auto"/>
              </w:rPr>
            </w:pPr>
          </w:p>
        </w:tc>
        <w:tc>
          <w:tcPr>
            <w:tcW w:w="740" w:type="dxa"/>
            <w:vAlign w:val="bottom"/>
            <w:tcBorders>
              <w:right w:val="single" w:sz="8" w:color="BFBFBF"/>
            </w:tcBorders>
            <w:gridSpan w:val="2"/>
            <w:shd w:val="clear" w:color="auto" w:fill="0088A6"/>
          </w:tcPr>
          <w:p>
            <w:pPr>
              <w:spacing w:after="0" w:line="149" w:lineRule="exact"/>
              <w:rPr>
                <w:sz w:val="20"/>
                <w:szCs w:val="20"/>
                <w:color w:val="auto"/>
              </w:rPr>
            </w:pPr>
            <w:r>
              <w:rPr>
                <w:rFonts w:ascii="Arial" w:cs="Arial" w:eastAsia="Arial" w:hAnsi="Arial"/>
                <w:sz w:val="14"/>
                <w:szCs w:val="14"/>
                <w:b w:val="1"/>
                <w:bCs w:val="1"/>
                <w:color w:val="FFFFFF"/>
              </w:rPr>
              <w:t>Maximum</w:t>
            </w:r>
          </w:p>
        </w:tc>
        <w:tc>
          <w:tcPr>
            <w:tcW w:w="8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right"/>
              <w:ind w:right="120"/>
              <w:spacing w:after="0" w:line="149" w:lineRule="exact"/>
              <w:rPr>
                <w:sz w:val="20"/>
                <w:szCs w:val="20"/>
                <w:color w:val="auto"/>
              </w:rPr>
            </w:pPr>
            <w:r>
              <w:rPr>
                <w:rFonts w:ascii="Arial" w:cs="Arial" w:eastAsia="Arial" w:hAnsi="Arial"/>
                <w:sz w:val="14"/>
                <w:szCs w:val="14"/>
                <w:b w:val="1"/>
                <w:bCs w:val="1"/>
                <w:color w:val="FFFFFF"/>
                <w:w w:val="92"/>
              </w:rPr>
              <w:t>Stock or</w:t>
            </w:r>
          </w:p>
        </w:tc>
        <w:tc>
          <w:tcPr>
            <w:tcW w:w="80" w:type="dxa"/>
            <w:vAlign w:val="bottom"/>
            <w:shd w:val="clear" w:color="auto" w:fill="0088A6"/>
          </w:tcPr>
          <w:p>
            <w:pPr>
              <w:spacing w:after="0"/>
              <w:rPr>
                <w:sz w:val="12"/>
                <w:szCs w:val="12"/>
                <w:color w:val="auto"/>
              </w:rPr>
            </w:pPr>
          </w:p>
        </w:tc>
        <w:tc>
          <w:tcPr>
            <w:tcW w:w="820" w:type="dxa"/>
            <w:vAlign w:val="bottom"/>
            <w:tcBorders>
              <w:right w:val="single" w:sz="8" w:color="BFBFBF"/>
            </w:tcBorders>
            <w:gridSpan w:val="2"/>
            <w:shd w:val="clear" w:color="auto" w:fill="0088A6"/>
          </w:tcPr>
          <w:p>
            <w:pPr>
              <w:jc w:val="center"/>
              <w:ind w:right="100"/>
              <w:spacing w:after="0" w:line="149" w:lineRule="exact"/>
              <w:rPr>
                <w:sz w:val="20"/>
                <w:szCs w:val="20"/>
                <w:color w:val="auto"/>
              </w:rPr>
            </w:pPr>
            <w:r>
              <w:rPr>
                <w:rFonts w:ascii="Arial" w:cs="Arial" w:eastAsia="Arial" w:hAnsi="Arial"/>
                <w:sz w:val="14"/>
                <w:szCs w:val="14"/>
                <w:b w:val="1"/>
                <w:bCs w:val="1"/>
                <w:color w:val="FFFFFF"/>
                <w:w w:val="98"/>
              </w:rPr>
              <w:t>Options</w:t>
            </w:r>
          </w:p>
        </w:tc>
        <w:tc>
          <w:tcPr>
            <w:tcW w:w="100" w:type="dxa"/>
            <w:vAlign w:val="bottom"/>
            <w:shd w:val="clear" w:color="auto" w:fill="0088A6"/>
          </w:tcPr>
          <w:p>
            <w:pPr>
              <w:spacing w:after="0"/>
              <w:rPr>
                <w:sz w:val="12"/>
                <w:szCs w:val="12"/>
                <w:color w:val="auto"/>
              </w:rPr>
            </w:pPr>
          </w:p>
        </w:tc>
        <w:tc>
          <w:tcPr>
            <w:tcW w:w="660" w:type="dxa"/>
            <w:vAlign w:val="bottom"/>
            <w:tcBorders>
              <w:right w:val="single" w:sz="8" w:color="BFBFBF"/>
            </w:tcBorders>
            <w:gridSpan w:val="2"/>
            <w:shd w:val="clear" w:color="auto" w:fill="0088A6"/>
          </w:tcPr>
          <w:p>
            <w:pPr>
              <w:jc w:val="center"/>
              <w:ind w:right="100"/>
              <w:spacing w:after="0" w:line="149" w:lineRule="exact"/>
              <w:rPr>
                <w:sz w:val="20"/>
                <w:szCs w:val="20"/>
                <w:color w:val="auto"/>
              </w:rPr>
            </w:pPr>
            <w:r>
              <w:rPr>
                <w:rFonts w:ascii="Arial" w:cs="Arial" w:eastAsia="Arial" w:hAnsi="Arial"/>
                <w:sz w:val="14"/>
                <w:szCs w:val="14"/>
                <w:b w:val="1"/>
                <w:bCs w:val="1"/>
                <w:color w:val="FFFFFF"/>
                <w:w w:val="94"/>
              </w:rPr>
              <w:t>Awards</w:t>
            </w:r>
          </w:p>
        </w:tc>
        <w:tc>
          <w:tcPr>
            <w:tcW w:w="60" w:type="dxa"/>
            <w:vAlign w:val="bottom"/>
            <w:shd w:val="clear" w:color="auto" w:fill="0088A6"/>
          </w:tcPr>
          <w:p>
            <w:pPr>
              <w:spacing w:after="0"/>
              <w:rPr>
                <w:sz w:val="12"/>
                <w:szCs w:val="12"/>
                <w:color w:val="auto"/>
              </w:rPr>
            </w:pPr>
          </w:p>
        </w:tc>
        <w:tc>
          <w:tcPr>
            <w:tcW w:w="1020" w:type="dxa"/>
            <w:vAlign w:val="bottom"/>
            <w:tcBorders>
              <w:right w:val="single" w:sz="8" w:color="BFBFBF"/>
            </w:tcBorders>
            <w:gridSpan w:val="2"/>
            <w:shd w:val="clear" w:color="auto" w:fill="0088A6"/>
          </w:tcPr>
          <w:p>
            <w:pPr>
              <w:jc w:val="center"/>
              <w:ind w:right="220"/>
              <w:spacing w:after="0" w:line="149" w:lineRule="exact"/>
              <w:rPr>
                <w:sz w:val="20"/>
                <w:szCs w:val="20"/>
                <w:color w:val="auto"/>
              </w:rPr>
            </w:pPr>
            <w:r>
              <w:rPr>
                <w:rFonts w:ascii="Arial" w:cs="Arial" w:eastAsia="Arial" w:hAnsi="Arial"/>
                <w:sz w:val="14"/>
                <w:szCs w:val="14"/>
                <w:b w:val="1"/>
                <w:bCs w:val="1"/>
                <w:color w:val="FFFFFF"/>
                <w:w w:val="94"/>
              </w:rPr>
              <w:t>Awards</w:t>
            </w:r>
          </w:p>
        </w:tc>
        <w:tc>
          <w:tcPr>
            <w:tcW w:w="0" w:type="dxa"/>
            <w:vAlign w:val="bottom"/>
          </w:tcPr>
          <w:p>
            <w:pPr>
              <w:spacing w:after="0"/>
              <w:rPr>
                <w:sz w:val="1"/>
                <w:szCs w:val="1"/>
                <w:color w:val="auto"/>
              </w:rPr>
            </w:pPr>
          </w:p>
        </w:tc>
      </w:tr>
      <w:tr>
        <w:trPr>
          <w:trHeight w:val="205"/>
        </w:trPr>
        <w:tc>
          <w:tcPr>
            <w:tcW w:w="2220" w:type="dxa"/>
            <w:vAlign w:val="bottom"/>
            <w:tcBorders>
              <w:left w:val="single" w:sz="8" w:color="BFBFBF"/>
              <w:bottom w:val="single" w:sz="8" w:color="auto"/>
              <w:right w:val="single" w:sz="8" w:color="BFBFBF"/>
            </w:tcBorders>
            <w:vMerge w:val="continue"/>
            <w:shd w:val="clear" w:color="auto" w:fill="0088A6"/>
          </w:tcPr>
          <w:p>
            <w:pPr>
              <w:spacing w:after="0"/>
              <w:rPr>
                <w:sz w:val="17"/>
                <w:szCs w:val="17"/>
                <w:color w:val="auto"/>
              </w:rPr>
            </w:pPr>
          </w:p>
        </w:tc>
        <w:tc>
          <w:tcPr>
            <w:tcW w:w="60" w:type="dxa"/>
            <w:vAlign w:val="bottom"/>
            <w:tcBorders>
              <w:bottom w:val="single" w:sz="8" w:color="0088A6"/>
            </w:tcBorders>
            <w:shd w:val="clear" w:color="auto" w:fill="0088A6"/>
          </w:tcPr>
          <w:p>
            <w:pPr>
              <w:spacing w:after="0"/>
              <w:rPr>
                <w:sz w:val="17"/>
                <w:szCs w:val="17"/>
                <w:color w:val="auto"/>
              </w:rPr>
            </w:pPr>
          </w:p>
        </w:tc>
        <w:tc>
          <w:tcPr>
            <w:tcW w:w="620" w:type="dxa"/>
            <w:vAlign w:val="bottom"/>
            <w:tcBorders>
              <w:bottom w:val="single" w:sz="8" w:color="auto"/>
              <w:right w:val="single" w:sz="8" w:color="BFBFBF"/>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2"/>
              </w:rPr>
              <w:t>Date</w:t>
            </w:r>
          </w:p>
        </w:tc>
        <w:tc>
          <w:tcPr>
            <w:tcW w:w="60" w:type="dxa"/>
            <w:vAlign w:val="bottom"/>
            <w:tcBorders>
              <w:bottom w:val="single" w:sz="8" w:color="0088A6"/>
            </w:tcBorders>
            <w:shd w:val="clear" w:color="auto" w:fill="0088A6"/>
          </w:tcPr>
          <w:p>
            <w:pPr>
              <w:spacing w:after="0"/>
              <w:rPr>
                <w:sz w:val="17"/>
                <w:szCs w:val="17"/>
                <w:color w:val="auto"/>
              </w:rPr>
            </w:pPr>
          </w:p>
        </w:tc>
        <w:tc>
          <w:tcPr>
            <w:tcW w:w="660" w:type="dxa"/>
            <w:vAlign w:val="bottom"/>
            <w:tcBorders>
              <w:bottom w:val="single" w:sz="8" w:color="auto"/>
            </w:tcBorders>
            <w:shd w:val="clear" w:color="auto" w:fill="0088A6"/>
          </w:tcPr>
          <w:p>
            <w:pPr>
              <w:jc w:val="right"/>
              <w:ind w:right="192"/>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0088A6"/>
              <w:right w:val="single" w:sz="8" w:color="BFBFBF"/>
            </w:tcBorders>
            <w:shd w:val="clear" w:color="auto" w:fill="0088A6"/>
          </w:tcPr>
          <w:p>
            <w:pPr>
              <w:spacing w:after="0"/>
              <w:rPr>
                <w:sz w:val="17"/>
                <w:szCs w:val="17"/>
                <w:color w:val="auto"/>
              </w:rPr>
            </w:pPr>
          </w:p>
        </w:tc>
        <w:tc>
          <w:tcPr>
            <w:tcW w:w="60" w:type="dxa"/>
            <w:vAlign w:val="bottom"/>
            <w:tcBorders>
              <w:bottom w:val="single" w:sz="8" w:color="0088A6"/>
            </w:tcBorders>
            <w:shd w:val="clear" w:color="auto" w:fill="0088A6"/>
          </w:tcPr>
          <w:p>
            <w:pPr>
              <w:spacing w:after="0"/>
              <w:rPr>
                <w:sz w:val="17"/>
                <w:szCs w:val="17"/>
                <w:color w:val="auto"/>
              </w:rPr>
            </w:pPr>
          </w:p>
        </w:tc>
        <w:tc>
          <w:tcPr>
            <w:tcW w:w="680" w:type="dxa"/>
            <w:vAlign w:val="bottom"/>
            <w:tcBorders>
              <w:bottom w:val="single" w:sz="8" w:color="auto"/>
            </w:tcBorders>
            <w:shd w:val="clear" w:color="auto" w:fill="0088A6"/>
          </w:tcPr>
          <w:p>
            <w:pPr>
              <w:jc w:val="right"/>
              <w:ind w:right="192"/>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0088A6"/>
              <w:right w:val="single" w:sz="8" w:color="BFBFBF"/>
            </w:tcBorders>
            <w:shd w:val="clear" w:color="auto" w:fill="0088A6"/>
          </w:tcPr>
          <w:p>
            <w:pPr>
              <w:spacing w:after="0"/>
              <w:rPr>
                <w:sz w:val="17"/>
                <w:szCs w:val="17"/>
                <w:color w:val="auto"/>
              </w:rPr>
            </w:pPr>
          </w:p>
        </w:tc>
        <w:tc>
          <w:tcPr>
            <w:tcW w:w="40" w:type="dxa"/>
            <w:vAlign w:val="bottom"/>
            <w:tcBorders>
              <w:bottom w:val="single" w:sz="8" w:color="0088A6"/>
            </w:tcBorders>
            <w:shd w:val="clear" w:color="auto" w:fill="0088A6"/>
          </w:tcPr>
          <w:p>
            <w:pPr>
              <w:spacing w:after="0"/>
              <w:rPr>
                <w:sz w:val="17"/>
                <w:szCs w:val="17"/>
                <w:color w:val="auto"/>
              </w:rPr>
            </w:pPr>
          </w:p>
        </w:tc>
        <w:tc>
          <w:tcPr>
            <w:tcW w:w="860" w:type="dxa"/>
            <w:vAlign w:val="bottom"/>
            <w:tcBorders>
              <w:bottom w:val="single" w:sz="8" w:color="auto"/>
            </w:tcBorders>
            <w:shd w:val="clear" w:color="auto" w:fill="0088A6"/>
          </w:tcPr>
          <w:p>
            <w:pPr>
              <w:jc w:val="right"/>
              <w:ind w:right="272"/>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0088A6"/>
              <w:right w:val="single" w:sz="8" w:color="BFBFBF"/>
            </w:tcBorders>
            <w:shd w:val="clear" w:color="auto" w:fill="0088A6"/>
          </w:tcPr>
          <w:p>
            <w:pPr>
              <w:spacing w:after="0"/>
              <w:rPr>
                <w:sz w:val="17"/>
                <w:szCs w:val="17"/>
                <w:color w:val="auto"/>
              </w:rPr>
            </w:pPr>
          </w:p>
        </w:tc>
        <w:tc>
          <w:tcPr>
            <w:tcW w:w="40" w:type="dxa"/>
            <w:vAlign w:val="bottom"/>
            <w:tcBorders>
              <w:bottom w:val="single" w:sz="8" w:color="0088A6"/>
            </w:tcBorders>
            <w:shd w:val="clear" w:color="auto" w:fill="0088A6"/>
          </w:tcPr>
          <w:p>
            <w:pPr>
              <w:spacing w:after="0"/>
              <w:rPr>
                <w:sz w:val="17"/>
                <w:szCs w:val="17"/>
                <w:color w:val="auto"/>
              </w:rPr>
            </w:pPr>
          </w:p>
        </w:tc>
        <w:tc>
          <w:tcPr>
            <w:tcW w:w="660" w:type="dxa"/>
            <w:vAlign w:val="bottom"/>
            <w:tcBorders>
              <w:bottom w:val="single" w:sz="8" w:color="auto"/>
            </w:tcBorders>
            <w:shd w:val="clear" w:color="auto" w:fill="0088A6"/>
          </w:tcPr>
          <w:p>
            <w:pPr>
              <w:jc w:val="right"/>
              <w:ind w:right="172"/>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88A6"/>
            </w:tcBorders>
            <w:shd w:val="clear" w:color="auto" w:fill="0088A6"/>
          </w:tcPr>
          <w:p>
            <w:pPr>
              <w:spacing w:after="0"/>
              <w:rPr>
                <w:sz w:val="17"/>
                <w:szCs w:val="17"/>
                <w:color w:val="auto"/>
              </w:rPr>
            </w:pPr>
          </w:p>
        </w:tc>
        <w:tc>
          <w:tcPr>
            <w:tcW w:w="100" w:type="dxa"/>
            <w:vAlign w:val="bottom"/>
            <w:tcBorders>
              <w:bottom w:val="single" w:sz="8" w:color="0088A6"/>
              <w:right w:val="single" w:sz="8" w:color="BFBFBF"/>
            </w:tcBorders>
            <w:shd w:val="clear" w:color="auto" w:fill="0088A6"/>
          </w:tcPr>
          <w:p>
            <w:pPr>
              <w:spacing w:after="0"/>
              <w:rPr>
                <w:sz w:val="17"/>
                <w:szCs w:val="17"/>
                <w:color w:val="auto"/>
              </w:rPr>
            </w:pPr>
          </w:p>
        </w:tc>
        <w:tc>
          <w:tcPr>
            <w:tcW w:w="60" w:type="dxa"/>
            <w:vAlign w:val="bottom"/>
            <w:tcBorders>
              <w:bottom w:val="single" w:sz="8" w:color="0088A6"/>
            </w:tcBorders>
            <w:shd w:val="clear" w:color="auto" w:fill="0088A6"/>
          </w:tcPr>
          <w:p>
            <w:pPr>
              <w:spacing w:after="0"/>
              <w:rPr>
                <w:sz w:val="17"/>
                <w:szCs w:val="17"/>
                <w:color w:val="auto"/>
              </w:rPr>
            </w:pPr>
          </w:p>
        </w:tc>
        <w:tc>
          <w:tcPr>
            <w:tcW w:w="56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3"/>
              </w:rPr>
              <w:t>(#)</w:t>
            </w:r>
          </w:p>
        </w:tc>
        <w:tc>
          <w:tcPr>
            <w:tcW w:w="120" w:type="dxa"/>
            <w:vAlign w:val="bottom"/>
            <w:tcBorders>
              <w:bottom w:val="single" w:sz="8" w:color="0088A6"/>
              <w:right w:val="single" w:sz="8" w:color="BFBFBF"/>
            </w:tcBorders>
            <w:shd w:val="clear" w:color="auto" w:fill="0088A6"/>
          </w:tcPr>
          <w:p>
            <w:pPr>
              <w:spacing w:after="0"/>
              <w:rPr>
                <w:sz w:val="17"/>
                <w:szCs w:val="17"/>
                <w:color w:val="auto"/>
              </w:rPr>
            </w:pPr>
          </w:p>
        </w:tc>
        <w:tc>
          <w:tcPr>
            <w:tcW w:w="60" w:type="dxa"/>
            <w:vAlign w:val="bottom"/>
            <w:tcBorders>
              <w:bottom w:val="single" w:sz="8" w:color="0088A6"/>
            </w:tcBorders>
            <w:shd w:val="clear" w:color="auto" w:fill="0088A6"/>
          </w:tcPr>
          <w:p>
            <w:pPr>
              <w:spacing w:after="0"/>
              <w:rPr>
                <w:sz w:val="17"/>
                <w:szCs w:val="17"/>
                <w:color w:val="auto"/>
              </w:rPr>
            </w:pPr>
          </w:p>
        </w:tc>
        <w:tc>
          <w:tcPr>
            <w:tcW w:w="640" w:type="dxa"/>
            <w:vAlign w:val="bottom"/>
            <w:tcBorders>
              <w:bottom w:val="single" w:sz="8" w:color="auto"/>
            </w:tcBorders>
            <w:shd w:val="clear" w:color="auto" w:fill="0088A6"/>
          </w:tcPr>
          <w:p>
            <w:pPr>
              <w:jc w:val="right"/>
              <w:ind w:right="172"/>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540" w:type="dxa"/>
            <w:vAlign w:val="bottom"/>
            <w:tcBorders>
              <w:bottom w:val="single" w:sz="8" w:color="auto"/>
            </w:tcBorders>
            <w:shd w:val="clear" w:color="auto" w:fill="0088A6"/>
          </w:tcPr>
          <w:p>
            <w:pPr>
              <w:jc w:val="right"/>
              <w:spacing w:after="0"/>
              <w:rPr>
                <w:sz w:val="20"/>
                <w:szCs w:val="20"/>
                <w:color w:val="auto"/>
              </w:rPr>
            </w:pPr>
            <w:r>
              <w:rPr>
                <w:rFonts w:ascii="Arial" w:cs="Arial" w:eastAsia="Arial" w:hAnsi="Arial"/>
                <w:sz w:val="14"/>
                <w:szCs w:val="14"/>
                <w:b w:val="1"/>
                <w:bCs w:val="1"/>
                <w:color w:val="FFFFFF"/>
                <w:w w:val="92"/>
              </w:rPr>
              <w:t>Units (#)</w:t>
            </w:r>
          </w:p>
        </w:tc>
        <w:tc>
          <w:tcPr>
            <w:tcW w:w="12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72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3"/>
              </w:rPr>
              <w:t>(#)</w:t>
            </w:r>
          </w:p>
        </w:tc>
        <w:tc>
          <w:tcPr>
            <w:tcW w:w="100" w:type="dxa"/>
            <w:vAlign w:val="bottom"/>
            <w:tcBorders>
              <w:bottom w:val="single" w:sz="8" w:color="0088A6"/>
              <w:right w:val="single" w:sz="8" w:color="BFBFBF"/>
            </w:tcBorders>
            <w:shd w:val="clear" w:color="auto" w:fill="0088A6"/>
          </w:tcPr>
          <w:p>
            <w:pPr>
              <w:spacing w:after="0"/>
              <w:rPr>
                <w:sz w:val="17"/>
                <w:szCs w:val="17"/>
                <w:color w:val="auto"/>
              </w:rPr>
            </w:pPr>
          </w:p>
        </w:tc>
        <w:tc>
          <w:tcPr>
            <w:tcW w:w="100" w:type="dxa"/>
            <w:vAlign w:val="bottom"/>
            <w:tcBorders>
              <w:bottom w:val="single" w:sz="8" w:color="0088A6"/>
            </w:tcBorders>
            <w:shd w:val="clear" w:color="auto" w:fill="0088A6"/>
          </w:tcPr>
          <w:p>
            <w:pPr>
              <w:spacing w:after="0"/>
              <w:rPr>
                <w:sz w:val="17"/>
                <w:szCs w:val="17"/>
                <w:color w:val="auto"/>
              </w:rPr>
            </w:pPr>
          </w:p>
        </w:tc>
        <w:tc>
          <w:tcPr>
            <w:tcW w:w="56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7"/>
              </w:rPr>
              <w:t>($/Sh)</w:t>
            </w:r>
          </w:p>
        </w:tc>
        <w:tc>
          <w:tcPr>
            <w:tcW w:w="100" w:type="dxa"/>
            <w:vAlign w:val="bottom"/>
            <w:tcBorders>
              <w:bottom w:val="single" w:sz="8" w:color="0088A6"/>
              <w:right w:val="single" w:sz="8" w:color="BFBFBF"/>
            </w:tcBorders>
            <w:shd w:val="clear" w:color="auto" w:fill="0088A6"/>
          </w:tcPr>
          <w:p>
            <w:pPr>
              <w:spacing w:after="0"/>
              <w:rPr>
                <w:sz w:val="17"/>
                <w:szCs w:val="17"/>
                <w:color w:val="auto"/>
              </w:rPr>
            </w:pPr>
          </w:p>
        </w:tc>
        <w:tc>
          <w:tcPr>
            <w:tcW w:w="60" w:type="dxa"/>
            <w:vAlign w:val="bottom"/>
            <w:tcBorders>
              <w:bottom w:val="single" w:sz="8" w:color="0088A6"/>
            </w:tcBorders>
            <w:shd w:val="clear" w:color="auto" w:fill="0088A6"/>
          </w:tcPr>
          <w:p>
            <w:pPr>
              <w:spacing w:after="0"/>
              <w:rPr>
                <w:sz w:val="17"/>
                <w:szCs w:val="17"/>
                <w:color w:val="auto"/>
              </w:rPr>
            </w:pPr>
          </w:p>
        </w:tc>
        <w:tc>
          <w:tcPr>
            <w:tcW w:w="82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9"/>
              </w:rPr>
              <w:t>($)(3)</w:t>
            </w:r>
          </w:p>
        </w:tc>
        <w:tc>
          <w:tcPr>
            <w:tcW w:w="200" w:type="dxa"/>
            <w:vAlign w:val="bottom"/>
            <w:tcBorders>
              <w:bottom w:val="single" w:sz="8" w:color="0088A6"/>
              <w:right w:val="single" w:sz="8" w:color="BFBFBF"/>
            </w:tcBorders>
            <w:shd w:val="clear" w:color="auto" w:fill="0088A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220" w:type="dxa"/>
            <w:vAlign w:val="bottom"/>
            <w:tcBorders>
              <w:top w:val="single" w:sz="8" w:color="BFBFBF"/>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Robert Greifeld</w:t>
            </w:r>
          </w:p>
        </w:tc>
        <w:tc>
          <w:tcPr>
            <w:tcW w:w="680" w:type="dxa"/>
            <w:vAlign w:val="bottom"/>
            <w:tcBorders>
              <w:top w:val="single" w:sz="8" w:color="BFBFBF"/>
              <w:bottom w:val="single" w:sz="8" w:color="BFBFBF"/>
              <w:right w:val="single" w:sz="8" w:color="BFBFBF"/>
            </w:tcBorders>
            <w:gridSpan w:val="2"/>
          </w:tcPr>
          <w:p>
            <w:pPr>
              <w:jc w:val="center"/>
              <w:spacing w:after="0" w:line="129" w:lineRule="exact"/>
              <w:rPr>
                <w:sz w:val="20"/>
                <w:szCs w:val="20"/>
                <w:color w:val="auto"/>
              </w:rPr>
            </w:pPr>
            <w:r>
              <w:rPr>
                <w:rFonts w:ascii="Arial" w:cs="Arial" w:eastAsia="Arial" w:hAnsi="Arial"/>
                <w:sz w:val="14"/>
                <w:szCs w:val="14"/>
                <w:color w:val="auto"/>
                <w:w w:val="96"/>
              </w:rPr>
              <w:t>2/22/2012</w:t>
            </w:r>
          </w:p>
        </w:tc>
        <w:tc>
          <w:tcPr>
            <w:tcW w:w="72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$0</w:t>
            </w:r>
          </w:p>
        </w:tc>
        <w:tc>
          <w:tcPr>
            <w:tcW w:w="100" w:type="dxa"/>
            <w:vAlign w:val="bottom"/>
            <w:tcBorders>
              <w:top w:val="single" w:sz="8" w:color="BFBFBF"/>
              <w:bottom w:val="single" w:sz="8" w:color="BFBFBF"/>
              <w:right w:val="single" w:sz="8" w:color="BFBFBF"/>
            </w:tcBorders>
          </w:tcPr>
          <w:p>
            <w:pPr>
              <w:spacing w:after="0"/>
              <w:rPr>
                <w:sz w:val="11"/>
                <w:szCs w:val="11"/>
                <w:color w:val="auto"/>
              </w:rPr>
            </w:pPr>
          </w:p>
        </w:tc>
        <w:tc>
          <w:tcPr>
            <w:tcW w:w="860" w:type="dxa"/>
            <w:vAlign w:val="bottom"/>
            <w:tcBorders>
              <w:top w:val="single" w:sz="8" w:color="BFBFBF"/>
              <w:bottom w:val="single" w:sz="8" w:color="BFBFBF"/>
              <w:right w:val="single" w:sz="8" w:color="BFBFBF"/>
            </w:tcBorders>
            <w:gridSpan w:val="3"/>
          </w:tcPr>
          <w:p>
            <w:pPr>
              <w:jc w:val="right"/>
              <w:ind w:right="120"/>
              <w:spacing w:after="0" w:line="129" w:lineRule="exact"/>
              <w:rPr>
                <w:sz w:val="20"/>
                <w:szCs w:val="20"/>
                <w:color w:val="auto"/>
              </w:rPr>
            </w:pPr>
            <w:r>
              <w:rPr>
                <w:rFonts w:ascii="Arial" w:cs="Arial" w:eastAsia="Arial" w:hAnsi="Arial"/>
                <w:sz w:val="14"/>
                <w:szCs w:val="14"/>
                <w:color w:val="auto"/>
              </w:rPr>
              <w:t>$2,100,000</w:t>
            </w:r>
          </w:p>
        </w:tc>
        <w:tc>
          <w:tcPr>
            <w:tcW w:w="90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$4,200,000(4)</w:t>
            </w:r>
          </w:p>
        </w:tc>
        <w:tc>
          <w:tcPr>
            <w:tcW w:w="120" w:type="dxa"/>
            <w:vAlign w:val="bottom"/>
            <w:tcBorders>
              <w:top w:val="single" w:sz="8" w:color="BFBFBF"/>
              <w:bottom w:val="single" w:sz="8" w:color="BFBFBF"/>
              <w:right w:val="single" w:sz="8" w:color="BFBFBF"/>
            </w:tcBorders>
          </w:tcPr>
          <w:p>
            <w:pPr>
              <w:spacing w:after="0"/>
              <w:rPr>
                <w:sz w:val="11"/>
                <w:szCs w:val="11"/>
                <w:color w:val="auto"/>
              </w:rPr>
            </w:pPr>
          </w:p>
        </w:tc>
        <w:tc>
          <w:tcPr>
            <w:tcW w:w="40" w:type="dxa"/>
            <w:vAlign w:val="bottom"/>
            <w:tcBorders>
              <w:top w:val="single" w:sz="8" w:color="BFBFBF"/>
              <w:bottom w:val="single" w:sz="8" w:color="BFBFBF"/>
            </w:tcBorders>
          </w:tcPr>
          <w:p>
            <w:pPr>
              <w:spacing w:after="0"/>
              <w:rPr>
                <w:sz w:val="11"/>
                <w:szCs w:val="11"/>
                <w:color w:val="auto"/>
              </w:rPr>
            </w:pPr>
          </w:p>
        </w:tc>
        <w:tc>
          <w:tcPr>
            <w:tcW w:w="680" w:type="dxa"/>
            <w:vAlign w:val="bottom"/>
            <w:tcBorders>
              <w:top w:val="single" w:sz="8" w:color="BFBFBF"/>
              <w:bottom w:val="single" w:sz="8" w:color="BFBFBF"/>
            </w:tcBorders>
            <w:gridSpan w:val="2"/>
          </w:tcPr>
          <w:p>
            <w:pPr>
              <w:jc w:val="right"/>
              <w:ind w:right="20"/>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BFBFBF"/>
              <w:bottom w:val="single" w:sz="8" w:color="BFBFBF"/>
              <w:right w:val="single" w:sz="8" w:color="BFBFBF"/>
            </w:tcBorders>
          </w:tcPr>
          <w:p>
            <w:pPr>
              <w:spacing w:after="0"/>
              <w:rPr>
                <w:sz w:val="11"/>
                <w:szCs w:val="11"/>
                <w:color w:val="auto"/>
              </w:rPr>
            </w:pPr>
          </w:p>
        </w:tc>
        <w:tc>
          <w:tcPr>
            <w:tcW w:w="60" w:type="dxa"/>
            <w:vAlign w:val="bottom"/>
            <w:tcBorders>
              <w:top w:val="single" w:sz="8" w:color="BFBFBF"/>
              <w:bottom w:val="single" w:sz="8" w:color="BFBFBF"/>
            </w:tcBorders>
          </w:tcPr>
          <w:p>
            <w:pPr>
              <w:spacing w:after="0"/>
              <w:rPr>
                <w:sz w:val="11"/>
                <w:szCs w:val="11"/>
                <w:color w:val="auto"/>
              </w:rPr>
            </w:pPr>
          </w:p>
        </w:tc>
        <w:tc>
          <w:tcPr>
            <w:tcW w:w="680" w:type="dxa"/>
            <w:vAlign w:val="bottom"/>
            <w:tcBorders>
              <w:top w:val="single" w:sz="8" w:color="BFBFBF"/>
              <w:bottom w:val="single" w:sz="8" w:color="BFBFBF"/>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BFBFBF"/>
              <w:bottom w:val="single" w:sz="8" w:color="BFBFBF"/>
            </w:tcBorders>
          </w:tcPr>
          <w:p>
            <w:pPr>
              <w:spacing w:after="0"/>
              <w:rPr>
                <w:sz w:val="11"/>
                <w:szCs w:val="11"/>
                <w:color w:val="auto"/>
              </w:rPr>
            </w:pPr>
          </w:p>
        </w:tc>
        <w:tc>
          <w:tcPr>
            <w:tcW w:w="740" w:type="dxa"/>
            <w:vAlign w:val="bottom"/>
            <w:tcBorders>
              <w:top w:val="single" w:sz="8" w:color="BFBFBF"/>
              <w:bottom w:val="single" w:sz="8" w:color="BFBFBF"/>
              <w:right w:val="single" w:sz="8" w:color="BFBFBF"/>
            </w:tcBorders>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BFBFBF"/>
              <w:bottom w:val="single" w:sz="8" w:color="BFBFBF"/>
            </w:tcBorders>
          </w:tcPr>
          <w:p>
            <w:pPr>
              <w:spacing w:after="0"/>
              <w:rPr>
                <w:sz w:val="11"/>
                <w:szCs w:val="11"/>
                <w:color w:val="auto"/>
              </w:rPr>
            </w:pPr>
          </w:p>
        </w:tc>
        <w:tc>
          <w:tcPr>
            <w:tcW w:w="660" w:type="dxa"/>
            <w:vAlign w:val="bottom"/>
            <w:tcBorders>
              <w:top w:val="single" w:sz="8" w:color="BFBFBF"/>
              <w:bottom w:val="single" w:sz="8" w:color="BFBFBF"/>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BFBFBF"/>
              <w:bottom w:val="single" w:sz="8" w:color="BFBFBF"/>
            </w:tcBorders>
          </w:tcPr>
          <w:p>
            <w:pPr>
              <w:spacing w:after="0"/>
              <w:rPr>
                <w:sz w:val="11"/>
                <w:szCs w:val="11"/>
                <w:color w:val="auto"/>
              </w:rPr>
            </w:pPr>
          </w:p>
        </w:tc>
        <w:tc>
          <w:tcPr>
            <w:tcW w:w="820" w:type="dxa"/>
            <w:vAlign w:val="bottom"/>
            <w:tcBorders>
              <w:top w:val="single" w:sz="8" w:color="BFBFBF"/>
              <w:bottom w:val="single" w:sz="8" w:color="BFBFBF"/>
              <w:right w:val="single" w:sz="8" w:color="BFBFBF"/>
            </w:tcBorders>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BFBFBF"/>
              <w:bottom w:val="single" w:sz="8" w:color="BFBFBF"/>
            </w:tcBorders>
          </w:tcPr>
          <w:p>
            <w:pPr>
              <w:spacing w:after="0"/>
              <w:rPr>
                <w:sz w:val="11"/>
                <w:szCs w:val="11"/>
                <w:color w:val="auto"/>
              </w:rPr>
            </w:pPr>
          </w:p>
        </w:tc>
        <w:tc>
          <w:tcPr>
            <w:tcW w:w="660" w:type="dxa"/>
            <w:vAlign w:val="bottom"/>
            <w:tcBorders>
              <w:top w:val="single" w:sz="8" w:color="BFBFBF"/>
              <w:bottom w:val="single" w:sz="8" w:color="BFBFBF"/>
              <w:right w:val="single" w:sz="8" w:color="BFBFBF"/>
            </w:tcBorders>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BFBFBF"/>
              <w:bottom w:val="single" w:sz="8" w:color="BFBFBF"/>
            </w:tcBorders>
          </w:tcPr>
          <w:p>
            <w:pPr>
              <w:spacing w:after="0"/>
              <w:rPr>
                <w:sz w:val="11"/>
                <w:szCs w:val="11"/>
                <w:color w:val="auto"/>
              </w:rPr>
            </w:pPr>
          </w:p>
        </w:tc>
        <w:tc>
          <w:tcPr>
            <w:tcW w:w="1020" w:type="dxa"/>
            <w:vAlign w:val="bottom"/>
            <w:tcBorders>
              <w:top w:val="single" w:sz="8" w:color="BFBFBF"/>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220" w:type="dxa"/>
            <w:vAlign w:val="bottom"/>
            <w:tcBorders>
              <w:left w:val="single" w:sz="8" w:color="BFBFBF"/>
              <w:bottom w:val="single" w:sz="8" w:color="BFBFBF"/>
              <w:right w:val="single" w:sz="8" w:color="BFBFBF"/>
            </w:tcBorders>
          </w:tcPr>
          <w:p>
            <w:pPr>
              <w:ind w:left="560"/>
              <w:spacing w:after="0" w:line="142" w:lineRule="exact"/>
              <w:rPr>
                <w:sz w:val="20"/>
                <w:szCs w:val="20"/>
                <w:color w:val="auto"/>
              </w:rPr>
            </w:pPr>
            <w:r>
              <w:rPr>
                <w:rFonts w:ascii="Arial" w:cs="Arial" w:eastAsia="Arial" w:hAnsi="Arial"/>
                <w:sz w:val="14"/>
                <w:szCs w:val="14"/>
                <w:color w:val="auto"/>
              </w:rPr>
              <w:t>Chief Executive Officer</w:t>
            </w:r>
          </w:p>
        </w:tc>
        <w:tc>
          <w:tcPr>
            <w:tcW w:w="680" w:type="dxa"/>
            <w:vAlign w:val="bottom"/>
            <w:tcBorders>
              <w:bottom w:val="single" w:sz="8" w:color="BFBFBF"/>
              <w:right w:val="single" w:sz="8" w:color="BFBFBF"/>
            </w:tcBorders>
            <w:gridSpan w:val="2"/>
          </w:tcPr>
          <w:p>
            <w:pPr>
              <w:jc w:val="center"/>
              <w:spacing w:after="0" w:line="142" w:lineRule="exact"/>
              <w:rPr>
                <w:sz w:val="20"/>
                <w:szCs w:val="20"/>
                <w:color w:val="auto"/>
              </w:rPr>
            </w:pPr>
            <w:r>
              <w:rPr>
                <w:rFonts w:ascii="Arial" w:cs="Arial" w:eastAsia="Arial" w:hAnsi="Arial"/>
                <w:sz w:val="14"/>
                <w:szCs w:val="14"/>
                <w:color w:val="auto"/>
                <w:w w:val="95"/>
              </w:rPr>
              <w:t>5/7/2012</w:t>
            </w:r>
          </w:p>
        </w:tc>
        <w:tc>
          <w:tcPr>
            <w:tcW w:w="6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80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BFBFBF"/>
            </w:tcBorders>
          </w:tcPr>
          <w:p>
            <w:pPr>
              <w:spacing w:after="0"/>
              <w:rPr>
                <w:sz w:val="12"/>
                <w:szCs w:val="12"/>
                <w:color w:val="auto"/>
              </w:rPr>
            </w:pPr>
          </w:p>
        </w:tc>
        <w:tc>
          <w:tcPr>
            <w:tcW w:w="9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ind w:right="20"/>
              <w:spacing w:after="0" w:line="142" w:lineRule="exact"/>
              <w:rPr>
                <w:sz w:val="20"/>
                <w:szCs w:val="20"/>
                <w:color w:val="auto"/>
              </w:rPr>
            </w:pPr>
            <w:r>
              <w:rPr>
                <w:rFonts w:ascii="Arial" w:cs="Arial" w:eastAsia="Arial" w:hAnsi="Arial"/>
                <w:sz w:val="14"/>
                <w:szCs w:val="14"/>
                <w:color w:val="auto"/>
              </w:rPr>
              <w:t>0</w:t>
            </w:r>
          </w:p>
        </w:tc>
        <w:tc>
          <w:tcPr>
            <w:tcW w:w="100" w:type="dxa"/>
            <w:vAlign w:val="bottom"/>
            <w:tcBorders>
              <w:bottom w:val="single" w:sz="8" w:color="BFBFBF"/>
              <w:right w:val="single" w:sz="8" w:color="BFBFBF"/>
            </w:tcBorders>
          </w:tcPr>
          <w:p>
            <w:pPr>
              <w:spacing w:after="0"/>
              <w:rPr>
                <w:sz w:val="12"/>
                <w:szCs w:val="12"/>
                <w:color w:val="auto"/>
              </w:rPr>
            </w:pPr>
          </w:p>
        </w:tc>
        <w:tc>
          <w:tcPr>
            <w:tcW w:w="6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247,440</w:t>
            </w:r>
          </w:p>
        </w:tc>
        <w:tc>
          <w:tcPr>
            <w:tcW w:w="12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74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494,880</w:t>
            </w:r>
          </w:p>
        </w:tc>
        <w:tc>
          <w:tcPr>
            <w:tcW w:w="8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2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BFBFBF"/>
            </w:tcBorders>
          </w:tcPr>
          <w:p>
            <w:pPr>
              <w:spacing w:after="0"/>
              <w:rPr>
                <w:sz w:val="12"/>
                <w:szCs w:val="12"/>
                <w:color w:val="auto"/>
              </w:rPr>
            </w:pPr>
          </w:p>
        </w:tc>
        <w:tc>
          <w:tcPr>
            <w:tcW w:w="8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$5,567,400</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680" w:type="dxa"/>
            <w:vAlign w:val="bottom"/>
            <w:tcBorders>
              <w:bottom w:val="single" w:sz="8" w:color="BFBFBF"/>
              <w:right w:val="single" w:sz="8" w:color="BFBFBF"/>
            </w:tcBorders>
            <w:gridSpan w:val="2"/>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40" w:type="dxa"/>
            <w:vAlign w:val="bottom"/>
            <w:tcBorders>
              <w:bottom w:val="single" w:sz="8" w:color="BFBFBF"/>
            </w:tcBorders>
            <w:shd w:val="clear" w:color="auto" w:fill="DDEFF3"/>
          </w:tcPr>
          <w:p>
            <w:pPr>
              <w:spacing w:after="0"/>
              <w:rPr>
                <w:sz w:val="21"/>
                <w:szCs w:val="21"/>
                <w:color w:val="auto"/>
              </w:rPr>
            </w:pPr>
          </w:p>
        </w:tc>
        <w:tc>
          <w:tcPr>
            <w:tcW w:w="8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4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5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7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82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Lee Shavel</w:t>
            </w:r>
          </w:p>
        </w:tc>
        <w:tc>
          <w:tcPr>
            <w:tcW w:w="680" w:type="dxa"/>
            <w:vAlign w:val="bottom"/>
            <w:tcBorders>
              <w:bottom w:val="single" w:sz="8" w:color="BFBFBF"/>
              <w:right w:val="single" w:sz="8" w:color="BFBFBF"/>
            </w:tcBorders>
            <w:gridSpan w:val="2"/>
          </w:tcPr>
          <w:p>
            <w:pPr>
              <w:jc w:val="center"/>
              <w:spacing w:after="0" w:line="142" w:lineRule="exact"/>
              <w:rPr>
                <w:sz w:val="20"/>
                <w:szCs w:val="20"/>
                <w:color w:val="auto"/>
              </w:rPr>
            </w:pPr>
            <w:r>
              <w:rPr>
                <w:rFonts w:ascii="Arial" w:cs="Arial" w:eastAsia="Arial" w:hAnsi="Arial"/>
                <w:sz w:val="14"/>
                <w:szCs w:val="14"/>
                <w:color w:val="auto"/>
                <w:w w:val="96"/>
              </w:rPr>
              <w:t>2/22/2012</w:t>
            </w:r>
          </w:p>
        </w:tc>
        <w:tc>
          <w:tcPr>
            <w:tcW w:w="7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$0</w:t>
            </w:r>
          </w:p>
        </w:tc>
        <w:tc>
          <w:tcPr>
            <w:tcW w:w="100" w:type="dxa"/>
            <w:vAlign w:val="bottom"/>
            <w:tcBorders>
              <w:bottom w:val="single" w:sz="8" w:color="BFBFBF"/>
              <w:right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3"/>
          </w:tcPr>
          <w:p>
            <w:pPr>
              <w:jc w:val="right"/>
              <w:ind w:right="120"/>
              <w:spacing w:after="0" w:line="142" w:lineRule="exact"/>
              <w:rPr>
                <w:sz w:val="20"/>
                <w:szCs w:val="20"/>
                <w:color w:val="auto"/>
              </w:rPr>
            </w:pPr>
            <w:r>
              <w:rPr>
                <w:rFonts w:ascii="Arial" w:cs="Arial" w:eastAsia="Arial" w:hAnsi="Arial"/>
                <w:sz w:val="14"/>
                <w:szCs w:val="14"/>
                <w:color w:val="auto"/>
              </w:rPr>
              <w:t>$750,000</w:t>
            </w:r>
          </w:p>
        </w:tc>
        <w:tc>
          <w:tcPr>
            <w:tcW w:w="900" w:type="dxa"/>
            <w:vAlign w:val="bottom"/>
            <w:tcBorders>
              <w:bottom w:val="single" w:sz="8" w:color="BFBFBF"/>
            </w:tcBorders>
            <w:gridSpan w:val="2"/>
          </w:tcPr>
          <w:p>
            <w:pPr>
              <w:jc w:val="right"/>
              <w:ind w:right="92"/>
              <w:spacing w:after="0" w:line="142" w:lineRule="exact"/>
              <w:rPr>
                <w:sz w:val="20"/>
                <w:szCs w:val="20"/>
                <w:color w:val="auto"/>
              </w:rPr>
            </w:pPr>
            <w:r>
              <w:rPr>
                <w:rFonts w:ascii="Arial" w:cs="Arial" w:eastAsia="Arial" w:hAnsi="Arial"/>
                <w:sz w:val="14"/>
                <w:szCs w:val="14"/>
                <w:color w:val="auto"/>
                <w:w w:val="97"/>
              </w:rPr>
              <w:t>$ 1,500,000</w:t>
            </w:r>
          </w:p>
        </w:tc>
        <w:tc>
          <w:tcPr>
            <w:tcW w:w="120" w:type="dxa"/>
            <w:vAlign w:val="bottom"/>
            <w:tcBorders>
              <w:bottom w:val="single" w:sz="8" w:color="BFBFBF"/>
              <w:right w:val="single" w:sz="8" w:color="BFBFBF"/>
            </w:tcBorders>
          </w:tcPr>
          <w:p>
            <w:pPr>
              <w:spacing w:after="0"/>
              <w:rPr>
                <w:sz w:val="12"/>
                <w:szCs w:val="12"/>
                <w:color w:val="auto"/>
              </w:rPr>
            </w:pPr>
          </w:p>
        </w:tc>
        <w:tc>
          <w:tcPr>
            <w:tcW w:w="4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BFBFBF"/>
            </w:tcBorders>
          </w:tcPr>
          <w:p>
            <w:pPr>
              <w:spacing w:after="0"/>
              <w:rPr>
                <w:sz w:val="12"/>
                <w:szCs w:val="12"/>
                <w:color w:val="auto"/>
              </w:rPr>
            </w:pPr>
          </w:p>
        </w:tc>
        <w:tc>
          <w:tcPr>
            <w:tcW w:w="74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2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BFBFBF"/>
            </w:tcBorders>
          </w:tcPr>
          <w:p>
            <w:pPr>
              <w:spacing w:after="0"/>
              <w:rPr>
                <w:sz w:val="12"/>
                <w:szCs w:val="12"/>
                <w:color w:val="auto"/>
              </w:rPr>
            </w:pPr>
          </w:p>
        </w:tc>
        <w:tc>
          <w:tcPr>
            <w:tcW w:w="102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220" w:type="dxa"/>
            <w:vAlign w:val="bottom"/>
            <w:tcBorders>
              <w:left w:val="single" w:sz="8" w:color="BFBFBF"/>
              <w:right w:val="single" w:sz="8" w:color="BFBFBF"/>
            </w:tcBorders>
          </w:tcPr>
          <w:p>
            <w:pPr>
              <w:ind w:left="560"/>
              <w:spacing w:after="0" w:line="141" w:lineRule="exact"/>
              <w:rPr>
                <w:sz w:val="20"/>
                <w:szCs w:val="20"/>
                <w:color w:val="auto"/>
              </w:rPr>
            </w:pPr>
            <w:r>
              <w:rPr>
                <w:rFonts w:ascii="Arial" w:cs="Arial" w:eastAsia="Arial" w:hAnsi="Arial"/>
                <w:sz w:val="14"/>
                <w:szCs w:val="14"/>
                <w:color w:val="auto"/>
              </w:rPr>
              <w:t>Chief Financial</w:t>
            </w:r>
          </w:p>
        </w:tc>
        <w:tc>
          <w:tcPr>
            <w:tcW w:w="680" w:type="dxa"/>
            <w:vAlign w:val="bottom"/>
            <w:tcBorders>
              <w:right w:val="single" w:sz="8" w:color="BFBFBF"/>
            </w:tcBorders>
            <w:gridSpan w:val="2"/>
          </w:tcPr>
          <w:p>
            <w:pPr>
              <w:jc w:val="center"/>
              <w:spacing w:after="0" w:line="141" w:lineRule="exact"/>
              <w:rPr>
                <w:sz w:val="20"/>
                <w:szCs w:val="20"/>
                <w:color w:val="auto"/>
              </w:rPr>
            </w:pPr>
            <w:r>
              <w:rPr>
                <w:rFonts w:ascii="Arial" w:cs="Arial" w:eastAsia="Arial" w:hAnsi="Arial"/>
                <w:sz w:val="14"/>
                <w:szCs w:val="14"/>
                <w:color w:val="auto"/>
                <w:w w:val="95"/>
              </w:rPr>
              <w:t>5/7/2012</w:t>
            </w:r>
          </w:p>
        </w:tc>
        <w:tc>
          <w:tcPr>
            <w:tcW w:w="6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8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0</w:t>
            </w:r>
          </w:p>
        </w:tc>
        <w:tc>
          <w:tcPr>
            <w:tcW w:w="100" w:type="dxa"/>
            <w:vAlign w:val="bottom"/>
            <w:tcBorders>
              <w:right w:val="single" w:sz="8" w:color="BFBFBF"/>
            </w:tcBorders>
          </w:tcPr>
          <w:p>
            <w:pPr>
              <w:spacing w:after="0"/>
              <w:rPr>
                <w:sz w:val="12"/>
                <w:szCs w:val="12"/>
                <w:color w:val="auto"/>
              </w:rPr>
            </w:pPr>
          </w:p>
        </w:tc>
        <w:tc>
          <w:tcPr>
            <w:tcW w:w="62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59,727</w:t>
            </w:r>
          </w:p>
        </w:tc>
        <w:tc>
          <w:tcPr>
            <w:tcW w:w="12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119,454</w:t>
            </w:r>
          </w:p>
        </w:tc>
        <w:tc>
          <w:tcPr>
            <w:tcW w:w="80" w:type="dxa"/>
            <w:vAlign w:val="bottom"/>
          </w:tcPr>
          <w:p>
            <w:pPr>
              <w:spacing w:after="0"/>
              <w:rPr>
                <w:sz w:val="12"/>
                <w:szCs w:val="12"/>
                <w:color w:val="auto"/>
              </w:rPr>
            </w:pPr>
          </w:p>
        </w:tc>
        <w:tc>
          <w:tcPr>
            <w:tcW w:w="66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4"/>
                <w:szCs w:val="14"/>
                <w:color w:val="auto"/>
              </w:rPr>
              <w:t>$1,343,857</w:t>
            </w:r>
          </w:p>
        </w:tc>
        <w:tc>
          <w:tcPr>
            <w:tcW w:w="20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BFBFBF"/>
              <w:right w:val="single" w:sz="8" w:color="BFBFBF"/>
            </w:tcBorders>
          </w:tcPr>
          <w:p>
            <w:pPr>
              <w:ind w:left="560"/>
              <w:spacing w:after="0" w:line="149" w:lineRule="exact"/>
              <w:rPr>
                <w:sz w:val="20"/>
                <w:szCs w:val="20"/>
                <w:color w:val="auto"/>
              </w:rPr>
            </w:pPr>
            <w:r>
              <w:rPr>
                <w:rFonts w:ascii="Arial" w:cs="Arial" w:eastAsia="Arial" w:hAnsi="Arial"/>
                <w:sz w:val="14"/>
                <w:szCs w:val="14"/>
                <w:color w:val="auto"/>
                <w:w w:val="98"/>
              </w:rPr>
              <w:t>Officer and Executive Vice</w:t>
            </w:r>
          </w:p>
        </w:tc>
        <w:tc>
          <w:tcPr>
            <w:tcW w:w="60" w:type="dxa"/>
            <w:vAlign w:val="bottom"/>
            <w:tcBorders>
              <w:bottom w:val="single" w:sz="8" w:color="BFBFBF"/>
            </w:tcBorders>
          </w:tcPr>
          <w:p>
            <w:pPr>
              <w:spacing w:after="0"/>
              <w:rPr>
                <w:sz w:val="12"/>
                <w:szCs w:val="12"/>
                <w:color w:val="auto"/>
              </w:rPr>
            </w:pPr>
          </w:p>
        </w:tc>
        <w:tc>
          <w:tcPr>
            <w:tcW w:w="62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4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4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56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64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54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2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56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82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20" w:type="dxa"/>
            <w:vAlign w:val="bottom"/>
            <w:tcBorders>
              <w:left w:val="single" w:sz="8" w:color="BFBFBF"/>
              <w:right w:val="single" w:sz="8" w:color="BFBFBF"/>
            </w:tcBorders>
          </w:tcPr>
          <w:p>
            <w:pPr>
              <w:ind w:left="560"/>
              <w:spacing w:after="0" w:line="129" w:lineRule="exact"/>
              <w:rPr>
                <w:sz w:val="20"/>
                <w:szCs w:val="20"/>
                <w:color w:val="auto"/>
              </w:rPr>
            </w:pPr>
            <w:r>
              <w:rPr>
                <w:rFonts w:ascii="Arial" w:cs="Arial" w:eastAsia="Arial" w:hAnsi="Arial"/>
                <w:sz w:val="14"/>
                <w:szCs w:val="14"/>
                <w:color w:val="auto"/>
              </w:rPr>
              <w:t>President, Corporate</w:t>
            </w:r>
          </w:p>
        </w:tc>
        <w:tc>
          <w:tcPr>
            <w:tcW w:w="60" w:type="dxa"/>
            <w:vAlign w:val="bottom"/>
          </w:tcPr>
          <w:p>
            <w:pPr>
              <w:spacing w:after="0"/>
              <w:rPr>
                <w:sz w:val="11"/>
                <w:szCs w:val="11"/>
                <w:color w:val="auto"/>
              </w:rPr>
            </w:pPr>
          </w:p>
        </w:tc>
        <w:tc>
          <w:tcPr>
            <w:tcW w:w="620" w:type="dxa"/>
            <w:vAlign w:val="bottom"/>
            <w:tcBorders>
              <w:right w:val="single" w:sz="8" w:color="BFBFBF"/>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BFBFBF"/>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right w:val="single" w:sz="8" w:color="BFBFBF"/>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Borders>
              <w:right w:val="single" w:sz="8" w:color="BFBFBF"/>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BFBFBF"/>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BFBFBF"/>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BFBFBF"/>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BFBFBF"/>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BFBFBF"/>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BFBFBF"/>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Borders>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BFBFBF"/>
              <w:bottom w:val="single" w:sz="8" w:color="BFBFBF"/>
              <w:right w:val="single" w:sz="8" w:color="BFBFBF"/>
            </w:tcBorders>
          </w:tcPr>
          <w:p>
            <w:pPr>
              <w:ind w:left="560"/>
              <w:spacing w:after="0"/>
              <w:rPr>
                <w:sz w:val="20"/>
                <w:szCs w:val="20"/>
                <w:color w:val="auto"/>
              </w:rPr>
            </w:pPr>
            <w:r>
              <w:rPr>
                <w:rFonts w:ascii="Arial" w:cs="Arial" w:eastAsia="Arial" w:hAnsi="Arial"/>
                <w:sz w:val="14"/>
                <w:szCs w:val="14"/>
                <w:color w:val="auto"/>
              </w:rPr>
              <w:t>Strategy</w:t>
            </w:r>
          </w:p>
        </w:tc>
        <w:tc>
          <w:tcPr>
            <w:tcW w:w="60" w:type="dxa"/>
            <w:vAlign w:val="bottom"/>
            <w:tcBorders>
              <w:bottom w:val="single" w:sz="8" w:color="BFBFBF"/>
            </w:tcBorders>
          </w:tcPr>
          <w:p>
            <w:pPr>
              <w:spacing w:after="0"/>
              <w:rPr>
                <w:sz w:val="14"/>
                <w:szCs w:val="14"/>
                <w:color w:val="auto"/>
              </w:rPr>
            </w:pPr>
          </w:p>
        </w:tc>
        <w:tc>
          <w:tcPr>
            <w:tcW w:w="62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6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8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4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40" w:type="dxa"/>
            <w:vAlign w:val="bottom"/>
            <w:tcBorders>
              <w:bottom w:val="single" w:sz="8" w:color="BFBFBF"/>
            </w:tcBorders>
          </w:tcPr>
          <w:p>
            <w:pPr>
              <w:spacing w:after="0"/>
              <w:rPr>
                <w:sz w:val="14"/>
                <w:szCs w:val="14"/>
                <w:color w:val="auto"/>
              </w:rPr>
            </w:pPr>
          </w:p>
        </w:tc>
        <w:tc>
          <w:tcPr>
            <w:tcW w:w="660" w:type="dxa"/>
            <w:vAlign w:val="bottom"/>
            <w:tcBorders>
              <w:bottom w:val="single" w:sz="8" w:color="BFBFBF"/>
            </w:tcBorders>
          </w:tcPr>
          <w:p>
            <w:pPr>
              <w:spacing w:after="0"/>
              <w:rPr>
                <w:sz w:val="14"/>
                <w:szCs w:val="14"/>
                <w:color w:val="auto"/>
              </w:rPr>
            </w:pPr>
          </w:p>
        </w:tc>
        <w:tc>
          <w:tcPr>
            <w:tcW w:w="2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56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4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80" w:type="dxa"/>
            <w:vAlign w:val="bottom"/>
            <w:tcBorders>
              <w:bottom w:val="single" w:sz="8" w:color="BFBFBF"/>
            </w:tcBorders>
          </w:tcPr>
          <w:p>
            <w:pPr>
              <w:spacing w:after="0"/>
              <w:rPr>
                <w:sz w:val="14"/>
                <w:szCs w:val="14"/>
                <w:color w:val="auto"/>
              </w:rPr>
            </w:pPr>
          </w:p>
        </w:tc>
        <w:tc>
          <w:tcPr>
            <w:tcW w:w="54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80" w:type="dxa"/>
            <w:vAlign w:val="bottom"/>
            <w:tcBorders>
              <w:bottom w:val="single" w:sz="8" w:color="BFBFBF"/>
            </w:tcBorders>
          </w:tcPr>
          <w:p>
            <w:pPr>
              <w:spacing w:after="0"/>
              <w:rPr>
                <w:sz w:val="14"/>
                <w:szCs w:val="14"/>
                <w:color w:val="auto"/>
              </w:rPr>
            </w:pPr>
          </w:p>
        </w:tc>
        <w:tc>
          <w:tcPr>
            <w:tcW w:w="72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100" w:type="dxa"/>
            <w:vAlign w:val="bottom"/>
            <w:tcBorders>
              <w:bottom w:val="single" w:sz="8" w:color="BFBFBF"/>
            </w:tcBorders>
          </w:tcPr>
          <w:p>
            <w:pPr>
              <w:spacing w:after="0"/>
              <w:rPr>
                <w:sz w:val="14"/>
                <w:szCs w:val="14"/>
                <w:color w:val="auto"/>
              </w:rPr>
            </w:pPr>
          </w:p>
        </w:tc>
        <w:tc>
          <w:tcPr>
            <w:tcW w:w="56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820" w:type="dxa"/>
            <w:vAlign w:val="bottom"/>
            <w:tcBorders>
              <w:bottom w:val="single" w:sz="8" w:color="BFBFBF"/>
            </w:tcBorders>
          </w:tcPr>
          <w:p>
            <w:pPr>
              <w:spacing w:after="0"/>
              <w:rPr>
                <w:sz w:val="14"/>
                <w:szCs w:val="14"/>
                <w:color w:val="auto"/>
              </w:rPr>
            </w:pPr>
          </w:p>
        </w:tc>
        <w:tc>
          <w:tcPr>
            <w:tcW w:w="20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680" w:type="dxa"/>
            <w:vAlign w:val="bottom"/>
            <w:tcBorders>
              <w:bottom w:val="single" w:sz="8" w:color="BFBFBF"/>
              <w:right w:val="single" w:sz="8" w:color="BFBFBF"/>
            </w:tcBorders>
            <w:gridSpan w:val="2"/>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40" w:type="dxa"/>
            <w:vAlign w:val="bottom"/>
            <w:tcBorders>
              <w:bottom w:val="single" w:sz="8" w:color="BFBFBF"/>
            </w:tcBorders>
            <w:shd w:val="clear" w:color="auto" w:fill="DDEFF3"/>
          </w:tcPr>
          <w:p>
            <w:pPr>
              <w:spacing w:after="0"/>
              <w:rPr>
                <w:sz w:val="21"/>
                <w:szCs w:val="21"/>
                <w:color w:val="auto"/>
              </w:rPr>
            </w:pPr>
          </w:p>
        </w:tc>
        <w:tc>
          <w:tcPr>
            <w:tcW w:w="8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4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5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7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82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Anna M. Ewing</w:t>
            </w:r>
          </w:p>
        </w:tc>
        <w:tc>
          <w:tcPr>
            <w:tcW w:w="680" w:type="dxa"/>
            <w:vAlign w:val="bottom"/>
            <w:tcBorders>
              <w:bottom w:val="single" w:sz="8" w:color="BFBFBF"/>
              <w:right w:val="single" w:sz="8" w:color="BFBFBF"/>
            </w:tcBorders>
            <w:gridSpan w:val="2"/>
          </w:tcPr>
          <w:p>
            <w:pPr>
              <w:jc w:val="center"/>
              <w:spacing w:after="0" w:line="142" w:lineRule="exact"/>
              <w:rPr>
                <w:sz w:val="20"/>
                <w:szCs w:val="20"/>
                <w:color w:val="auto"/>
              </w:rPr>
            </w:pPr>
            <w:r>
              <w:rPr>
                <w:rFonts w:ascii="Arial" w:cs="Arial" w:eastAsia="Arial" w:hAnsi="Arial"/>
                <w:sz w:val="14"/>
                <w:szCs w:val="14"/>
                <w:color w:val="auto"/>
                <w:w w:val="96"/>
              </w:rPr>
              <w:t>2/22/2012</w:t>
            </w:r>
          </w:p>
        </w:tc>
        <w:tc>
          <w:tcPr>
            <w:tcW w:w="7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$0</w:t>
            </w:r>
          </w:p>
        </w:tc>
        <w:tc>
          <w:tcPr>
            <w:tcW w:w="100" w:type="dxa"/>
            <w:vAlign w:val="bottom"/>
            <w:tcBorders>
              <w:bottom w:val="single" w:sz="8" w:color="BFBFBF"/>
              <w:right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3"/>
          </w:tcPr>
          <w:p>
            <w:pPr>
              <w:jc w:val="right"/>
              <w:ind w:right="120"/>
              <w:spacing w:after="0" w:line="142" w:lineRule="exact"/>
              <w:rPr>
                <w:sz w:val="20"/>
                <w:szCs w:val="20"/>
                <w:color w:val="auto"/>
              </w:rPr>
            </w:pPr>
            <w:r>
              <w:rPr>
                <w:rFonts w:ascii="Arial" w:cs="Arial" w:eastAsia="Arial" w:hAnsi="Arial"/>
                <w:sz w:val="14"/>
                <w:szCs w:val="14"/>
                <w:color w:val="auto"/>
              </w:rPr>
              <w:t>$750,000</w:t>
            </w:r>
          </w:p>
        </w:tc>
        <w:tc>
          <w:tcPr>
            <w:tcW w:w="900" w:type="dxa"/>
            <w:vAlign w:val="bottom"/>
            <w:tcBorders>
              <w:bottom w:val="single" w:sz="8" w:color="BFBFBF"/>
            </w:tcBorders>
            <w:gridSpan w:val="2"/>
          </w:tcPr>
          <w:p>
            <w:pPr>
              <w:jc w:val="right"/>
              <w:ind w:right="92"/>
              <w:spacing w:after="0" w:line="142" w:lineRule="exact"/>
              <w:rPr>
                <w:sz w:val="20"/>
                <w:szCs w:val="20"/>
                <w:color w:val="auto"/>
              </w:rPr>
            </w:pPr>
            <w:r>
              <w:rPr>
                <w:rFonts w:ascii="Arial" w:cs="Arial" w:eastAsia="Arial" w:hAnsi="Arial"/>
                <w:sz w:val="14"/>
                <w:szCs w:val="14"/>
                <w:color w:val="auto"/>
                <w:w w:val="97"/>
              </w:rPr>
              <w:t>$ 1,500,000</w:t>
            </w:r>
          </w:p>
        </w:tc>
        <w:tc>
          <w:tcPr>
            <w:tcW w:w="120" w:type="dxa"/>
            <w:vAlign w:val="bottom"/>
            <w:tcBorders>
              <w:bottom w:val="single" w:sz="8" w:color="BFBFBF"/>
              <w:right w:val="single" w:sz="8" w:color="BFBFBF"/>
            </w:tcBorders>
          </w:tcPr>
          <w:p>
            <w:pPr>
              <w:spacing w:after="0"/>
              <w:rPr>
                <w:sz w:val="12"/>
                <w:szCs w:val="12"/>
                <w:color w:val="auto"/>
              </w:rPr>
            </w:pPr>
          </w:p>
        </w:tc>
        <w:tc>
          <w:tcPr>
            <w:tcW w:w="4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BFBFBF"/>
            </w:tcBorders>
          </w:tcPr>
          <w:p>
            <w:pPr>
              <w:spacing w:after="0"/>
              <w:rPr>
                <w:sz w:val="12"/>
                <w:szCs w:val="12"/>
                <w:color w:val="auto"/>
              </w:rPr>
            </w:pPr>
          </w:p>
        </w:tc>
        <w:tc>
          <w:tcPr>
            <w:tcW w:w="74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2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BFBFBF"/>
            </w:tcBorders>
          </w:tcPr>
          <w:p>
            <w:pPr>
              <w:spacing w:after="0"/>
              <w:rPr>
                <w:sz w:val="12"/>
                <w:szCs w:val="12"/>
                <w:color w:val="auto"/>
              </w:rPr>
            </w:pPr>
          </w:p>
        </w:tc>
        <w:tc>
          <w:tcPr>
            <w:tcW w:w="102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220" w:type="dxa"/>
            <w:vAlign w:val="bottom"/>
            <w:tcBorders>
              <w:left w:val="single" w:sz="8" w:color="BFBFBF"/>
              <w:right w:val="single" w:sz="8" w:color="BFBFBF"/>
            </w:tcBorders>
          </w:tcPr>
          <w:p>
            <w:pPr>
              <w:ind w:left="560"/>
              <w:spacing w:after="0" w:line="141" w:lineRule="exact"/>
              <w:rPr>
                <w:sz w:val="20"/>
                <w:szCs w:val="20"/>
                <w:color w:val="auto"/>
              </w:rPr>
            </w:pPr>
            <w:r>
              <w:rPr>
                <w:rFonts w:ascii="Arial" w:cs="Arial" w:eastAsia="Arial" w:hAnsi="Arial"/>
                <w:sz w:val="14"/>
                <w:szCs w:val="14"/>
                <w:color w:val="auto"/>
              </w:rPr>
              <w:t>Executive Vice</w:t>
            </w:r>
          </w:p>
        </w:tc>
        <w:tc>
          <w:tcPr>
            <w:tcW w:w="680" w:type="dxa"/>
            <w:vAlign w:val="bottom"/>
            <w:tcBorders>
              <w:right w:val="single" w:sz="8" w:color="BFBFBF"/>
            </w:tcBorders>
            <w:gridSpan w:val="2"/>
          </w:tcPr>
          <w:p>
            <w:pPr>
              <w:jc w:val="center"/>
              <w:spacing w:after="0" w:line="141" w:lineRule="exact"/>
              <w:rPr>
                <w:sz w:val="20"/>
                <w:szCs w:val="20"/>
                <w:color w:val="auto"/>
              </w:rPr>
            </w:pPr>
            <w:r>
              <w:rPr>
                <w:rFonts w:ascii="Arial" w:cs="Arial" w:eastAsia="Arial" w:hAnsi="Arial"/>
                <w:sz w:val="14"/>
                <w:szCs w:val="14"/>
                <w:color w:val="auto"/>
                <w:w w:val="95"/>
              </w:rPr>
              <w:t>5/7/2012</w:t>
            </w:r>
          </w:p>
        </w:tc>
        <w:tc>
          <w:tcPr>
            <w:tcW w:w="6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8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0</w:t>
            </w:r>
          </w:p>
        </w:tc>
        <w:tc>
          <w:tcPr>
            <w:tcW w:w="100" w:type="dxa"/>
            <w:vAlign w:val="bottom"/>
            <w:tcBorders>
              <w:right w:val="single" w:sz="8" w:color="BFBFBF"/>
            </w:tcBorders>
          </w:tcPr>
          <w:p>
            <w:pPr>
              <w:spacing w:after="0"/>
              <w:rPr>
                <w:sz w:val="12"/>
                <w:szCs w:val="12"/>
                <w:color w:val="auto"/>
              </w:rPr>
            </w:pPr>
          </w:p>
        </w:tc>
        <w:tc>
          <w:tcPr>
            <w:tcW w:w="62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59,727</w:t>
            </w:r>
          </w:p>
        </w:tc>
        <w:tc>
          <w:tcPr>
            <w:tcW w:w="12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119,454</w:t>
            </w:r>
          </w:p>
        </w:tc>
        <w:tc>
          <w:tcPr>
            <w:tcW w:w="80" w:type="dxa"/>
            <w:vAlign w:val="bottom"/>
          </w:tcPr>
          <w:p>
            <w:pPr>
              <w:spacing w:after="0"/>
              <w:rPr>
                <w:sz w:val="12"/>
                <w:szCs w:val="12"/>
                <w:color w:val="auto"/>
              </w:rPr>
            </w:pPr>
          </w:p>
        </w:tc>
        <w:tc>
          <w:tcPr>
            <w:tcW w:w="66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4"/>
                <w:szCs w:val="14"/>
                <w:color w:val="auto"/>
              </w:rPr>
              <w:t>$1,343,857</w:t>
            </w:r>
          </w:p>
        </w:tc>
        <w:tc>
          <w:tcPr>
            <w:tcW w:w="20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tcBorders>
              <w:left w:val="single" w:sz="8" w:color="BFBFBF"/>
              <w:right w:val="single" w:sz="8" w:color="BFBFBF"/>
            </w:tcBorders>
            <w:vMerge w:val="restart"/>
          </w:tcPr>
          <w:p>
            <w:pPr>
              <w:ind w:left="560"/>
              <w:spacing w:after="0" w:line="149" w:lineRule="exact"/>
              <w:rPr>
                <w:sz w:val="20"/>
                <w:szCs w:val="20"/>
                <w:color w:val="auto"/>
              </w:rPr>
            </w:pPr>
            <w:r>
              <w:rPr>
                <w:rFonts w:ascii="Arial" w:cs="Arial" w:eastAsia="Arial" w:hAnsi="Arial"/>
                <w:sz w:val="14"/>
                <w:szCs w:val="14"/>
                <w:color w:val="auto"/>
              </w:rPr>
              <w:t>President, Global</w:t>
            </w:r>
          </w:p>
        </w:tc>
        <w:tc>
          <w:tcPr>
            <w:tcW w:w="60" w:type="dxa"/>
            <w:vAlign w:val="bottom"/>
            <w:tcBorders>
              <w:bottom w:val="single" w:sz="8" w:color="BFBFBF"/>
            </w:tcBorders>
          </w:tcPr>
          <w:p>
            <w:pPr>
              <w:spacing w:after="0"/>
              <w:rPr>
                <w:sz w:val="5"/>
                <w:szCs w:val="5"/>
                <w:color w:val="auto"/>
              </w:rPr>
            </w:pPr>
          </w:p>
        </w:tc>
        <w:tc>
          <w:tcPr>
            <w:tcW w:w="62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66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68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86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660" w:type="dxa"/>
            <w:vAlign w:val="bottom"/>
            <w:tcBorders>
              <w:bottom w:val="single" w:sz="8" w:color="BFBFBF"/>
            </w:tcBorders>
          </w:tcPr>
          <w:p>
            <w:pPr>
              <w:spacing w:after="0"/>
              <w:rPr>
                <w:sz w:val="5"/>
                <w:szCs w:val="5"/>
                <w:color w:val="auto"/>
              </w:rPr>
            </w:pPr>
          </w:p>
        </w:tc>
        <w:tc>
          <w:tcPr>
            <w:tcW w:w="2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56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64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80" w:type="dxa"/>
            <w:vAlign w:val="bottom"/>
            <w:tcBorders>
              <w:bottom w:val="single" w:sz="8" w:color="BFBFBF"/>
            </w:tcBorders>
          </w:tcPr>
          <w:p>
            <w:pPr>
              <w:spacing w:after="0"/>
              <w:rPr>
                <w:sz w:val="5"/>
                <w:szCs w:val="5"/>
                <w:color w:val="auto"/>
              </w:rPr>
            </w:pPr>
          </w:p>
        </w:tc>
        <w:tc>
          <w:tcPr>
            <w:tcW w:w="54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80" w:type="dxa"/>
            <w:vAlign w:val="bottom"/>
            <w:tcBorders>
              <w:bottom w:val="single" w:sz="8" w:color="BFBFBF"/>
            </w:tcBorders>
          </w:tcPr>
          <w:p>
            <w:pPr>
              <w:spacing w:after="0"/>
              <w:rPr>
                <w:sz w:val="5"/>
                <w:szCs w:val="5"/>
                <w:color w:val="auto"/>
              </w:rPr>
            </w:pPr>
          </w:p>
        </w:tc>
        <w:tc>
          <w:tcPr>
            <w:tcW w:w="72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100" w:type="dxa"/>
            <w:vAlign w:val="bottom"/>
            <w:tcBorders>
              <w:bottom w:val="single" w:sz="8" w:color="BFBFBF"/>
            </w:tcBorders>
          </w:tcPr>
          <w:p>
            <w:pPr>
              <w:spacing w:after="0"/>
              <w:rPr>
                <w:sz w:val="5"/>
                <w:szCs w:val="5"/>
                <w:color w:val="auto"/>
              </w:rPr>
            </w:pPr>
          </w:p>
        </w:tc>
        <w:tc>
          <w:tcPr>
            <w:tcW w:w="56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820" w:type="dxa"/>
            <w:vAlign w:val="bottom"/>
            <w:tcBorders>
              <w:bottom w:val="single" w:sz="8" w:color="BFBFBF"/>
            </w:tcBorders>
          </w:tcPr>
          <w:p>
            <w:pPr>
              <w:spacing w:after="0"/>
              <w:rPr>
                <w:sz w:val="5"/>
                <w:szCs w:val="5"/>
                <w:color w:val="auto"/>
              </w:rPr>
            </w:pPr>
          </w:p>
        </w:tc>
        <w:tc>
          <w:tcPr>
            <w:tcW w:w="200" w:type="dxa"/>
            <w:vAlign w:val="bottom"/>
            <w:tcBorders>
              <w:bottom w:val="single" w:sz="8" w:color="BFBFBF"/>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220" w:type="dxa"/>
            <w:vAlign w:val="bottom"/>
            <w:tcBorders>
              <w:left w:val="single" w:sz="8" w:color="BFBFBF"/>
              <w:right w:val="single" w:sz="8" w:color="BFBFBF"/>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Borders>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BFBFBF"/>
              <w:bottom w:val="single" w:sz="8" w:color="BFBFBF"/>
              <w:right w:val="single" w:sz="8" w:color="BFBFBF"/>
            </w:tcBorders>
          </w:tcPr>
          <w:p>
            <w:pPr>
              <w:ind w:left="560"/>
              <w:spacing w:after="0"/>
              <w:rPr>
                <w:sz w:val="20"/>
                <w:szCs w:val="20"/>
                <w:color w:val="auto"/>
              </w:rPr>
            </w:pPr>
            <w:r>
              <w:rPr>
                <w:rFonts w:ascii="Arial" w:cs="Arial" w:eastAsia="Arial" w:hAnsi="Arial"/>
                <w:sz w:val="14"/>
                <w:szCs w:val="14"/>
                <w:color w:val="auto"/>
              </w:rPr>
              <w:t>Technology Solutions</w:t>
            </w:r>
          </w:p>
        </w:tc>
        <w:tc>
          <w:tcPr>
            <w:tcW w:w="60" w:type="dxa"/>
            <w:vAlign w:val="bottom"/>
            <w:tcBorders>
              <w:bottom w:val="single" w:sz="8" w:color="BFBFBF"/>
            </w:tcBorders>
          </w:tcPr>
          <w:p>
            <w:pPr>
              <w:spacing w:after="0"/>
              <w:rPr>
                <w:sz w:val="14"/>
                <w:szCs w:val="14"/>
                <w:color w:val="auto"/>
              </w:rPr>
            </w:pPr>
          </w:p>
        </w:tc>
        <w:tc>
          <w:tcPr>
            <w:tcW w:w="62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6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8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4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40" w:type="dxa"/>
            <w:vAlign w:val="bottom"/>
            <w:tcBorders>
              <w:bottom w:val="single" w:sz="8" w:color="BFBFBF"/>
            </w:tcBorders>
          </w:tcPr>
          <w:p>
            <w:pPr>
              <w:spacing w:after="0"/>
              <w:rPr>
                <w:sz w:val="14"/>
                <w:szCs w:val="14"/>
                <w:color w:val="auto"/>
              </w:rPr>
            </w:pPr>
          </w:p>
        </w:tc>
        <w:tc>
          <w:tcPr>
            <w:tcW w:w="660" w:type="dxa"/>
            <w:vAlign w:val="bottom"/>
            <w:tcBorders>
              <w:bottom w:val="single" w:sz="8" w:color="BFBFBF"/>
            </w:tcBorders>
          </w:tcPr>
          <w:p>
            <w:pPr>
              <w:spacing w:after="0"/>
              <w:rPr>
                <w:sz w:val="14"/>
                <w:szCs w:val="14"/>
                <w:color w:val="auto"/>
              </w:rPr>
            </w:pPr>
          </w:p>
        </w:tc>
        <w:tc>
          <w:tcPr>
            <w:tcW w:w="2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56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4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80" w:type="dxa"/>
            <w:vAlign w:val="bottom"/>
            <w:tcBorders>
              <w:bottom w:val="single" w:sz="8" w:color="BFBFBF"/>
            </w:tcBorders>
          </w:tcPr>
          <w:p>
            <w:pPr>
              <w:spacing w:after="0"/>
              <w:rPr>
                <w:sz w:val="14"/>
                <w:szCs w:val="14"/>
                <w:color w:val="auto"/>
              </w:rPr>
            </w:pPr>
          </w:p>
        </w:tc>
        <w:tc>
          <w:tcPr>
            <w:tcW w:w="54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80" w:type="dxa"/>
            <w:vAlign w:val="bottom"/>
            <w:tcBorders>
              <w:bottom w:val="single" w:sz="8" w:color="BFBFBF"/>
            </w:tcBorders>
          </w:tcPr>
          <w:p>
            <w:pPr>
              <w:spacing w:after="0"/>
              <w:rPr>
                <w:sz w:val="14"/>
                <w:szCs w:val="14"/>
                <w:color w:val="auto"/>
              </w:rPr>
            </w:pPr>
          </w:p>
        </w:tc>
        <w:tc>
          <w:tcPr>
            <w:tcW w:w="72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100" w:type="dxa"/>
            <w:vAlign w:val="bottom"/>
            <w:tcBorders>
              <w:bottom w:val="single" w:sz="8" w:color="BFBFBF"/>
            </w:tcBorders>
          </w:tcPr>
          <w:p>
            <w:pPr>
              <w:spacing w:after="0"/>
              <w:rPr>
                <w:sz w:val="14"/>
                <w:szCs w:val="14"/>
                <w:color w:val="auto"/>
              </w:rPr>
            </w:pPr>
          </w:p>
        </w:tc>
        <w:tc>
          <w:tcPr>
            <w:tcW w:w="56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820" w:type="dxa"/>
            <w:vAlign w:val="bottom"/>
            <w:tcBorders>
              <w:bottom w:val="single" w:sz="8" w:color="BFBFBF"/>
            </w:tcBorders>
          </w:tcPr>
          <w:p>
            <w:pPr>
              <w:spacing w:after="0"/>
              <w:rPr>
                <w:sz w:val="14"/>
                <w:szCs w:val="14"/>
                <w:color w:val="auto"/>
              </w:rPr>
            </w:pPr>
          </w:p>
        </w:tc>
        <w:tc>
          <w:tcPr>
            <w:tcW w:w="20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680" w:type="dxa"/>
            <w:vAlign w:val="bottom"/>
            <w:tcBorders>
              <w:bottom w:val="single" w:sz="8" w:color="BFBFBF"/>
              <w:right w:val="single" w:sz="8" w:color="BFBFBF"/>
            </w:tcBorders>
            <w:gridSpan w:val="2"/>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40" w:type="dxa"/>
            <w:vAlign w:val="bottom"/>
            <w:tcBorders>
              <w:bottom w:val="single" w:sz="8" w:color="BFBFBF"/>
            </w:tcBorders>
            <w:shd w:val="clear" w:color="auto" w:fill="DDEFF3"/>
          </w:tcPr>
          <w:p>
            <w:pPr>
              <w:spacing w:after="0"/>
              <w:rPr>
                <w:sz w:val="21"/>
                <w:szCs w:val="21"/>
                <w:color w:val="auto"/>
              </w:rPr>
            </w:pPr>
          </w:p>
        </w:tc>
        <w:tc>
          <w:tcPr>
            <w:tcW w:w="8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4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5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7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82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Hans-Ole Jochumsen</w:t>
            </w:r>
          </w:p>
        </w:tc>
        <w:tc>
          <w:tcPr>
            <w:tcW w:w="680" w:type="dxa"/>
            <w:vAlign w:val="bottom"/>
            <w:tcBorders>
              <w:bottom w:val="single" w:sz="8" w:color="BFBFBF"/>
              <w:right w:val="single" w:sz="8" w:color="BFBFBF"/>
            </w:tcBorders>
            <w:gridSpan w:val="2"/>
          </w:tcPr>
          <w:p>
            <w:pPr>
              <w:jc w:val="center"/>
              <w:spacing w:after="0" w:line="142" w:lineRule="exact"/>
              <w:rPr>
                <w:sz w:val="20"/>
                <w:szCs w:val="20"/>
                <w:color w:val="auto"/>
              </w:rPr>
            </w:pPr>
            <w:r>
              <w:rPr>
                <w:rFonts w:ascii="Arial" w:cs="Arial" w:eastAsia="Arial" w:hAnsi="Arial"/>
                <w:sz w:val="14"/>
                <w:szCs w:val="14"/>
                <w:color w:val="auto"/>
                <w:w w:val="96"/>
              </w:rPr>
              <w:t>2/22/2012</w:t>
            </w:r>
          </w:p>
        </w:tc>
        <w:tc>
          <w:tcPr>
            <w:tcW w:w="7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$0</w:t>
            </w:r>
          </w:p>
        </w:tc>
        <w:tc>
          <w:tcPr>
            <w:tcW w:w="100" w:type="dxa"/>
            <w:vAlign w:val="bottom"/>
            <w:tcBorders>
              <w:bottom w:val="single" w:sz="8" w:color="BFBFBF"/>
              <w:right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3"/>
          </w:tcPr>
          <w:p>
            <w:pPr>
              <w:jc w:val="right"/>
              <w:ind w:right="120"/>
              <w:spacing w:after="0" w:line="142" w:lineRule="exact"/>
              <w:rPr>
                <w:sz w:val="20"/>
                <w:szCs w:val="20"/>
                <w:color w:val="auto"/>
              </w:rPr>
            </w:pPr>
            <w:r>
              <w:rPr>
                <w:rFonts w:ascii="Arial" w:cs="Arial" w:eastAsia="Arial" w:hAnsi="Arial"/>
                <w:sz w:val="14"/>
                <w:szCs w:val="14"/>
                <w:color w:val="auto"/>
              </w:rPr>
              <w:t>$739,000</w:t>
            </w:r>
          </w:p>
        </w:tc>
        <w:tc>
          <w:tcPr>
            <w:tcW w:w="900" w:type="dxa"/>
            <w:vAlign w:val="bottom"/>
            <w:tcBorders>
              <w:bottom w:val="single" w:sz="8" w:color="BFBFBF"/>
            </w:tcBorders>
            <w:gridSpan w:val="2"/>
          </w:tcPr>
          <w:p>
            <w:pPr>
              <w:jc w:val="right"/>
              <w:ind w:right="92"/>
              <w:spacing w:after="0" w:line="142" w:lineRule="exact"/>
              <w:rPr>
                <w:sz w:val="20"/>
                <w:szCs w:val="20"/>
                <w:color w:val="auto"/>
              </w:rPr>
            </w:pPr>
            <w:r>
              <w:rPr>
                <w:rFonts w:ascii="Arial" w:cs="Arial" w:eastAsia="Arial" w:hAnsi="Arial"/>
                <w:sz w:val="14"/>
                <w:szCs w:val="14"/>
                <w:color w:val="auto"/>
                <w:w w:val="97"/>
              </w:rPr>
              <w:t>$ 1,478,000</w:t>
            </w:r>
          </w:p>
        </w:tc>
        <w:tc>
          <w:tcPr>
            <w:tcW w:w="120" w:type="dxa"/>
            <w:vAlign w:val="bottom"/>
            <w:tcBorders>
              <w:bottom w:val="single" w:sz="8" w:color="BFBFBF"/>
              <w:right w:val="single" w:sz="8" w:color="BFBFBF"/>
            </w:tcBorders>
          </w:tcPr>
          <w:p>
            <w:pPr>
              <w:spacing w:after="0"/>
              <w:rPr>
                <w:sz w:val="12"/>
                <w:szCs w:val="12"/>
                <w:color w:val="auto"/>
              </w:rPr>
            </w:pPr>
          </w:p>
        </w:tc>
        <w:tc>
          <w:tcPr>
            <w:tcW w:w="4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BFBFBF"/>
            </w:tcBorders>
          </w:tcPr>
          <w:p>
            <w:pPr>
              <w:spacing w:after="0"/>
              <w:rPr>
                <w:sz w:val="12"/>
                <w:szCs w:val="12"/>
                <w:color w:val="auto"/>
              </w:rPr>
            </w:pPr>
          </w:p>
        </w:tc>
        <w:tc>
          <w:tcPr>
            <w:tcW w:w="74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2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BFBFBF"/>
            </w:tcBorders>
          </w:tcPr>
          <w:p>
            <w:pPr>
              <w:spacing w:after="0"/>
              <w:rPr>
                <w:sz w:val="12"/>
                <w:szCs w:val="12"/>
                <w:color w:val="auto"/>
              </w:rPr>
            </w:pPr>
          </w:p>
        </w:tc>
        <w:tc>
          <w:tcPr>
            <w:tcW w:w="102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220" w:type="dxa"/>
            <w:vAlign w:val="bottom"/>
            <w:tcBorders>
              <w:left w:val="single" w:sz="8" w:color="BFBFBF"/>
              <w:right w:val="single" w:sz="8" w:color="BFBFBF"/>
            </w:tcBorders>
          </w:tcPr>
          <w:p>
            <w:pPr>
              <w:ind w:left="560"/>
              <w:spacing w:after="0" w:line="141" w:lineRule="exact"/>
              <w:rPr>
                <w:sz w:val="20"/>
                <w:szCs w:val="20"/>
                <w:color w:val="auto"/>
              </w:rPr>
            </w:pPr>
            <w:r>
              <w:rPr>
                <w:rFonts w:ascii="Arial" w:cs="Arial" w:eastAsia="Arial" w:hAnsi="Arial"/>
                <w:sz w:val="14"/>
                <w:szCs w:val="14"/>
                <w:color w:val="auto"/>
              </w:rPr>
              <w:t>Executive Vice</w:t>
            </w:r>
          </w:p>
        </w:tc>
        <w:tc>
          <w:tcPr>
            <w:tcW w:w="680" w:type="dxa"/>
            <w:vAlign w:val="bottom"/>
            <w:tcBorders>
              <w:right w:val="single" w:sz="8" w:color="BFBFBF"/>
            </w:tcBorders>
            <w:gridSpan w:val="2"/>
          </w:tcPr>
          <w:p>
            <w:pPr>
              <w:jc w:val="center"/>
              <w:spacing w:after="0" w:line="141" w:lineRule="exact"/>
              <w:rPr>
                <w:sz w:val="20"/>
                <w:szCs w:val="20"/>
                <w:color w:val="auto"/>
              </w:rPr>
            </w:pPr>
            <w:r>
              <w:rPr>
                <w:rFonts w:ascii="Arial" w:cs="Arial" w:eastAsia="Arial" w:hAnsi="Arial"/>
                <w:sz w:val="14"/>
                <w:szCs w:val="14"/>
                <w:color w:val="auto"/>
                <w:w w:val="95"/>
              </w:rPr>
              <w:t>5/7/2012</w:t>
            </w:r>
          </w:p>
        </w:tc>
        <w:tc>
          <w:tcPr>
            <w:tcW w:w="6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8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0</w:t>
            </w:r>
          </w:p>
        </w:tc>
        <w:tc>
          <w:tcPr>
            <w:tcW w:w="100" w:type="dxa"/>
            <w:vAlign w:val="bottom"/>
            <w:tcBorders>
              <w:right w:val="single" w:sz="8" w:color="BFBFBF"/>
            </w:tcBorders>
          </w:tcPr>
          <w:p>
            <w:pPr>
              <w:spacing w:after="0"/>
              <w:rPr>
                <w:sz w:val="12"/>
                <w:szCs w:val="12"/>
                <w:color w:val="auto"/>
              </w:rPr>
            </w:pPr>
          </w:p>
        </w:tc>
        <w:tc>
          <w:tcPr>
            <w:tcW w:w="62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51,195</w:t>
            </w:r>
          </w:p>
        </w:tc>
        <w:tc>
          <w:tcPr>
            <w:tcW w:w="12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102,390</w:t>
            </w:r>
          </w:p>
        </w:tc>
        <w:tc>
          <w:tcPr>
            <w:tcW w:w="80" w:type="dxa"/>
            <w:vAlign w:val="bottom"/>
          </w:tcPr>
          <w:p>
            <w:pPr>
              <w:spacing w:after="0"/>
              <w:rPr>
                <w:sz w:val="12"/>
                <w:szCs w:val="12"/>
                <w:color w:val="auto"/>
              </w:rPr>
            </w:pPr>
          </w:p>
        </w:tc>
        <w:tc>
          <w:tcPr>
            <w:tcW w:w="66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4"/>
                <w:szCs w:val="14"/>
                <w:color w:val="auto"/>
              </w:rPr>
              <w:t>$1,151,887</w:t>
            </w:r>
          </w:p>
        </w:tc>
        <w:tc>
          <w:tcPr>
            <w:tcW w:w="20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tcBorders>
              <w:left w:val="single" w:sz="8" w:color="BFBFBF"/>
              <w:right w:val="single" w:sz="8" w:color="BFBFBF"/>
            </w:tcBorders>
            <w:vMerge w:val="restart"/>
          </w:tcPr>
          <w:p>
            <w:pPr>
              <w:ind w:left="560"/>
              <w:spacing w:after="0" w:line="149" w:lineRule="exact"/>
              <w:rPr>
                <w:sz w:val="20"/>
                <w:szCs w:val="20"/>
                <w:color w:val="auto"/>
              </w:rPr>
            </w:pPr>
            <w:r>
              <w:rPr>
                <w:rFonts w:ascii="Arial" w:cs="Arial" w:eastAsia="Arial" w:hAnsi="Arial"/>
                <w:sz w:val="14"/>
                <w:szCs w:val="14"/>
                <w:color w:val="auto"/>
              </w:rPr>
              <w:t>President, Transaction</w:t>
            </w:r>
          </w:p>
        </w:tc>
        <w:tc>
          <w:tcPr>
            <w:tcW w:w="60" w:type="dxa"/>
            <w:vAlign w:val="bottom"/>
            <w:tcBorders>
              <w:bottom w:val="single" w:sz="8" w:color="BFBFBF"/>
            </w:tcBorders>
          </w:tcPr>
          <w:p>
            <w:pPr>
              <w:spacing w:after="0"/>
              <w:rPr>
                <w:sz w:val="5"/>
                <w:szCs w:val="5"/>
                <w:color w:val="auto"/>
              </w:rPr>
            </w:pPr>
          </w:p>
        </w:tc>
        <w:tc>
          <w:tcPr>
            <w:tcW w:w="62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66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68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86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660" w:type="dxa"/>
            <w:vAlign w:val="bottom"/>
            <w:tcBorders>
              <w:bottom w:val="single" w:sz="8" w:color="BFBFBF"/>
            </w:tcBorders>
          </w:tcPr>
          <w:p>
            <w:pPr>
              <w:spacing w:after="0"/>
              <w:rPr>
                <w:sz w:val="5"/>
                <w:szCs w:val="5"/>
                <w:color w:val="auto"/>
              </w:rPr>
            </w:pPr>
          </w:p>
        </w:tc>
        <w:tc>
          <w:tcPr>
            <w:tcW w:w="2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56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64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80" w:type="dxa"/>
            <w:vAlign w:val="bottom"/>
            <w:tcBorders>
              <w:bottom w:val="single" w:sz="8" w:color="BFBFBF"/>
            </w:tcBorders>
          </w:tcPr>
          <w:p>
            <w:pPr>
              <w:spacing w:after="0"/>
              <w:rPr>
                <w:sz w:val="5"/>
                <w:szCs w:val="5"/>
                <w:color w:val="auto"/>
              </w:rPr>
            </w:pPr>
          </w:p>
        </w:tc>
        <w:tc>
          <w:tcPr>
            <w:tcW w:w="54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80" w:type="dxa"/>
            <w:vAlign w:val="bottom"/>
            <w:tcBorders>
              <w:bottom w:val="single" w:sz="8" w:color="BFBFBF"/>
            </w:tcBorders>
          </w:tcPr>
          <w:p>
            <w:pPr>
              <w:spacing w:after="0"/>
              <w:rPr>
                <w:sz w:val="5"/>
                <w:szCs w:val="5"/>
                <w:color w:val="auto"/>
              </w:rPr>
            </w:pPr>
          </w:p>
        </w:tc>
        <w:tc>
          <w:tcPr>
            <w:tcW w:w="72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100" w:type="dxa"/>
            <w:vAlign w:val="bottom"/>
            <w:tcBorders>
              <w:bottom w:val="single" w:sz="8" w:color="BFBFBF"/>
            </w:tcBorders>
          </w:tcPr>
          <w:p>
            <w:pPr>
              <w:spacing w:after="0"/>
              <w:rPr>
                <w:sz w:val="5"/>
                <w:szCs w:val="5"/>
                <w:color w:val="auto"/>
              </w:rPr>
            </w:pPr>
          </w:p>
        </w:tc>
        <w:tc>
          <w:tcPr>
            <w:tcW w:w="56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820" w:type="dxa"/>
            <w:vAlign w:val="bottom"/>
            <w:tcBorders>
              <w:bottom w:val="single" w:sz="8" w:color="BFBFBF"/>
            </w:tcBorders>
          </w:tcPr>
          <w:p>
            <w:pPr>
              <w:spacing w:after="0"/>
              <w:rPr>
                <w:sz w:val="5"/>
                <w:szCs w:val="5"/>
                <w:color w:val="auto"/>
              </w:rPr>
            </w:pPr>
          </w:p>
        </w:tc>
        <w:tc>
          <w:tcPr>
            <w:tcW w:w="200" w:type="dxa"/>
            <w:vAlign w:val="bottom"/>
            <w:tcBorders>
              <w:bottom w:val="single" w:sz="8" w:color="BFBFBF"/>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220" w:type="dxa"/>
            <w:vAlign w:val="bottom"/>
            <w:tcBorders>
              <w:left w:val="single" w:sz="8" w:color="BFBFBF"/>
              <w:right w:val="single" w:sz="8" w:color="BFBFBF"/>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Borders>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BFBFBF"/>
              <w:bottom w:val="single" w:sz="8" w:color="BFBFBF"/>
              <w:right w:val="single" w:sz="8" w:color="BFBFBF"/>
            </w:tcBorders>
          </w:tcPr>
          <w:p>
            <w:pPr>
              <w:ind w:left="560"/>
              <w:spacing w:after="0"/>
              <w:rPr>
                <w:sz w:val="20"/>
                <w:szCs w:val="20"/>
                <w:color w:val="auto"/>
              </w:rPr>
            </w:pPr>
            <w:r>
              <w:rPr>
                <w:rFonts w:ascii="Arial" w:cs="Arial" w:eastAsia="Arial" w:hAnsi="Arial"/>
                <w:sz w:val="14"/>
                <w:szCs w:val="14"/>
                <w:color w:val="auto"/>
              </w:rPr>
              <w:t>Services Nordic</w:t>
            </w:r>
          </w:p>
        </w:tc>
        <w:tc>
          <w:tcPr>
            <w:tcW w:w="60" w:type="dxa"/>
            <w:vAlign w:val="bottom"/>
            <w:tcBorders>
              <w:bottom w:val="single" w:sz="8" w:color="BFBFBF"/>
            </w:tcBorders>
          </w:tcPr>
          <w:p>
            <w:pPr>
              <w:spacing w:after="0"/>
              <w:rPr>
                <w:sz w:val="14"/>
                <w:szCs w:val="14"/>
                <w:color w:val="auto"/>
              </w:rPr>
            </w:pPr>
          </w:p>
        </w:tc>
        <w:tc>
          <w:tcPr>
            <w:tcW w:w="62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6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8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4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40" w:type="dxa"/>
            <w:vAlign w:val="bottom"/>
            <w:tcBorders>
              <w:bottom w:val="single" w:sz="8" w:color="BFBFBF"/>
            </w:tcBorders>
          </w:tcPr>
          <w:p>
            <w:pPr>
              <w:spacing w:after="0"/>
              <w:rPr>
                <w:sz w:val="14"/>
                <w:szCs w:val="14"/>
                <w:color w:val="auto"/>
              </w:rPr>
            </w:pPr>
          </w:p>
        </w:tc>
        <w:tc>
          <w:tcPr>
            <w:tcW w:w="660" w:type="dxa"/>
            <w:vAlign w:val="bottom"/>
            <w:tcBorders>
              <w:bottom w:val="single" w:sz="8" w:color="BFBFBF"/>
            </w:tcBorders>
          </w:tcPr>
          <w:p>
            <w:pPr>
              <w:spacing w:after="0"/>
              <w:rPr>
                <w:sz w:val="14"/>
                <w:szCs w:val="14"/>
                <w:color w:val="auto"/>
              </w:rPr>
            </w:pPr>
          </w:p>
        </w:tc>
        <w:tc>
          <w:tcPr>
            <w:tcW w:w="2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56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4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80" w:type="dxa"/>
            <w:vAlign w:val="bottom"/>
            <w:tcBorders>
              <w:bottom w:val="single" w:sz="8" w:color="BFBFBF"/>
            </w:tcBorders>
          </w:tcPr>
          <w:p>
            <w:pPr>
              <w:spacing w:after="0"/>
              <w:rPr>
                <w:sz w:val="14"/>
                <w:szCs w:val="14"/>
                <w:color w:val="auto"/>
              </w:rPr>
            </w:pPr>
          </w:p>
        </w:tc>
        <w:tc>
          <w:tcPr>
            <w:tcW w:w="54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80" w:type="dxa"/>
            <w:vAlign w:val="bottom"/>
            <w:tcBorders>
              <w:bottom w:val="single" w:sz="8" w:color="BFBFBF"/>
            </w:tcBorders>
          </w:tcPr>
          <w:p>
            <w:pPr>
              <w:spacing w:after="0"/>
              <w:rPr>
                <w:sz w:val="14"/>
                <w:szCs w:val="14"/>
                <w:color w:val="auto"/>
              </w:rPr>
            </w:pPr>
          </w:p>
        </w:tc>
        <w:tc>
          <w:tcPr>
            <w:tcW w:w="72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100" w:type="dxa"/>
            <w:vAlign w:val="bottom"/>
            <w:tcBorders>
              <w:bottom w:val="single" w:sz="8" w:color="BFBFBF"/>
            </w:tcBorders>
          </w:tcPr>
          <w:p>
            <w:pPr>
              <w:spacing w:after="0"/>
              <w:rPr>
                <w:sz w:val="14"/>
                <w:szCs w:val="14"/>
                <w:color w:val="auto"/>
              </w:rPr>
            </w:pPr>
          </w:p>
        </w:tc>
        <w:tc>
          <w:tcPr>
            <w:tcW w:w="56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820" w:type="dxa"/>
            <w:vAlign w:val="bottom"/>
            <w:tcBorders>
              <w:bottom w:val="single" w:sz="8" w:color="BFBFBF"/>
            </w:tcBorders>
          </w:tcPr>
          <w:p>
            <w:pPr>
              <w:spacing w:after="0"/>
              <w:rPr>
                <w:sz w:val="14"/>
                <w:szCs w:val="14"/>
                <w:color w:val="auto"/>
              </w:rPr>
            </w:pPr>
          </w:p>
        </w:tc>
        <w:tc>
          <w:tcPr>
            <w:tcW w:w="20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680" w:type="dxa"/>
            <w:vAlign w:val="bottom"/>
            <w:tcBorders>
              <w:bottom w:val="single" w:sz="8" w:color="BFBFBF"/>
              <w:right w:val="single" w:sz="8" w:color="BFBFBF"/>
            </w:tcBorders>
            <w:gridSpan w:val="2"/>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8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40" w:type="dxa"/>
            <w:vAlign w:val="bottom"/>
            <w:tcBorders>
              <w:bottom w:val="single" w:sz="8" w:color="BFBFBF"/>
            </w:tcBorders>
            <w:shd w:val="clear" w:color="auto" w:fill="DDEFF3"/>
          </w:tcPr>
          <w:p>
            <w:pPr>
              <w:spacing w:after="0"/>
              <w:rPr>
                <w:sz w:val="21"/>
                <w:szCs w:val="21"/>
                <w:color w:val="auto"/>
              </w:rPr>
            </w:pPr>
          </w:p>
        </w:tc>
        <w:tc>
          <w:tcPr>
            <w:tcW w:w="8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40" w:type="dxa"/>
            <w:vAlign w:val="bottom"/>
            <w:tcBorders>
              <w:bottom w:val="single" w:sz="8" w:color="BFBFBF"/>
            </w:tcBorders>
            <w:shd w:val="clear" w:color="auto" w:fill="DDEFF3"/>
          </w:tcPr>
          <w:p>
            <w:pPr>
              <w:spacing w:after="0"/>
              <w:rPr>
                <w:sz w:val="21"/>
                <w:szCs w:val="21"/>
                <w:color w:val="auto"/>
              </w:rPr>
            </w:pPr>
          </w:p>
        </w:tc>
        <w:tc>
          <w:tcPr>
            <w:tcW w:w="660" w:type="dxa"/>
            <w:vAlign w:val="bottom"/>
            <w:tcBorders>
              <w:bottom w:val="single" w:sz="8" w:color="BFBFBF"/>
            </w:tcBorders>
            <w:shd w:val="clear" w:color="auto" w:fill="DDEFF3"/>
          </w:tcPr>
          <w:p>
            <w:pPr>
              <w:spacing w:after="0"/>
              <w:rPr>
                <w:sz w:val="21"/>
                <w:szCs w:val="21"/>
                <w:color w:val="auto"/>
              </w:rPr>
            </w:pPr>
          </w:p>
        </w:tc>
        <w:tc>
          <w:tcPr>
            <w:tcW w:w="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540" w:type="dxa"/>
            <w:vAlign w:val="bottom"/>
            <w:tcBorders>
              <w:bottom w:val="single" w:sz="8" w:color="BFBFBF"/>
            </w:tcBorders>
            <w:shd w:val="clear" w:color="auto" w:fill="DDEFF3"/>
          </w:tcPr>
          <w:p>
            <w:pPr>
              <w:spacing w:after="0"/>
              <w:rPr>
                <w:sz w:val="21"/>
                <w:szCs w:val="21"/>
                <w:color w:val="auto"/>
              </w:rPr>
            </w:pPr>
          </w:p>
        </w:tc>
        <w:tc>
          <w:tcPr>
            <w:tcW w:w="120" w:type="dxa"/>
            <w:vAlign w:val="bottom"/>
            <w:tcBorders>
              <w:bottom w:val="single" w:sz="8" w:color="BFBFBF"/>
              <w:right w:val="single" w:sz="8" w:color="BFBFBF"/>
            </w:tcBorders>
            <w:shd w:val="clear" w:color="auto" w:fill="DDEFF3"/>
          </w:tcPr>
          <w:p>
            <w:pPr>
              <w:spacing w:after="0"/>
              <w:rPr>
                <w:sz w:val="21"/>
                <w:szCs w:val="21"/>
                <w:color w:val="auto"/>
              </w:rPr>
            </w:pPr>
          </w:p>
        </w:tc>
        <w:tc>
          <w:tcPr>
            <w:tcW w:w="80" w:type="dxa"/>
            <w:vAlign w:val="bottom"/>
            <w:tcBorders>
              <w:bottom w:val="single" w:sz="8" w:color="BFBFBF"/>
            </w:tcBorders>
            <w:shd w:val="clear" w:color="auto" w:fill="DDEFF3"/>
          </w:tcPr>
          <w:p>
            <w:pPr>
              <w:spacing w:after="0"/>
              <w:rPr>
                <w:sz w:val="21"/>
                <w:szCs w:val="21"/>
                <w:color w:val="auto"/>
              </w:rPr>
            </w:pPr>
          </w:p>
        </w:tc>
        <w:tc>
          <w:tcPr>
            <w:tcW w:w="72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56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right w:val="single" w:sz="8" w:color="BFBFBF"/>
            </w:tcBorders>
            <w:shd w:val="clear" w:color="auto" w:fill="DDEFF3"/>
          </w:tcPr>
          <w:p>
            <w:pPr>
              <w:spacing w:after="0"/>
              <w:rPr>
                <w:sz w:val="21"/>
                <w:szCs w:val="21"/>
                <w:color w:val="auto"/>
              </w:rPr>
            </w:pPr>
          </w:p>
        </w:tc>
        <w:tc>
          <w:tcPr>
            <w:tcW w:w="60" w:type="dxa"/>
            <w:vAlign w:val="bottom"/>
            <w:tcBorders>
              <w:bottom w:val="single" w:sz="8" w:color="BFBFBF"/>
            </w:tcBorders>
            <w:shd w:val="clear" w:color="auto" w:fill="DDEFF3"/>
          </w:tcPr>
          <w:p>
            <w:pPr>
              <w:spacing w:after="0"/>
              <w:rPr>
                <w:sz w:val="21"/>
                <w:szCs w:val="21"/>
                <w:color w:val="auto"/>
              </w:rPr>
            </w:pPr>
          </w:p>
        </w:tc>
        <w:tc>
          <w:tcPr>
            <w:tcW w:w="82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Eric W. Noll</w:t>
            </w:r>
          </w:p>
        </w:tc>
        <w:tc>
          <w:tcPr>
            <w:tcW w:w="680" w:type="dxa"/>
            <w:vAlign w:val="bottom"/>
            <w:tcBorders>
              <w:bottom w:val="single" w:sz="8" w:color="BFBFBF"/>
              <w:right w:val="single" w:sz="8" w:color="BFBFBF"/>
            </w:tcBorders>
            <w:gridSpan w:val="2"/>
          </w:tcPr>
          <w:p>
            <w:pPr>
              <w:jc w:val="center"/>
              <w:spacing w:after="0" w:line="142" w:lineRule="exact"/>
              <w:rPr>
                <w:sz w:val="20"/>
                <w:szCs w:val="20"/>
                <w:color w:val="auto"/>
              </w:rPr>
            </w:pPr>
            <w:r>
              <w:rPr>
                <w:rFonts w:ascii="Arial" w:cs="Arial" w:eastAsia="Arial" w:hAnsi="Arial"/>
                <w:sz w:val="14"/>
                <w:szCs w:val="14"/>
                <w:color w:val="auto"/>
                <w:w w:val="96"/>
              </w:rPr>
              <w:t>2/22/2012</w:t>
            </w:r>
          </w:p>
        </w:tc>
        <w:tc>
          <w:tcPr>
            <w:tcW w:w="7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$0</w:t>
            </w:r>
          </w:p>
        </w:tc>
        <w:tc>
          <w:tcPr>
            <w:tcW w:w="100" w:type="dxa"/>
            <w:vAlign w:val="bottom"/>
            <w:tcBorders>
              <w:bottom w:val="single" w:sz="8" w:color="BFBFBF"/>
              <w:right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3"/>
          </w:tcPr>
          <w:p>
            <w:pPr>
              <w:jc w:val="right"/>
              <w:ind w:right="120"/>
              <w:spacing w:after="0" w:line="142" w:lineRule="exact"/>
              <w:rPr>
                <w:sz w:val="20"/>
                <w:szCs w:val="20"/>
                <w:color w:val="auto"/>
              </w:rPr>
            </w:pPr>
            <w:r>
              <w:rPr>
                <w:rFonts w:ascii="Arial" w:cs="Arial" w:eastAsia="Arial" w:hAnsi="Arial"/>
                <w:sz w:val="14"/>
                <w:szCs w:val="14"/>
                <w:color w:val="auto"/>
              </w:rPr>
              <w:t>$750,000</w:t>
            </w:r>
          </w:p>
        </w:tc>
        <w:tc>
          <w:tcPr>
            <w:tcW w:w="900" w:type="dxa"/>
            <w:vAlign w:val="bottom"/>
            <w:tcBorders>
              <w:bottom w:val="single" w:sz="8" w:color="BFBFBF"/>
            </w:tcBorders>
            <w:gridSpan w:val="2"/>
          </w:tcPr>
          <w:p>
            <w:pPr>
              <w:jc w:val="right"/>
              <w:ind w:right="92"/>
              <w:spacing w:after="0" w:line="142" w:lineRule="exact"/>
              <w:rPr>
                <w:sz w:val="20"/>
                <w:szCs w:val="20"/>
                <w:color w:val="auto"/>
              </w:rPr>
            </w:pPr>
            <w:r>
              <w:rPr>
                <w:rFonts w:ascii="Arial" w:cs="Arial" w:eastAsia="Arial" w:hAnsi="Arial"/>
                <w:sz w:val="14"/>
                <w:szCs w:val="14"/>
                <w:color w:val="auto"/>
                <w:w w:val="97"/>
              </w:rPr>
              <w:t>$ 1,500,000</w:t>
            </w:r>
          </w:p>
        </w:tc>
        <w:tc>
          <w:tcPr>
            <w:tcW w:w="120" w:type="dxa"/>
            <w:vAlign w:val="bottom"/>
            <w:tcBorders>
              <w:bottom w:val="single" w:sz="8" w:color="BFBFBF"/>
              <w:right w:val="single" w:sz="8" w:color="BFBFBF"/>
            </w:tcBorders>
          </w:tcPr>
          <w:p>
            <w:pPr>
              <w:spacing w:after="0"/>
              <w:rPr>
                <w:sz w:val="12"/>
                <w:szCs w:val="12"/>
                <w:color w:val="auto"/>
              </w:rPr>
            </w:pPr>
          </w:p>
        </w:tc>
        <w:tc>
          <w:tcPr>
            <w:tcW w:w="4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right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6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BFBFBF"/>
            </w:tcBorders>
          </w:tcPr>
          <w:p>
            <w:pPr>
              <w:spacing w:after="0"/>
              <w:rPr>
                <w:sz w:val="12"/>
                <w:szCs w:val="12"/>
                <w:color w:val="auto"/>
              </w:rPr>
            </w:pPr>
          </w:p>
        </w:tc>
        <w:tc>
          <w:tcPr>
            <w:tcW w:w="74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2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660" w:type="dxa"/>
            <w:vAlign w:val="bottom"/>
            <w:tcBorders>
              <w:bottom w:val="single" w:sz="8" w:color="BFBFBF"/>
              <w:right w:val="single" w:sz="8" w:color="BFBFBF"/>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BFBFBF"/>
            </w:tcBorders>
          </w:tcPr>
          <w:p>
            <w:pPr>
              <w:spacing w:after="0"/>
              <w:rPr>
                <w:sz w:val="12"/>
                <w:szCs w:val="12"/>
                <w:color w:val="auto"/>
              </w:rPr>
            </w:pPr>
          </w:p>
        </w:tc>
        <w:tc>
          <w:tcPr>
            <w:tcW w:w="102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220" w:type="dxa"/>
            <w:vAlign w:val="bottom"/>
            <w:tcBorders>
              <w:left w:val="single" w:sz="8" w:color="BFBFBF"/>
              <w:right w:val="single" w:sz="8" w:color="BFBFBF"/>
            </w:tcBorders>
          </w:tcPr>
          <w:p>
            <w:pPr>
              <w:ind w:left="560"/>
              <w:spacing w:after="0" w:line="141" w:lineRule="exact"/>
              <w:rPr>
                <w:sz w:val="20"/>
                <w:szCs w:val="20"/>
                <w:color w:val="auto"/>
              </w:rPr>
            </w:pPr>
            <w:r>
              <w:rPr>
                <w:rFonts w:ascii="Arial" w:cs="Arial" w:eastAsia="Arial" w:hAnsi="Arial"/>
                <w:sz w:val="14"/>
                <w:szCs w:val="14"/>
                <w:color w:val="auto"/>
              </w:rPr>
              <w:t>Executive Vice</w:t>
            </w:r>
          </w:p>
        </w:tc>
        <w:tc>
          <w:tcPr>
            <w:tcW w:w="680" w:type="dxa"/>
            <w:vAlign w:val="bottom"/>
            <w:tcBorders>
              <w:right w:val="single" w:sz="8" w:color="BFBFBF"/>
            </w:tcBorders>
            <w:gridSpan w:val="2"/>
          </w:tcPr>
          <w:p>
            <w:pPr>
              <w:jc w:val="center"/>
              <w:spacing w:after="0" w:line="141" w:lineRule="exact"/>
              <w:rPr>
                <w:sz w:val="20"/>
                <w:szCs w:val="20"/>
                <w:color w:val="auto"/>
              </w:rPr>
            </w:pPr>
            <w:r>
              <w:rPr>
                <w:rFonts w:ascii="Arial" w:cs="Arial" w:eastAsia="Arial" w:hAnsi="Arial"/>
                <w:sz w:val="14"/>
                <w:szCs w:val="14"/>
                <w:color w:val="auto"/>
                <w:w w:val="95"/>
              </w:rPr>
              <w:t>5/7/2012</w:t>
            </w:r>
          </w:p>
        </w:tc>
        <w:tc>
          <w:tcPr>
            <w:tcW w:w="6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8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0</w:t>
            </w:r>
          </w:p>
        </w:tc>
        <w:tc>
          <w:tcPr>
            <w:tcW w:w="100" w:type="dxa"/>
            <w:vAlign w:val="bottom"/>
            <w:tcBorders>
              <w:right w:val="single" w:sz="8" w:color="BFBFBF"/>
            </w:tcBorders>
          </w:tcPr>
          <w:p>
            <w:pPr>
              <w:spacing w:after="0"/>
              <w:rPr>
                <w:sz w:val="12"/>
                <w:szCs w:val="12"/>
                <w:color w:val="auto"/>
              </w:rPr>
            </w:pPr>
          </w:p>
        </w:tc>
        <w:tc>
          <w:tcPr>
            <w:tcW w:w="62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59,727</w:t>
            </w:r>
          </w:p>
        </w:tc>
        <w:tc>
          <w:tcPr>
            <w:tcW w:w="120" w:type="dxa"/>
            <w:vAlign w:val="bottom"/>
            <w:tcBorders>
              <w:right w:val="single" w:sz="8" w:color="BFBFBF"/>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119,454</w:t>
            </w:r>
          </w:p>
        </w:tc>
        <w:tc>
          <w:tcPr>
            <w:tcW w:w="80" w:type="dxa"/>
            <w:vAlign w:val="bottom"/>
          </w:tcPr>
          <w:p>
            <w:pPr>
              <w:spacing w:after="0"/>
              <w:rPr>
                <w:sz w:val="12"/>
                <w:szCs w:val="12"/>
                <w:color w:val="auto"/>
              </w:rPr>
            </w:pPr>
          </w:p>
        </w:tc>
        <w:tc>
          <w:tcPr>
            <w:tcW w:w="660" w:type="dxa"/>
            <w:vAlign w:val="bottom"/>
            <w:tcBorders>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Borders>
              <w:right w:val="single" w:sz="8" w:color="BFBFBF"/>
            </w:tcBorders>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4"/>
                <w:szCs w:val="14"/>
                <w:color w:val="auto"/>
              </w:rPr>
              <w:t>$1,343,857</w:t>
            </w:r>
          </w:p>
        </w:tc>
        <w:tc>
          <w:tcPr>
            <w:tcW w:w="20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tcBorders>
              <w:left w:val="single" w:sz="8" w:color="BFBFBF"/>
              <w:right w:val="single" w:sz="8" w:color="BFBFBF"/>
            </w:tcBorders>
            <w:vMerge w:val="restart"/>
          </w:tcPr>
          <w:p>
            <w:pPr>
              <w:ind w:left="560"/>
              <w:spacing w:after="0" w:line="149" w:lineRule="exact"/>
              <w:rPr>
                <w:sz w:val="20"/>
                <w:szCs w:val="20"/>
                <w:color w:val="auto"/>
              </w:rPr>
            </w:pPr>
            <w:r>
              <w:rPr>
                <w:rFonts w:ascii="Arial" w:cs="Arial" w:eastAsia="Arial" w:hAnsi="Arial"/>
                <w:sz w:val="14"/>
                <w:szCs w:val="14"/>
                <w:color w:val="auto"/>
              </w:rPr>
              <w:t>President, Transaction</w:t>
            </w:r>
          </w:p>
        </w:tc>
        <w:tc>
          <w:tcPr>
            <w:tcW w:w="60" w:type="dxa"/>
            <w:vAlign w:val="bottom"/>
            <w:tcBorders>
              <w:bottom w:val="single" w:sz="8" w:color="BFBFBF"/>
            </w:tcBorders>
          </w:tcPr>
          <w:p>
            <w:pPr>
              <w:spacing w:after="0"/>
              <w:rPr>
                <w:sz w:val="5"/>
                <w:szCs w:val="5"/>
                <w:color w:val="auto"/>
              </w:rPr>
            </w:pPr>
          </w:p>
        </w:tc>
        <w:tc>
          <w:tcPr>
            <w:tcW w:w="62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66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68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86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660" w:type="dxa"/>
            <w:vAlign w:val="bottom"/>
            <w:tcBorders>
              <w:bottom w:val="single" w:sz="8" w:color="BFBFBF"/>
            </w:tcBorders>
          </w:tcPr>
          <w:p>
            <w:pPr>
              <w:spacing w:after="0"/>
              <w:rPr>
                <w:sz w:val="5"/>
                <w:szCs w:val="5"/>
                <w:color w:val="auto"/>
              </w:rPr>
            </w:pPr>
          </w:p>
        </w:tc>
        <w:tc>
          <w:tcPr>
            <w:tcW w:w="2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56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64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80" w:type="dxa"/>
            <w:vAlign w:val="bottom"/>
            <w:tcBorders>
              <w:bottom w:val="single" w:sz="8" w:color="BFBFBF"/>
            </w:tcBorders>
          </w:tcPr>
          <w:p>
            <w:pPr>
              <w:spacing w:after="0"/>
              <w:rPr>
                <w:sz w:val="5"/>
                <w:szCs w:val="5"/>
                <w:color w:val="auto"/>
              </w:rPr>
            </w:pPr>
          </w:p>
        </w:tc>
        <w:tc>
          <w:tcPr>
            <w:tcW w:w="540" w:type="dxa"/>
            <w:vAlign w:val="bottom"/>
            <w:tcBorders>
              <w:bottom w:val="single" w:sz="8" w:color="BFBFBF"/>
            </w:tcBorders>
          </w:tcPr>
          <w:p>
            <w:pPr>
              <w:spacing w:after="0"/>
              <w:rPr>
                <w:sz w:val="5"/>
                <w:szCs w:val="5"/>
                <w:color w:val="auto"/>
              </w:rPr>
            </w:pPr>
          </w:p>
        </w:tc>
        <w:tc>
          <w:tcPr>
            <w:tcW w:w="120" w:type="dxa"/>
            <w:vAlign w:val="bottom"/>
            <w:tcBorders>
              <w:bottom w:val="single" w:sz="8" w:color="BFBFBF"/>
              <w:right w:val="single" w:sz="8" w:color="BFBFBF"/>
            </w:tcBorders>
          </w:tcPr>
          <w:p>
            <w:pPr>
              <w:spacing w:after="0"/>
              <w:rPr>
                <w:sz w:val="5"/>
                <w:szCs w:val="5"/>
                <w:color w:val="auto"/>
              </w:rPr>
            </w:pPr>
          </w:p>
        </w:tc>
        <w:tc>
          <w:tcPr>
            <w:tcW w:w="80" w:type="dxa"/>
            <w:vAlign w:val="bottom"/>
            <w:tcBorders>
              <w:bottom w:val="single" w:sz="8" w:color="BFBFBF"/>
            </w:tcBorders>
          </w:tcPr>
          <w:p>
            <w:pPr>
              <w:spacing w:after="0"/>
              <w:rPr>
                <w:sz w:val="5"/>
                <w:szCs w:val="5"/>
                <w:color w:val="auto"/>
              </w:rPr>
            </w:pPr>
          </w:p>
        </w:tc>
        <w:tc>
          <w:tcPr>
            <w:tcW w:w="72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100" w:type="dxa"/>
            <w:vAlign w:val="bottom"/>
            <w:tcBorders>
              <w:bottom w:val="single" w:sz="8" w:color="BFBFBF"/>
            </w:tcBorders>
          </w:tcPr>
          <w:p>
            <w:pPr>
              <w:spacing w:after="0"/>
              <w:rPr>
                <w:sz w:val="5"/>
                <w:szCs w:val="5"/>
                <w:color w:val="auto"/>
              </w:rPr>
            </w:pPr>
          </w:p>
        </w:tc>
        <w:tc>
          <w:tcPr>
            <w:tcW w:w="560" w:type="dxa"/>
            <w:vAlign w:val="bottom"/>
            <w:tcBorders>
              <w:bottom w:val="single" w:sz="8" w:color="BFBFBF"/>
            </w:tcBorders>
          </w:tcPr>
          <w:p>
            <w:pPr>
              <w:spacing w:after="0"/>
              <w:rPr>
                <w:sz w:val="5"/>
                <w:szCs w:val="5"/>
                <w:color w:val="auto"/>
              </w:rPr>
            </w:pPr>
          </w:p>
        </w:tc>
        <w:tc>
          <w:tcPr>
            <w:tcW w:w="100" w:type="dxa"/>
            <w:vAlign w:val="bottom"/>
            <w:tcBorders>
              <w:bottom w:val="single" w:sz="8" w:color="BFBFBF"/>
              <w:right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820" w:type="dxa"/>
            <w:vAlign w:val="bottom"/>
            <w:tcBorders>
              <w:bottom w:val="single" w:sz="8" w:color="BFBFBF"/>
            </w:tcBorders>
          </w:tcPr>
          <w:p>
            <w:pPr>
              <w:spacing w:after="0"/>
              <w:rPr>
                <w:sz w:val="5"/>
                <w:szCs w:val="5"/>
                <w:color w:val="auto"/>
              </w:rPr>
            </w:pPr>
          </w:p>
        </w:tc>
        <w:tc>
          <w:tcPr>
            <w:tcW w:w="200" w:type="dxa"/>
            <w:vAlign w:val="bottom"/>
            <w:tcBorders>
              <w:bottom w:val="single" w:sz="8" w:color="BFBFBF"/>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220" w:type="dxa"/>
            <w:vAlign w:val="bottom"/>
            <w:tcBorders>
              <w:left w:val="single" w:sz="8" w:color="BFBFBF"/>
              <w:right w:val="single" w:sz="8" w:color="BFBFBF"/>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right w:val="single" w:sz="8" w:color="BFBFBF"/>
            </w:tcBorders>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Borders>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BFBFBF"/>
              <w:bottom w:val="single" w:sz="8" w:color="BFBFBF"/>
              <w:right w:val="single" w:sz="8" w:color="BFBFBF"/>
            </w:tcBorders>
          </w:tcPr>
          <w:p>
            <w:pPr>
              <w:ind w:left="560"/>
              <w:spacing w:after="0"/>
              <w:rPr>
                <w:sz w:val="20"/>
                <w:szCs w:val="20"/>
                <w:color w:val="auto"/>
              </w:rPr>
            </w:pPr>
            <w:r>
              <w:rPr>
                <w:rFonts w:ascii="Arial" w:cs="Arial" w:eastAsia="Arial" w:hAnsi="Arial"/>
                <w:sz w:val="14"/>
                <w:szCs w:val="14"/>
                <w:color w:val="auto"/>
              </w:rPr>
              <w:t>Services U.S. and U.K.</w:t>
            </w:r>
          </w:p>
        </w:tc>
        <w:tc>
          <w:tcPr>
            <w:tcW w:w="60" w:type="dxa"/>
            <w:vAlign w:val="bottom"/>
            <w:tcBorders>
              <w:bottom w:val="single" w:sz="8" w:color="BFBFBF"/>
            </w:tcBorders>
          </w:tcPr>
          <w:p>
            <w:pPr>
              <w:spacing w:after="0"/>
              <w:rPr>
                <w:sz w:val="14"/>
                <w:szCs w:val="14"/>
                <w:color w:val="auto"/>
              </w:rPr>
            </w:pPr>
          </w:p>
        </w:tc>
        <w:tc>
          <w:tcPr>
            <w:tcW w:w="62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6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8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4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40" w:type="dxa"/>
            <w:vAlign w:val="bottom"/>
            <w:tcBorders>
              <w:bottom w:val="single" w:sz="8" w:color="BFBFBF"/>
            </w:tcBorders>
          </w:tcPr>
          <w:p>
            <w:pPr>
              <w:spacing w:after="0"/>
              <w:rPr>
                <w:sz w:val="14"/>
                <w:szCs w:val="14"/>
                <w:color w:val="auto"/>
              </w:rPr>
            </w:pPr>
          </w:p>
        </w:tc>
        <w:tc>
          <w:tcPr>
            <w:tcW w:w="660" w:type="dxa"/>
            <w:vAlign w:val="bottom"/>
            <w:tcBorders>
              <w:bottom w:val="single" w:sz="8" w:color="BFBFBF"/>
            </w:tcBorders>
          </w:tcPr>
          <w:p>
            <w:pPr>
              <w:spacing w:after="0"/>
              <w:rPr>
                <w:sz w:val="14"/>
                <w:szCs w:val="14"/>
                <w:color w:val="auto"/>
              </w:rPr>
            </w:pPr>
          </w:p>
        </w:tc>
        <w:tc>
          <w:tcPr>
            <w:tcW w:w="2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56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64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80" w:type="dxa"/>
            <w:vAlign w:val="bottom"/>
            <w:tcBorders>
              <w:bottom w:val="single" w:sz="8" w:color="BFBFBF"/>
            </w:tcBorders>
          </w:tcPr>
          <w:p>
            <w:pPr>
              <w:spacing w:after="0"/>
              <w:rPr>
                <w:sz w:val="14"/>
                <w:szCs w:val="14"/>
                <w:color w:val="auto"/>
              </w:rPr>
            </w:pPr>
          </w:p>
        </w:tc>
        <w:tc>
          <w:tcPr>
            <w:tcW w:w="54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right w:val="single" w:sz="8" w:color="BFBFBF"/>
            </w:tcBorders>
          </w:tcPr>
          <w:p>
            <w:pPr>
              <w:spacing w:after="0"/>
              <w:rPr>
                <w:sz w:val="14"/>
                <w:szCs w:val="14"/>
                <w:color w:val="auto"/>
              </w:rPr>
            </w:pPr>
          </w:p>
        </w:tc>
        <w:tc>
          <w:tcPr>
            <w:tcW w:w="80" w:type="dxa"/>
            <w:vAlign w:val="bottom"/>
            <w:tcBorders>
              <w:bottom w:val="single" w:sz="8" w:color="BFBFBF"/>
            </w:tcBorders>
          </w:tcPr>
          <w:p>
            <w:pPr>
              <w:spacing w:after="0"/>
              <w:rPr>
                <w:sz w:val="14"/>
                <w:szCs w:val="14"/>
                <w:color w:val="auto"/>
              </w:rPr>
            </w:pPr>
          </w:p>
        </w:tc>
        <w:tc>
          <w:tcPr>
            <w:tcW w:w="72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100" w:type="dxa"/>
            <w:vAlign w:val="bottom"/>
            <w:tcBorders>
              <w:bottom w:val="single" w:sz="8" w:color="BFBFBF"/>
            </w:tcBorders>
          </w:tcPr>
          <w:p>
            <w:pPr>
              <w:spacing w:after="0"/>
              <w:rPr>
                <w:sz w:val="14"/>
                <w:szCs w:val="14"/>
                <w:color w:val="auto"/>
              </w:rPr>
            </w:pPr>
          </w:p>
        </w:tc>
        <w:tc>
          <w:tcPr>
            <w:tcW w:w="56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820" w:type="dxa"/>
            <w:vAlign w:val="bottom"/>
            <w:tcBorders>
              <w:bottom w:val="single" w:sz="8" w:color="BFBFBF"/>
            </w:tcBorders>
          </w:tcPr>
          <w:p>
            <w:pPr>
              <w:spacing w:after="0"/>
              <w:rPr>
                <w:sz w:val="14"/>
                <w:szCs w:val="14"/>
                <w:color w:val="auto"/>
              </w:rPr>
            </w:pPr>
          </w:p>
        </w:tc>
        <w:tc>
          <w:tcPr>
            <w:tcW w:w="20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-2623820</wp:posOffset>
            </wp:positionV>
            <wp:extent cx="889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-2623820</wp:posOffset>
            </wp:positionV>
            <wp:extent cx="889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-2623820</wp:posOffset>
            </wp:positionV>
            <wp:extent cx="889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-3592830</wp:posOffset>
            </wp:positionV>
            <wp:extent cx="889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-3592830</wp:posOffset>
            </wp:positionV>
            <wp:extent cx="889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-3592830</wp:posOffset>
            </wp:positionV>
            <wp:extent cx="889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-3592830</wp:posOffset>
            </wp:positionV>
            <wp:extent cx="889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32" w:lineRule="exact"/>
        <w:rPr>
          <w:sz w:val="20"/>
          <w:szCs w:val="20"/>
          <w:color w:val="auto"/>
        </w:rPr>
      </w:pPr>
    </w:p>
    <w:p>
      <w:pPr>
        <w:ind w:left="580" w:right="280" w:hanging="572"/>
        <w:spacing w:after="0" w:line="237"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reported in these columns represent the possible range of payments under the ECIP or other performance-based incentive compensation programs. For information about the amounts actually earned by each named executive officer under the ECIP or other performance-based incentive compensation programs, see “Executive Compensation – Summary Compensation Table.” Amounts are considered earned in fiscal year 2012 although they were not paid until 2013.</w:t>
      </w:r>
    </w:p>
    <w:p>
      <w:pPr>
        <w:spacing w:after="0" w:line="60" w:lineRule="exact"/>
        <w:rPr>
          <w:rFonts w:ascii="Arial" w:cs="Arial" w:eastAsia="Arial" w:hAnsi="Arial"/>
          <w:sz w:val="18"/>
          <w:szCs w:val="18"/>
          <w:color w:val="auto"/>
        </w:rPr>
      </w:pPr>
    </w:p>
    <w:p>
      <w:pPr>
        <w:ind w:left="580" w:right="120" w:hanging="572"/>
        <w:spacing w:after="0" w:line="237"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reported in these columns represent the possible range of performance share units that each named executive officer may earn under the Equity Plan, depending on his or her achievement of performance goals established by the management compensation committee and board of directors. For information about the performance share units actually earned by each named executive officer, see “Executive Compensation – 2012 Outstanding Equity Awards at Fiscal Year-End Table.”</w:t>
      </w:r>
    </w:p>
    <w:p>
      <w:pPr>
        <w:spacing w:after="0" w:line="60" w:lineRule="exact"/>
        <w:rPr>
          <w:rFonts w:ascii="Arial" w:cs="Arial" w:eastAsia="Arial" w:hAnsi="Arial"/>
          <w:sz w:val="18"/>
          <w:szCs w:val="18"/>
          <w:color w:val="auto"/>
        </w:rPr>
      </w:pPr>
    </w:p>
    <w:p>
      <w:pPr>
        <w:ind w:left="580" w:right="120" w:hanging="572"/>
        <w:spacing w:after="0" w:line="236"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grant date fair value of the full equity awards reported in the previous columns calculated pursuant to FASB ASC Topic 718 using a price of $22.50 derived from a Monte Carlo simulation and based upon the assumptions discussed in footnote 12 to the company’s audited financial statements for the fiscal year ended December 31, 2012 included in our Form 10-K. Assuming that the maximum performance level will be achieved or exceeded, the grant date fair value of the awards would be: Mr. Greifeld ($11,134,800), Mr. Shavel ($2,687,715), Ms. Ewing ($2,687,715), Mr. Jochumsen ($2,303,775) and Mr. Noll ($2,687,715).</w:t>
      </w:r>
    </w:p>
    <w:p>
      <w:pPr>
        <w:spacing w:after="0" w:line="61" w:lineRule="exact"/>
        <w:rPr>
          <w:rFonts w:ascii="Arial" w:cs="Arial" w:eastAsia="Arial" w:hAnsi="Arial"/>
          <w:sz w:val="18"/>
          <w:szCs w:val="18"/>
          <w:color w:val="auto"/>
        </w:rPr>
      </w:pPr>
    </w:p>
    <w:p>
      <w:pPr>
        <w:ind w:left="580" w:right="160" w:hanging="572"/>
        <w:spacing w:after="0" w:line="239"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the ECIP, the maximum award payable to any named executive officer for any plan year may not exceed the greater of $3 million or 3% of the company’s before-tax net income.</w:t>
      </w:r>
    </w:p>
    <w:p>
      <w:pPr>
        <w:spacing w:after="0" w:line="141"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62</w:t>
      </w:r>
    </w:p>
    <w:p>
      <w:pPr>
        <w:sectPr>
          <w:pgSz w:w="11900" w:h="16838" w:orient="portrait"/>
          <w:cols w:equalWidth="0" w:num="1">
            <w:col w:w="11440"/>
          </w:cols>
          <w:pgMar w:left="240" w:top="459" w:right="2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7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following table includes certain information with respect to the value of all outstanding equity awards held by each named executive officer as of December 31, 2012.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Outstanding Equity Awards at Fiscal Year-End Table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480" w:type="dxa"/>
            <w:vAlign w:val="bottom"/>
            <w:tcBorders>
              <w:left w:val="single" w:sz="8" w:color="BFBFBF"/>
              <w:right w:val="single" w:sz="8" w:color="BFBFBF"/>
            </w:tcBorders>
            <w:shd w:val="clear" w:color="auto" w:fill="0088A6"/>
          </w:tcPr>
          <w:p>
            <w:pPr>
              <w:spacing w:after="0"/>
              <w:rPr>
                <w:sz w:val="14"/>
                <w:szCs w:val="14"/>
                <w:color w:val="auto"/>
              </w:rPr>
            </w:pPr>
          </w:p>
        </w:tc>
        <w:tc>
          <w:tcPr>
            <w:tcW w:w="100" w:type="dxa"/>
            <w:vAlign w:val="bottom"/>
            <w:shd w:val="clear" w:color="auto" w:fill="0088A6"/>
          </w:tcPr>
          <w:p>
            <w:pPr>
              <w:spacing w:after="0"/>
              <w:rPr>
                <w:sz w:val="14"/>
                <w:szCs w:val="14"/>
                <w:color w:val="auto"/>
              </w:rPr>
            </w:pPr>
          </w:p>
        </w:tc>
        <w:tc>
          <w:tcPr>
            <w:tcW w:w="800" w:type="dxa"/>
            <w:vAlign w:val="bottom"/>
            <w:shd w:val="clear" w:color="auto" w:fill="0088A6"/>
          </w:tcPr>
          <w:p>
            <w:pPr>
              <w:spacing w:after="0"/>
              <w:rPr>
                <w:sz w:val="14"/>
                <w:szCs w:val="14"/>
                <w:color w:val="auto"/>
              </w:rPr>
            </w:pPr>
          </w:p>
        </w:tc>
        <w:tc>
          <w:tcPr>
            <w:tcW w:w="14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920" w:type="dxa"/>
            <w:vAlign w:val="bottom"/>
            <w:shd w:val="clear" w:color="auto" w:fill="0088A6"/>
          </w:tcPr>
          <w:p>
            <w:pPr>
              <w:spacing w:after="0"/>
              <w:rPr>
                <w:sz w:val="14"/>
                <w:szCs w:val="14"/>
                <w:color w:val="auto"/>
              </w:rPr>
            </w:pPr>
          </w:p>
        </w:tc>
        <w:tc>
          <w:tcPr>
            <w:tcW w:w="120" w:type="dxa"/>
            <w:vAlign w:val="bottom"/>
            <w:tcBorders>
              <w:right w:val="single" w:sz="8" w:color="BFBFBF"/>
            </w:tcBorders>
            <w:shd w:val="clear" w:color="auto" w:fill="0088A6"/>
          </w:tcPr>
          <w:p>
            <w:pPr>
              <w:spacing w:after="0"/>
              <w:rPr>
                <w:sz w:val="14"/>
                <w:szCs w:val="14"/>
                <w:color w:val="auto"/>
              </w:rPr>
            </w:pPr>
          </w:p>
        </w:tc>
        <w:tc>
          <w:tcPr>
            <w:tcW w:w="100" w:type="dxa"/>
            <w:vAlign w:val="bottom"/>
            <w:shd w:val="clear" w:color="auto" w:fill="0088A6"/>
          </w:tcPr>
          <w:p>
            <w:pPr>
              <w:spacing w:after="0"/>
              <w:rPr>
                <w:sz w:val="14"/>
                <w:szCs w:val="14"/>
                <w:color w:val="auto"/>
              </w:rPr>
            </w:pPr>
          </w:p>
        </w:tc>
        <w:tc>
          <w:tcPr>
            <w:tcW w:w="800" w:type="dxa"/>
            <w:vAlign w:val="bottom"/>
            <w:shd w:val="clear" w:color="auto" w:fill="0088A6"/>
          </w:tcPr>
          <w:p>
            <w:pPr>
              <w:spacing w:after="0"/>
              <w:rPr>
                <w:sz w:val="14"/>
                <w:szCs w:val="14"/>
                <w:color w:val="auto"/>
              </w:rPr>
            </w:pPr>
          </w:p>
        </w:tc>
        <w:tc>
          <w:tcPr>
            <w:tcW w:w="14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00" w:type="dxa"/>
            <w:vAlign w:val="bottom"/>
            <w:shd w:val="clear" w:color="auto" w:fill="0088A6"/>
          </w:tcPr>
          <w:p>
            <w:pPr>
              <w:spacing w:after="0"/>
              <w:rPr>
                <w:sz w:val="14"/>
                <w:szCs w:val="14"/>
                <w:color w:val="auto"/>
              </w:rPr>
            </w:pPr>
          </w:p>
        </w:tc>
        <w:tc>
          <w:tcPr>
            <w:tcW w:w="460" w:type="dxa"/>
            <w:vAlign w:val="bottom"/>
            <w:shd w:val="clear" w:color="auto" w:fill="0088A6"/>
          </w:tcPr>
          <w:p>
            <w:pPr>
              <w:spacing w:after="0"/>
              <w:rPr>
                <w:sz w:val="14"/>
                <w:szCs w:val="14"/>
                <w:color w:val="auto"/>
              </w:rPr>
            </w:pPr>
          </w:p>
        </w:tc>
        <w:tc>
          <w:tcPr>
            <w:tcW w:w="14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760" w:type="dxa"/>
            <w:vAlign w:val="bottom"/>
            <w:shd w:val="clear" w:color="auto" w:fill="0088A6"/>
          </w:tcPr>
          <w:p>
            <w:pPr>
              <w:spacing w:after="0"/>
              <w:rPr>
                <w:sz w:val="14"/>
                <w:szCs w:val="14"/>
                <w:color w:val="auto"/>
              </w:rPr>
            </w:pPr>
          </w:p>
        </w:tc>
        <w:tc>
          <w:tcPr>
            <w:tcW w:w="120" w:type="dxa"/>
            <w:vAlign w:val="bottom"/>
            <w:tcBorders>
              <w:right w:val="single" w:sz="8" w:color="BFBFBF"/>
            </w:tcBorders>
            <w:shd w:val="clear" w:color="auto" w:fill="0088A6"/>
          </w:tcPr>
          <w:p>
            <w:pPr>
              <w:spacing w:after="0"/>
              <w:rPr>
                <w:sz w:val="14"/>
                <w:szCs w:val="14"/>
                <w:color w:val="auto"/>
              </w:rPr>
            </w:pPr>
          </w:p>
        </w:tc>
        <w:tc>
          <w:tcPr>
            <w:tcW w:w="100" w:type="dxa"/>
            <w:vAlign w:val="bottom"/>
            <w:shd w:val="clear" w:color="auto" w:fill="0088A6"/>
          </w:tcPr>
          <w:p>
            <w:pPr>
              <w:spacing w:after="0"/>
              <w:rPr>
                <w:sz w:val="14"/>
                <w:szCs w:val="14"/>
                <w:color w:val="auto"/>
              </w:rPr>
            </w:pPr>
          </w:p>
        </w:tc>
        <w:tc>
          <w:tcPr>
            <w:tcW w:w="720" w:type="dxa"/>
            <w:vAlign w:val="bottom"/>
            <w:shd w:val="clear" w:color="auto" w:fill="0088A6"/>
          </w:tcPr>
          <w:p>
            <w:pPr>
              <w:spacing w:after="0"/>
              <w:rPr>
                <w:sz w:val="14"/>
                <w:szCs w:val="14"/>
                <w:color w:val="auto"/>
              </w:rPr>
            </w:pPr>
          </w:p>
        </w:tc>
        <w:tc>
          <w:tcPr>
            <w:tcW w:w="14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760" w:type="dxa"/>
            <w:vAlign w:val="bottom"/>
            <w:shd w:val="clear" w:color="auto" w:fill="0088A6"/>
          </w:tcPr>
          <w:p>
            <w:pPr>
              <w:spacing w:after="0"/>
              <w:rPr>
                <w:sz w:val="14"/>
                <w:szCs w:val="14"/>
                <w:color w:val="auto"/>
              </w:rPr>
            </w:pPr>
          </w:p>
        </w:tc>
        <w:tc>
          <w:tcPr>
            <w:tcW w:w="120" w:type="dxa"/>
            <w:vAlign w:val="bottom"/>
            <w:tcBorders>
              <w:right w:val="single" w:sz="8" w:color="BFBFBF"/>
            </w:tcBorders>
            <w:shd w:val="clear" w:color="auto" w:fill="0088A6"/>
          </w:tcPr>
          <w:p>
            <w:pPr>
              <w:spacing w:after="0"/>
              <w:rPr>
                <w:sz w:val="14"/>
                <w:szCs w:val="14"/>
                <w:color w:val="auto"/>
              </w:rPr>
            </w:pPr>
          </w:p>
        </w:tc>
        <w:tc>
          <w:tcPr>
            <w:tcW w:w="100" w:type="dxa"/>
            <w:vAlign w:val="bottom"/>
            <w:shd w:val="clear" w:color="auto" w:fill="0088A6"/>
          </w:tcPr>
          <w:p>
            <w:pPr>
              <w:spacing w:after="0"/>
              <w:rPr>
                <w:sz w:val="14"/>
                <w:szCs w:val="14"/>
                <w:color w:val="auto"/>
              </w:rPr>
            </w:pPr>
          </w:p>
        </w:tc>
        <w:tc>
          <w:tcPr>
            <w:tcW w:w="860" w:type="dxa"/>
            <w:vAlign w:val="bottom"/>
            <w:tcBorders>
              <w:right w:val="single" w:sz="8" w:color="BFBFBF"/>
            </w:tcBorders>
            <w:gridSpan w:val="2"/>
            <w:shd w:val="clear" w:color="auto" w:fill="0088A6"/>
          </w:tcPr>
          <w:p>
            <w:pPr>
              <w:jc w:val="center"/>
              <w:ind w:right="140"/>
              <w:spacing w:after="0"/>
              <w:rPr>
                <w:sz w:val="20"/>
                <w:szCs w:val="20"/>
                <w:color w:val="auto"/>
              </w:rPr>
            </w:pPr>
            <w:r>
              <w:rPr>
                <w:rFonts w:ascii="Arial" w:cs="Arial" w:eastAsia="Arial" w:hAnsi="Arial"/>
                <w:sz w:val="14"/>
                <w:szCs w:val="14"/>
                <w:b w:val="1"/>
                <w:bCs w:val="1"/>
                <w:color w:val="FFFFFF"/>
                <w:w w:val="93"/>
              </w:rPr>
              <w:t>Equity</w:t>
            </w:r>
          </w:p>
        </w:tc>
        <w:tc>
          <w:tcPr>
            <w:tcW w:w="80" w:type="dxa"/>
            <w:vAlign w:val="bottom"/>
            <w:shd w:val="clear" w:color="auto" w:fill="0088A6"/>
          </w:tcPr>
          <w:p>
            <w:pPr>
              <w:spacing w:after="0"/>
              <w:rPr>
                <w:sz w:val="14"/>
                <w:szCs w:val="14"/>
                <w:color w:val="auto"/>
              </w:rPr>
            </w:pPr>
          </w:p>
        </w:tc>
        <w:tc>
          <w:tcPr>
            <w:tcW w:w="860" w:type="dxa"/>
            <w:vAlign w:val="bottom"/>
            <w:shd w:val="clear" w:color="auto" w:fill="0088A6"/>
          </w:tcPr>
          <w:p>
            <w:pPr>
              <w:spacing w:after="0"/>
              <w:rPr>
                <w:sz w:val="14"/>
                <w:szCs w:val="14"/>
                <w:color w:val="auto"/>
              </w:rPr>
            </w:pPr>
          </w:p>
        </w:tc>
        <w:tc>
          <w:tcPr>
            <w:tcW w:w="200" w:type="dxa"/>
            <w:vAlign w:val="bottom"/>
            <w:tcBorders>
              <w:right w:val="single" w:sz="8" w:color="BFBFBF"/>
            </w:tcBorders>
            <w:shd w:val="clear" w:color="auto" w:fill="0088A6"/>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2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46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8"/>
              </w:rPr>
              <w:t>Incentive</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00"/>
              <w:spacing w:after="0" w:line="149" w:lineRule="exact"/>
              <w:rPr>
                <w:sz w:val="20"/>
                <w:szCs w:val="20"/>
                <w:color w:val="auto"/>
              </w:rPr>
            </w:pPr>
            <w:r>
              <w:rPr>
                <w:rFonts w:ascii="Arial" w:cs="Arial" w:eastAsia="Arial" w:hAnsi="Arial"/>
                <w:sz w:val="14"/>
                <w:szCs w:val="14"/>
                <w:b w:val="1"/>
                <w:bCs w:val="1"/>
                <w:color w:val="FFFFFF"/>
                <w:w w:val="98"/>
              </w:rPr>
              <w:t>Equity</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2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46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4"/>
              </w:rPr>
              <w:t>Plan</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00"/>
              <w:spacing w:after="0" w:line="149" w:lineRule="exact"/>
              <w:rPr>
                <w:sz w:val="20"/>
                <w:szCs w:val="20"/>
                <w:color w:val="auto"/>
              </w:rPr>
            </w:pPr>
            <w:r>
              <w:rPr>
                <w:rFonts w:ascii="Arial" w:cs="Arial" w:eastAsia="Arial" w:hAnsi="Arial"/>
                <w:sz w:val="14"/>
                <w:szCs w:val="14"/>
                <w:b w:val="1"/>
                <w:bCs w:val="1"/>
                <w:color w:val="FFFFFF"/>
                <w:w w:val="95"/>
              </w:rPr>
              <w:t>Incentive</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2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3"/>
              </w:rPr>
              <w:t>Equity</w:t>
            </w:r>
          </w:p>
        </w:tc>
        <w:tc>
          <w:tcPr>
            <w:tcW w:w="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46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4"/>
              </w:rPr>
              <w:t>Awards:</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20"/>
              <w:spacing w:after="0" w:line="149" w:lineRule="exact"/>
              <w:rPr>
                <w:sz w:val="20"/>
                <w:szCs w:val="20"/>
                <w:color w:val="auto"/>
              </w:rPr>
            </w:pPr>
            <w:r>
              <w:rPr>
                <w:rFonts w:ascii="Arial" w:cs="Arial" w:eastAsia="Arial" w:hAnsi="Arial"/>
                <w:sz w:val="14"/>
                <w:szCs w:val="14"/>
                <w:b w:val="1"/>
                <w:bCs w:val="1"/>
                <w:color w:val="FFFFFF"/>
                <w:w w:val="94"/>
              </w:rPr>
              <w:t>Plan Awards:</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2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8"/>
              </w:rPr>
              <w:t>Incentive</w:t>
            </w:r>
          </w:p>
        </w:tc>
        <w:tc>
          <w:tcPr>
            <w:tcW w:w="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46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7"/>
              </w:rPr>
              <w:t>Number of</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20"/>
              <w:spacing w:after="0" w:line="149" w:lineRule="exact"/>
              <w:rPr>
                <w:sz w:val="20"/>
                <w:szCs w:val="20"/>
                <w:color w:val="auto"/>
              </w:rPr>
            </w:pPr>
            <w:r>
              <w:rPr>
                <w:rFonts w:ascii="Arial" w:cs="Arial" w:eastAsia="Arial" w:hAnsi="Arial"/>
                <w:sz w:val="14"/>
                <w:szCs w:val="14"/>
                <w:b w:val="1"/>
                <w:bCs w:val="1"/>
                <w:color w:val="FFFFFF"/>
                <w:w w:val="95"/>
              </w:rPr>
              <w:t>Market or</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2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4"/>
              </w:rPr>
              <w:t>Plan</w:t>
            </w:r>
          </w:p>
        </w:tc>
        <w:tc>
          <w:tcPr>
            <w:tcW w:w="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46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9"/>
              </w:rPr>
              <w:t>Unearned</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20"/>
              <w:spacing w:after="0" w:line="149" w:lineRule="exact"/>
              <w:rPr>
                <w:sz w:val="20"/>
                <w:szCs w:val="20"/>
                <w:color w:val="auto"/>
              </w:rPr>
            </w:pPr>
            <w:r>
              <w:rPr>
                <w:rFonts w:ascii="Arial" w:cs="Arial" w:eastAsia="Arial" w:hAnsi="Arial"/>
                <w:sz w:val="14"/>
                <w:szCs w:val="14"/>
                <w:b w:val="1"/>
                <w:bCs w:val="1"/>
                <w:color w:val="FFFFFF"/>
                <w:w w:val="95"/>
              </w:rPr>
              <w:t>Payout Value</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2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4"/>
              </w:rPr>
              <w:t>Awards:</w:t>
            </w:r>
          </w:p>
        </w:tc>
        <w:tc>
          <w:tcPr>
            <w:tcW w:w="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46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7"/>
              </w:rPr>
              <w:t>Number of</w:t>
            </w:r>
          </w:p>
        </w:tc>
        <w:tc>
          <w:tcPr>
            <w:tcW w:w="80" w:type="dxa"/>
            <w:vAlign w:val="bottom"/>
            <w:shd w:val="clear" w:color="auto" w:fill="0088A6"/>
          </w:tcPr>
          <w:p>
            <w:pPr>
              <w:spacing w:after="0"/>
              <w:rPr>
                <w:sz w:val="12"/>
                <w:szCs w:val="12"/>
                <w:color w:val="auto"/>
              </w:rPr>
            </w:pPr>
          </w:p>
        </w:tc>
        <w:tc>
          <w:tcPr>
            <w:tcW w:w="88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7"/>
              </w:rPr>
              <w:t>Market</w:t>
            </w: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4"/>
              </w:rPr>
              <w:t>Shares,</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00"/>
              <w:spacing w:after="0" w:line="149" w:lineRule="exact"/>
              <w:rPr>
                <w:sz w:val="20"/>
                <w:szCs w:val="20"/>
                <w:color w:val="auto"/>
              </w:rPr>
            </w:pPr>
            <w:r>
              <w:rPr>
                <w:rFonts w:ascii="Arial" w:cs="Arial" w:eastAsia="Arial" w:hAnsi="Arial"/>
                <w:sz w:val="14"/>
                <w:szCs w:val="14"/>
                <w:b w:val="1"/>
                <w:bCs w:val="1"/>
                <w:color w:val="FFFFFF"/>
                <w:w w:val="95"/>
              </w:rPr>
              <w:t>of Unearned</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7"/>
              </w:rPr>
              <w:t>Number of</w:t>
            </w:r>
          </w:p>
        </w:tc>
        <w:tc>
          <w:tcPr>
            <w:tcW w:w="80" w:type="dxa"/>
            <w:vAlign w:val="bottom"/>
            <w:shd w:val="clear" w:color="auto" w:fill="0088A6"/>
          </w:tcPr>
          <w:p>
            <w:pPr>
              <w:spacing w:after="0"/>
              <w:rPr>
                <w:sz w:val="12"/>
                <w:szCs w:val="12"/>
                <w:color w:val="auto"/>
              </w:rPr>
            </w:pPr>
          </w:p>
        </w:tc>
        <w:tc>
          <w:tcPr>
            <w:tcW w:w="104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7"/>
              </w:rPr>
              <w:t>Number of</w:t>
            </w: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7"/>
              </w:rPr>
              <w:t>Number of</w:t>
            </w:r>
          </w:p>
        </w:tc>
        <w:tc>
          <w:tcPr>
            <w:tcW w:w="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46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5"/>
              </w:rPr>
              <w:t>Shares or</w:t>
            </w:r>
          </w:p>
        </w:tc>
        <w:tc>
          <w:tcPr>
            <w:tcW w:w="80" w:type="dxa"/>
            <w:vAlign w:val="bottom"/>
            <w:shd w:val="clear" w:color="auto" w:fill="0088A6"/>
          </w:tcPr>
          <w:p>
            <w:pPr>
              <w:spacing w:after="0"/>
              <w:rPr>
                <w:sz w:val="12"/>
                <w:szCs w:val="12"/>
                <w:color w:val="auto"/>
              </w:rPr>
            </w:pPr>
          </w:p>
        </w:tc>
        <w:tc>
          <w:tcPr>
            <w:tcW w:w="88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5"/>
              </w:rPr>
              <w:t>Value of</w:t>
            </w: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1"/>
              </w:rPr>
              <w:t>Units</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20"/>
              <w:spacing w:after="0" w:line="149" w:lineRule="exact"/>
              <w:rPr>
                <w:sz w:val="20"/>
                <w:szCs w:val="20"/>
                <w:color w:val="auto"/>
              </w:rPr>
            </w:pPr>
            <w:r>
              <w:rPr>
                <w:rFonts w:ascii="Arial" w:cs="Arial" w:eastAsia="Arial" w:hAnsi="Arial"/>
                <w:sz w:val="14"/>
                <w:szCs w:val="14"/>
                <w:b w:val="1"/>
                <w:bCs w:val="1"/>
                <w:color w:val="FFFFFF"/>
                <w:w w:val="94"/>
              </w:rPr>
              <w:t>Shares,</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5"/>
              </w:rPr>
              <w:t>Securities</w:t>
            </w:r>
          </w:p>
        </w:tc>
        <w:tc>
          <w:tcPr>
            <w:tcW w:w="80" w:type="dxa"/>
            <w:vAlign w:val="bottom"/>
            <w:shd w:val="clear" w:color="auto" w:fill="0088A6"/>
          </w:tcPr>
          <w:p>
            <w:pPr>
              <w:spacing w:after="0"/>
              <w:rPr>
                <w:sz w:val="12"/>
                <w:szCs w:val="12"/>
                <w:color w:val="auto"/>
              </w:rPr>
            </w:pPr>
          </w:p>
        </w:tc>
        <w:tc>
          <w:tcPr>
            <w:tcW w:w="104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5"/>
              </w:rPr>
              <w:t>Securities</w:t>
            </w: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5"/>
              </w:rPr>
              <w:t>Securities</w:t>
            </w:r>
          </w:p>
        </w:tc>
        <w:tc>
          <w:tcPr>
            <w:tcW w:w="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46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5"/>
              </w:rPr>
              <w:t>Units of</w:t>
            </w:r>
          </w:p>
        </w:tc>
        <w:tc>
          <w:tcPr>
            <w:tcW w:w="80" w:type="dxa"/>
            <w:vAlign w:val="bottom"/>
            <w:shd w:val="clear" w:color="auto" w:fill="0088A6"/>
          </w:tcPr>
          <w:p>
            <w:pPr>
              <w:spacing w:after="0"/>
              <w:rPr>
                <w:sz w:val="12"/>
                <w:szCs w:val="12"/>
                <w:color w:val="auto"/>
              </w:rPr>
            </w:pPr>
          </w:p>
        </w:tc>
        <w:tc>
          <w:tcPr>
            <w:tcW w:w="88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9"/>
              </w:rPr>
              <w:t>Shares or</w:t>
            </w: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4"/>
              </w:rPr>
              <w:t>or Other</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00"/>
              <w:spacing w:after="0" w:line="149" w:lineRule="exact"/>
              <w:rPr>
                <w:sz w:val="20"/>
                <w:szCs w:val="20"/>
                <w:color w:val="auto"/>
              </w:rPr>
            </w:pPr>
            <w:r>
              <w:rPr>
                <w:rFonts w:ascii="Arial" w:cs="Arial" w:eastAsia="Arial" w:hAnsi="Arial"/>
                <w:sz w:val="14"/>
                <w:szCs w:val="14"/>
                <w:b w:val="1"/>
                <w:bCs w:val="1"/>
                <w:color w:val="FFFFFF"/>
                <w:w w:val="97"/>
              </w:rPr>
              <w:t>Units</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8"/>
              </w:rPr>
              <w:t>Underlying</w:t>
            </w:r>
          </w:p>
        </w:tc>
        <w:tc>
          <w:tcPr>
            <w:tcW w:w="80" w:type="dxa"/>
            <w:vAlign w:val="bottom"/>
            <w:shd w:val="clear" w:color="auto" w:fill="0088A6"/>
          </w:tcPr>
          <w:p>
            <w:pPr>
              <w:spacing w:after="0"/>
              <w:rPr>
                <w:sz w:val="12"/>
                <w:szCs w:val="12"/>
                <w:color w:val="auto"/>
              </w:rPr>
            </w:pPr>
          </w:p>
        </w:tc>
        <w:tc>
          <w:tcPr>
            <w:tcW w:w="104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8"/>
              </w:rPr>
              <w:t>Underlying</w:t>
            </w: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8"/>
              </w:rPr>
              <w:t>Underlying</w:t>
            </w:r>
          </w:p>
        </w:tc>
        <w:tc>
          <w:tcPr>
            <w:tcW w:w="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460" w:type="dxa"/>
            <w:vAlign w:val="bottom"/>
            <w:shd w:val="clear" w:color="auto" w:fill="0088A6"/>
          </w:tcPr>
          <w:p>
            <w:pPr>
              <w:spacing w:after="0"/>
              <w:rPr>
                <w:sz w:val="12"/>
                <w:szCs w:val="12"/>
                <w:color w:val="auto"/>
              </w:rPr>
            </w:pP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4"/>
              </w:rPr>
              <w:t>Stock</w:t>
            </w:r>
          </w:p>
        </w:tc>
        <w:tc>
          <w:tcPr>
            <w:tcW w:w="80" w:type="dxa"/>
            <w:vAlign w:val="bottom"/>
            <w:shd w:val="clear" w:color="auto" w:fill="0088A6"/>
          </w:tcPr>
          <w:p>
            <w:pPr>
              <w:spacing w:after="0"/>
              <w:rPr>
                <w:sz w:val="12"/>
                <w:szCs w:val="12"/>
                <w:color w:val="auto"/>
              </w:rPr>
            </w:pPr>
          </w:p>
        </w:tc>
        <w:tc>
          <w:tcPr>
            <w:tcW w:w="88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9"/>
              </w:rPr>
              <w:t>Units of</w:t>
            </w: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60"/>
              <w:spacing w:after="0" w:line="149" w:lineRule="exact"/>
              <w:rPr>
                <w:sz w:val="20"/>
                <w:szCs w:val="20"/>
                <w:color w:val="auto"/>
              </w:rPr>
            </w:pPr>
            <w:r>
              <w:rPr>
                <w:rFonts w:ascii="Arial" w:cs="Arial" w:eastAsia="Arial" w:hAnsi="Arial"/>
                <w:sz w:val="14"/>
                <w:szCs w:val="14"/>
                <w:b w:val="1"/>
                <w:bCs w:val="1"/>
                <w:color w:val="FFFFFF"/>
                <w:w w:val="96"/>
              </w:rPr>
              <w:t>Rights</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00"/>
              <w:spacing w:after="0" w:line="149" w:lineRule="exact"/>
              <w:rPr>
                <w:sz w:val="20"/>
                <w:szCs w:val="20"/>
                <w:color w:val="auto"/>
              </w:rPr>
            </w:pPr>
            <w:r>
              <w:rPr>
                <w:rFonts w:ascii="Arial" w:cs="Arial" w:eastAsia="Arial" w:hAnsi="Arial"/>
                <w:sz w:val="14"/>
                <w:szCs w:val="14"/>
                <w:b w:val="1"/>
                <w:bCs w:val="1"/>
                <w:color w:val="FFFFFF"/>
                <w:w w:val="97"/>
              </w:rPr>
              <w:t>or Other</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6"/>
              </w:rPr>
              <w:t>Unexercised</w:t>
            </w:r>
          </w:p>
        </w:tc>
        <w:tc>
          <w:tcPr>
            <w:tcW w:w="80" w:type="dxa"/>
            <w:vAlign w:val="bottom"/>
            <w:shd w:val="clear" w:color="auto" w:fill="0088A6"/>
          </w:tcPr>
          <w:p>
            <w:pPr>
              <w:spacing w:after="0"/>
              <w:rPr>
                <w:sz w:val="12"/>
                <w:szCs w:val="12"/>
                <w:color w:val="auto"/>
              </w:rPr>
            </w:pPr>
          </w:p>
        </w:tc>
        <w:tc>
          <w:tcPr>
            <w:tcW w:w="104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6"/>
              </w:rPr>
              <w:t>Unexercised</w:t>
            </w: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right"/>
              <w:ind w:right="140"/>
              <w:spacing w:after="0" w:line="149" w:lineRule="exact"/>
              <w:rPr>
                <w:sz w:val="20"/>
                <w:szCs w:val="20"/>
                <w:color w:val="auto"/>
              </w:rPr>
            </w:pPr>
            <w:r>
              <w:rPr>
                <w:rFonts w:ascii="Arial" w:cs="Arial" w:eastAsia="Arial" w:hAnsi="Arial"/>
                <w:sz w:val="14"/>
                <w:szCs w:val="14"/>
                <w:b w:val="1"/>
                <w:bCs w:val="1"/>
                <w:color w:val="FFFFFF"/>
                <w:w w:val="93"/>
              </w:rPr>
              <w:t>Unexercised</w:t>
            </w:r>
          </w:p>
        </w:tc>
        <w:tc>
          <w:tcPr>
            <w:tcW w:w="80" w:type="dxa"/>
            <w:vAlign w:val="bottom"/>
            <w:shd w:val="clear" w:color="auto" w:fill="0088A6"/>
          </w:tcPr>
          <w:p>
            <w:pPr>
              <w:spacing w:after="0"/>
              <w:rPr>
                <w:sz w:val="12"/>
                <w:szCs w:val="12"/>
                <w:color w:val="auto"/>
              </w:rPr>
            </w:pPr>
          </w:p>
        </w:tc>
        <w:tc>
          <w:tcPr>
            <w:tcW w:w="700" w:type="dxa"/>
            <w:vAlign w:val="bottom"/>
            <w:tcBorders>
              <w:right w:val="single" w:sz="8" w:color="BFBFBF"/>
            </w:tcBorders>
            <w:gridSpan w:val="3"/>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7"/>
              </w:rPr>
              <w:t>Option</w:t>
            </w:r>
          </w:p>
        </w:tc>
        <w:tc>
          <w:tcPr>
            <w:tcW w:w="80" w:type="dxa"/>
            <w:vAlign w:val="bottom"/>
            <w:shd w:val="clear" w:color="auto" w:fill="0088A6"/>
          </w:tcPr>
          <w:p>
            <w:pPr>
              <w:spacing w:after="0"/>
              <w:rPr>
                <w:sz w:val="12"/>
                <w:szCs w:val="12"/>
                <w:color w:val="auto"/>
              </w:rPr>
            </w:pPr>
          </w:p>
        </w:tc>
        <w:tc>
          <w:tcPr>
            <w:tcW w:w="760" w:type="dxa"/>
            <w:vAlign w:val="bottom"/>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5"/>
              </w:rPr>
              <w:t>That Have</w:t>
            </w:r>
          </w:p>
        </w:tc>
        <w:tc>
          <w:tcPr>
            <w:tcW w:w="80" w:type="dxa"/>
            <w:vAlign w:val="bottom"/>
            <w:shd w:val="clear" w:color="auto" w:fill="0088A6"/>
          </w:tcPr>
          <w:p>
            <w:pPr>
              <w:spacing w:after="0"/>
              <w:rPr>
                <w:sz w:val="12"/>
                <w:szCs w:val="12"/>
                <w:color w:val="auto"/>
              </w:rPr>
            </w:pPr>
          </w:p>
        </w:tc>
        <w:tc>
          <w:tcPr>
            <w:tcW w:w="88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4"/>
              </w:rPr>
              <w:t>Stock</w:t>
            </w: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5"/>
              </w:rPr>
              <w:t>That Have</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00"/>
              <w:spacing w:after="0" w:line="149" w:lineRule="exact"/>
              <w:rPr>
                <w:sz w:val="20"/>
                <w:szCs w:val="20"/>
                <w:color w:val="auto"/>
              </w:rPr>
            </w:pPr>
            <w:r>
              <w:rPr>
                <w:rFonts w:ascii="Arial" w:cs="Arial" w:eastAsia="Arial" w:hAnsi="Arial"/>
                <w:sz w:val="14"/>
                <w:szCs w:val="14"/>
                <w:b w:val="1"/>
                <w:bCs w:val="1"/>
                <w:color w:val="FFFFFF"/>
                <w:w w:val="96"/>
              </w:rPr>
              <w:t>Rights That</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8"/>
              </w:rPr>
              <w:t>Options</w:t>
            </w:r>
          </w:p>
        </w:tc>
        <w:tc>
          <w:tcPr>
            <w:tcW w:w="80" w:type="dxa"/>
            <w:vAlign w:val="bottom"/>
            <w:shd w:val="clear" w:color="auto" w:fill="0088A6"/>
          </w:tcPr>
          <w:p>
            <w:pPr>
              <w:spacing w:after="0"/>
              <w:rPr>
                <w:sz w:val="12"/>
                <w:szCs w:val="12"/>
                <w:color w:val="auto"/>
              </w:rPr>
            </w:pPr>
          </w:p>
        </w:tc>
        <w:tc>
          <w:tcPr>
            <w:tcW w:w="104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8"/>
              </w:rPr>
              <w:t>Options</w:t>
            </w: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9"/>
              </w:rPr>
              <w:t>Unearned</w:t>
            </w:r>
          </w:p>
        </w:tc>
        <w:tc>
          <w:tcPr>
            <w:tcW w:w="80" w:type="dxa"/>
            <w:vAlign w:val="bottom"/>
            <w:shd w:val="clear" w:color="auto" w:fill="0088A6"/>
          </w:tcPr>
          <w:p>
            <w:pPr>
              <w:spacing w:after="0"/>
              <w:rPr>
                <w:sz w:val="12"/>
                <w:szCs w:val="12"/>
                <w:color w:val="auto"/>
              </w:rPr>
            </w:pPr>
          </w:p>
        </w:tc>
        <w:tc>
          <w:tcPr>
            <w:tcW w:w="700" w:type="dxa"/>
            <w:vAlign w:val="bottom"/>
            <w:tcBorders>
              <w:right w:val="single" w:sz="8" w:color="BFBFBF"/>
            </w:tcBorders>
            <w:gridSpan w:val="3"/>
            <w:shd w:val="clear" w:color="auto" w:fill="0088A6"/>
          </w:tcPr>
          <w:p>
            <w:pPr>
              <w:spacing w:after="0" w:line="149" w:lineRule="exact"/>
              <w:rPr>
                <w:sz w:val="20"/>
                <w:szCs w:val="20"/>
                <w:color w:val="auto"/>
              </w:rPr>
            </w:pPr>
            <w:r>
              <w:rPr>
                <w:rFonts w:ascii="Arial" w:cs="Arial" w:eastAsia="Arial" w:hAnsi="Arial"/>
                <w:sz w:val="14"/>
                <w:szCs w:val="14"/>
                <w:b w:val="1"/>
                <w:bCs w:val="1"/>
                <w:color w:val="FFFFFF"/>
              </w:rPr>
              <w:t>Exercise</w:t>
            </w:r>
          </w:p>
        </w:tc>
        <w:tc>
          <w:tcPr>
            <w:tcW w:w="80" w:type="dxa"/>
            <w:vAlign w:val="bottom"/>
            <w:shd w:val="clear" w:color="auto" w:fill="0088A6"/>
          </w:tcPr>
          <w:p>
            <w:pPr>
              <w:spacing w:after="0"/>
              <w:rPr>
                <w:sz w:val="12"/>
                <w:szCs w:val="12"/>
                <w:color w:val="auto"/>
              </w:rPr>
            </w:pPr>
          </w:p>
        </w:tc>
        <w:tc>
          <w:tcPr>
            <w:tcW w:w="88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7"/>
              </w:rPr>
              <w:t>Option</w:t>
            </w: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rPr>
              <w:t>Not</w:t>
            </w:r>
          </w:p>
        </w:tc>
        <w:tc>
          <w:tcPr>
            <w:tcW w:w="80" w:type="dxa"/>
            <w:vAlign w:val="bottom"/>
            <w:shd w:val="clear" w:color="auto" w:fill="0088A6"/>
          </w:tcPr>
          <w:p>
            <w:pPr>
              <w:spacing w:after="0"/>
              <w:rPr>
                <w:sz w:val="12"/>
                <w:szCs w:val="12"/>
                <w:color w:val="auto"/>
              </w:rPr>
            </w:pPr>
          </w:p>
        </w:tc>
        <w:tc>
          <w:tcPr>
            <w:tcW w:w="88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5"/>
              </w:rPr>
              <w:t>That Have</w:t>
            </w: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rPr>
              <w:t>Not</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00"/>
              <w:spacing w:after="0" w:line="149" w:lineRule="exact"/>
              <w:rPr>
                <w:sz w:val="20"/>
                <w:szCs w:val="20"/>
                <w:color w:val="auto"/>
              </w:rPr>
            </w:pPr>
            <w:r>
              <w:rPr>
                <w:rFonts w:ascii="Arial" w:cs="Arial" w:eastAsia="Arial" w:hAnsi="Arial"/>
                <w:sz w:val="14"/>
                <w:szCs w:val="14"/>
                <w:b w:val="1"/>
                <w:bCs w:val="1"/>
                <w:color w:val="FFFFFF"/>
                <w:w w:val="95"/>
              </w:rPr>
              <w:t>Have Not</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vMerge w:val="restart"/>
            <w:shd w:val="clear" w:color="auto" w:fill="0088A6"/>
          </w:tcPr>
          <w:p>
            <w:pPr>
              <w:ind w:left="1120"/>
              <w:spacing w:after="0"/>
              <w:rPr>
                <w:sz w:val="20"/>
                <w:szCs w:val="20"/>
                <w:color w:val="auto"/>
              </w:rPr>
            </w:pPr>
            <w:r>
              <w:rPr>
                <w:rFonts w:ascii="Arial" w:cs="Arial" w:eastAsia="Arial" w:hAnsi="Arial"/>
                <w:sz w:val="14"/>
                <w:szCs w:val="14"/>
                <w:b w:val="1"/>
                <w:bCs w:val="1"/>
                <w:color w:val="FFFFFF"/>
              </w:rPr>
              <w:t>Name</w:t>
            </w:r>
          </w:p>
        </w:tc>
        <w:tc>
          <w:tcPr>
            <w:tcW w:w="900" w:type="dxa"/>
            <w:vAlign w:val="bottom"/>
            <w:gridSpan w:val="2"/>
            <w:shd w:val="clear" w:color="auto" w:fill="0088A6"/>
          </w:tcPr>
          <w:p>
            <w:pPr>
              <w:jc w:val="center"/>
              <w:ind w:left="32"/>
              <w:spacing w:after="0" w:line="149" w:lineRule="exact"/>
              <w:rPr>
                <w:sz w:val="20"/>
                <w:szCs w:val="20"/>
                <w:color w:val="auto"/>
              </w:rPr>
            </w:pPr>
            <w:r>
              <w:rPr>
                <w:rFonts w:ascii="Arial" w:cs="Arial" w:eastAsia="Arial" w:hAnsi="Arial"/>
                <w:sz w:val="14"/>
                <w:szCs w:val="14"/>
                <w:b w:val="1"/>
                <w:bCs w:val="1"/>
                <w:color w:val="FFFFFF"/>
                <w:w w:val="93"/>
              </w:rPr>
              <w:t>(#)</w:t>
            </w:r>
          </w:p>
        </w:tc>
        <w:tc>
          <w:tcPr>
            <w:tcW w:w="14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920" w:type="dxa"/>
            <w:vAlign w:val="bottom"/>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3"/>
              </w:rPr>
              <w:t>(#)</w:t>
            </w:r>
          </w:p>
        </w:tc>
        <w:tc>
          <w:tcPr>
            <w:tcW w:w="12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94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8"/>
              </w:rPr>
              <w:t>Options</w:t>
            </w:r>
          </w:p>
        </w:tc>
        <w:tc>
          <w:tcPr>
            <w:tcW w:w="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600" w:type="dxa"/>
            <w:vAlign w:val="bottom"/>
            <w:tcBorders>
              <w:right w:val="single" w:sz="8" w:color="BFBFBF"/>
            </w:tcBorders>
            <w:gridSpan w:val="2"/>
            <w:shd w:val="clear" w:color="auto" w:fill="0088A6"/>
          </w:tcPr>
          <w:p>
            <w:pPr>
              <w:jc w:val="center"/>
              <w:ind w:right="220"/>
              <w:spacing w:after="0" w:line="149" w:lineRule="exact"/>
              <w:rPr>
                <w:sz w:val="20"/>
                <w:szCs w:val="20"/>
                <w:color w:val="auto"/>
              </w:rPr>
            </w:pPr>
            <w:r>
              <w:rPr>
                <w:rFonts w:ascii="Arial" w:cs="Arial" w:eastAsia="Arial" w:hAnsi="Arial"/>
                <w:sz w:val="14"/>
                <w:szCs w:val="14"/>
                <w:b w:val="1"/>
                <w:bCs w:val="1"/>
                <w:color w:val="FFFFFF"/>
                <w:w w:val="99"/>
              </w:rPr>
              <w:t>Price</w:t>
            </w:r>
          </w:p>
        </w:tc>
        <w:tc>
          <w:tcPr>
            <w:tcW w:w="80" w:type="dxa"/>
            <w:vAlign w:val="bottom"/>
            <w:shd w:val="clear" w:color="auto" w:fill="0088A6"/>
          </w:tcPr>
          <w:p>
            <w:pPr>
              <w:spacing w:after="0"/>
              <w:rPr>
                <w:sz w:val="12"/>
                <w:szCs w:val="12"/>
                <w:color w:val="auto"/>
              </w:rPr>
            </w:pPr>
          </w:p>
        </w:tc>
        <w:tc>
          <w:tcPr>
            <w:tcW w:w="880" w:type="dxa"/>
            <w:vAlign w:val="bottom"/>
            <w:tcBorders>
              <w:right w:val="single" w:sz="8" w:color="BFBFBF"/>
            </w:tcBorders>
            <w:gridSpan w:val="2"/>
            <w:shd w:val="clear" w:color="auto" w:fill="0088A6"/>
          </w:tcPr>
          <w:p>
            <w:pPr>
              <w:jc w:val="center"/>
              <w:ind w:right="100"/>
              <w:spacing w:after="0" w:line="149" w:lineRule="exact"/>
              <w:rPr>
                <w:sz w:val="20"/>
                <w:szCs w:val="20"/>
                <w:color w:val="auto"/>
              </w:rPr>
            </w:pPr>
            <w:r>
              <w:rPr>
                <w:rFonts w:ascii="Arial" w:cs="Arial" w:eastAsia="Arial" w:hAnsi="Arial"/>
                <w:sz w:val="14"/>
                <w:szCs w:val="14"/>
                <w:b w:val="1"/>
                <w:bCs w:val="1"/>
                <w:color w:val="FFFFFF"/>
                <w:w w:val="96"/>
              </w:rPr>
              <w:t>Expiration</w:t>
            </w: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5"/>
              </w:rPr>
              <w:t>Vested</w:t>
            </w:r>
          </w:p>
        </w:tc>
        <w:tc>
          <w:tcPr>
            <w:tcW w:w="80" w:type="dxa"/>
            <w:vAlign w:val="bottom"/>
            <w:shd w:val="clear" w:color="auto" w:fill="0088A6"/>
          </w:tcPr>
          <w:p>
            <w:pPr>
              <w:spacing w:after="0"/>
              <w:rPr>
                <w:sz w:val="12"/>
                <w:szCs w:val="12"/>
                <w:color w:val="auto"/>
              </w:rPr>
            </w:pPr>
          </w:p>
        </w:tc>
        <w:tc>
          <w:tcPr>
            <w:tcW w:w="880" w:type="dxa"/>
            <w:vAlign w:val="bottom"/>
            <w:tcBorders>
              <w:right w:val="single" w:sz="8" w:color="BFBFBF"/>
            </w:tcBorders>
            <w:gridSpan w:val="2"/>
            <w:shd w:val="clear" w:color="auto" w:fill="0088A6"/>
          </w:tcPr>
          <w:p>
            <w:pPr>
              <w:jc w:val="center"/>
              <w:ind w:right="120"/>
              <w:spacing w:after="0" w:line="149" w:lineRule="exact"/>
              <w:rPr>
                <w:sz w:val="20"/>
                <w:szCs w:val="20"/>
                <w:color w:val="auto"/>
              </w:rPr>
            </w:pPr>
            <w:r>
              <w:rPr>
                <w:rFonts w:ascii="Arial" w:cs="Arial" w:eastAsia="Arial" w:hAnsi="Arial"/>
                <w:sz w:val="14"/>
                <w:szCs w:val="14"/>
                <w:b w:val="1"/>
                <w:bCs w:val="1"/>
                <w:color w:val="FFFFFF"/>
                <w:w w:val="92"/>
              </w:rPr>
              <w:t>Not Vested</w:t>
            </w:r>
          </w:p>
        </w:tc>
        <w:tc>
          <w:tcPr>
            <w:tcW w:w="100" w:type="dxa"/>
            <w:vAlign w:val="bottom"/>
            <w:shd w:val="clear" w:color="auto" w:fill="0088A6"/>
          </w:tcPr>
          <w:p>
            <w:pPr>
              <w:spacing w:after="0"/>
              <w:rPr>
                <w:sz w:val="12"/>
                <w:szCs w:val="12"/>
                <w:color w:val="auto"/>
              </w:rPr>
            </w:pPr>
          </w:p>
        </w:tc>
        <w:tc>
          <w:tcPr>
            <w:tcW w:w="860" w:type="dxa"/>
            <w:vAlign w:val="bottom"/>
            <w:tcBorders>
              <w:right w:val="single" w:sz="8" w:color="BFBFBF"/>
            </w:tcBorders>
            <w:gridSpan w:val="2"/>
            <w:shd w:val="clear" w:color="auto" w:fill="0088A6"/>
          </w:tcPr>
          <w:p>
            <w:pPr>
              <w:jc w:val="center"/>
              <w:ind w:right="140"/>
              <w:spacing w:after="0" w:line="149" w:lineRule="exact"/>
              <w:rPr>
                <w:sz w:val="20"/>
                <w:szCs w:val="20"/>
                <w:color w:val="auto"/>
              </w:rPr>
            </w:pPr>
            <w:r>
              <w:rPr>
                <w:rFonts w:ascii="Arial" w:cs="Arial" w:eastAsia="Arial" w:hAnsi="Arial"/>
                <w:sz w:val="14"/>
                <w:szCs w:val="14"/>
                <w:b w:val="1"/>
                <w:bCs w:val="1"/>
                <w:color w:val="FFFFFF"/>
                <w:w w:val="95"/>
              </w:rPr>
              <w:t>Vested</w:t>
            </w:r>
          </w:p>
        </w:tc>
        <w:tc>
          <w:tcPr>
            <w:tcW w:w="80" w:type="dxa"/>
            <w:vAlign w:val="bottom"/>
            <w:shd w:val="clear" w:color="auto" w:fill="0088A6"/>
          </w:tcPr>
          <w:p>
            <w:pPr>
              <w:spacing w:after="0"/>
              <w:rPr>
                <w:sz w:val="12"/>
                <w:szCs w:val="12"/>
                <w:color w:val="auto"/>
              </w:rPr>
            </w:pPr>
          </w:p>
        </w:tc>
        <w:tc>
          <w:tcPr>
            <w:tcW w:w="1060" w:type="dxa"/>
            <w:vAlign w:val="bottom"/>
            <w:tcBorders>
              <w:right w:val="single" w:sz="8" w:color="BFBFBF"/>
            </w:tcBorders>
            <w:gridSpan w:val="2"/>
            <w:shd w:val="clear" w:color="auto" w:fill="0088A6"/>
          </w:tcPr>
          <w:p>
            <w:pPr>
              <w:jc w:val="center"/>
              <w:ind w:right="220"/>
              <w:spacing w:after="0" w:line="149" w:lineRule="exact"/>
              <w:rPr>
                <w:sz w:val="20"/>
                <w:szCs w:val="20"/>
                <w:color w:val="auto"/>
              </w:rPr>
            </w:pPr>
            <w:r>
              <w:rPr>
                <w:rFonts w:ascii="Arial" w:cs="Arial" w:eastAsia="Arial" w:hAnsi="Arial"/>
                <w:sz w:val="14"/>
                <w:szCs w:val="14"/>
                <w:b w:val="1"/>
                <w:bCs w:val="1"/>
                <w:color w:val="FFFFFF"/>
                <w:w w:val="95"/>
              </w:rPr>
              <w:t>Vested</w:t>
            </w:r>
          </w:p>
        </w:tc>
        <w:tc>
          <w:tcPr>
            <w:tcW w:w="0" w:type="dxa"/>
            <w:vAlign w:val="bottom"/>
          </w:tcPr>
          <w:p>
            <w:pPr>
              <w:spacing w:after="0"/>
              <w:rPr>
                <w:sz w:val="1"/>
                <w:szCs w:val="1"/>
                <w:color w:val="auto"/>
              </w:rPr>
            </w:pPr>
          </w:p>
        </w:tc>
      </w:tr>
      <w:tr>
        <w:trPr>
          <w:trHeight w:val="205"/>
        </w:trPr>
        <w:tc>
          <w:tcPr>
            <w:tcW w:w="2480" w:type="dxa"/>
            <w:vAlign w:val="bottom"/>
            <w:tcBorders>
              <w:left w:val="single" w:sz="8" w:color="BFBFBF"/>
              <w:bottom w:val="single" w:sz="8" w:color="auto"/>
              <w:right w:val="single" w:sz="8" w:color="BFBFBF"/>
            </w:tcBorders>
            <w:vMerge w:val="continue"/>
            <w:shd w:val="clear" w:color="auto" w:fill="0088A6"/>
          </w:tcPr>
          <w:p>
            <w:pPr>
              <w:spacing w:after="0"/>
              <w:rPr>
                <w:sz w:val="17"/>
                <w:szCs w:val="17"/>
                <w:color w:val="auto"/>
              </w:rPr>
            </w:pPr>
          </w:p>
        </w:tc>
        <w:tc>
          <w:tcPr>
            <w:tcW w:w="100" w:type="dxa"/>
            <w:vAlign w:val="bottom"/>
            <w:tcBorders>
              <w:bottom w:val="single" w:sz="8" w:color="0088A6"/>
            </w:tcBorders>
            <w:shd w:val="clear" w:color="auto" w:fill="0088A6"/>
          </w:tcPr>
          <w:p>
            <w:pPr>
              <w:spacing w:after="0"/>
              <w:rPr>
                <w:sz w:val="17"/>
                <w:szCs w:val="17"/>
                <w:color w:val="auto"/>
              </w:rPr>
            </w:pPr>
          </w:p>
        </w:tc>
        <w:tc>
          <w:tcPr>
            <w:tcW w:w="80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7"/>
              </w:rPr>
              <w:t>Exercisable</w:t>
            </w:r>
          </w:p>
        </w:tc>
        <w:tc>
          <w:tcPr>
            <w:tcW w:w="14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92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6"/>
              </w:rPr>
              <w:t>Unexercisable</w:t>
            </w:r>
          </w:p>
        </w:tc>
        <w:tc>
          <w:tcPr>
            <w:tcW w:w="120" w:type="dxa"/>
            <w:vAlign w:val="bottom"/>
            <w:tcBorders>
              <w:bottom w:val="single" w:sz="8" w:color="0088A6"/>
              <w:right w:val="single" w:sz="8" w:color="BFBFBF"/>
            </w:tcBorders>
            <w:shd w:val="clear" w:color="auto" w:fill="0088A6"/>
          </w:tcPr>
          <w:p>
            <w:pPr>
              <w:spacing w:after="0"/>
              <w:rPr>
                <w:sz w:val="17"/>
                <w:szCs w:val="17"/>
                <w:color w:val="auto"/>
              </w:rPr>
            </w:pPr>
          </w:p>
        </w:tc>
        <w:tc>
          <w:tcPr>
            <w:tcW w:w="100" w:type="dxa"/>
            <w:vAlign w:val="bottom"/>
            <w:tcBorders>
              <w:bottom w:val="single" w:sz="8" w:color="0088A6"/>
            </w:tcBorders>
            <w:shd w:val="clear" w:color="auto" w:fill="0088A6"/>
          </w:tcPr>
          <w:p>
            <w:pPr>
              <w:spacing w:after="0"/>
              <w:rPr>
                <w:sz w:val="17"/>
                <w:szCs w:val="17"/>
                <w:color w:val="auto"/>
              </w:rPr>
            </w:pPr>
          </w:p>
        </w:tc>
        <w:tc>
          <w:tcPr>
            <w:tcW w:w="80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3"/>
              </w:rPr>
              <w:t>(#)</w:t>
            </w:r>
          </w:p>
        </w:tc>
        <w:tc>
          <w:tcPr>
            <w:tcW w:w="14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100" w:type="dxa"/>
            <w:vAlign w:val="bottom"/>
            <w:tcBorders>
              <w:bottom w:val="single" w:sz="8" w:color="auto"/>
            </w:tcBorders>
            <w:shd w:val="clear" w:color="auto" w:fill="0088A6"/>
          </w:tcPr>
          <w:p>
            <w:pPr>
              <w:spacing w:after="0"/>
              <w:rPr>
                <w:sz w:val="17"/>
                <w:szCs w:val="17"/>
                <w:color w:val="auto"/>
              </w:rPr>
            </w:pPr>
          </w:p>
        </w:tc>
        <w:tc>
          <w:tcPr>
            <w:tcW w:w="460" w:type="dxa"/>
            <w:vAlign w:val="bottom"/>
            <w:tcBorders>
              <w:bottom w:val="single" w:sz="8" w:color="auto"/>
            </w:tcBorders>
            <w:shd w:val="clear" w:color="auto" w:fill="0088A6"/>
          </w:tcPr>
          <w:p>
            <w:pPr>
              <w:jc w:val="center"/>
              <w:ind w:right="32"/>
              <w:spacing w:after="0"/>
              <w:rPr>
                <w:sz w:val="20"/>
                <w:szCs w:val="20"/>
                <w:color w:val="auto"/>
              </w:rPr>
            </w:pPr>
            <w:r>
              <w:rPr>
                <w:rFonts w:ascii="Arial" w:cs="Arial" w:eastAsia="Arial" w:hAnsi="Arial"/>
                <w:sz w:val="14"/>
                <w:szCs w:val="14"/>
                <w:b w:val="1"/>
                <w:bCs w:val="1"/>
                <w:color w:val="FFFFFF"/>
                <w:w w:val="93"/>
              </w:rPr>
              <w:t>($)</w:t>
            </w:r>
          </w:p>
        </w:tc>
        <w:tc>
          <w:tcPr>
            <w:tcW w:w="14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76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2"/>
              </w:rPr>
              <w:t>Date</w:t>
            </w:r>
          </w:p>
        </w:tc>
        <w:tc>
          <w:tcPr>
            <w:tcW w:w="120" w:type="dxa"/>
            <w:vAlign w:val="bottom"/>
            <w:tcBorders>
              <w:bottom w:val="single" w:sz="8" w:color="0088A6"/>
              <w:right w:val="single" w:sz="8" w:color="BFBFBF"/>
            </w:tcBorders>
            <w:shd w:val="clear" w:color="auto" w:fill="0088A6"/>
          </w:tcPr>
          <w:p>
            <w:pPr>
              <w:spacing w:after="0"/>
              <w:rPr>
                <w:sz w:val="17"/>
                <w:szCs w:val="17"/>
                <w:color w:val="auto"/>
              </w:rPr>
            </w:pPr>
          </w:p>
        </w:tc>
        <w:tc>
          <w:tcPr>
            <w:tcW w:w="100" w:type="dxa"/>
            <w:vAlign w:val="bottom"/>
            <w:tcBorders>
              <w:bottom w:val="single" w:sz="8" w:color="0088A6"/>
            </w:tcBorders>
            <w:shd w:val="clear" w:color="auto" w:fill="0088A6"/>
          </w:tcPr>
          <w:p>
            <w:pPr>
              <w:spacing w:after="0"/>
              <w:rPr>
                <w:sz w:val="17"/>
                <w:szCs w:val="17"/>
                <w:color w:val="auto"/>
              </w:rPr>
            </w:pPr>
          </w:p>
        </w:tc>
        <w:tc>
          <w:tcPr>
            <w:tcW w:w="72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3"/>
              </w:rPr>
              <w:t>(#)</w:t>
            </w:r>
          </w:p>
        </w:tc>
        <w:tc>
          <w:tcPr>
            <w:tcW w:w="14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76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3"/>
              </w:rPr>
              <w:t>($)</w:t>
            </w:r>
          </w:p>
        </w:tc>
        <w:tc>
          <w:tcPr>
            <w:tcW w:w="120" w:type="dxa"/>
            <w:vAlign w:val="bottom"/>
            <w:tcBorders>
              <w:bottom w:val="single" w:sz="8" w:color="0088A6"/>
              <w:right w:val="single" w:sz="8" w:color="BFBFBF"/>
            </w:tcBorders>
            <w:shd w:val="clear" w:color="auto" w:fill="0088A6"/>
          </w:tcPr>
          <w:p>
            <w:pPr>
              <w:spacing w:after="0"/>
              <w:rPr>
                <w:sz w:val="17"/>
                <w:szCs w:val="17"/>
                <w:color w:val="auto"/>
              </w:rPr>
            </w:pPr>
          </w:p>
        </w:tc>
        <w:tc>
          <w:tcPr>
            <w:tcW w:w="100" w:type="dxa"/>
            <w:vAlign w:val="bottom"/>
            <w:tcBorders>
              <w:bottom w:val="single" w:sz="8" w:color="0088A6"/>
            </w:tcBorders>
            <w:shd w:val="clear" w:color="auto" w:fill="0088A6"/>
          </w:tcPr>
          <w:p>
            <w:pPr>
              <w:spacing w:after="0"/>
              <w:rPr>
                <w:sz w:val="17"/>
                <w:szCs w:val="17"/>
                <w:color w:val="auto"/>
              </w:rPr>
            </w:pPr>
          </w:p>
        </w:tc>
        <w:tc>
          <w:tcPr>
            <w:tcW w:w="72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3"/>
              </w:rPr>
              <w:t>(#)</w:t>
            </w:r>
          </w:p>
        </w:tc>
        <w:tc>
          <w:tcPr>
            <w:tcW w:w="14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86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3"/>
              </w:rPr>
              <w:t>($)</w:t>
            </w:r>
          </w:p>
        </w:tc>
        <w:tc>
          <w:tcPr>
            <w:tcW w:w="200" w:type="dxa"/>
            <w:vAlign w:val="bottom"/>
            <w:tcBorders>
              <w:bottom w:val="single" w:sz="8" w:color="0088A6"/>
              <w:right w:val="single" w:sz="8" w:color="BFBFBF"/>
            </w:tcBorders>
            <w:shd w:val="clear" w:color="auto" w:fill="0088A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480" w:type="dxa"/>
            <w:vAlign w:val="bottom"/>
            <w:tcBorders>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Robert Greifeld</w:t>
            </w:r>
          </w:p>
        </w:tc>
        <w:tc>
          <w:tcPr>
            <w:tcW w:w="1040" w:type="dxa"/>
            <w:vAlign w:val="bottom"/>
            <w:tcBorders>
              <w:bottom w:val="single" w:sz="8" w:color="BFBFBF"/>
              <w:right w:val="single" w:sz="8" w:color="BFBFBF"/>
            </w:tcBorders>
            <w:gridSpan w:val="3"/>
          </w:tcPr>
          <w:p>
            <w:pPr>
              <w:jc w:val="right"/>
              <w:ind w:right="140"/>
              <w:spacing w:after="0" w:line="129" w:lineRule="exact"/>
              <w:rPr>
                <w:sz w:val="20"/>
                <w:szCs w:val="20"/>
                <w:color w:val="auto"/>
              </w:rPr>
            </w:pPr>
            <w:r>
              <w:rPr>
                <w:rFonts w:ascii="Arial" w:cs="Arial" w:eastAsia="Arial" w:hAnsi="Arial"/>
                <w:sz w:val="14"/>
                <w:szCs w:val="14"/>
                <w:color w:val="auto"/>
              </w:rPr>
              <w:t>700,000</w:t>
            </w:r>
          </w:p>
        </w:tc>
        <w:tc>
          <w:tcPr>
            <w:tcW w:w="80" w:type="dxa"/>
            <w:vAlign w:val="bottom"/>
            <w:tcBorders>
              <w:bottom w:val="single" w:sz="8" w:color="BFBFBF"/>
            </w:tcBorders>
          </w:tcPr>
          <w:p>
            <w:pPr>
              <w:spacing w:after="0"/>
              <w:rPr>
                <w:sz w:val="11"/>
                <w:szCs w:val="11"/>
                <w:color w:val="auto"/>
              </w:rPr>
            </w:pPr>
          </w:p>
        </w:tc>
        <w:tc>
          <w:tcPr>
            <w:tcW w:w="1040" w:type="dxa"/>
            <w:vAlign w:val="bottom"/>
            <w:tcBorders>
              <w:bottom w:val="single" w:sz="8" w:color="BFBFBF"/>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1"/>
                <w:szCs w:val="11"/>
                <w:color w:val="auto"/>
              </w:rPr>
            </w:pPr>
          </w:p>
        </w:tc>
        <w:tc>
          <w:tcPr>
            <w:tcW w:w="94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1"/>
                <w:szCs w:val="11"/>
                <w:color w:val="auto"/>
              </w:rPr>
            </w:pPr>
          </w:p>
        </w:tc>
        <w:tc>
          <w:tcPr>
            <w:tcW w:w="100" w:type="dxa"/>
            <w:vAlign w:val="bottom"/>
            <w:tcBorders>
              <w:bottom w:val="single" w:sz="8" w:color="BFBFBF"/>
            </w:tcBorders>
          </w:tcPr>
          <w:p>
            <w:pPr>
              <w:spacing w:after="0"/>
              <w:rPr>
                <w:sz w:val="11"/>
                <w:szCs w:val="11"/>
                <w:color w:val="auto"/>
              </w:rPr>
            </w:pPr>
          </w:p>
        </w:tc>
        <w:tc>
          <w:tcPr>
            <w:tcW w:w="60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$6.30</w:t>
            </w:r>
          </w:p>
        </w:tc>
        <w:tc>
          <w:tcPr>
            <w:tcW w:w="80" w:type="dxa"/>
            <w:vAlign w:val="bottom"/>
            <w:tcBorders>
              <w:bottom w:val="single" w:sz="8" w:color="BFBFBF"/>
            </w:tcBorders>
          </w:tcPr>
          <w:p>
            <w:pPr>
              <w:spacing w:after="0"/>
              <w:rPr>
                <w:sz w:val="11"/>
                <w:szCs w:val="11"/>
                <w:color w:val="auto"/>
              </w:rPr>
            </w:pPr>
          </w:p>
        </w:tc>
        <w:tc>
          <w:tcPr>
            <w:tcW w:w="76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06/11/2013</w:t>
            </w:r>
          </w:p>
        </w:tc>
        <w:tc>
          <w:tcPr>
            <w:tcW w:w="120" w:type="dxa"/>
            <w:vAlign w:val="bottom"/>
            <w:tcBorders>
              <w:bottom w:val="single" w:sz="8" w:color="BFBFBF"/>
              <w:right w:val="single" w:sz="8" w:color="BFBFBF"/>
            </w:tcBorders>
          </w:tcPr>
          <w:p>
            <w:pPr>
              <w:spacing w:after="0"/>
              <w:rPr>
                <w:sz w:val="11"/>
                <w:szCs w:val="11"/>
                <w:color w:val="auto"/>
              </w:rPr>
            </w:pPr>
          </w:p>
        </w:tc>
        <w:tc>
          <w:tcPr>
            <w:tcW w:w="100" w:type="dxa"/>
            <w:vAlign w:val="bottom"/>
            <w:tcBorders>
              <w:bottom w:val="single" w:sz="8" w:color="BFBFBF"/>
            </w:tcBorders>
          </w:tcPr>
          <w:p>
            <w:pPr>
              <w:spacing w:after="0"/>
              <w:rPr>
                <w:sz w:val="11"/>
                <w:szCs w:val="11"/>
                <w:color w:val="auto"/>
              </w:rPr>
            </w:pPr>
          </w:p>
        </w:tc>
        <w:tc>
          <w:tcPr>
            <w:tcW w:w="86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1"/>
                <w:szCs w:val="11"/>
                <w:color w:val="auto"/>
              </w:rPr>
            </w:pPr>
          </w:p>
        </w:tc>
        <w:tc>
          <w:tcPr>
            <w:tcW w:w="880" w:type="dxa"/>
            <w:vAlign w:val="bottom"/>
            <w:tcBorders>
              <w:bottom w:val="single" w:sz="8" w:color="BFBFBF"/>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1"/>
                <w:szCs w:val="11"/>
                <w:color w:val="auto"/>
              </w:rPr>
            </w:pPr>
          </w:p>
        </w:tc>
        <w:tc>
          <w:tcPr>
            <w:tcW w:w="86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1"/>
                <w:szCs w:val="11"/>
                <w:color w:val="auto"/>
              </w:rPr>
            </w:pPr>
          </w:p>
        </w:tc>
        <w:tc>
          <w:tcPr>
            <w:tcW w:w="10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right w:val="single" w:sz="8" w:color="BFBFBF"/>
            </w:tcBorders>
          </w:tcPr>
          <w:p>
            <w:pPr>
              <w:ind w:left="560"/>
              <w:spacing w:after="0" w:line="142" w:lineRule="exact"/>
              <w:rPr>
                <w:sz w:val="20"/>
                <w:szCs w:val="20"/>
                <w:color w:val="auto"/>
              </w:rPr>
            </w:pPr>
            <w:r>
              <w:rPr>
                <w:rFonts w:ascii="Arial" w:cs="Arial" w:eastAsia="Arial" w:hAnsi="Arial"/>
                <w:sz w:val="14"/>
                <w:szCs w:val="14"/>
                <w:color w:val="auto"/>
              </w:rPr>
              <w:t>Chief Executive Officer</w:t>
            </w:r>
          </w:p>
        </w:tc>
        <w:tc>
          <w:tcPr>
            <w:tcW w:w="1040" w:type="dxa"/>
            <w:vAlign w:val="bottom"/>
            <w:tcBorders>
              <w:bottom w:val="single" w:sz="8" w:color="BFBFBF"/>
              <w:right w:val="single" w:sz="8" w:color="BFBFBF"/>
            </w:tcBorders>
            <w:gridSpan w:val="3"/>
          </w:tcPr>
          <w:p>
            <w:pPr>
              <w:jc w:val="right"/>
              <w:ind w:right="140"/>
              <w:spacing w:after="0" w:line="142" w:lineRule="exact"/>
              <w:rPr>
                <w:sz w:val="20"/>
                <w:szCs w:val="20"/>
                <w:color w:val="auto"/>
              </w:rPr>
            </w:pPr>
            <w:r>
              <w:rPr>
                <w:rFonts w:ascii="Arial" w:cs="Arial" w:eastAsia="Arial" w:hAnsi="Arial"/>
                <w:sz w:val="14"/>
                <w:szCs w:val="14"/>
                <w:color w:val="auto"/>
              </w:rPr>
              <w:t>960,000</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35.92</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12/13/2016</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right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3"/>
          </w:tcPr>
          <w:p>
            <w:pPr>
              <w:jc w:val="right"/>
              <w:ind w:right="140"/>
              <w:spacing w:after="0" w:line="142" w:lineRule="exact"/>
              <w:rPr>
                <w:sz w:val="20"/>
                <w:szCs w:val="20"/>
                <w:color w:val="auto"/>
              </w:rPr>
            </w:pPr>
            <w:r>
              <w:rPr>
                <w:rFonts w:ascii="Arial" w:cs="Arial" w:eastAsia="Arial" w:hAnsi="Arial"/>
                <w:sz w:val="14"/>
                <w:szCs w:val="14"/>
                <w:color w:val="auto"/>
              </w:rPr>
              <w:t>900,000</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21.31</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06/30/2019</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100,000(8)</w:t>
            </w:r>
          </w:p>
        </w:tc>
        <w:tc>
          <w:tcPr>
            <w:tcW w:w="8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$2,499,000</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247,440(9)</w:t>
            </w:r>
          </w:p>
        </w:tc>
        <w:tc>
          <w:tcPr>
            <w:tcW w:w="8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$6,183,526</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80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92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80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46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76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72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76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72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860" w:type="dxa"/>
            <w:vAlign w:val="bottom"/>
            <w:tcBorders>
              <w:bottom w:val="single" w:sz="8" w:color="BFBFBF"/>
            </w:tcBorders>
            <w:shd w:val="clear" w:color="auto" w:fill="DDEFF3"/>
          </w:tcPr>
          <w:p>
            <w:pPr>
              <w:spacing w:after="0"/>
              <w:rPr>
                <w:sz w:val="12"/>
                <w:szCs w:val="12"/>
                <w:color w:val="auto"/>
              </w:rPr>
            </w:pPr>
          </w:p>
        </w:tc>
        <w:tc>
          <w:tcPr>
            <w:tcW w:w="200" w:type="dxa"/>
            <w:vAlign w:val="bottom"/>
            <w:tcBorders>
              <w:bottom w:val="single" w:sz="8" w:color="BFBFBF"/>
              <w:right w:val="single" w:sz="8" w:color="BFBFBF"/>
            </w:tcBorders>
            <w:shd w:val="clear" w:color="auto" w:fill="DDEFF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Lee Shavel</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41,257(1)</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24.94</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05/23/2021</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480" w:type="dxa"/>
            <w:vAlign w:val="bottom"/>
            <w:tcBorders>
              <w:left w:val="single" w:sz="8" w:color="BFBFBF"/>
              <w:right w:val="single" w:sz="8" w:color="BFBFBF"/>
            </w:tcBorders>
          </w:tcPr>
          <w:p>
            <w:pPr>
              <w:ind w:left="560"/>
              <w:spacing w:after="0" w:line="141" w:lineRule="exact"/>
              <w:rPr>
                <w:sz w:val="20"/>
                <w:szCs w:val="20"/>
                <w:color w:val="auto"/>
              </w:rPr>
            </w:pPr>
            <w:r>
              <w:rPr>
                <w:rFonts w:ascii="Arial" w:cs="Arial" w:eastAsia="Arial" w:hAnsi="Arial"/>
                <w:sz w:val="14"/>
                <w:szCs w:val="14"/>
                <w:color w:val="auto"/>
              </w:rPr>
              <w:t>Chief Financial Officer and</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400"/>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720" w:type="dxa"/>
            <w:vAlign w:val="bottom"/>
            <w:tcBorders>
              <w:bottom w:val="single" w:sz="8" w:color="BFBFBF"/>
            </w:tcBorders>
          </w:tcPr>
          <w:p>
            <w:pPr>
              <w:jc w:val="right"/>
              <w:spacing w:after="0" w:line="141" w:lineRule="exact"/>
              <w:rPr>
                <w:sz w:val="20"/>
                <w:szCs w:val="20"/>
                <w:color w:val="auto"/>
              </w:rPr>
            </w:pPr>
            <w:r>
              <w:rPr>
                <w:rFonts w:ascii="Arial" w:cs="Arial" w:eastAsia="Arial" w:hAnsi="Arial"/>
                <w:sz w:val="14"/>
                <w:szCs w:val="14"/>
                <w:color w:val="auto"/>
              </w:rPr>
              <w:t>150,361(5)</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1" w:lineRule="exact"/>
              <w:rPr>
                <w:sz w:val="20"/>
                <w:szCs w:val="20"/>
                <w:color w:val="auto"/>
              </w:rPr>
            </w:pPr>
            <w:r>
              <w:rPr>
                <w:rFonts w:ascii="Arial" w:cs="Arial" w:eastAsia="Arial" w:hAnsi="Arial"/>
                <w:sz w:val="14"/>
                <w:szCs w:val="14"/>
                <w:color w:val="auto"/>
              </w:rPr>
              <w:t>$3,757,521</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480" w:type="dxa"/>
            <w:vAlign w:val="bottom"/>
            <w:tcBorders>
              <w:left w:val="single" w:sz="8" w:color="BFBFBF"/>
              <w:right w:val="single" w:sz="8" w:color="BFBFBF"/>
            </w:tcBorders>
          </w:tcPr>
          <w:p>
            <w:pPr>
              <w:ind w:left="560"/>
              <w:spacing w:after="0" w:line="129" w:lineRule="exact"/>
              <w:rPr>
                <w:sz w:val="20"/>
                <w:szCs w:val="20"/>
                <w:color w:val="auto"/>
              </w:rPr>
            </w:pPr>
            <w:r>
              <w:rPr>
                <w:rFonts w:ascii="Arial" w:cs="Arial" w:eastAsia="Arial" w:hAnsi="Arial"/>
                <w:sz w:val="14"/>
                <w:szCs w:val="14"/>
                <w:color w:val="auto"/>
              </w:rPr>
              <w:t>Executive Vice President,</w:t>
            </w:r>
          </w:p>
        </w:tc>
        <w:tc>
          <w:tcPr>
            <w:tcW w:w="100" w:type="dxa"/>
            <w:vAlign w:val="bottom"/>
            <w:tcBorders>
              <w:bottom w:val="single" w:sz="8" w:color="BFBFBF"/>
            </w:tcBorders>
          </w:tcPr>
          <w:p>
            <w:pPr>
              <w:spacing w:after="0"/>
              <w:rPr>
                <w:sz w:val="11"/>
                <w:szCs w:val="11"/>
                <w:color w:val="auto"/>
              </w:rPr>
            </w:pPr>
          </w:p>
        </w:tc>
        <w:tc>
          <w:tcPr>
            <w:tcW w:w="94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1"/>
                <w:szCs w:val="11"/>
                <w:color w:val="auto"/>
              </w:rPr>
            </w:pPr>
          </w:p>
        </w:tc>
        <w:tc>
          <w:tcPr>
            <w:tcW w:w="1040" w:type="dxa"/>
            <w:vAlign w:val="bottom"/>
            <w:tcBorders>
              <w:bottom w:val="single" w:sz="8" w:color="BFBFBF"/>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1"/>
                <w:szCs w:val="11"/>
                <w:color w:val="auto"/>
              </w:rPr>
            </w:pPr>
          </w:p>
        </w:tc>
        <w:tc>
          <w:tcPr>
            <w:tcW w:w="94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1"/>
                <w:szCs w:val="11"/>
                <w:color w:val="auto"/>
              </w:rPr>
            </w:pPr>
          </w:p>
        </w:tc>
        <w:tc>
          <w:tcPr>
            <w:tcW w:w="100" w:type="dxa"/>
            <w:vAlign w:val="bottom"/>
            <w:tcBorders>
              <w:bottom w:val="single" w:sz="8" w:color="BFBFBF"/>
            </w:tcBorders>
          </w:tcPr>
          <w:p>
            <w:pPr>
              <w:spacing w:after="0"/>
              <w:rPr>
                <w:sz w:val="11"/>
                <w:szCs w:val="11"/>
                <w:color w:val="auto"/>
              </w:rPr>
            </w:pPr>
          </w:p>
        </w:tc>
        <w:tc>
          <w:tcPr>
            <w:tcW w:w="60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1"/>
                <w:szCs w:val="11"/>
                <w:color w:val="auto"/>
              </w:rPr>
            </w:pPr>
          </w:p>
        </w:tc>
        <w:tc>
          <w:tcPr>
            <w:tcW w:w="880" w:type="dxa"/>
            <w:vAlign w:val="bottom"/>
            <w:tcBorders>
              <w:bottom w:val="single" w:sz="8" w:color="BFBFBF"/>
              <w:right w:val="single" w:sz="8" w:color="BFBFBF"/>
            </w:tcBorders>
            <w:gridSpan w:val="2"/>
          </w:tcPr>
          <w:p>
            <w:pPr>
              <w:jc w:val="right"/>
              <w:ind w:right="400"/>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1"/>
                <w:szCs w:val="11"/>
                <w:color w:val="auto"/>
              </w:rPr>
            </w:pPr>
          </w:p>
        </w:tc>
        <w:tc>
          <w:tcPr>
            <w:tcW w:w="72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44,908(6)</w:t>
            </w:r>
          </w:p>
        </w:tc>
        <w:tc>
          <w:tcPr>
            <w:tcW w:w="140" w:type="dxa"/>
            <w:vAlign w:val="bottom"/>
            <w:tcBorders>
              <w:bottom w:val="single" w:sz="8" w:color="BFBFBF"/>
              <w:right w:val="single" w:sz="8" w:color="BFBFBF"/>
            </w:tcBorders>
          </w:tcPr>
          <w:p>
            <w:pPr>
              <w:spacing w:after="0"/>
              <w:rPr>
                <w:sz w:val="11"/>
                <w:szCs w:val="11"/>
                <w:color w:val="auto"/>
              </w:rPr>
            </w:pPr>
          </w:p>
        </w:tc>
        <w:tc>
          <w:tcPr>
            <w:tcW w:w="80" w:type="dxa"/>
            <w:vAlign w:val="bottom"/>
            <w:tcBorders>
              <w:bottom w:val="single" w:sz="8" w:color="BFBFBF"/>
            </w:tcBorders>
          </w:tcPr>
          <w:p>
            <w:pPr>
              <w:spacing w:after="0"/>
              <w:rPr>
                <w:sz w:val="11"/>
                <w:szCs w:val="11"/>
                <w:color w:val="auto"/>
              </w:rPr>
            </w:pPr>
          </w:p>
        </w:tc>
        <w:tc>
          <w:tcPr>
            <w:tcW w:w="76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$1,122,251</w:t>
            </w:r>
          </w:p>
        </w:tc>
        <w:tc>
          <w:tcPr>
            <w:tcW w:w="120" w:type="dxa"/>
            <w:vAlign w:val="bottom"/>
            <w:tcBorders>
              <w:bottom w:val="single" w:sz="8" w:color="BFBFBF"/>
              <w:right w:val="single" w:sz="8" w:color="BFBFBF"/>
            </w:tcBorders>
          </w:tcPr>
          <w:p>
            <w:pPr>
              <w:spacing w:after="0"/>
              <w:rPr>
                <w:sz w:val="11"/>
                <w:szCs w:val="11"/>
                <w:color w:val="auto"/>
              </w:rPr>
            </w:pPr>
          </w:p>
        </w:tc>
        <w:tc>
          <w:tcPr>
            <w:tcW w:w="100" w:type="dxa"/>
            <w:vAlign w:val="bottom"/>
            <w:tcBorders>
              <w:bottom w:val="single" w:sz="8" w:color="BFBFBF"/>
            </w:tcBorders>
          </w:tcPr>
          <w:p>
            <w:pPr>
              <w:spacing w:after="0"/>
              <w:rPr>
                <w:sz w:val="11"/>
                <w:szCs w:val="11"/>
                <w:color w:val="auto"/>
              </w:rPr>
            </w:pPr>
          </w:p>
        </w:tc>
        <w:tc>
          <w:tcPr>
            <w:tcW w:w="86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1"/>
                <w:szCs w:val="11"/>
                <w:color w:val="auto"/>
              </w:rPr>
            </w:pPr>
          </w:p>
        </w:tc>
        <w:tc>
          <w:tcPr>
            <w:tcW w:w="10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tcPr>
          <w:p>
            <w:pPr>
              <w:ind w:left="560"/>
              <w:spacing w:after="0" w:line="135" w:lineRule="exact"/>
              <w:rPr>
                <w:sz w:val="20"/>
                <w:szCs w:val="20"/>
                <w:color w:val="auto"/>
              </w:rPr>
            </w:pPr>
            <w:r>
              <w:rPr>
                <w:rFonts w:ascii="Arial" w:cs="Arial" w:eastAsia="Arial" w:hAnsi="Arial"/>
                <w:sz w:val="14"/>
                <w:szCs w:val="14"/>
                <w:color w:val="auto"/>
              </w:rPr>
              <w:t>Corporate Strategy</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9" w:lineRule="exact"/>
              <w:rPr>
                <w:sz w:val="20"/>
                <w:szCs w:val="20"/>
                <w:color w:val="auto"/>
              </w:rPr>
            </w:pPr>
            <w:r>
              <w:rPr>
                <w:rFonts w:ascii="Arial" w:cs="Arial" w:eastAsia="Arial" w:hAnsi="Arial"/>
                <w:sz w:val="14"/>
                <w:szCs w:val="14"/>
                <w:color w:val="auto"/>
              </w:rPr>
              <w:t>59,727(9)</w:t>
            </w:r>
          </w:p>
        </w:tc>
        <w:tc>
          <w:tcPr>
            <w:tcW w:w="8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tcBorders>
          </w:tcPr>
          <w:p>
            <w:pPr>
              <w:jc w:val="right"/>
              <w:spacing w:after="0" w:line="149" w:lineRule="exact"/>
              <w:rPr>
                <w:sz w:val="20"/>
                <w:szCs w:val="20"/>
                <w:color w:val="auto"/>
              </w:rPr>
            </w:pPr>
            <w:r>
              <w:rPr>
                <w:rFonts w:ascii="Arial" w:cs="Arial" w:eastAsia="Arial" w:hAnsi="Arial"/>
                <w:sz w:val="14"/>
                <w:szCs w:val="14"/>
                <w:color w:val="auto"/>
              </w:rPr>
              <w:t>$1,492,578</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0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92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0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72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72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80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92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80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46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76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72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76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72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860" w:type="dxa"/>
            <w:vAlign w:val="bottom"/>
            <w:tcBorders>
              <w:bottom w:val="single" w:sz="8" w:color="BFBFBF"/>
            </w:tcBorders>
            <w:shd w:val="clear" w:color="auto" w:fill="DDEFF3"/>
          </w:tcPr>
          <w:p>
            <w:pPr>
              <w:spacing w:after="0"/>
              <w:rPr>
                <w:sz w:val="12"/>
                <w:szCs w:val="12"/>
                <w:color w:val="auto"/>
              </w:rPr>
            </w:pPr>
          </w:p>
        </w:tc>
        <w:tc>
          <w:tcPr>
            <w:tcW w:w="200" w:type="dxa"/>
            <w:vAlign w:val="bottom"/>
            <w:tcBorders>
              <w:bottom w:val="single" w:sz="8" w:color="BFBFBF"/>
              <w:right w:val="single" w:sz="8" w:color="BFBFBF"/>
            </w:tcBorders>
            <w:shd w:val="clear" w:color="auto" w:fill="DDEFF3"/>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80" w:type="dxa"/>
            <w:vAlign w:val="bottom"/>
            <w:tcBorders>
              <w:left w:val="single" w:sz="8" w:color="BFBFBF"/>
              <w:bottom w:val="single" w:sz="8" w:color="BFBFBF"/>
              <w:right w:val="single" w:sz="8" w:color="BFBFBF"/>
            </w:tcBorders>
          </w:tcPr>
          <w:p>
            <w:pPr>
              <w:ind w:left="120"/>
              <w:spacing w:after="0" w:line="155" w:lineRule="exact"/>
              <w:rPr>
                <w:sz w:val="20"/>
                <w:szCs w:val="20"/>
                <w:color w:val="auto"/>
              </w:rPr>
            </w:pPr>
            <w:r>
              <w:rPr>
                <w:rFonts w:ascii="Arial" w:cs="Arial" w:eastAsia="Arial" w:hAnsi="Arial"/>
                <w:sz w:val="14"/>
                <w:szCs w:val="14"/>
                <w:color w:val="auto"/>
              </w:rPr>
              <w:t>Anna M. Ewing</w:t>
            </w:r>
          </w:p>
        </w:tc>
        <w:tc>
          <w:tcPr>
            <w:tcW w:w="1040" w:type="dxa"/>
            <w:vAlign w:val="bottom"/>
            <w:tcBorders>
              <w:bottom w:val="single" w:sz="8" w:color="BFBFBF"/>
              <w:right w:val="single" w:sz="8" w:color="BFBFBF"/>
            </w:tcBorders>
            <w:gridSpan w:val="3"/>
          </w:tcPr>
          <w:p>
            <w:pPr>
              <w:jc w:val="right"/>
              <w:ind w:right="140"/>
              <w:spacing w:after="0" w:line="155" w:lineRule="exact"/>
              <w:rPr>
                <w:sz w:val="20"/>
                <w:szCs w:val="20"/>
                <w:color w:val="auto"/>
              </w:rPr>
            </w:pPr>
            <w:r>
              <w:rPr>
                <w:rFonts w:ascii="Arial" w:cs="Arial" w:eastAsia="Arial" w:hAnsi="Arial"/>
                <w:sz w:val="14"/>
                <w:szCs w:val="14"/>
                <w:color w:val="auto"/>
              </w:rPr>
              <w:t>32,558</w:t>
            </w:r>
          </w:p>
        </w:tc>
        <w:tc>
          <w:tcPr>
            <w:tcW w:w="80" w:type="dxa"/>
            <w:vAlign w:val="bottom"/>
            <w:tcBorders>
              <w:bottom w:val="single" w:sz="8" w:color="BFBFBF"/>
            </w:tcBorders>
          </w:tcPr>
          <w:p>
            <w:pPr>
              <w:spacing w:after="0"/>
              <w:rPr>
                <w:sz w:val="13"/>
                <w:szCs w:val="13"/>
                <w:color w:val="auto"/>
              </w:rPr>
            </w:pPr>
          </w:p>
        </w:tc>
        <w:tc>
          <w:tcPr>
            <w:tcW w:w="1040" w:type="dxa"/>
            <w:vAlign w:val="bottom"/>
            <w:tcBorders>
              <w:bottom w:val="single" w:sz="8" w:color="BFBFBF"/>
              <w:right w:val="single" w:sz="8" w:color="BFBFBF"/>
            </w:tcBorders>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3"/>
                <w:szCs w:val="13"/>
                <w:color w:val="auto"/>
              </w:rPr>
            </w:pPr>
          </w:p>
        </w:tc>
        <w:tc>
          <w:tcPr>
            <w:tcW w:w="940" w:type="dxa"/>
            <w:vAlign w:val="bottom"/>
            <w:tcBorders>
              <w:bottom w:val="single" w:sz="8" w:color="BFBFBF"/>
              <w:right w:val="single" w:sz="8" w:color="BFBFBF"/>
            </w:tcBorders>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55" w:lineRule="exact"/>
              <w:rPr>
                <w:sz w:val="20"/>
                <w:szCs w:val="20"/>
                <w:color w:val="auto"/>
              </w:rPr>
            </w:pPr>
            <w:r>
              <w:rPr>
                <w:rFonts w:ascii="Arial" w:cs="Arial" w:eastAsia="Arial" w:hAnsi="Arial"/>
                <w:sz w:val="14"/>
                <w:szCs w:val="14"/>
                <w:color w:val="auto"/>
              </w:rPr>
              <w:t>35.92</w:t>
            </w:r>
          </w:p>
        </w:tc>
        <w:tc>
          <w:tcPr>
            <w:tcW w:w="80" w:type="dxa"/>
            <w:vAlign w:val="bottom"/>
            <w:tcBorders>
              <w:bottom w:val="single" w:sz="8" w:color="BFBFBF"/>
            </w:tcBorders>
          </w:tcPr>
          <w:p>
            <w:pPr>
              <w:spacing w:after="0"/>
              <w:rPr>
                <w:sz w:val="13"/>
                <w:szCs w:val="13"/>
                <w:color w:val="auto"/>
              </w:rPr>
            </w:pPr>
          </w:p>
        </w:tc>
        <w:tc>
          <w:tcPr>
            <w:tcW w:w="760" w:type="dxa"/>
            <w:vAlign w:val="bottom"/>
            <w:tcBorders>
              <w:bottom w:val="single" w:sz="8" w:color="BFBFBF"/>
            </w:tcBorders>
          </w:tcPr>
          <w:p>
            <w:pPr>
              <w:jc w:val="right"/>
              <w:spacing w:after="0" w:line="155" w:lineRule="exact"/>
              <w:rPr>
                <w:sz w:val="20"/>
                <w:szCs w:val="20"/>
                <w:color w:val="auto"/>
              </w:rPr>
            </w:pPr>
            <w:r>
              <w:rPr>
                <w:rFonts w:ascii="Arial" w:cs="Arial" w:eastAsia="Arial" w:hAnsi="Arial"/>
                <w:sz w:val="14"/>
                <w:szCs w:val="14"/>
                <w:color w:val="auto"/>
              </w:rPr>
              <w:t>12/13/2016</w:t>
            </w:r>
          </w:p>
        </w:tc>
        <w:tc>
          <w:tcPr>
            <w:tcW w:w="120" w:type="dxa"/>
            <w:vAlign w:val="bottom"/>
            <w:tcBorders>
              <w:bottom w:val="single" w:sz="8" w:color="BFBFBF"/>
              <w:right w:val="single" w:sz="8" w:color="BFBFBF"/>
            </w:tcBorders>
          </w:tcPr>
          <w:p>
            <w:pPr>
              <w:spacing w:after="0"/>
              <w:rPr>
                <w:sz w:val="13"/>
                <w:szCs w:val="13"/>
                <w:color w:val="auto"/>
              </w:rPr>
            </w:pPr>
          </w:p>
        </w:tc>
        <w:tc>
          <w:tcPr>
            <w:tcW w:w="100" w:type="dxa"/>
            <w:vAlign w:val="bottom"/>
            <w:tcBorders>
              <w:bottom w:val="single" w:sz="8" w:color="BFBFBF"/>
            </w:tcBorders>
          </w:tcPr>
          <w:p>
            <w:pPr>
              <w:spacing w:after="0"/>
              <w:rPr>
                <w:sz w:val="13"/>
                <w:szCs w:val="13"/>
                <w:color w:val="auto"/>
              </w:rPr>
            </w:pPr>
          </w:p>
        </w:tc>
        <w:tc>
          <w:tcPr>
            <w:tcW w:w="860" w:type="dxa"/>
            <w:vAlign w:val="bottom"/>
            <w:tcBorders>
              <w:bottom w:val="single" w:sz="8" w:color="BFBFBF"/>
              <w:right w:val="single" w:sz="8" w:color="BFBFBF"/>
            </w:tcBorders>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3"/>
                <w:szCs w:val="13"/>
                <w:color w:val="auto"/>
              </w:rPr>
            </w:pPr>
          </w:p>
        </w:tc>
        <w:tc>
          <w:tcPr>
            <w:tcW w:w="880" w:type="dxa"/>
            <w:vAlign w:val="bottom"/>
            <w:tcBorders>
              <w:bottom w:val="single" w:sz="8" w:color="BFBFBF"/>
              <w:right w:val="single" w:sz="8" w:color="BFBFBF"/>
            </w:tcBorders>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3"/>
                <w:szCs w:val="13"/>
                <w:color w:val="auto"/>
              </w:rPr>
            </w:pPr>
          </w:p>
        </w:tc>
        <w:tc>
          <w:tcPr>
            <w:tcW w:w="860" w:type="dxa"/>
            <w:vAlign w:val="bottom"/>
            <w:tcBorders>
              <w:bottom w:val="single" w:sz="8" w:color="BFBFBF"/>
              <w:right w:val="single" w:sz="8" w:color="BFBFBF"/>
            </w:tcBorders>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3"/>
                <w:szCs w:val="13"/>
                <w:color w:val="auto"/>
              </w:rPr>
            </w:pPr>
          </w:p>
        </w:tc>
        <w:tc>
          <w:tcPr>
            <w:tcW w:w="1060" w:type="dxa"/>
            <w:vAlign w:val="bottom"/>
            <w:tcBorders>
              <w:bottom w:val="single" w:sz="8" w:color="BFBFBF"/>
              <w:right w:val="single" w:sz="8" w:color="BFBFBF"/>
            </w:tcBorders>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480" w:type="dxa"/>
            <w:vAlign w:val="bottom"/>
            <w:tcBorders>
              <w:left w:val="single" w:sz="8" w:color="BFBFBF"/>
              <w:right w:val="single" w:sz="8" w:color="BFBFBF"/>
            </w:tcBorders>
          </w:tcPr>
          <w:p>
            <w:pPr>
              <w:ind w:left="560"/>
              <w:spacing w:after="0" w:line="141" w:lineRule="exact"/>
              <w:rPr>
                <w:sz w:val="20"/>
                <w:szCs w:val="20"/>
                <w:color w:val="auto"/>
              </w:rPr>
            </w:pPr>
            <w:r>
              <w:rPr>
                <w:rFonts w:ascii="Arial" w:cs="Arial" w:eastAsia="Arial" w:hAnsi="Arial"/>
                <w:sz w:val="14"/>
                <w:szCs w:val="14"/>
                <w:color w:val="auto"/>
              </w:rPr>
              <w:t>Executive Vice President,</w:t>
            </w:r>
          </w:p>
        </w:tc>
        <w:tc>
          <w:tcPr>
            <w:tcW w:w="1040" w:type="dxa"/>
            <w:vAlign w:val="bottom"/>
            <w:tcBorders>
              <w:bottom w:val="single" w:sz="8" w:color="BFBFBF"/>
              <w:right w:val="single" w:sz="8" w:color="BFBFBF"/>
            </w:tcBorders>
            <w:gridSpan w:val="3"/>
          </w:tcPr>
          <w:p>
            <w:pPr>
              <w:jc w:val="right"/>
              <w:ind w:right="140"/>
              <w:spacing w:after="0" w:line="141" w:lineRule="exact"/>
              <w:rPr>
                <w:sz w:val="20"/>
                <w:szCs w:val="20"/>
                <w:color w:val="auto"/>
              </w:rPr>
            </w:pPr>
            <w:r>
              <w:rPr>
                <w:rFonts w:ascii="Arial" w:cs="Arial" w:eastAsia="Arial" w:hAnsi="Arial"/>
                <w:sz w:val="14"/>
                <w:szCs w:val="14"/>
                <w:color w:val="auto"/>
              </w:rPr>
              <w:t>22,564</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45.38</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1" w:lineRule="exact"/>
              <w:rPr>
                <w:sz w:val="20"/>
                <w:szCs w:val="20"/>
                <w:color w:val="auto"/>
              </w:rPr>
            </w:pPr>
            <w:r>
              <w:rPr>
                <w:rFonts w:ascii="Arial" w:cs="Arial" w:eastAsia="Arial" w:hAnsi="Arial"/>
                <w:sz w:val="14"/>
                <w:szCs w:val="14"/>
                <w:color w:val="auto"/>
              </w:rPr>
              <w:t>12/12/2017</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480" w:type="dxa"/>
            <w:vAlign w:val="bottom"/>
            <w:tcBorders>
              <w:left w:val="single" w:sz="8" w:color="BFBFBF"/>
              <w:right w:val="single" w:sz="8" w:color="BFBFBF"/>
            </w:tcBorders>
          </w:tcPr>
          <w:p>
            <w:pPr>
              <w:ind w:left="560"/>
              <w:spacing w:after="0" w:line="143" w:lineRule="exact"/>
              <w:rPr>
                <w:sz w:val="20"/>
                <w:szCs w:val="20"/>
                <w:color w:val="auto"/>
              </w:rPr>
            </w:pPr>
            <w:r>
              <w:rPr>
                <w:rFonts w:ascii="Arial" w:cs="Arial" w:eastAsia="Arial" w:hAnsi="Arial"/>
                <w:sz w:val="14"/>
                <w:szCs w:val="14"/>
                <w:color w:val="auto"/>
              </w:rPr>
              <w:t>Global Technology Solutions</w:t>
            </w:r>
          </w:p>
        </w:tc>
        <w:tc>
          <w:tcPr>
            <w:tcW w:w="1040" w:type="dxa"/>
            <w:vAlign w:val="bottom"/>
            <w:tcBorders>
              <w:bottom w:val="single" w:sz="8" w:color="BFBFBF"/>
              <w:right w:val="single" w:sz="8" w:color="BFBFBF"/>
            </w:tcBorders>
            <w:gridSpan w:val="3"/>
          </w:tcPr>
          <w:p>
            <w:pPr>
              <w:jc w:val="right"/>
              <w:ind w:right="140"/>
              <w:spacing w:after="0" w:line="143" w:lineRule="exact"/>
              <w:rPr>
                <w:sz w:val="20"/>
                <w:szCs w:val="20"/>
                <w:color w:val="auto"/>
              </w:rPr>
            </w:pPr>
            <w:r>
              <w:rPr>
                <w:rFonts w:ascii="Arial" w:cs="Arial" w:eastAsia="Arial" w:hAnsi="Arial"/>
                <w:sz w:val="14"/>
                <w:szCs w:val="14"/>
                <w:color w:val="auto"/>
              </w:rPr>
              <w:t>45,528</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3"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3" w:lineRule="exact"/>
              <w:rPr>
                <w:sz w:val="20"/>
                <w:szCs w:val="20"/>
                <w:color w:val="auto"/>
              </w:rPr>
            </w:pPr>
            <w:r>
              <w:rPr>
                <w:rFonts w:ascii="Arial" w:cs="Arial" w:eastAsia="Arial" w:hAnsi="Arial"/>
                <w:sz w:val="14"/>
                <w:szCs w:val="14"/>
                <w:color w:val="auto"/>
              </w:rPr>
              <w:t>25.07</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3" w:lineRule="exact"/>
              <w:rPr>
                <w:sz w:val="20"/>
                <w:szCs w:val="20"/>
                <w:color w:val="auto"/>
              </w:rPr>
            </w:pPr>
            <w:r>
              <w:rPr>
                <w:rFonts w:ascii="Arial" w:cs="Arial" w:eastAsia="Arial" w:hAnsi="Arial"/>
                <w:sz w:val="14"/>
                <w:szCs w:val="14"/>
                <w:color w:val="auto"/>
              </w:rPr>
              <w:t>12/17/2018</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34,664(2)</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19.75</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03/04/2020</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39,661(3)</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25.28</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03/28/2021</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7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14,853(7)</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$371,176</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7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44,304(6)</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$1,107,157</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DDEFF3"/>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59,727(9)</w:t>
            </w:r>
          </w:p>
        </w:tc>
        <w:tc>
          <w:tcPr>
            <w:tcW w:w="8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$1,492,578</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80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92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80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46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76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72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76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72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860" w:type="dxa"/>
            <w:vAlign w:val="bottom"/>
            <w:tcBorders>
              <w:bottom w:val="single" w:sz="8" w:color="BFBFBF"/>
            </w:tcBorders>
            <w:shd w:val="clear" w:color="auto" w:fill="DDEFF3"/>
          </w:tcPr>
          <w:p>
            <w:pPr>
              <w:spacing w:after="0"/>
              <w:rPr>
                <w:sz w:val="12"/>
                <w:szCs w:val="12"/>
                <w:color w:val="auto"/>
              </w:rPr>
            </w:pPr>
          </w:p>
        </w:tc>
        <w:tc>
          <w:tcPr>
            <w:tcW w:w="200" w:type="dxa"/>
            <w:vAlign w:val="bottom"/>
            <w:tcBorders>
              <w:bottom w:val="single" w:sz="8" w:color="BFBFBF"/>
              <w:right w:val="single" w:sz="8" w:color="BFBFBF"/>
            </w:tcBorders>
            <w:shd w:val="clear" w:color="auto" w:fill="DDEFF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Hans-Ole Jochumsen</w:t>
            </w:r>
          </w:p>
        </w:tc>
        <w:tc>
          <w:tcPr>
            <w:tcW w:w="1040" w:type="dxa"/>
            <w:vAlign w:val="bottom"/>
            <w:tcBorders>
              <w:bottom w:val="single" w:sz="8" w:color="BFBFBF"/>
              <w:right w:val="single" w:sz="8" w:color="BFBFBF"/>
            </w:tcBorders>
            <w:gridSpan w:val="3"/>
          </w:tcPr>
          <w:p>
            <w:pPr>
              <w:jc w:val="right"/>
              <w:ind w:right="140"/>
              <w:spacing w:after="0" w:line="142" w:lineRule="exact"/>
              <w:rPr>
                <w:sz w:val="20"/>
                <w:szCs w:val="20"/>
                <w:color w:val="auto"/>
              </w:rPr>
            </w:pPr>
            <w:r>
              <w:rPr>
                <w:rFonts w:ascii="Arial" w:cs="Arial" w:eastAsia="Arial" w:hAnsi="Arial"/>
                <w:sz w:val="14"/>
                <w:szCs w:val="14"/>
                <w:color w:val="auto"/>
              </w:rPr>
              <w:t>15,771</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41.36</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03/24/2018</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480" w:type="dxa"/>
            <w:vAlign w:val="bottom"/>
            <w:tcBorders>
              <w:left w:val="single" w:sz="8" w:color="BFBFBF"/>
              <w:right w:val="single" w:sz="8" w:color="BFBFBF"/>
            </w:tcBorders>
          </w:tcPr>
          <w:p>
            <w:pPr>
              <w:ind w:left="560"/>
              <w:spacing w:after="0" w:line="141" w:lineRule="exact"/>
              <w:rPr>
                <w:sz w:val="20"/>
                <w:szCs w:val="20"/>
                <w:color w:val="auto"/>
              </w:rPr>
            </w:pPr>
            <w:r>
              <w:rPr>
                <w:rFonts w:ascii="Arial" w:cs="Arial" w:eastAsia="Arial" w:hAnsi="Arial"/>
                <w:sz w:val="14"/>
                <w:szCs w:val="14"/>
                <w:color w:val="auto"/>
              </w:rPr>
              <w:t>Executive Vice President,</w:t>
            </w:r>
          </w:p>
        </w:tc>
        <w:tc>
          <w:tcPr>
            <w:tcW w:w="1040" w:type="dxa"/>
            <w:vAlign w:val="bottom"/>
            <w:tcBorders>
              <w:bottom w:val="single" w:sz="8" w:color="BFBFBF"/>
              <w:right w:val="single" w:sz="8" w:color="BFBFBF"/>
            </w:tcBorders>
            <w:gridSpan w:val="3"/>
          </w:tcPr>
          <w:p>
            <w:pPr>
              <w:jc w:val="right"/>
              <w:ind w:right="140"/>
              <w:spacing w:after="0" w:line="141" w:lineRule="exact"/>
              <w:rPr>
                <w:sz w:val="20"/>
                <w:szCs w:val="20"/>
                <w:color w:val="auto"/>
              </w:rPr>
            </w:pPr>
            <w:r>
              <w:rPr>
                <w:rFonts w:ascii="Arial" w:cs="Arial" w:eastAsia="Arial" w:hAnsi="Arial"/>
                <w:sz w:val="14"/>
                <w:szCs w:val="14"/>
                <w:color w:val="auto"/>
              </w:rPr>
              <w:t>39,458</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25.07</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1" w:lineRule="exact"/>
              <w:rPr>
                <w:sz w:val="20"/>
                <w:szCs w:val="20"/>
                <w:color w:val="auto"/>
              </w:rPr>
            </w:pPr>
            <w:r>
              <w:rPr>
                <w:rFonts w:ascii="Arial" w:cs="Arial" w:eastAsia="Arial" w:hAnsi="Arial"/>
                <w:sz w:val="14"/>
                <w:szCs w:val="14"/>
                <w:color w:val="auto"/>
              </w:rPr>
              <w:t>12/17/2018</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480" w:type="dxa"/>
            <w:vAlign w:val="bottom"/>
            <w:tcBorders>
              <w:left w:val="single" w:sz="8" w:color="BFBFBF"/>
              <w:right w:val="single" w:sz="8" w:color="BFBFBF"/>
            </w:tcBorders>
          </w:tcPr>
          <w:p>
            <w:pPr>
              <w:ind w:left="560"/>
              <w:spacing w:after="0" w:line="143" w:lineRule="exact"/>
              <w:rPr>
                <w:sz w:val="20"/>
                <w:szCs w:val="20"/>
                <w:color w:val="auto"/>
              </w:rPr>
            </w:pPr>
            <w:r>
              <w:rPr>
                <w:rFonts w:ascii="Arial" w:cs="Arial" w:eastAsia="Arial" w:hAnsi="Arial"/>
                <w:sz w:val="14"/>
                <w:szCs w:val="14"/>
                <w:color w:val="auto"/>
              </w:rPr>
              <w:t>Transaction Services Nordic</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3" w:lineRule="exact"/>
              <w:rPr>
                <w:sz w:val="20"/>
                <w:szCs w:val="20"/>
                <w:color w:val="auto"/>
              </w:rPr>
            </w:pPr>
            <w:r>
              <w:rPr>
                <w:rFonts w:ascii="Arial" w:cs="Arial" w:eastAsia="Arial" w:hAnsi="Arial"/>
                <w:sz w:val="14"/>
                <w:szCs w:val="14"/>
                <w:color w:val="auto"/>
              </w:rPr>
              <w:t>22,059(2)</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3"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3" w:lineRule="exact"/>
              <w:rPr>
                <w:sz w:val="20"/>
                <w:szCs w:val="20"/>
                <w:color w:val="auto"/>
              </w:rPr>
            </w:pPr>
            <w:r>
              <w:rPr>
                <w:rFonts w:ascii="Arial" w:cs="Arial" w:eastAsia="Arial" w:hAnsi="Arial"/>
                <w:sz w:val="14"/>
                <w:szCs w:val="14"/>
                <w:color w:val="auto"/>
              </w:rPr>
              <w:t>19.75</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3" w:lineRule="exact"/>
              <w:rPr>
                <w:sz w:val="20"/>
                <w:szCs w:val="20"/>
                <w:color w:val="auto"/>
              </w:rPr>
            </w:pPr>
            <w:r>
              <w:rPr>
                <w:rFonts w:ascii="Arial" w:cs="Arial" w:eastAsia="Arial" w:hAnsi="Arial"/>
                <w:sz w:val="14"/>
                <w:szCs w:val="14"/>
                <w:color w:val="auto"/>
              </w:rPr>
              <w:t>03/04/2020</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33,995(3)</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25.28</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03/28/2021</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9,452(7)</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$236,205</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7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37,976(6)</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$949,020</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51,195(9)</w:t>
            </w:r>
          </w:p>
        </w:tc>
        <w:tc>
          <w:tcPr>
            <w:tcW w:w="8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$1,279,363</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80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92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80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46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76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72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760" w:type="dxa"/>
            <w:vAlign w:val="bottom"/>
            <w:tcBorders>
              <w:bottom w:val="single" w:sz="8" w:color="BFBFBF"/>
            </w:tcBorders>
            <w:shd w:val="clear" w:color="auto" w:fill="DDEFF3"/>
          </w:tcPr>
          <w:p>
            <w:pPr>
              <w:spacing w:after="0"/>
              <w:rPr>
                <w:sz w:val="12"/>
                <w:szCs w:val="12"/>
                <w:color w:val="auto"/>
              </w:rPr>
            </w:pPr>
          </w:p>
        </w:tc>
        <w:tc>
          <w:tcPr>
            <w:tcW w:w="120" w:type="dxa"/>
            <w:vAlign w:val="bottom"/>
            <w:tcBorders>
              <w:bottom w:val="single" w:sz="8" w:color="BFBFBF"/>
              <w:right w:val="single" w:sz="8" w:color="BFBFBF"/>
            </w:tcBorders>
            <w:shd w:val="clear" w:color="auto" w:fill="DDEFF3"/>
          </w:tcPr>
          <w:p>
            <w:pPr>
              <w:spacing w:after="0"/>
              <w:rPr>
                <w:sz w:val="12"/>
                <w:szCs w:val="12"/>
                <w:color w:val="auto"/>
              </w:rPr>
            </w:pPr>
          </w:p>
        </w:tc>
        <w:tc>
          <w:tcPr>
            <w:tcW w:w="100" w:type="dxa"/>
            <w:vAlign w:val="bottom"/>
            <w:tcBorders>
              <w:bottom w:val="single" w:sz="8" w:color="BFBFBF"/>
            </w:tcBorders>
            <w:shd w:val="clear" w:color="auto" w:fill="DDEFF3"/>
          </w:tcPr>
          <w:p>
            <w:pPr>
              <w:spacing w:after="0"/>
              <w:rPr>
                <w:sz w:val="12"/>
                <w:szCs w:val="12"/>
                <w:color w:val="auto"/>
              </w:rPr>
            </w:pPr>
          </w:p>
        </w:tc>
        <w:tc>
          <w:tcPr>
            <w:tcW w:w="720" w:type="dxa"/>
            <w:vAlign w:val="bottom"/>
            <w:tcBorders>
              <w:bottom w:val="single" w:sz="8" w:color="BFBFBF"/>
            </w:tcBorders>
            <w:shd w:val="clear" w:color="auto" w:fill="DDEFF3"/>
          </w:tcPr>
          <w:p>
            <w:pPr>
              <w:spacing w:after="0"/>
              <w:rPr>
                <w:sz w:val="12"/>
                <w:szCs w:val="12"/>
                <w:color w:val="auto"/>
              </w:rPr>
            </w:pPr>
          </w:p>
        </w:tc>
        <w:tc>
          <w:tcPr>
            <w:tcW w:w="140" w:type="dxa"/>
            <w:vAlign w:val="bottom"/>
            <w:tcBorders>
              <w:bottom w:val="single" w:sz="8" w:color="BFBFBF"/>
              <w:right w:val="single" w:sz="8" w:color="BFBFBF"/>
            </w:tcBorders>
            <w:shd w:val="clear" w:color="auto" w:fill="DDEFF3"/>
          </w:tcPr>
          <w:p>
            <w:pPr>
              <w:spacing w:after="0"/>
              <w:rPr>
                <w:sz w:val="12"/>
                <w:szCs w:val="12"/>
                <w:color w:val="auto"/>
              </w:rPr>
            </w:pPr>
          </w:p>
        </w:tc>
        <w:tc>
          <w:tcPr>
            <w:tcW w:w="80" w:type="dxa"/>
            <w:vAlign w:val="bottom"/>
            <w:tcBorders>
              <w:bottom w:val="single" w:sz="8" w:color="BFBFBF"/>
            </w:tcBorders>
            <w:shd w:val="clear" w:color="auto" w:fill="DDEFF3"/>
          </w:tcPr>
          <w:p>
            <w:pPr>
              <w:spacing w:after="0"/>
              <w:rPr>
                <w:sz w:val="12"/>
                <w:szCs w:val="12"/>
                <w:color w:val="auto"/>
              </w:rPr>
            </w:pPr>
          </w:p>
        </w:tc>
        <w:tc>
          <w:tcPr>
            <w:tcW w:w="860" w:type="dxa"/>
            <w:vAlign w:val="bottom"/>
            <w:tcBorders>
              <w:bottom w:val="single" w:sz="8" w:color="BFBFBF"/>
            </w:tcBorders>
            <w:shd w:val="clear" w:color="auto" w:fill="DDEFF3"/>
          </w:tcPr>
          <w:p>
            <w:pPr>
              <w:spacing w:after="0"/>
              <w:rPr>
                <w:sz w:val="12"/>
                <w:szCs w:val="12"/>
                <w:color w:val="auto"/>
              </w:rPr>
            </w:pPr>
          </w:p>
        </w:tc>
        <w:tc>
          <w:tcPr>
            <w:tcW w:w="200" w:type="dxa"/>
            <w:vAlign w:val="bottom"/>
            <w:tcBorders>
              <w:bottom w:val="single" w:sz="8" w:color="BFBFBF"/>
              <w:right w:val="single" w:sz="8" w:color="BFBFBF"/>
            </w:tcBorders>
            <w:shd w:val="clear" w:color="auto" w:fill="DDEFF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Eric W. Noll</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72,319(4)</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19.50</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07/22/2019</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480" w:type="dxa"/>
            <w:vAlign w:val="bottom"/>
            <w:tcBorders>
              <w:left w:val="single" w:sz="8" w:color="BFBFBF"/>
              <w:right w:val="single" w:sz="8" w:color="BFBFBF"/>
            </w:tcBorders>
          </w:tcPr>
          <w:p>
            <w:pPr>
              <w:ind w:left="560"/>
              <w:spacing w:after="0" w:line="141" w:lineRule="exact"/>
              <w:rPr>
                <w:sz w:val="20"/>
                <w:szCs w:val="20"/>
                <w:color w:val="auto"/>
              </w:rPr>
            </w:pPr>
            <w:r>
              <w:rPr>
                <w:rFonts w:ascii="Arial" w:cs="Arial" w:eastAsia="Arial" w:hAnsi="Arial"/>
                <w:sz w:val="14"/>
                <w:szCs w:val="14"/>
                <w:color w:val="auto"/>
              </w:rPr>
              <w:t>Executive Vice President,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28,362(2)</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19.75</w:t>
            </w: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1" w:lineRule="exact"/>
              <w:rPr>
                <w:sz w:val="20"/>
                <w:szCs w:val="20"/>
                <w:color w:val="auto"/>
              </w:rPr>
            </w:pPr>
            <w:r>
              <w:rPr>
                <w:rFonts w:ascii="Arial" w:cs="Arial" w:eastAsia="Arial" w:hAnsi="Arial"/>
                <w:sz w:val="14"/>
                <w:szCs w:val="14"/>
                <w:color w:val="auto"/>
              </w:rPr>
              <w:t>03/04/2020</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480" w:type="dxa"/>
            <w:vAlign w:val="bottom"/>
            <w:tcBorders>
              <w:left w:val="single" w:sz="8" w:color="BFBFBF"/>
              <w:right w:val="single" w:sz="8" w:color="BFBFBF"/>
            </w:tcBorders>
          </w:tcPr>
          <w:p>
            <w:pPr>
              <w:ind w:left="560"/>
              <w:spacing w:after="0" w:line="129" w:lineRule="exact"/>
              <w:rPr>
                <w:sz w:val="20"/>
                <w:szCs w:val="20"/>
                <w:color w:val="auto"/>
              </w:rPr>
            </w:pPr>
            <w:r>
              <w:rPr>
                <w:rFonts w:ascii="Arial" w:cs="Arial" w:eastAsia="Arial" w:hAnsi="Arial"/>
                <w:sz w:val="14"/>
                <w:szCs w:val="14"/>
                <w:color w:val="auto"/>
                <w:w w:val="99"/>
              </w:rPr>
              <w:t>Transaction Services U.S. and</w:t>
            </w:r>
          </w:p>
        </w:tc>
        <w:tc>
          <w:tcPr>
            <w:tcW w:w="100" w:type="dxa"/>
            <w:vAlign w:val="bottom"/>
            <w:tcBorders>
              <w:bottom w:val="single" w:sz="8" w:color="BFBFBF"/>
            </w:tcBorders>
          </w:tcPr>
          <w:p>
            <w:pPr>
              <w:spacing w:after="0"/>
              <w:rPr>
                <w:sz w:val="11"/>
                <w:szCs w:val="11"/>
                <w:color w:val="auto"/>
              </w:rPr>
            </w:pPr>
          </w:p>
        </w:tc>
        <w:tc>
          <w:tcPr>
            <w:tcW w:w="94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1"/>
                <w:szCs w:val="11"/>
                <w:color w:val="auto"/>
              </w:rPr>
            </w:pPr>
          </w:p>
        </w:tc>
        <w:tc>
          <w:tcPr>
            <w:tcW w:w="1040" w:type="dxa"/>
            <w:vAlign w:val="bottom"/>
            <w:tcBorders>
              <w:bottom w:val="single" w:sz="8" w:color="BFBFBF"/>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33,995(3)</w:t>
            </w:r>
          </w:p>
        </w:tc>
        <w:tc>
          <w:tcPr>
            <w:tcW w:w="100" w:type="dxa"/>
            <w:vAlign w:val="bottom"/>
            <w:tcBorders>
              <w:bottom w:val="single" w:sz="8" w:color="BFBFBF"/>
            </w:tcBorders>
          </w:tcPr>
          <w:p>
            <w:pPr>
              <w:spacing w:after="0"/>
              <w:rPr>
                <w:sz w:val="11"/>
                <w:szCs w:val="11"/>
                <w:color w:val="auto"/>
              </w:rPr>
            </w:pPr>
          </w:p>
        </w:tc>
        <w:tc>
          <w:tcPr>
            <w:tcW w:w="94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BFBFBF"/>
            </w:tcBorders>
            <w:gridSpan w:val="2"/>
          </w:tcPr>
          <w:p>
            <w:pPr>
              <w:ind w:left="80"/>
              <w:spacing w:after="0" w:line="12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25.28</w:t>
            </w:r>
          </w:p>
        </w:tc>
        <w:tc>
          <w:tcPr>
            <w:tcW w:w="80" w:type="dxa"/>
            <w:vAlign w:val="bottom"/>
            <w:tcBorders>
              <w:bottom w:val="single" w:sz="8" w:color="BFBFBF"/>
            </w:tcBorders>
          </w:tcPr>
          <w:p>
            <w:pPr>
              <w:spacing w:after="0"/>
              <w:rPr>
                <w:sz w:val="11"/>
                <w:szCs w:val="11"/>
                <w:color w:val="auto"/>
              </w:rPr>
            </w:pPr>
          </w:p>
        </w:tc>
        <w:tc>
          <w:tcPr>
            <w:tcW w:w="760" w:type="dxa"/>
            <w:vAlign w:val="bottom"/>
            <w:tcBorders>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03/28/2021</w:t>
            </w:r>
          </w:p>
        </w:tc>
        <w:tc>
          <w:tcPr>
            <w:tcW w:w="120" w:type="dxa"/>
            <w:vAlign w:val="bottom"/>
            <w:tcBorders>
              <w:bottom w:val="single" w:sz="8" w:color="BFBFBF"/>
              <w:right w:val="single" w:sz="8" w:color="BFBFBF"/>
            </w:tcBorders>
          </w:tcPr>
          <w:p>
            <w:pPr>
              <w:spacing w:after="0"/>
              <w:rPr>
                <w:sz w:val="11"/>
                <w:szCs w:val="11"/>
                <w:color w:val="auto"/>
              </w:rPr>
            </w:pPr>
          </w:p>
        </w:tc>
        <w:tc>
          <w:tcPr>
            <w:tcW w:w="100" w:type="dxa"/>
            <w:vAlign w:val="bottom"/>
            <w:tcBorders>
              <w:bottom w:val="single" w:sz="8" w:color="BFBFBF"/>
            </w:tcBorders>
          </w:tcPr>
          <w:p>
            <w:pPr>
              <w:spacing w:after="0"/>
              <w:rPr>
                <w:sz w:val="11"/>
                <w:szCs w:val="11"/>
                <w:color w:val="auto"/>
              </w:rPr>
            </w:pPr>
          </w:p>
        </w:tc>
        <w:tc>
          <w:tcPr>
            <w:tcW w:w="86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1"/>
                <w:szCs w:val="11"/>
                <w:color w:val="auto"/>
              </w:rPr>
            </w:pPr>
          </w:p>
        </w:tc>
        <w:tc>
          <w:tcPr>
            <w:tcW w:w="880" w:type="dxa"/>
            <w:vAlign w:val="bottom"/>
            <w:tcBorders>
              <w:bottom w:val="single" w:sz="8" w:color="BFBFBF"/>
              <w:right w:val="single" w:sz="8" w:color="BFBFBF"/>
            </w:tcBorders>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1"/>
                <w:szCs w:val="11"/>
                <w:color w:val="auto"/>
              </w:rPr>
            </w:pPr>
          </w:p>
        </w:tc>
        <w:tc>
          <w:tcPr>
            <w:tcW w:w="860" w:type="dxa"/>
            <w:vAlign w:val="bottom"/>
            <w:tcBorders>
              <w:bottom w:val="single" w:sz="8" w:color="BFBFBF"/>
              <w:right w:val="single" w:sz="8" w:color="BFBFBF"/>
            </w:tcBorders>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1"/>
                <w:szCs w:val="11"/>
                <w:color w:val="auto"/>
              </w:rPr>
            </w:pPr>
          </w:p>
        </w:tc>
        <w:tc>
          <w:tcPr>
            <w:tcW w:w="1060" w:type="dxa"/>
            <w:vAlign w:val="bottom"/>
            <w:tcBorders>
              <w:bottom w:val="single" w:sz="8" w:color="BFBFBF"/>
              <w:right w:val="single" w:sz="8" w:color="BFBFBF"/>
            </w:tcBorders>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tcBorders>
              <w:left w:val="single" w:sz="8" w:color="BFBFBF"/>
              <w:right w:val="single" w:sz="8" w:color="BFBFBF"/>
            </w:tcBorders>
          </w:tcPr>
          <w:p>
            <w:pPr>
              <w:ind w:left="560"/>
              <w:spacing w:after="0" w:line="135" w:lineRule="exact"/>
              <w:rPr>
                <w:sz w:val="20"/>
                <w:szCs w:val="20"/>
                <w:color w:val="auto"/>
              </w:rPr>
            </w:pPr>
            <w:r>
              <w:rPr>
                <w:rFonts w:ascii="Arial" w:cs="Arial" w:eastAsia="Arial" w:hAnsi="Arial"/>
                <w:sz w:val="14"/>
                <w:szCs w:val="14"/>
                <w:color w:val="auto"/>
              </w:rPr>
              <w:t>U.K.</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720" w:type="dxa"/>
            <w:vAlign w:val="bottom"/>
            <w:tcBorders>
              <w:bottom w:val="single" w:sz="8" w:color="BFBFBF"/>
            </w:tcBorders>
          </w:tcPr>
          <w:p>
            <w:pPr>
              <w:jc w:val="right"/>
              <w:spacing w:after="0" w:line="149" w:lineRule="exact"/>
              <w:rPr>
                <w:sz w:val="20"/>
                <w:szCs w:val="20"/>
                <w:color w:val="auto"/>
              </w:rPr>
            </w:pPr>
            <w:r>
              <w:rPr>
                <w:rFonts w:ascii="Arial" w:cs="Arial" w:eastAsia="Arial" w:hAnsi="Arial"/>
                <w:sz w:val="14"/>
                <w:szCs w:val="14"/>
                <w:color w:val="auto"/>
              </w:rPr>
              <w:t>12,152(7)</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9" w:lineRule="exact"/>
              <w:rPr>
                <w:sz w:val="20"/>
                <w:szCs w:val="20"/>
                <w:color w:val="auto"/>
              </w:rPr>
            </w:pPr>
            <w:r>
              <w:rPr>
                <w:rFonts w:ascii="Arial" w:cs="Arial" w:eastAsia="Arial" w:hAnsi="Arial"/>
                <w:sz w:val="14"/>
                <w:szCs w:val="14"/>
                <w:color w:val="auto"/>
              </w:rPr>
              <w:t>$303,678</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7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37,976(6)</w:t>
            </w:r>
          </w:p>
        </w:tc>
        <w:tc>
          <w:tcPr>
            <w:tcW w:w="14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$949,020</w:t>
            </w:r>
          </w:p>
        </w:tc>
        <w:tc>
          <w:tcPr>
            <w:tcW w:w="120" w:type="dxa"/>
            <w:vAlign w:val="bottom"/>
            <w:tcBorders>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right w:val="single" w:sz="8" w:color="BFBFB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left w:val="single" w:sz="8" w:color="BFBFBF"/>
              <w:bottom w:val="single" w:sz="8" w:color="BFBFBF"/>
              <w:right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4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60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BFBFBF"/>
            </w:tcBorders>
          </w:tcPr>
          <w:p>
            <w:pPr>
              <w:spacing w:after="0"/>
              <w:rPr>
                <w:sz w:val="12"/>
                <w:szCs w:val="12"/>
                <w:color w:val="auto"/>
              </w:rPr>
            </w:pPr>
          </w:p>
        </w:tc>
        <w:tc>
          <w:tcPr>
            <w:tcW w:w="880" w:type="dxa"/>
            <w:vAlign w:val="bottom"/>
            <w:tcBorders>
              <w:bottom w:val="single" w:sz="8" w:color="BFBFBF"/>
              <w:right w:val="single" w:sz="8" w:color="BFBFBF"/>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right w:val="single" w:sz="8" w:color="BFBFBF"/>
            </w:tcBorders>
            <w:gridSpan w:val="2"/>
          </w:tcPr>
          <w:p>
            <w:pPr>
              <w:jc w:val="right"/>
              <w:ind w:right="140"/>
              <w:spacing w:after="0" w:line="142" w:lineRule="exact"/>
              <w:rPr>
                <w:sz w:val="20"/>
                <w:szCs w:val="20"/>
                <w:color w:val="auto"/>
              </w:rPr>
            </w:pPr>
            <w:r>
              <w:rPr>
                <w:rFonts w:ascii="Arial" w:cs="Arial" w:eastAsia="Arial" w:hAnsi="Arial"/>
                <w:sz w:val="14"/>
                <w:szCs w:val="14"/>
                <w:color w:val="auto"/>
              </w:rPr>
              <w:t>59,727(9)</w:t>
            </w:r>
          </w:p>
        </w:tc>
        <w:tc>
          <w:tcPr>
            <w:tcW w:w="80" w:type="dxa"/>
            <w:vAlign w:val="bottom"/>
            <w:tcBorders>
              <w:bottom w:val="single" w:sz="8" w:color="BFBFBF"/>
            </w:tcBorders>
          </w:tcPr>
          <w:p>
            <w:pPr>
              <w:spacing w:after="0"/>
              <w:rPr>
                <w:sz w:val="12"/>
                <w:szCs w:val="12"/>
                <w:color w:val="auto"/>
              </w:rPr>
            </w:pPr>
          </w:p>
        </w:tc>
        <w:tc>
          <w:tcPr>
            <w:tcW w:w="8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$1,492,578</w:t>
            </w:r>
          </w:p>
        </w:tc>
        <w:tc>
          <w:tcPr>
            <w:tcW w:w="20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-3635375</wp:posOffset>
            </wp:positionV>
            <wp:extent cx="889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-3635375</wp:posOffset>
            </wp:positionV>
            <wp:extent cx="889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32"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63</w:t>
      </w:r>
    </w:p>
    <w:p>
      <w:pPr>
        <w:sectPr>
          <w:pgSz w:w="11900" w:h="16838" w:orient="portrait"/>
          <w:cols w:equalWidth="0" w:num="1">
            <w:col w:w="11440"/>
          </w:cols>
          <w:pgMar w:left="240" w:top="459" w:right="2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466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unexercisable stock options vest in full on May 23, 2014.</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unexercisable stock options vest in full on March 4, 2014.</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unexercisable stock options vest in full on March 28, 2014.</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unexercisable stock options vest in full on July 22, 2013.</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restricted stock units will vest as to one-third on each of May 23, 2013, May 23, 2014 and May 23, 2015.</w:t>
      </w:r>
    </w:p>
    <w:p>
      <w:pPr>
        <w:spacing w:after="0" w:line="63" w:lineRule="exact"/>
        <w:rPr>
          <w:rFonts w:ascii="Arial" w:cs="Arial" w:eastAsia="Arial" w:hAnsi="Arial"/>
          <w:sz w:val="18"/>
          <w:szCs w:val="18"/>
          <w:color w:val="auto"/>
        </w:rPr>
      </w:pPr>
    </w:p>
    <w:p>
      <w:pPr>
        <w:ind w:left="580" w:right="60" w:hanging="572"/>
        <w:spacing w:after="0" w:line="238"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performance share units were subject to a one-year performance period ending on December 31, 2011, and the remaining unvested shares will vest as to one-half on each of December 31, 2013 and December 31, 2014. Each named executive officer with this grant was awarded 150% of the target amount of performance share units as the performance exceeded the maximum level.</w:t>
      </w:r>
    </w:p>
    <w:p>
      <w:pPr>
        <w:spacing w:after="0" w:line="59" w:lineRule="exact"/>
        <w:rPr>
          <w:rFonts w:ascii="Arial" w:cs="Arial" w:eastAsia="Arial" w:hAnsi="Arial"/>
          <w:sz w:val="18"/>
          <w:szCs w:val="18"/>
          <w:color w:val="auto"/>
        </w:rPr>
      </w:pPr>
    </w:p>
    <w:p>
      <w:pPr>
        <w:ind w:left="580" w:right="60" w:hanging="572"/>
        <w:spacing w:after="0" w:line="238"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performance share units were subject to a one-year performance period ending on December 31, 2010, and the remaining unvested shares will vest on December 31, 2013. Each named executive officer with this grant was awarded 100% of the target amount of performance share units as performance achieved the target level.</w:t>
      </w:r>
    </w:p>
    <w:p>
      <w:pPr>
        <w:spacing w:after="0" w:line="59" w:lineRule="exact"/>
        <w:rPr>
          <w:rFonts w:ascii="Arial" w:cs="Arial" w:eastAsia="Arial" w:hAnsi="Arial"/>
          <w:sz w:val="18"/>
          <w:szCs w:val="18"/>
          <w:color w:val="auto"/>
        </w:rPr>
      </w:pPr>
    </w:p>
    <w:p>
      <w:pPr>
        <w:ind w:left="580" w:right="260" w:hanging="572"/>
        <w:spacing w:after="0" w:line="237"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performance share unit award is subject to a three-year performance period ending on December 31, 2013. The amount reported is the target award amount, although the actual number of shares awarded could range from 0% to 150% of the target amount of 100,000 shares, depending on the level of achievement of certain specified performance goals established by the management compensation committee and board of directors.</w:t>
      </w:r>
    </w:p>
    <w:p>
      <w:pPr>
        <w:spacing w:after="0" w:line="60" w:lineRule="exact"/>
        <w:rPr>
          <w:rFonts w:ascii="Arial" w:cs="Arial" w:eastAsia="Arial" w:hAnsi="Arial"/>
          <w:sz w:val="18"/>
          <w:szCs w:val="18"/>
          <w:color w:val="auto"/>
        </w:rPr>
      </w:pPr>
    </w:p>
    <w:p>
      <w:pPr>
        <w:ind w:left="580" w:right="260" w:hanging="572"/>
        <w:spacing w:after="0" w:line="237"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performance share unit award is subject to a three-year performance period ending on December 31, 2014. The amount reported is the target award amount, although the actual number of shares awarded could range from 0% to 200% of the target amount shares, depending on the level of achievement of certain specified performance goals established by the management compensation committee and board of directors.</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7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following table includes certain information with respect to the options exercised by and restricted stock awards that vested for the named executive officers during the fiscal year ended December 31, 2012.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Option Exercises and Stock Vested Table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340" w:type="dxa"/>
            <w:vAlign w:val="bottom"/>
            <w:tcBorders>
              <w:left w:val="single" w:sz="8" w:color="BFBFBF"/>
              <w:bottom w:val="single" w:sz="8" w:color="0088A6"/>
              <w:right w:val="single" w:sz="8" w:color="BFBFBF"/>
            </w:tcBorders>
            <w:shd w:val="clear" w:color="auto" w:fill="0088A6"/>
          </w:tcPr>
          <w:p>
            <w:pPr>
              <w:spacing w:after="0"/>
              <w:rPr>
                <w:sz w:val="24"/>
                <w:szCs w:val="24"/>
                <w:color w:val="auto"/>
              </w:rPr>
            </w:pPr>
          </w:p>
        </w:tc>
        <w:tc>
          <w:tcPr>
            <w:tcW w:w="240" w:type="dxa"/>
            <w:vAlign w:val="bottom"/>
            <w:tcBorders>
              <w:bottom w:val="single" w:sz="8" w:color="0088A6"/>
            </w:tcBorders>
            <w:shd w:val="clear" w:color="auto" w:fill="0088A6"/>
          </w:tcPr>
          <w:p>
            <w:pPr>
              <w:spacing w:after="0"/>
              <w:rPr>
                <w:sz w:val="24"/>
                <w:szCs w:val="24"/>
                <w:color w:val="auto"/>
              </w:rPr>
            </w:pPr>
          </w:p>
        </w:tc>
        <w:tc>
          <w:tcPr>
            <w:tcW w:w="2420" w:type="dxa"/>
            <w:vAlign w:val="bottom"/>
            <w:tcBorders>
              <w:bottom w:val="single" w:sz="8" w:color="auto"/>
            </w:tcBorders>
            <w:gridSpan w:val="4"/>
            <w:shd w:val="clear" w:color="auto" w:fill="0088A6"/>
          </w:tcPr>
          <w:p>
            <w:pPr>
              <w:ind w:left="1140"/>
              <w:spacing w:after="0"/>
              <w:rPr>
                <w:sz w:val="20"/>
                <w:szCs w:val="20"/>
                <w:color w:val="auto"/>
              </w:rPr>
            </w:pPr>
            <w:r>
              <w:rPr>
                <w:rFonts w:ascii="Arial" w:cs="Arial" w:eastAsia="Arial" w:hAnsi="Arial"/>
                <w:sz w:val="18"/>
                <w:szCs w:val="18"/>
                <w:b w:val="1"/>
                <w:bCs w:val="1"/>
                <w:color w:val="FFFFFF"/>
                <w:w w:val="98"/>
              </w:rPr>
              <w:t>Option Awards</w:t>
            </w:r>
          </w:p>
        </w:tc>
        <w:tc>
          <w:tcPr>
            <w:tcW w:w="1120" w:type="dxa"/>
            <w:vAlign w:val="bottom"/>
            <w:tcBorders>
              <w:bottom w:val="single" w:sz="8" w:color="auto"/>
            </w:tcBorders>
            <w:shd w:val="clear" w:color="auto" w:fill="0088A6"/>
          </w:tcPr>
          <w:p>
            <w:pPr>
              <w:spacing w:after="0"/>
              <w:rPr>
                <w:sz w:val="24"/>
                <w:szCs w:val="24"/>
                <w:color w:val="auto"/>
              </w:rPr>
            </w:pPr>
          </w:p>
        </w:tc>
        <w:tc>
          <w:tcPr>
            <w:tcW w:w="300" w:type="dxa"/>
            <w:vAlign w:val="bottom"/>
            <w:tcBorders>
              <w:bottom w:val="single" w:sz="8" w:color="0088A6"/>
              <w:right w:val="single" w:sz="8" w:color="BFBFBF"/>
            </w:tcBorders>
            <w:shd w:val="clear" w:color="auto" w:fill="0088A6"/>
          </w:tcPr>
          <w:p>
            <w:pPr>
              <w:spacing w:after="0"/>
              <w:rPr>
                <w:sz w:val="24"/>
                <w:szCs w:val="24"/>
                <w:color w:val="auto"/>
              </w:rPr>
            </w:pPr>
          </w:p>
        </w:tc>
        <w:tc>
          <w:tcPr>
            <w:tcW w:w="320" w:type="dxa"/>
            <w:vAlign w:val="bottom"/>
            <w:tcBorders>
              <w:bottom w:val="single" w:sz="8" w:color="0088A6"/>
            </w:tcBorders>
            <w:shd w:val="clear" w:color="auto" w:fill="0088A6"/>
          </w:tcPr>
          <w:p>
            <w:pPr>
              <w:spacing w:after="0"/>
              <w:rPr>
                <w:sz w:val="24"/>
                <w:szCs w:val="24"/>
                <w:color w:val="auto"/>
              </w:rPr>
            </w:pPr>
          </w:p>
        </w:tc>
        <w:tc>
          <w:tcPr>
            <w:tcW w:w="2280" w:type="dxa"/>
            <w:vAlign w:val="bottom"/>
            <w:tcBorders>
              <w:bottom w:val="single" w:sz="8" w:color="auto"/>
            </w:tcBorders>
            <w:gridSpan w:val="4"/>
            <w:shd w:val="clear" w:color="auto" w:fill="0088A6"/>
          </w:tcPr>
          <w:p>
            <w:pPr>
              <w:ind w:left="1100"/>
              <w:spacing w:after="0"/>
              <w:rPr>
                <w:sz w:val="20"/>
                <w:szCs w:val="20"/>
                <w:color w:val="auto"/>
              </w:rPr>
            </w:pPr>
            <w:r>
              <w:rPr>
                <w:rFonts w:ascii="Arial" w:cs="Arial" w:eastAsia="Arial" w:hAnsi="Arial"/>
                <w:sz w:val="18"/>
                <w:szCs w:val="18"/>
                <w:b w:val="1"/>
                <w:bCs w:val="1"/>
                <w:color w:val="FFFFFF"/>
                <w:w w:val="97"/>
              </w:rPr>
              <w:t>Stock Awards</w:t>
            </w:r>
          </w:p>
        </w:tc>
        <w:tc>
          <w:tcPr>
            <w:tcW w:w="1080" w:type="dxa"/>
            <w:vAlign w:val="bottom"/>
            <w:tcBorders>
              <w:bottom w:val="single" w:sz="8" w:color="auto"/>
            </w:tcBorders>
            <w:shd w:val="clear" w:color="auto" w:fill="0088A6"/>
          </w:tcPr>
          <w:p>
            <w:pPr>
              <w:spacing w:after="0"/>
              <w:rPr>
                <w:sz w:val="24"/>
                <w:szCs w:val="24"/>
                <w:color w:val="auto"/>
              </w:rPr>
            </w:pPr>
          </w:p>
        </w:tc>
        <w:tc>
          <w:tcPr>
            <w:tcW w:w="340" w:type="dxa"/>
            <w:vAlign w:val="bottom"/>
            <w:tcBorders>
              <w:bottom w:val="single" w:sz="8" w:color="0088A6"/>
              <w:right w:val="single" w:sz="8" w:color="BFBFBF"/>
            </w:tcBorders>
            <w:shd w:val="clear" w:color="auto" w:fill="0088A6"/>
          </w:tcPr>
          <w:p>
            <w:pPr>
              <w:spacing w:after="0"/>
              <w:rPr>
                <w:sz w:val="24"/>
                <w:szCs w:val="24"/>
                <w:color w:val="auto"/>
              </w:rPr>
            </w:pPr>
          </w:p>
        </w:tc>
      </w:tr>
      <w:tr>
        <w:trPr>
          <w:trHeight w:val="184"/>
        </w:trPr>
        <w:tc>
          <w:tcPr>
            <w:tcW w:w="3340" w:type="dxa"/>
            <w:vAlign w:val="bottom"/>
            <w:tcBorders>
              <w:top w:val="single" w:sz="8" w:color="0088A6"/>
              <w:left w:val="single" w:sz="8" w:color="BFBFBF"/>
              <w:right w:val="single" w:sz="8" w:color="BFBFBF"/>
            </w:tcBorders>
            <w:shd w:val="clear" w:color="auto" w:fill="0088A6"/>
          </w:tcPr>
          <w:p>
            <w:pPr>
              <w:spacing w:after="0"/>
              <w:rPr>
                <w:sz w:val="16"/>
                <w:szCs w:val="16"/>
                <w:color w:val="auto"/>
              </w:rPr>
            </w:pPr>
          </w:p>
        </w:tc>
        <w:tc>
          <w:tcPr>
            <w:tcW w:w="240" w:type="dxa"/>
            <w:vAlign w:val="bottom"/>
            <w:tcBorders>
              <w:top w:val="single" w:sz="8" w:color="0088A6"/>
            </w:tcBorders>
            <w:shd w:val="clear" w:color="auto" w:fill="0088A6"/>
          </w:tcPr>
          <w:p>
            <w:pPr>
              <w:spacing w:after="0"/>
              <w:rPr>
                <w:sz w:val="16"/>
                <w:szCs w:val="16"/>
                <w:color w:val="auto"/>
              </w:rPr>
            </w:pPr>
          </w:p>
        </w:tc>
        <w:tc>
          <w:tcPr>
            <w:tcW w:w="2080" w:type="dxa"/>
            <w:vAlign w:val="bottom"/>
            <w:tcBorders>
              <w:top w:val="single" w:sz="8" w:color="0088A6"/>
              <w:right w:val="single" w:sz="8" w:color="BFBFBF"/>
            </w:tcBorders>
            <w:gridSpan w:val="2"/>
            <w:shd w:val="clear" w:color="auto" w:fill="0088A6"/>
          </w:tcPr>
          <w:p>
            <w:pPr>
              <w:ind w:left="120"/>
              <w:spacing w:after="0" w:line="184" w:lineRule="exact"/>
              <w:rPr>
                <w:sz w:val="20"/>
                <w:szCs w:val="20"/>
                <w:color w:val="auto"/>
              </w:rPr>
            </w:pPr>
            <w:r>
              <w:rPr>
                <w:rFonts w:ascii="Arial" w:cs="Arial" w:eastAsia="Arial" w:hAnsi="Arial"/>
                <w:sz w:val="18"/>
                <w:szCs w:val="18"/>
                <w:b w:val="1"/>
                <w:bCs w:val="1"/>
                <w:color w:val="FFFFFF"/>
              </w:rPr>
              <w:t>Number of Shares</w:t>
            </w:r>
          </w:p>
        </w:tc>
        <w:tc>
          <w:tcPr>
            <w:tcW w:w="240" w:type="dxa"/>
            <w:vAlign w:val="bottom"/>
            <w:tcBorders>
              <w:top w:val="single" w:sz="8" w:color="0088A6"/>
            </w:tcBorders>
            <w:shd w:val="clear" w:color="auto" w:fill="0088A6"/>
          </w:tcPr>
          <w:p>
            <w:pPr>
              <w:spacing w:after="0"/>
              <w:rPr>
                <w:sz w:val="16"/>
                <w:szCs w:val="16"/>
                <w:color w:val="auto"/>
              </w:rPr>
            </w:pPr>
          </w:p>
        </w:tc>
        <w:tc>
          <w:tcPr>
            <w:tcW w:w="1520" w:type="dxa"/>
            <w:vAlign w:val="bottom"/>
            <w:tcBorders>
              <w:top w:val="single" w:sz="8" w:color="0088A6"/>
              <w:right w:val="single" w:sz="8" w:color="BFBFBF"/>
            </w:tcBorders>
            <w:gridSpan w:val="3"/>
            <w:shd w:val="clear" w:color="auto" w:fill="0088A6"/>
          </w:tcPr>
          <w:p>
            <w:pPr>
              <w:spacing w:after="0" w:line="184" w:lineRule="exact"/>
              <w:rPr>
                <w:sz w:val="20"/>
                <w:szCs w:val="20"/>
                <w:color w:val="auto"/>
              </w:rPr>
            </w:pPr>
            <w:r>
              <w:rPr>
                <w:rFonts w:ascii="Arial" w:cs="Arial" w:eastAsia="Arial" w:hAnsi="Arial"/>
                <w:sz w:val="18"/>
                <w:szCs w:val="18"/>
                <w:b w:val="1"/>
                <w:bCs w:val="1"/>
                <w:color w:val="FFFFFF"/>
              </w:rPr>
              <w:t>Value Realized</w:t>
            </w:r>
          </w:p>
        </w:tc>
        <w:tc>
          <w:tcPr>
            <w:tcW w:w="320" w:type="dxa"/>
            <w:vAlign w:val="bottom"/>
            <w:tcBorders>
              <w:top w:val="single" w:sz="8" w:color="0088A6"/>
            </w:tcBorders>
            <w:shd w:val="clear" w:color="auto" w:fill="0088A6"/>
          </w:tcPr>
          <w:p>
            <w:pPr>
              <w:spacing w:after="0"/>
              <w:rPr>
                <w:sz w:val="16"/>
                <w:szCs w:val="16"/>
                <w:color w:val="auto"/>
              </w:rPr>
            </w:pPr>
          </w:p>
        </w:tc>
        <w:tc>
          <w:tcPr>
            <w:tcW w:w="1900" w:type="dxa"/>
            <w:vAlign w:val="bottom"/>
            <w:tcBorders>
              <w:top w:val="single" w:sz="8" w:color="0088A6"/>
              <w:right w:val="single" w:sz="8" w:color="BFBFBF"/>
            </w:tcBorders>
            <w:gridSpan w:val="2"/>
            <w:shd w:val="clear" w:color="auto" w:fill="0088A6"/>
          </w:tcPr>
          <w:p>
            <w:pPr>
              <w:ind w:left="60"/>
              <w:spacing w:after="0" w:line="184" w:lineRule="exact"/>
              <w:rPr>
                <w:sz w:val="20"/>
                <w:szCs w:val="20"/>
                <w:color w:val="auto"/>
              </w:rPr>
            </w:pPr>
            <w:r>
              <w:rPr>
                <w:rFonts w:ascii="Arial" w:cs="Arial" w:eastAsia="Arial" w:hAnsi="Arial"/>
                <w:sz w:val="18"/>
                <w:szCs w:val="18"/>
                <w:b w:val="1"/>
                <w:bCs w:val="1"/>
                <w:color w:val="FFFFFF"/>
              </w:rPr>
              <w:t>Number of Shares</w:t>
            </w:r>
          </w:p>
        </w:tc>
        <w:tc>
          <w:tcPr>
            <w:tcW w:w="240" w:type="dxa"/>
            <w:vAlign w:val="bottom"/>
            <w:tcBorders>
              <w:top w:val="single" w:sz="8" w:color="0088A6"/>
            </w:tcBorders>
            <w:shd w:val="clear" w:color="auto" w:fill="0088A6"/>
          </w:tcPr>
          <w:p>
            <w:pPr>
              <w:spacing w:after="0"/>
              <w:rPr>
                <w:sz w:val="16"/>
                <w:szCs w:val="16"/>
                <w:color w:val="auto"/>
              </w:rPr>
            </w:pPr>
          </w:p>
        </w:tc>
        <w:tc>
          <w:tcPr>
            <w:tcW w:w="1560" w:type="dxa"/>
            <w:vAlign w:val="bottom"/>
            <w:tcBorders>
              <w:top w:val="single" w:sz="8" w:color="0088A6"/>
              <w:right w:val="single" w:sz="8" w:color="BFBFBF"/>
            </w:tcBorders>
            <w:gridSpan w:val="3"/>
            <w:shd w:val="clear" w:color="auto" w:fill="0088A6"/>
          </w:tcPr>
          <w:p>
            <w:pPr>
              <w:spacing w:after="0" w:line="184" w:lineRule="exact"/>
              <w:rPr>
                <w:sz w:val="20"/>
                <w:szCs w:val="20"/>
                <w:color w:val="auto"/>
              </w:rPr>
            </w:pPr>
            <w:r>
              <w:rPr>
                <w:rFonts w:ascii="Arial" w:cs="Arial" w:eastAsia="Arial" w:hAnsi="Arial"/>
                <w:sz w:val="18"/>
                <w:szCs w:val="18"/>
                <w:b w:val="1"/>
                <w:bCs w:val="1"/>
                <w:color w:val="FFFFFF"/>
              </w:rPr>
              <w:t>Value Realized</w:t>
            </w:r>
          </w:p>
        </w:tc>
      </w:tr>
      <w:tr>
        <w:trPr>
          <w:trHeight w:val="203"/>
        </w:trPr>
        <w:tc>
          <w:tcPr>
            <w:tcW w:w="3340" w:type="dxa"/>
            <w:vAlign w:val="bottom"/>
            <w:tcBorders>
              <w:left w:val="single" w:sz="8" w:color="BFBFBF"/>
              <w:right w:val="single" w:sz="8" w:color="BFBFBF"/>
            </w:tcBorders>
            <w:shd w:val="clear" w:color="auto" w:fill="0088A6"/>
          </w:tcPr>
          <w:p>
            <w:pPr>
              <w:spacing w:after="0"/>
              <w:rPr>
                <w:sz w:val="17"/>
                <w:szCs w:val="17"/>
                <w:color w:val="auto"/>
              </w:rPr>
            </w:pPr>
          </w:p>
        </w:tc>
        <w:tc>
          <w:tcPr>
            <w:tcW w:w="240" w:type="dxa"/>
            <w:vAlign w:val="bottom"/>
            <w:shd w:val="clear" w:color="auto" w:fill="0088A6"/>
          </w:tcPr>
          <w:p>
            <w:pPr>
              <w:spacing w:after="0"/>
              <w:rPr>
                <w:sz w:val="17"/>
                <w:szCs w:val="17"/>
                <w:color w:val="auto"/>
              </w:rPr>
            </w:pPr>
          </w:p>
        </w:tc>
        <w:tc>
          <w:tcPr>
            <w:tcW w:w="2080" w:type="dxa"/>
            <w:vAlign w:val="bottom"/>
            <w:tcBorders>
              <w:right w:val="single" w:sz="8" w:color="BFBFBF"/>
            </w:tcBorders>
            <w:gridSpan w:val="2"/>
            <w:shd w:val="clear" w:color="auto" w:fill="0088A6"/>
          </w:tcPr>
          <w:p>
            <w:pPr>
              <w:spacing w:after="0" w:line="202" w:lineRule="exact"/>
              <w:rPr>
                <w:sz w:val="20"/>
                <w:szCs w:val="20"/>
                <w:color w:val="auto"/>
              </w:rPr>
            </w:pPr>
            <w:r>
              <w:rPr>
                <w:rFonts w:ascii="Arial" w:cs="Arial" w:eastAsia="Arial" w:hAnsi="Arial"/>
                <w:sz w:val="18"/>
                <w:szCs w:val="18"/>
                <w:b w:val="1"/>
                <w:bCs w:val="1"/>
                <w:color w:val="FFFFFF"/>
              </w:rPr>
              <w:t>Acquired on Exercise</w:t>
            </w:r>
          </w:p>
        </w:tc>
        <w:tc>
          <w:tcPr>
            <w:tcW w:w="240" w:type="dxa"/>
            <w:vAlign w:val="bottom"/>
            <w:shd w:val="clear" w:color="auto" w:fill="0088A6"/>
          </w:tcPr>
          <w:p>
            <w:pPr>
              <w:spacing w:after="0"/>
              <w:rPr>
                <w:sz w:val="17"/>
                <w:szCs w:val="17"/>
                <w:color w:val="auto"/>
              </w:rPr>
            </w:pPr>
          </w:p>
        </w:tc>
        <w:tc>
          <w:tcPr>
            <w:tcW w:w="100" w:type="dxa"/>
            <w:vAlign w:val="bottom"/>
            <w:shd w:val="clear" w:color="auto" w:fill="0088A6"/>
          </w:tcPr>
          <w:p>
            <w:pPr>
              <w:spacing w:after="0"/>
              <w:rPr>
                <w:sz w:val="17"/>
                <w:szCs w:val="17"/>
                <w:color w:val="auto"/>
              </w:rPr>
            </w:pPr>
          </w:p>
        </w:tc>
        <w:tc>
          <w:tcPr>
            <w:tcW w:w="1420" w:type="dxa"/>
            <w:vAlign w:val="bottom"/>
            <w:tcBorders>
              <w:right w:val="single" w:sz="8" w:color="BFBFBF"/>
            </w:tcBorders>
            <w:gridSpan w:val="2"/>
            <w:shd w:val="clear" w:color="auto" w:fill="0088A6"/>
          </w:tcPr>
          <w:p>
            <w:pPr>
              <w:ind w:left="20"/>
              <w:spacing w:after="0" w:line="202" w:lineRule="exact"/>
              <w:rPr>
                <w:sz w:val="20"/>
                <w:szCs w:val="20"/>
                <w:color w:val="auto"/>
              </w:rPr>
            </w:pPr>
            <w:r>
              <w:rPr>
                <w:rFonts w:ascii="Arial" w:cs="Arial" w:eastAsia="Arial" w:hAnsi="Arial"/>
                <w:sz w:val="18"/>
                <w:szCs w:val="18"/>
                <w:b w:val="1"/>
                <w:bCs w:val="1"/>
                <w:color w:val="FFFFFF"/>
              </w:rPr>
              <w:t>on Exercise</w:t>
            </w:r>
          </w:p>
        </w:tc>
        <w:tc>
          <w:tcPr>
            <w:tcW w:w="320" w:type="dxa"/>
            <w:vAlign w:val="bottom"/>
            <w:shd w:val="clear" w:color="auto" w:fill="0088A6"/>
          </w:tcPr>
          <w:p>
            <w:pPr>
              <w:spacing w:after="0"/>
              <w:rPr>
                <w:sz w:val="17"/>
                <w:szCs w:val="17"/>
                <w:color w:val="auto"/>
              </w:rPr>
            </w:pPr>
          </w:p>
        </w:tc>
        <w:tc>
          <w:tcPr>
            <w:tcW w:w="1900" w:type="dxa"/>
            <w:vAlign w:val="bottom"/>
            <w:tcBorders>
              <w:right w:val="single" w:sz="8" w:color="BFBFBF"/>
            </w:tcBorders>
            <w:gridSpan w:val="2"/>
            <w:shd w:val="clear" w:color="auto" w:fill="0088A6"/>
          </w:tcPr>
          <w:p>
            <w:pPr>
              <w:spacing w:after="0" w:line="202" w:lineRule="exact"/>
              <w:rPr>
                <w:sz w:val="20"/>
                <w:szCs w:val="20"/>
                <w:color w:val="auto"/>
              </w:rPr>
            </w:pPr>
            <w:r>
              <w:rPr>
                <w:rFonts w:ascii="Arial" w:cs="Arial" w:eastAsia="Arial" w:hAnsi="Arial"/>
                <w:sz w:val="18"/>
                <w:szCs w:val="18"/>
                <w:b w:val="1"/>
                <w:bCs w:val="1"/>
                <w:color w:val="FFFFFF"/>
              </w:rPr>
              <w:t>Acquired on Vesting</w:t>
            </w:r>
          </w:p>
        </w:tc>
        <w:tc>
          <w:tcPr>
            <w:tcW w:w="240" w:type="dxa"/>
            <w:vAlign w:val="bottom"/>
            <w:shd w:val="clear" w:color="auto" w:fill="0088A6"/>
          </w:tcPr>
          <w:p>
            <w:pPr>
              <w:spacing w:after="0"/>
              <w:rPr>
                <w:sz w:val="17"/>
                <w:szCs w:val="17"/>
                <w:color w:val="auto"/>
              </w:rPr>
            </w:pPr>
          </w:p>
        </w:tc>
        <w:tc>
          <w:tcPr>
            <w:tcW w:w="140" w:type="dxa"/>
            <w:vAlign w:val="bottom"/>
            <w:shd w:val="clear" w:color="auto" w:fill="0088A6"/>
          </w:tcPr>
          <w:p>
            <w:pPr>
              <w:spacing w:after="0"/>
              <w:rPr>
                <w:sz w:val="17"/>
                <w:szCs w:val="17"/>
                <w:color w:val="auto"/>
              </w:rPr>
            </w:pPr>
          </w:p>
        </w:tc>
        <w:tc>
          <w:tcPr>
            <w:tcW w:w="1420" w:type="dxa"/>
            <w:vAlign w:val="bottom"/>
            <w:tcBorders>
              <w:right w:val="single" w:sz="8" w:color="BFBFBF"/>
            </w:tcBorders>
            <w:gridSpan w:val="2"/>
            <w:shd w:val="clear" w:color="auto" w:fill="0088A6"/>
          </w:tcPr>
          <w:p>
            <w:pPr>
              <w:ind w:left="40"/>
              <w:spacing w:after="0" w:line="202" w:lineRule="exact"/>
              <w:rPr>
                <w:sz w:val="20"/>
                <w:szCs w:val="20"/>
                <w:color w:val="auto"/>
              </w:rPr>
            </w:pPr>
            <w:r>
              <w:rPr>
                <w:rFonts w:ascii="Arial" w:cs="Arial" w:eastAsia="Arial" w:hAnsi="Arial"/>
                <w:sz w:val="18"/>
                <w:szCs w:val="18"/>
                <w:b w:val="1"/>
                <w:bCs w:val="1"/>
                <w:color w:val="FFFFFF"/>
              </w:rPr>
              <w:t>on Vesting</w:t>
            </w:r>
          </w:p>
        </w:tc>
      </w:tr>
      <w:tr>
        <w:trPr>
          <w:trHeight w:val="266"/>
        </w:trPr>
        <w:tc>
          <w:tcPr>
            <w:tcW w:w="3340" w:type="dxa"/>
            <w:vAlign w:val="bottom"/>
            <w:tcBorders>
              <w:left w:val="single" w:sz="8" w:color="BFBFBF"/>
              <w:bottom w:val="single" w:sz="8" w:color="auto"/>
              <w:right w:val="single" w:sz="8" w:color="BFBFBF"/>
            </w:tcBorders>
            <w:shd w:val="clear" w:color="auto" w:fill="0088A6"/>
          </w:tcPr>
          <w:p>
            <w:pPr>
              <w:ind w:left="1480"/>
              <w:spacing w:after="0"/>
              <w:rPr>
                <w:sz w:val="20"/>
                <w:szCs w:val="20"/>
                <w:color w:val="auto"/>
              </w:rPr>
            </w:pPr>
            <w:r>
              <w:rPr>
                <w:rFonts w:ascii="Arial" w:cs="Arial" w:eastAsia="Arial" w:hAnsi="Arial"/>
                <w:sz w:val="18"/>
                <w:szCs w:val="18"/>
                <w:b w:val="1"/>
                <w:bCs w:val="1"/>
                <w:color w:val="FFFFFF"/>
              </w:rPr>
              <w:t>Name</w:t>
            </w:r>
          </w:p>
        </w:tc>
        <w:tc>
          <w:tcPr>
            <w:tcW w:w="240" w:type="dxa"/>
            <w:vAlign w:val="bottom"/>
            <w:tcBorders>
              <w:bottom w:val="single" w:sz="8" w:color="0088A6"/>
            </w:tcBorders>
            <w:shd w:val="clear" w:color="auto" w:fill="0088A6"/>
          </w:tcPr>
          <w:p>
            <w:pPr>
              <w:spacing w:after="0"/>
              <w:rPr>
                <w:sz w:val="22"/>
                <w:szCs w:val="22"/>
                <w:color w:val="auto"/>
              </w:rPr>
            </w:pPr>
          </w:p>
        </w:tc>
        <w:tc>
          <w:tcPr>
            <w:tcW w:w="1780" w:type="dxa"/>
            <w:vAlign w:val="bottom"/>
            <w:tcBorders>
              <w:bottom w:val="single" w:sz="8" w:color="auto"/>
            </w:tcBorders>
            <w:shd w:val="clear" w:color="auto" w:fill="0088A6"/>
          </w:tcPr>
          <w:p>
            <w:pPr>
              <w:jc w:val="right"/>
              <w:ind w:right="692"/>
              <w:spacing w:after="0"/>
              <w:rPr>
                <w:sz w:val="20"/>
                <w:szCs w:val="20"/>
                <w:color w:val="auto"/>
              </w:rPr>
            </w:pPr>
            <w:r>
              <w:rPr>
                <w:rFonts w:ascii="Arial" w:cs="Arial" w:eastAsia="Arial" w:hAnsi="Arial"/>
                <w:sz w:val="18"/>
                <w:szCs w:val="18"/>
                <w:b w:val="1"/>
                <w:bCs w:val="1"/>
                <w:color w:val="FFFFFF"/>
              </w:rPr>
              <w:t>(#)</w:t>
            </w:r>
          </w:p>
        </w:tc>
        <w:tc>
          <w:tcPr>
            <w:tcW w:w="300" w:type="dxa"/>
            <w:vAlign w:val="bottom"/>
            <w:tcBorders>
              <w:bottom w:val="single" w:sz="8" w:color="0088A6"/>
              <w:right w:val="single" w:sz="8" w:color="BFBFBF"/>
            </w:tcBorders>
            <w:shd w:val="clear" w:color="auto" w:fill="0088A6"/>
          </w:tcPr>
          <w:p>
            <w:pPr>
              <w:spacing w:after="0"/>
              <w:rPr>
                <w:sz w:val="22"/>
                <w:szCs w:val="22"/>
                <w:color w:val="auto"/>
              </w:rPr>
            </w:pPr>
          </w:p>
        </w:tc>
        <w:tc>
          <w:tcPr>
            <w:tcW w:w="240" w:type="dxa"/>
            <w:vAlign w:val="bottom"/>
            <w:tcBorders>
              <w:bottom w:val="single" w:sz="8" w:color="0088A6"/>
            </w:tcBorders>
            <w:shd w:val="clear" w:color="auto" w:fill="0088A6"/>
          </w:tcPr>
          <w:p>
            <w:pPr>
              <w:spacing w:after="0"/>
              <w:rPr>
                <w:sz w:val="22"/>
                <w:szCs w:val="22"/>
                <w:color w:val="auto"/>
              </w:rPr>
            </w:pPr>
          </w:p>
        </w:tc>
        <w:tc>
          <w:tcPr>
            <w:tcW w:w="100" w:type="dxa"/>
            <w:vAlign w:val="bottom"/>
            <w:tcBorders>
              <w:bottom w:val="single" w:sz="8" w:color="auto"/>
            </w:tcBorders>
            <w:shd w:val="clear" w:color="auto" w:fill="0088A6"/>
          </w:tcPr>
          <w:p>
            <w:pPr>
              <w:spacing w:after="0"/>
              <w:rPr>
                <w:sz w:val="22"/>
                <w:szCs w:val="22"/>
                <w:color w:val="auto"/>
              </w:rPr>
            </w:pPr>
          </w:p>
        </w:tc>
        <w:tc>
          <w:tcPr>
            <w:tcW w:w="1120" w:type="dxa"/>
            <w:vAlign w:val="bottom"/>
            <w:tcBorders>
              <w:bottom w:val="single" w:sz="8" w:color="auto"/>
            </w:tcBorders>
            <w:shd w:val="clear" w:color="auto" w:fill="0088A6"/>
          </w:tcPr>
          <w:p>
            <w:pPr>
              <w:jc w:val="right"/>
              <w:ind w:right="312"/>
              <w:spacing w:after="0"/>
              <w:rPr>
                <w:sz w:val="20"/>
                <w:szCs w:val="20"/>
                <w:color w:val="auto"/>
              </w:rPr>
            </w:pPr>
            <w:r>
              <w:rPr>
                <w:rFonts w:ascii="Arial" w:cs="Arial" w:eastAsia="Arial" w:hAnsi="Arial"/>
                <w:sz w:val="18"/>
                <w:szCs w:val="18"/>
                <w:b w:val="1"/>
                <w:bCs w:val="1"/>
                <w:color w:val="FFFFFF"/>
              </w:rPr>
              <w:t>($)(1)</w:t>
            </w:r>
          </w:p>
        </w:tc>
        <w:tc>
          <w:tcPr>
            <w:tcW w:w="300" w:type="dxa"/>
            <w:vAlign w:val="bottom"/>
            <w:tcBorders>
              <w:bottom w:val="single" w:sz="8" w:color="0088A6"/>
              <w:right w:val="single" w:sz="8" w:color="BFBFBF"/>
            </w:tcBorders>
            <w:shd w:val="clear" w:color="auto" w:fill="0088A6"/>
          </w:tcPr>
          <w:p>
            <w:pPr>
              <w:spacing w:after="0"/>
              <w:rPr>
                <w:sz w:val="22"/>
                <w:szCs w:val="22"/>
                <w:color w:val="auto"/>
              </w:rPr>
            </w:pPr>
          </w:p>
        </w:tc>
        <w:tc>
          <w:tcPr>
            <w:tcW w:w="320" w:type="dxa"/>
            <w:vAlign w:val="bottom"/>
            <w:tcBorders>
              <w:bottom w:val="single" w:sz="8" w:color="0088A6"/>
            </w:tcBorders>
            <w:shd w:val="clear" w:color="auto" w:fill="0088A6"/>
          </w:tcPr>
          <w:p>
            <w:pPr>
              <w:spacing w:after="0"/>
              <w:rPr>
                <w:sz w:val="22"/>
                <w:szCs w:val="22"/>
                <w:color w:val="auto"/>
              </w:rPr>
            </w:pPr>
          </w:p>
        </w:tc>
        <w:tc>
          <w:tcPr>
            <w:tcW w:w="1700" w:type="dxa"/>
            <w:vAlign w:val="bottom"/>
            <w:tcBorders>
              <w:bottom w:val="single" w:sz="8" w:color="auto"/>
            </w:tcBorders>
            <w:shd w:val="clear" w:color="auto" w:fill="0088A6"/>
          </w:tcPr>
          <w:p>
            <w:pPr>
              <w:jc w:val="right"/>
              <w:ind w:right="652"/>
              <w:spacing w:after="0"/>
              <w:rPr>
                <w:sz w:val="20"/>
                <w:szCs w:val="20"/>
                <w:color w:val="auto"/>
              </w:rPr>
            </w:pPr>
            <w:r>
              <w:rPr>
                <w:rFonts w:ascii="Arial" w:cs="Arial" w:eastAsia="Arial" w:hAnsi="Arial"/>
                <w:sz w:val="18"/>
                <w:szCs w:val="18"/>
                <w:b w:val="1"/>
                <w:bCs w:val="1"/>
                <w:color w:val="FFFFFF"/>
              </w:rPr>
              <w:t>(#)</w:t>
            </w:r>
          </w:p>
        </w:tc>
        <w:tc>
          <w:tcPr>
            <w:tcW w:w="200" w:type="dxa"/>
            <w:vAlign w:val="bottom"/>
            <w:tcBorders>
              <w:bottom w:val="single" w:sz="8" w:color="0088A6"/>
              <w:right w:val="single" w:sz="8" w:color="BFBFBF"/>
            </w:tcBorders>
            <w:shd w:val="clear" w:color="auto" w:fill="0088A6"/>
          </w:tcPr>
          <w:p>
            <w:pPr>
              <w:spacing w:after="0"/>
              <w:rPr>
                <w:sz w:val="22"/>
                <w:szCs w:val="22"/>
                <w:color w:val="auto"/>
              </w:rPr>
            </w:pPr>
          </w:p>
        </w:tc>
        <w:tc>
          <w:tcPr>
            <w:tcW w:w="240" w:type="dxa"/>
            <w:vAlign w:val="bottom"/>
            <w:tcBorders>
              <w:bottom w:val="single" w:sz="8" w:color="0088A6"/>
            </w:tcBorders>
            <w:shd w:val="clear" w:color="auto" w:fill="0088A6"/>
          </w:tcPr>
          <w:p>
            <w:pPr>
              <w:spacing w:after="0"/>
              <w:rPr>
                <w:sz w:val="22"/>
                <w:szCs w:val="22"/>
                <w:color w:val="auto"/>
              </w:rPr>
            </w:pPr>
          </w:p>
        </w:tc>
        <w:tc>
          <w:tcPr>
            <w:tcW w:w="140" w:type="dxa"/>
            <w:vAlign w:val="bottom"/>
            <w:tcBorders>
              <w:bottom w:val="single" w:sz="8" w:color="auto"/>
            </w:tcBorders>
            <w:shd w:val="clear" w:color="auto" w:fill="0088A6"/>
          </w:tcPr>
          <w:p>
            <w:pPr>
              <w:spacing w:after="0"/>
              <w:rPr>
                <w:sz w:val="22"/>
                <w:szCs w:val="22"/>
                <w:color w:val="auto"/>
              </w:rPr>
            </w:pPr>
          </w:p>
        </w:tc>
        <w:tc>
          <w:tcPr>
            <w:tcW w:w="1080" w:type="dxa"/>
            <w:vAlign w:val="bottom"/>
            <w:tcBorders>
              <w:bottom w:val="single" w:sz="8" w:color="auto"/>
            </w:tcBorders>
            <w:shd w:val="clear" w:color="auto" w:fill="0088A6"/>
          </w:tcPr>
          <w:p>
            <w:pPr>
              <w:jc w:val="right"/>
              <w:ind w:right="312"/>
              <w:spacing w:after="0"/>
              <w:rPr>
                <w:sz w:val="20"/>
                <w:szCs w:val="20"/>
                <w:color w:val="auto"/>
              </w:rPr>
            </w:pPr>
            <w:r>
              <w:rPr>
                <w:rFonts w:ascii="Arial" w:cs="Arial" w:eastAsia="Arial" w:hAnsi="Arial"/>
                <w:sz w:val="18"/>
                <w:szCs w:val="18"/>
                <w:b w:val="1"/>
                <w:bCs w:val="1"/>
                <w:color w:val="FFFFFF"/>
              </w:rPr>
              <w:t>($)(2)</w:t>
            </w:r>
          </w:p>
        </w:tc>
        <w:tc>
          <w:tcPr>
            <w:tcW w:w="340" w:type="dxa"/>
            <w:vAlign w:val="bottom"/>
            <w:tcBorders>
              <w:bottom w:val="single" w:sz="8" w:color="0088A6"/>
              <w:right w:val="single" w:sz="8" w:color="BFBFBF"/>
            </w:tcBorders>
            <w:shd w:val="clear" w:color="auto" w:fill="0088A6"/>
          </w:tcPr>
          <w:p>
            <w:pPr>
              <w:spacing w:after="0"/>
              <w:rPr>
                <w:sz w:val="22"/>
                <w:szCs w:val="22"/>
                <w:color w:val="auto"/>
              </w:rPr>
            </w:pPr>
          </w:p>
        </w:tc>
      </w:tr>
      <w:tr>
        <w:trPr>
          <w:trHeight w:val="426"/>
        </w:trPr>
        <w:tc>
          <w:tcPr>
            <w:tcW w:w="3340" w:type="dxa"/>
            <w:vAlign w:val="bottom"/>
            <w:tcBorders>
              <w:top w:val="single" w:sz="8" w:color="0088A6"/>
              <w:left w:val="single" w:sz="8" w:color="BFBFBF"/>
              <w:bottom w:val="single" w:sz="8" w:color="BFBFBF"/>
              <w:right w:val="single" w:sz="8" w:color="BFBFBF"/>
            </w:tcBorders>
          </w:tcPr>
          <w:p>
            <w:pPr>
              <w:ind w:left="180"/>
              <w:spacing w:after="0"/>
              <w:rPr>
                <w:sz w:val="20"/>
                <w:szCs w:val="20"/>
                <w:color w:val="auto"/>
              </w:rPr>
            </w:pPr>
            <w:r>
              <w:rPr>
                <w:rFonts w:ascii="Arial" w:cs="Arial" w:eastAsia="Arial" w:hAnsi="Arial"/>
                <w:sz w:val="18"/>
                <w:szCs w:val="18"/>
                <w:color w:val="auto"/>
              </w:rPr>
              <w:t>Robert Greifeld</w:t>
            </w:r>
          </w:p>
        </w:tc>
        <w:tc>
          <w:tcPr>
            <w:tcW w:w="240" w:type="dxa"/>
            <w:vAlign w:val="bottom"/>
            <w:tcBorders>
              <w:top w:val="single" w:sz="8" w:color="0088A6"/>
              <w:bottom w:val="single" w:sz="8" w:color="BFBFBF"/>
            </w:tcBorders>
          </w:tcPr>
          <w:p>
            <w:pPr>
              <w:spacing w:after="0"/>
              <w:rPr>
                <w:sz w:val="24"/>
                <w:szCs w:val="24"/>
                <w:color w:val="auto"/>
              </w:rPr>
            </w:pPr>
          </w:p>
        </w:tc>
        <w:tc>
          <w:tcPr>
            <w:tcW w:w="1780" w:type="dxa"/>
            <w:vAlign w:val="bottom"/>
            <w:tcBorders>
              <w:top w:val="single" w:sz="8" w:color="0088A6"/>
              <w:bottom w:val="single" w:sz="8" w:color="BFBFBF"/>
            </w:tcBorders>
          </w:tcPr>
          <w:p>
            <w:pPr>
              <w:jc w:val="right"/>
              <w:ind w:right="92"/>
              <w:spacing w:after="0"/>
              <w:rPr>
                <w:sz w:val="20"/>
                <w:szCs w:val="20"/>
                <w:color w:val="auto"/>
              </w:rPr>
            </w:pPr>
            <w:r>
              <w:rPr>
                <w:rFonts w:ascii="Arial" w:cs="Arial" w:eastAsia="Arial" w:hAnsi="Arial"/>
                <w:sz w:val="18"/>
                <w:szCs w:val="18"/>
                <w:color w:val="auto"/>
              </w:rPr>
              <w:t>1,000,000</w:t>
            </w:r>
          </w:p>
        </w:tc>
        <w:tc>
          <w:tcPr>
            <w:tcW w:w="300" w:type="dxa"/>
            <w:vAlign w:val="bottom"/>
            <w:tcBorders>
              <w:top w:val="single" w:sz="8" w:color="0088A6"/>
              <w:bottom w:val="single" w:sz="8" w:color="BFBFBF"/>
              <w:right w:val="single" w:sz="8" w:color="BFBFBF"/>
            </w:tcBorders>
          </w:tcPr>
          <w:p>
            <w:pPr>
              <w:spacing w:after="0"/>
              <w:rPr>
                <w:sz w:val="24"/>
                <w:szCs w:val="24"/>
                <w:color w:val="auto"/>
              </w:rPr>
            </w:pPr>
          </w:p>
        </w:tc>
        <w:tc>
          <w:tcPr>
            <w:tcW w:w="340" w:type="dxa"/>
            <w:vAlign w:val="bottom"/>
            <w:tcBorders>
              <w:top w:val="single" w:sz="8" w:color="0088A6"/>
              <w:bottom w:val="single" w:sz="8" w:color="BFBFBF"/>
            </w:tcBorders>
            <w:gridSpan w:val="2"/>
          </w:tcPr>
          <w:p>
            <w:pPr>
              <w:ind w:left="24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0088A6"/>
              <w:bottom w:val="single" w:sz="8" w:color="BFBFBF"/>
            </w:tcBorders>
          </w:tcPr>
          <w:p>
            <w:pPr>
              <w:jc w:val="right"/>
              <w:spacing w:after="0"/>
              <w:rPr>
                <w:sz w:val="20"/>
                <w:szCs w:val="20"/>
                <w:color w:val="auto"/>
              </w:rPr>
            </w:pPr>
            <w:r>
              <w:rPr>
                <w:rFonts w:ascii="Arial" w:cs="Arial" w:eastAsia="Arial" w:hAnsi="Arial"/>
                <w:sz w:val="18"/>
                <w:szCs w:val="18"/>
                <w:color w:val="auto"/>
              </w:rPr>
              <w:t>19,375,672</w:t>
            </w:r>
          </w:p>
        </w:tc>
        <w:tc>
          <w:tcPr>
            <w:tcW w:w="300" w:type="dxa"/>
            <w:vAlign w:val="bottom"/>
            <w:tcBorders>
              <w:top w:val="single" w:sz="8" w:color="0088A6"/>
              <w:bottom w:val="single" w:sz="8" w:color="BFBFBF"/>
              <w:right w:val="single" w:sz="8" w:color="BFBFBF"/>
            </w:tcBorders>
          </w:tcPr>
          <w:p>
            <w:pPr>
              <w:spacing w:after="0"/>
              <w:rPr>
                <w:sz w:val="24"/>
                <w:szCs w:val="24"/>
                <w:color w:val="auto"/>
              </w:rPr>
            </w:pPr>
          </w:p>
        </w:tc>
        <w:tc>
          <w:tcPr>
            <w:tcW w:w="320" w:type="dxa"/>
            <w:vAlign w:val="bottom"/>
            <w:tcBorders>
              <w:top w:val="single" w:sz="8" w:color="0088A6"/>
              <w:bottom w:val="single" w:sz="8" w:color="BFBFBF"/>
            </w:tcBorders>
          </w:tcPr>
          <w:p>
            <w:pPr>
              <w:spacing w:after="0"/>
              <w:rPr>
                <w:sz w:val="24"/>
                <w:szCs w:val="24"/>
                <w:color w:val="auto"/>
              </w:rPr>
            </w:pPr>
          </w:p>
        </w:tc>
        <w:tc>
          <w:tcPr>
            <w:tcW w:w="1700" w:type="dxa"/>
            <w:vAlign w:val="bottom"/>
            <w:tcBorders>
              <w:top w:val="single" w:sz="8" w:color="0088A6"/>
              <w:bottom w:val="single" w:sz="8" w:color="BFBFBF"/>
            </w:tcBorders>
          </w:tcPr>
          <w:p>
            <w:pPr>
              <w:jc w:val="right"/>
              <w:ind w:right="112"/>
              <w:spacing w:after="0"/>
              <w:rPr>
                <w:sz w:val="20"/>
                <w:szCs w:val="20"/>
                <w:color w:val="auto"/>
              </w:rPr>
            </w:pPr>
            <w:r>
              <w:rPr>
                <w:rFonts w:ascii="Arial" w:cs="Arial" w:eastAsia="Arial" w:hAnsi="Arial"/>
                <w:sz w:val="18"/>
                <w:szCs w:val="18"/>
                <w:color w:val="auto"/>
              </w:rPr>
              <w:t>75,789(3)</w:t>
            </w:r>
          </w:p>
        </w:tc>
        <w:tc>
          <w:tcPr>
            <w:tcW w:w="200" w:type="dxa"/>
            <w:vAlign w:val="bottom"/>
            <w:tcBorders>
              <w:top w:val="single" w:sz="8" w:color="0088A6"/>
              <w:bottom w:val="single" w:sz="8" w:color="BFBFBF"/>
              <w:right w:val="single" w:sz="8" w:color="BFBFBF"/>
            </w:tcBorders>
          </w:tcPr>
          <w:p>
            <w:pPr>
              <w:spacing w:after="0"/>
              <w:rPr>
                <w:sz w:val="24"/>
                <w:szCs w:val="24"/>
                <w:color w:val="auto"/>
              </w:rPr>
            </w:pPr>
          </w:p>
        </w:tc>
        <w:tc>
          <w:tcPr>
            <w:tcW w:w="380" w:type="dxa"/>
            <w:vAlign w:val="bottom"/>
            <w:tcBorders>
              <w:top w:val="single" w:sz="8" w:color="0088A6"/>
              <w:bottom w:val="single" w:sz="8" w:color="BFBFBF"/>
            </w:tcBorders>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0088A6"/>
              <w:bottom w:val="single" w:sz="8" w:color="BFBFBF"/>
            </w:tcBorders>
          </w:tcPr>
          <w:p>
            <w:pPr>
              <w:jc w:val="right"/>
              <w:spacing w:after="0"/>
              <w:rPr>
                <w:sz w:val="20"/>
                <w:szCs w:val="20"/>
                <w:color w:val="auto"/>
              </w:rPr>
            </w:pPr>
            <w:r>
              <w:rPr>
                <w:rFonts w:ascii="Arial" w:cs="Arial" w:eastAsia="Arial" w:hAnsi="Arial"/>
                <w:sz w:val="18"/>
                <w:szCs w:val="18"/>
                <w:color w:val="auto"/>
              </w:rPr>
              <w:t>1,893,967</w:t>
            </w:r>
          </w:p>
        </w:tc>
        <w:tc>
          <w:tcPr>
            <w:tcW w:w="340" w:type="dxa"/>
            <w:vAlign w:val="bottom"/>
            <w:tcBorders>
              <w:top w:val="single" w:sz="8" w:color="0088A6"/>
              <w:bottom w:val="single" w:sz="8" w:color="BFBFBF"/>
              <w:right w:val="single" w:sz="8" w:color="BFBFBF"/>
            </w:tcBorders>
          </w:tcPr>
          <w:p>
            <w:pPr>
              <w:spacing w:after="0"/>
              <w:rPr>
                <w:sz w:val="24"/>
                <w:szCs w:val="24"/>
                <w:color w:val="auto"/>
              </w:rPr>
            </w:pPr>
          </w:p>
        </w:tc>
      </w:tr>
      <w:tr>
        <w:trPr>
          <w:trHeight w:val="196"/>
        </w:trPr>
        <w:tc>
          <w:tcPr>
            <w:tcW w:w="3340" w:type="dxa"/>
            <w:vAlign w:val="bottom"/>
            <w:tcBorders>
              <w:left w:val="single" w:sz="8" w:color="BFBFBF"/>
              <w:bottom w:val="single" w:sz="8" w:color="BFBFBF"/>
              <w:right w:val="single" w:sz="8" w:color="BFBFBF"/>
            </w:tcBorders>
          </w:tcPr>
          <w:p>
            <w:pPr>
              <w:ind w:left="380"/>
              <w:spacing w:after="0" w:line="196" w:lineRule="exact"/>
              <w:rPr>
                <w:sz w:val="20"/>
                <w:szCs w:val="20"/>
                <w:color w:val="auto"/>
              </w:rPr>
            </w:pPr>
            <w:r>
              <w:rPr>
                <w:rFonts w:ascii="Arial" w:cs="Arial" w:eastAsia="Arial" w:hAnsi="Arial"/>
                <w:sz w:val="18"/>
                <w:szCs w:val="18"/>
                <w:color w:val="auto"/>
              </w:rPr>
              <w:t>Chief Executive Officer</w:t>
            </w:r>
          </w:p>
        </w:tc>
        <w:tc>
          <w:tcPr>
            <w:tcW w:w="240" w:type="dxa"/>
            <w:vAlign w:val="bottom"/>
            <w:tcBorders>
              <w:bottom w:val="single" w:sz="8" w:color="BFBFBF"/>
            </w:tcBorders>
          </w:tcPr>
          <w:p>
            <w:pPr>
              <w:spacing w:after="0"/>
              <w:rPr>
                <w:sz w:val="17"/>
                <w:szCs w:val="17"/>
                <w:color w:val="auto"/>
              </w:rPr>
            </w:pPr>
          </w:p>
        </w:tc>
        <w:tc>
          <w:tcPr>
            <w:tcW w:w="178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40" w:type="dxa"/>
            <w:vAlign w:val="bottom"/>
            <w:tcBorders>
              <w:bottom w:val="single" w:sz="8" w:color="BFBFBF"/>
            </w:tcBorders>
          </w:tcPr>
          <w:p>
            <w:pPr>
              <w:spacing w:after="0"/>
              <w:rPr>
                <w:sz w:val="17"/>
                <w:szCs w:val="17"/>
                <w:color w:val="auto"/>
              </w:rPr>
            </w:pPr>
          </w:p>
        </w:tc>
        <w:tc>
          <w:tcPr>
            <w:tcW w:w="100" w:type="dxa"/>
            <w:vAlign w:val="bottom"/>
            <w:tcBorders>
              <w:bottom w:val="single" w:sz="8" w:color="BFBFBF"/>
            </w:tcBorders>
          </w:tcPr>
          <w:p>
            <w:pPr>
              <w:spacing w:after="0"/>
              <w:rPr>
                <w:sz w:val="17"/>
                <w:szCs w:val="17"/>
                <w:color w:val="auto"/>
              </w:rPr>
            </w:pPr>
          </w:p>
        </w:tc>
        <w:tc>
          <w:tcPr>
            <w:tcW w:w="112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320" w:type="dxa"/>
            <w:vAlign w:val="bottom"/>
            <w:tcBorders>
              <w:bottom w:val="single" w:sz="8" w:color="BFBFBF"/>
            </w:tcBorders>
          </w:tcPr>
          <w:p>
            <w:pPr>
              <w:spacing w:after="0"/>
              <w:rPr>
                <w:sz w:val="17"/>
                <w:szCs w:val="17"/>
                <w:color w:val="auto"/>
              </w:rPr>
            </w:pPr>
          </w:p>
        </w:tc>
        <w:tc>
          <w:tcPr>
            <w:tcW w:w="1700" w:type="dxa"/>
            <w:vAlign w:val="bottom"/>
            <w:tcBorders>
              <w:bottom w:val="single" w:sz="8" w:color="BFBFBF"/>
            </w:tcBorders>
          </w:tcPr>
          <w:p>
            <w:pPr>
              <w:spacing w:after="0"/>
              <w:rPr>
                <w:sz w:val="17"/>
                <w:szCs w:val="17"/>
                <w:color w:val="auto"/>
              </w:rPr>
            </w:pPr>
          </w:p>
        </w:tc>
        <w:tc>
          <w:tcPr>
            <w:tcW w:w="200" w:type="dxa"/>
            <w:vAlign w:val="bottom"/>
            <w:tcBorders>
              <w:bottom w:val="single" w:sz="8" w:color="BFBFBF"/>
              <w:right w:val="single" w:sz="8" w:color="BFBFBF"/>
            </w:tcBorders>
          </w:tcPr>
          <w:p>
            <w:pPr>
              <w:spacing w:after="0"/>
              <w:rPr>
                <w:sz w:val="17"/>
                <w:szCs w:val="17"/>
                <w:color w:val="auto"/>
              </w:rPr>
            </w:pPr>
          </w:p>
        </w:tc>
        <w:tc>
          <w:tcPr>
            <w:tcW w:w="240" w:type="dxa"/>
            <w:vAlign w:val="bottom"/>
            <w:tcBorders>
              <w:bottom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108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right w:val="single" w:sz="8" w:color="BFBFBF"/>
            </w:tcBorders>
          </w:tcPr>
          <w:p>
            <w:pPr>
              <w:spacing w:after="0"/>
              <w:rPr>
                <w:sz w:val="17"/>
                <w:szCs w:val="17"/>
                <w:color w:val="auto"/>
              </w:rPr>
            </w:pPr>
          </w:p>
        </w:tc>
      </w:tr>
      <w:tr>
        <w:trPr>
          <w:trHeight w:val="250"/>
        </w:trPr>
        <w:tc>
          <w:tcPr>
            <w:tcW w:w="334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78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112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320" w:type="dxa"/>
            <w:vAlign w:val="bottom"/>
            <w:tcBorders>
              <w:bottom w:val="single" w:sz="8" w:color="BFBFBF"/>
            </w:tcBorders>
            <w:shd w:val="clear" w:color="auto" w:fill="DDEFF3"/>
          </w:tcPr>
          <w:p>
            <w:pPr>
              <w:spacing w:after="0"/>
              <w:rPr>
                <w:sz w:val="21"/>
                <w:szCs w:val="21"/>
                <w:color w:val="auto"/>
              </w:rPr>
            </w:pPr>
          </w:p>
        </w:tc>
        <w:tc>
          <w:tcPr>
            <w:tcW w:w="170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40" w:type="dxa"/>
            <w:vAlign w:val="bottom"/>
            <w:tcBorders>
              <w:bottom w:val="single" w:sz="8" w:color="BFBFBF"/>
            </w:tcBorders>
            <w:shd w:val="clear" w:color="auto" w:fill="DDEFF3"/>
          </w:tcPr>
          <w:p>
            <w:pPr>
              <w:spacing w:after="0"/>
              <w:rPr>
                <w:sz w:val="21"/>
                <w:szCs w:val="21"/>
                <w:color w:val="auto"/>
              </w:rPr>
            </w:pPr>
          </w:p>
        </w:tc>
        <w:tc>
          <w:tcPr>
            <w:tcW w:w="1080" w:type="dxa"/>
            <w:vAlign w:val="bottom"/>
            <w:tcBorders>
              <w:bottom w:val="single" w:sz="8" w:color="BFBFBF"/>
            </w:tcBorders>
            <w:shd w:val="clear" w:color="auto" w:fill="DDEFF3"/>
          </w:tcPr>
          <w:p>
            <w:pPr>
              <w:spacing w:after="0"/>
              <w:rPr>
                <w:sz w:val="21"/>
                <w:szCs w:val="21"/>
                <w:color w:val="auto"/>
              </w:rPr>
            </w:pPr>
          </w:p>
        </w:tc>
        <w:tc>
          <w:tcPr>
            <w:tcW w:w="340" w:type="dxa"/>
            <w:vAlign w:val="bottom"/>
            <w:tcBorders>
              <w:bottom w:val="single" w:sz="8" w:color="BFBFBF"/>
              <w:right w:val="single" w:sz="8" w:color="BFBFBF"/>
            </w:tcBorders>
            <w:shd w:val="clear" w:color="auto" w:fill="DDEFF3"/>
          </w:tcPr>
          <w:p>
            <w:pPr>
              <w:spacing w:after="0"/>
              <w:rPr>
                <w:sz w:val="21"/>
                <w:szCs w:val="21"/>
                <w:color w:val="auto"/>
              </w:rPr>
            </w:pPr>
          </w:p>
        </w:tc>
      </w:tr>
      <w:tr>
        <w:trPr>
          <w:trHeight w:val="196"/>
        </w:trPr>
        <w:tc>
          <w:tcPr>
            <w:tcW w:w="3340" w:type="dxa"/>
            <w:vAlign w:val="bottom"/>
            <w:tcBorders>
              <w:left w:val="single" w:sz="8" w:color="BFBFBF"/>
              <w:bottom w:val="single" w:sz="8" w:color="BFBFBF"/>
              <w:right w:val="single" w:sz="8" w:color="BFBFBF"/>
            </w:tcBorders>
          </w:tcPr>
          <w:p>
            <w:pPr>
              <w:ind w:left="180"/>
              <w:spacing w:after="0" w:line="196" w:lineRule="exact"/>
              <w:rPr>
                <w:sz w:val="20"/>
                <w:szCs w:val="20"/>
                <w:color w:val="auto"/>
              </w:rPr>
            </w:pPr>
            <w:r>
              <w:rPr>
                <w:rFonts w:ascii="Arial" w:cs="Arial" w:eastAsia="Arial" w:hAnsi="Arial"/>
                <w:sz w:val="18"/>
                <w:szCs w:val="18"/>
                <w:color w:val="auto"/>
              </w:rPr>
              <w:t>Lee Shavel</w:t>
            </w:r>
          </w:p>
        </w:tc>
        <w:tc>
          <w:tcPr>
            <w:tcW w:w="240" w:type="dxa"/>
            <w:vAlign w:val="bottom"/>
            <w:tcBorders>
              <w:bottom w:val="single" w:sz="8" w:color="BFBFBF"/>
            </w:tcBorders>
          </w:tcPr>
          <w:p>
            <w:pPr>
              <w:spacing w:after="0"/>
              <w:rPr>
                <w:sz w:val="17"/>
                <w:szCs w:val="17"/>
                <w:color w:val="auto"/>
              </w:rPr>
            </w:pPr>
          </w:p>
        </w:tc>
        <w:tc>
          <w:tcPr>
            <w:tcW w:w="2080" w:type="dxa"/>
            <w:vAlign w:val="bottom"/>
            <w:tcBorders>
              <w:bottom w:val="single" w:sz="8" w:color="BFBFBF"/>
              <w:right w:val="single" w:sz="8" w:color="BFBFBF"/>
            </w:tcBorders>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BFBFBF"/>
            </w:tcBorders>
          </w:tcPr>
          <w:p>
            <w:pPr>
              <w:spacing w:after="0"/>
              <w:rPr>
                <w:sz w:val="17"/>
                <w:szCs w:val="17"/>
                <w:color w:val="auto"/>
              </w:rPr>
            </w:pPr>
          </w:p>
        </w:tc>
        <w:tc>
          <w:tcPr>
            <w:tcW w:w="100" w:type="dxa"/>
            <w:vAlign w:val="bottom"/>
            <w:tcBorders>
              <w:bottom w:val="single" w:sz="8" w:color="BFBFBF"/>
            </w:tcBorders>
          </w:tcPr>
          <w:p>
            <w:pPr>
              <w:spacing w:after="0"/>
              <w:rPr>
                <w:sz w:val="17"/>
                <w:szCs w:val="17"/>
                <w:color w:val="auto"/>
              </w:rPr>
            </w:pPr>
          </w:p>
        </w:tc>
        <w:tc>
          <w:tcPr>
            <w:tcW w:w="1420" w:type="dxa"/>
            <w:vAlign w:val="bottom"/>
            <w:tcBorders>
              <w:bottom w:val="single" w:sz="8" w:color="BFBFBF"/>
              <w:right w:val="single" w:sz="8" w:color="BFBFBF"/>
            </w:tcBorders>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BFBFBF"/>
            </w:tcBorders>
          </w:tcPr>
          <w:p>
            <w:pPr>
              <w:spacing w:after="0"/>
              <w:rPr>
                <w:sz w:val="17"/>
                <w:szCs w:val="17"/>
                <w:color w:val="auto"/>
              </w:rPr>
            </w:pPr>
          </w:p>
        </w:tc>
        <w:tc>
          <w:tcPr>
            <w:tcW w:w="170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72,575(4)</w:t>
            </w:r>
          </w:p>
        </w:tc>
        <w:tc>
          <w:tcPr>
            <w:tcW w:w="200" w:type="dxa"/>
            <w:vAlign w:val="bottom"/>
            <w:tcBorders>
              <w:bottom w:val="single" w:sz="8" w:color="BFBFBF"/>
              <w:right w:val="single" w:sz="8" w:color="BFBFBF"/>
            </w:tcBorders>
          </w:tcPr>
          <w:p>
            <w:pPr>
              <w:spacing w:after="0"/>
              <w:rPr>
                <w:sz w:val="17"/>
                <w:szCs w:val="17"/>
                <w:color w:val="auto"/>
              </w:rPr>
            </w:pPr>
          </w:p>
        </w:tc>
        <w:tc>
          <w:tcPr>
            <w:tcW w:w="380" w:type="dxa"/>
            <w:vAlign w:val="bottom"/>
            <w:tcBorders>
              <w:bottom w:val="single" w:sz="8" w:color="BFBFBF"/>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1,654,264</w:t>
            </w:r>
          </w:p>
        </w:tc>
        <w:tc>
          <w:tcPr>
            <w:tcW w:w="340" w:type="dxa"/>
            <w:vAlign w:val="bottom"/>
            <w:tcBorders>
              <w:bottom w:val="single" w:sz="8" w:color="BFBFBF"/>
              <w:right w:val="single" w:sz="8" w:color="BFBFBF"/>
            </w:tcBorders>
          </w:tcPr>
          <w:p>
            <w:pPr>
              <w:spacing w:after="0"/>
              <w:rPr>
                <w:sz w:val="17"/>
                <w:szCs w:val="17"/>
                <w:color w:val="auto"/>
              </w:rPr>
            </w:pPr>
          </w:p>
        </w:tc>
      </w:tr>
      <w:tr>
        <w:trPr>
          <w:trHeight w:val="199"/>
        </w:trPr>
        <w:tc>
          <w:tcPr>
            <w:tcW w:w="3340" w:type="dxa"/>
            <w:vAlign w:val="bottom"/>
            <w:tcBorders>
              <w:left w:val="single" w:sz="8" w:color="BFBFBF"/>
              <w:right w:val="single" w:sz="8" w:color="BFBFBF"/>
            </w:tcBorders>
          </w:tcPr>
          <w:p>
            <w:pPr>
              <w:ind w:left="380"/>
              <w:spacing w:after="0" w:line="200" w:lineRule="exact"/>
              <w:rPr>
                <w:sz w:val="20"/>
                <w:szCs w:val="20"/>
                <w:color w:val="auto"/>
              </w:rPr>
            </w:pPr>
            <w:r>
              <w:rPr>
                <w:rFonts w:ascii="Arial" w:cs="Arial" w:eastAsia="Arial" w:hAnsi="Arial"/>
                <w:sz w:val="18"/>
                <w:szCs w:val="18"/>
                <w:color w:val="auto"/>
                <w:w w:val="98"/>
              </w:rPr>
              <w:t>Chief Financial Officer and Executive</w:t>
            </w: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Borders>
              <w:right w:val="single" w:sz="8" w:color="BFBFBF"/>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r>
      <w:tr>
        <w:trPr>
          <w:trHeight w:val="199"/>
        </w:trPr>
        <w:tc>
          <w:tcPr>
            <w:tcW w:w="3340" w:type="dxa"/>
            <w:vAlign w:val="bottom"/>
            <w:tcBorders>
              <w:left w:val="single" w:sz="8" w:color="BFBFBF"/>
              <w:bottom w:val="single" w:sz="8" w:color="BFBFBF"/>
              <w:right w:val="single" w:sz="8" w:color="BFBFBF"/>
            </w:tcBorders>
          </w:tcPr>
          <w:p>
            <w:pPr>
              <w:ind w:left="380"/>
              <w:spacing w:after="0" w:line="200" w:lineRule="exact"/>
              <w:rPr>
                <w:sz w:val="20"/>
                <w:szCs w:val="20"/>
                <w:color w:val="auto"/>
              </w:rPr>
            </w:pPr>
            <w:r>
              <w:rPr>
                <w:rFonts w:ascii="Arial" w:cs="Arial" w:eastAsia="Arial" w:hAnsi="Arial"/>
                <w:sz w:val="18"/>
                <w:szCs w:val="18"/>
                <w:color w:val="auto"/>
              </w:rPr>
              <w:t>Vice President, Corporate Strategy</w:t>
            </w:r>
          </w:p>
        </w:tc>
        <w:tc>
          <w:tcPr>
            <w:tcW w:w="240" w:type="dxa"/>
            <w:vAlign w:val="bottom"/>
            <w:tcBorders>
              <w:bottom w:val="single" w:sz="8" w:color="BFBFBF"/>
            </w:tcBorders>
          </w:tcPr>
          <w:p>
            <w:pPr>
              <w:spacing w:after="0"/>
              <w:rPr>
                <w:sz w:val="17"/>
                <w:szCs w:val="17"/>
                <w:color w:val="auto"/>
              </w:rPr>
            </w:pPr>
          </w:p>
        </w:tc>
        <w:tc>
          <w:tcPr>
            <w:tcW w:w="178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40" w:type="dxa"/>
            <w:vAlign w:val="bottom"/>
            <w:tcBorders>
              <w:bottom w:val="single" w:sz="8" w:color="BFBFBF"/>
            </w:tcBorders>
          </w:tcPr>
          <w:p>
            <w:pPr>
              <w:spacing w:after="0"/>
              <w:rPr>
                <w:sz w:val="17"/>
                <w:szCs w:val="17"/>
                <w:color w:val="auto"/>
              </w:rPr>
            </w:pPr>
          </w:p>
        </w:tc>
        <w:tc>
          <w:tcPr>
            <w:tcW w:w="100" w:type="dxa"/>
            <w:vAlign w:val="bottom"/>
            <w:tcBorders>
              <w:bottom w:val="single" w:sz="8" w:color="BFBFBF"/>
            </w:tcBorders>
          </w:tcPr>
          <w:p>
            <w:pPr>
              <w:spacing w:after="0"/>
              <w:rPr>
                <w:sz w:val="17"/>
                <w:szCs w:val="17"/>
                <w:color w:val="auto"/>
              </w:rPr>
            </w:pPr>
          </w:p>
        </w:tc>
        <w:tc>
          <w:tcPr>
            <w:tcW w:w="112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320" w:type="dxa"/>
            <w:vAlign w:val="bottom"/>
            <w:tcBorders>
              <w:bottom w:val="single" w:sz="8" w:color="BFBFBF"/>
            </w:tcBorders>
          </w:tcPr>
          <w:p>
            <w:pPr>
              <w:spacing w:after="0"/>
              <w:rPr>
                <w:sz w:val="17"/>
                <w:szCs w:val="17"/>
                <w:color w:val="auto"/>
              </w:rPr>
            </w:pPr>
          </w:p>
        </w:tc>
        <w:tc>
          <w:tcPr>
            <w:tcW w:w="1700" w:type="dxa"/>
            <w:vAlign w:val="bottom"/>
            <w:tcBorders>
              <w:bottom w:val="single" w:sz="8" w:color="BFBFBF"/>
            </w:tcBorders>
          </w:tcPr>
          <w:p>
            <w:pPr>
              <w:spacing w:after="0"/>
              <w:rPr>
                <w:sz w:val="17"/>
                <w:szCs w:val="17"/>
                <w:color w:val="auto"/>
              </w:rPr>
            </w:pPr>
          </w:p>
        </w:tc>
        <w:tc>
          <w:tcPr>
            <w:tcW w:w="200" w:type="dxa"/>
            <w:vAlign w:val="bottom"/>
            <w:tcBorders>
              <w:bottom w:val="single" w:sz="8" w:color="BFBFBF"/>
              <w:right w:val="single" w:sz="8" w:color="BFBFBF"/>
            </w:tcBorders>
          </w:tcPr>
          <w:p>
            <w:pPr>
              <w:spacing w:after="0"/>
              <w:rPr>
                <w:sz w:val="17"/>
                <w:szCs w:val="17"/>
                <w:color w:val="auto"/>
              </w:rPr>
            </w:pPr>
          </w:p>
        </w:tc>
        <w:tc>
          <w:tcPr>
            <w:tcW w:w="240" w:type="dxa"/>
            <w:vAlign w:val="bottom"/>
            <w:tcBorders>
              <w:bottom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108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right w:val="single" w:sz="8" w:color="BFBFBF"/>
            </w:tcBorders>
          </w:tcPr>
          <w:p>
            <w:pPr>
              <w:spacing w:after="0"/>
              <w:rPr>
                <w:sz w:val="17"/>
                <w:szCs w:val="17"/>
                <w:color w:val="auto"/>
              </w:rPr>
            </w:pPr>
          </w:p>
        </w:tc>
      </w:tr>
      <w:tr>
        <w:trPr>
          <w:trHeight w:val="250"/>
        </w:trPr>
        <w:tc>
          <w:tcPr>
            <w:tcW w:w="334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78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112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320" w:type="dxa"/>
            <w:vAlign w:val="bottom"/>
            <w:tcBorders>
              <w:bottom w:val="single" w:sz="8" w:color="BFBFBF"/>
            </w:tcBorders>
            <w:shd w:val="clear" w:color="auto" w:fill="DDEFF3"/>
          </w:tcPr>
          <w:p>
            <w:pPr>
              <w:spacing w:after="0"/>
              <w:rPr>
                <w:sz w:val="21"/>
                <w:szCs w:val="21"/>
                <w:color w:val="auto"/>
              </w:rPr>
            </w:pPr>
          </w:p>
        </w:tc>
        <w:tc>
          <w:tcPr>
            <w:tcW w:w="170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40" w:type="dxa"/>
            <w:vAlign w:val="bottom"/>
            <w:tcBorders>
              <w:bottom w:val="single" w:sz="8" w:color="BFBFBF"/>
            </w:tcBorders>
            <w:shd w:val="clear" w:color="auto" w:fill="DDEFF3"/>
          </w:tcPr>
          <w:p>
            <w:pPr>
              <w:spacing w:after="0"/>
              <w:rPr>
                <w:sz w:val="21"/>
                <w:szCs w:val="21"/>
                <w:color w:val="auto"/>
              </w:rPr>
            </w:pPr>
          </w:p>
        </w:tc>
        <w:tc>
          <w:tcPr>
            <w:tcW w:w="1080" w:type="dxa"/>
            <w:vAlign w:val="bottom"/>
            <w:tcBorders>
              <w:bottom w:val="single" w:sz="8" w:color="BFBFBF"/>
            </w:tcBorders>
            <w:shd w:val="clear" w:color="auto" w:fill="DDEFF3"/>
          </w:tcPr>
          <w:p>
            <w:pPr>
              <w:spacing w:after="0"/>
              <w:rPr>
                <w:sz w:val="21"/>
                <w:szCs w:val="21"/>
                <w:color w:val="auto"/>
              </w:rPr>
            </w:pPr>
          </w:p>
        </w:tc>
        <w:tc>
          <w:tcPr>
            <w:tcW w:w="340" w:type="dxa"/>
            <w:vAlign w:val="bottom"/>
            <w:tcBorders>
              <w:bottom w:val="single" w:sz="8" w:color="BFBFBF"/>
              <w:right w:val="single" w:sz="8" w:color="BFBFBF"/>
            </w:tcBorders>
            <w:shd w:val="clear" w:color="auto" w:fill="DDEFF3"/>
          </w:tcPr>
          <w:p>
            <w:pPr>
              <w:spacing w:after="0"/>
              <w:rPr>
                <w:sz w:val="21"/>
                <w:szCs w:val="21"/>
                <w:color w:val="auto"/>
              </w:rPr>
            </w:pPr>
          </w:p>
        </w:tc>
      </w:tr>
      <w:tr>
        <w:trPr>
          <w:trHeight w:val="196"/>
        </w:trPr>
        <w:tc>
          <w:tcPr>
            <w:tcW w:w="3340" w:type="dxa"/>
            <w:vAlign w:val="bottom"/>
            <w:tcBorders>
              <w:left w:val="single" w:sz="8" w:color="BFBFBF"/>
              <w:bottom w:val="single" w:sz="8" w:color="BFBFBF"/>
              <w:right w:val="single" w:sz="8" w:color="BFBFBF"/>
            </w:tcBorders>
          </w:tcPr>
          <w:p>
            <w:pPr>
              <w:ind w:left="180"/>
              <w:spacing w:after="0" w:line="196" w:lineRule="exact"/>
              <w:rPr>
                <w:sz w:val="20"/>
                <w:szCs w:val="20"/>
                <w:color w:val="auto"/>
              </w:rPr>
            </w:pPr>
            <w:r>
              <w:rPr>
                <w:rFonts w:ascii="Arial" w:cs="Arial" w:eastAsia="Arial" w:hAnsi="Arial"/>
                <w:sz w:val="18"/>
                <w:szCs w:val="18"/>
                <w:color w:val="auto"/>
              </w:rPr>
              <w:t>Anna M. Ewing</w:t>
            </w:r>
          </w:p>
        </w:tc>
        <w:tc>
          <w:tcPr>
            <w:tcW w:w="240" w:type="dxa"/>
            <w:vAlign w:val="bottom"/>
            <w:tcBorders>
              <w:bottom w:val="single" w:sz="8" w:color="BFBFBF"/>
            </w:tcBorders>
          </w:tcPr>
          <w:p>
            <w:pPr>
              <w:spacing w:after="0"/>
              <w:rPr>
                <w:sz w:val="17"/>
                <w:szCs w:val="17"/>
                <w:color w:val="auto"/>
              </w:rPr>
            </w:pPr>
          </w:p>
        </w:tc>
        <w:tc>
          <w:tcPr>
            <w:tcW w:w="1780" w:type="dxa"/>
            <w:vAlign w:val="bottom"/>
            <w:tcBorders>
              <w:bottom w:val="single" w:sz="8" w:color="BFBFBF"/>
            </w:tcBorders>
          </w:tcPr>
          <w:p>
            <w:pPr>
              <w:jc w:val="right"/>
              <w:ind w:right="92"/>
              <w:spacing w:after="0" w:line="196" w:lineRule="exact"/>
              <w:rPr>
                <w:sz w:val="20"/>
                <w:szCs w:val="20"/>
                <w:color w:val="auto"/>
              </w:rPr>
            </w:pPr>
            <w:r>
              <w:rPr>
                <w:rFonts w:ascii="Arial" w:cs="Arial" w:eastAsia="Arial" w:hAnsi="Arial"/>
                <w:sz w:val="18"/>
                <w:szCs w:val="18"/>
                <w:color w:val="auto"/>
              </w:rPr>
              <w:t>30,063</w:t>
            </w:r>
          </w:p>
        </w:tc>
        <w:tc>
          <w:tcPr>
            <w:tcW w:w="300" w:type="dxa"/>
            <w:vAlign w:val="bottom"/>
            <w:tcBorders>
              <w:bottom w:val="single" w:sz="8" w:color="BFBFBF"/>
              <w:right w:val="single" w:sz="8" w:color="BFBFBF"/>
            </w:tcBorders>
          </w:tcPr>
          <w:p>
            <w:pPr>
              <w:spacing w:after="0"/>
              <w:rPr>
                <w:sz w:val="17"/>
                <w:szCs w:val="17"/>
                <w:color w:val="auto"/>
              </w:rPr>
            </w:pPr>
          </w:p>
        </w:tc>
        <w:tc>
          <w:tcPr>
            <w:tcW w:w="340" w:type="dxa"/>
            <w:vAlign w:val="bottom"/>
            <w:tcBorders>
              <w:bottom w:val="single" w:sz="8" w:color="BFBFBF"/>
            </w:tcBorders>
            <w:gridSpan w:val="2"/>
          </w:tcPr>
          <w:p>
            <w:pPr>
              <w:ind w:left="24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BFBFBF"/>
            </w:tcBorders>
          </w:tcPr>
          <w:p>
            <w:pPr>
              <w:jc w:val="right"/>
              <w:ind w:right="12"/>
              <w:spacing w:after="0" w:line="196" w:lineRule="exact"/>
              <w:rPr>
                <w:sz w:val="20"/>
                <w:szCs w:val="20"/>
                <w:color w:val="auto"/>
              </w:rPr>
            </w:pPr>
            <w:r>
              <w:rPr>
                <w:rFonts w:ascii="Arial" w:cs="Arial" w:eastAsia="Arial" w:hAnsi="Arial"/>
                <w:sz w:val="18"/>
                <w:szCs w:val="18"/>
                <w:color w:val="auto"/>
              </w:rPr>
              <w:t>510,506</w:t>
            </w:r>
          </w:p>
        </w:tc>
        <w:tc>
          <w:tcPr>
            <w:tcW w:w="300" w:type="dxa"/>
            <w:vAlign w:val="bottom"/>
            <w:tcBorders>
              <w:bottom w:val="single" w:sz="8" w:color="BFBFBF"/>
              <w:right w:val="single" w:sz="8" w:color="BFBFBF"/>
            </w:tcBorders>
          </w:tcPr>
          <w:p>
            <w:pPr>
              <w:spacing w:after="0"/>
              <w:rPr>
                <w:sz w:val="17"/>
                <w:szCs w:val="17"/>
                <w:color w:val="auto"/>
              </w:rPr>
            </w:pPr>
          </w:p>
        </w:tc>
        <w:tc>
          <w:tcPr>
            <w:tcW w:w="320" w:type="dxa"/>
            <w:vAlign w:val="bottom"/>
            <w:tcBorders>
              <w:bottom w:val="single" w:sz="8" w:color="BFBFBF"/>
            </w:tcBorders>
          </w:tcPr>
          <w:p>
            <w:pPr>
              <w:spacing w:after="0"/>
              <w:rPr>
                <w:sz w:val="17"/>
                <w:szCs w:val="17"/>
                <w:color w:val="auto"/>
              </w:rPr>
            </w:pPr>
          </w:p>
        </w:tc>
        <w:tc>
          <w:tcPr>
            <w:tcW w:w="170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164,142 (5)</w:t>
            </w:r>
          </w:p>
        </w:tc>
        <w:tc>
          <w:tcPr>
            <w:tcW w:w="200" w:type="dxa"/>
            <w:vAlign w:val="bottom"/>
            <w:tcBorders>
              <w:bottom w:val="single" w:sz="8" w:color="BFBFBF"/>
              <w:right w:val="single" w:sz="8" w:color="BFBFBF"/>
            </w:tcBorders>
          </w:tcPr>
          <w:p>
            <w:pPr>
              <w:spacing w:after="0"/>
              <w:rPr>
                <w:sz w:val="17"/>
                <w:szCs w:val="17"/>
                <w:color w:val="auto"/>
              </w:rPr>
            </w:pPr>
          </w:p>
        </w:tc>
        <w:tc>
          <w:tcPr>
            <w:tcW w:w="380" w:type="dxa"/>
            <w:vAlign w:val="bottom"/>
            <w:tcBorders>
              <w:bottom w:val="single" w:sz="8" w:color="BFBFBF"/>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3,881,409</w:t>
            </w:r>
          </w:p>
        </w:tc>
        <w:tc>
          <w:tcPr>
            <w:tcW w:w="340" w:type="dxa"/>
            <w:vAlign w:val="bottom"/>
            <w:tcBorders>
              <w:bottom w:val="single" w:sz="8" w:color="BFBFBF"/>
              <w:right w:val="single" w:sz="8" w:color="BFBFBF"/>
            </w:tcBorders>
          </w:tcPr>
          <w:p>
            <w:pPr>
              <w:spacing w:after="0"/>
              <w:rPr>
                <w:sz w:val="17"/>
                <w:szCs w:val="17"/>
                <w:color w:val="auto"/>
              </w:rPr>
            </w:pPr>
          </w:p>
        </w:tc>
      </w:tr>
      <w:tr>
        <w:trPr>
          <w:trHeight w:val="199"/>
        </w:trPr>
        <w:tc>
          <w:tcPr>
            <w:tcW w:w="3340" w:type="dxa"/>
            <w:vAlign w:val="bottom"/>
            <w:tcBorders>
              <w:left w:val="single" w:sz="8" w:color="BFBFBF"/>
              <w:right w:val="single" w:sz="8" w:color="BFBFBF"/>
            </w:tcBorders>
          </w:tcPr>
          <w:p>
            <w:pPr>
              <w:ind w:left="380"/>
              <w:spacing w:after="0" w:line="200" w:lineRule="exact"/>
              <w:rPr>
                <w:sz w:val="20"/>
                <w:szCs w:val="20"/>
                <w:color w:val="auto"/>
              </w:rPr>
            </w:pPr>
            <w:r>
              <w:rPr>
                <w:rFonts w:ascii="Arial" w:cs="Arial" w:eastAsia="Arial" w:hAnsi="Arial"/>
                <w:sz w:val="18"/>
                <w:szCs w:val="18"/>
                <w:color w:val="auto"/>
              </w:rPr>
              <w:t>Executive Vice President, Global</w:t>
            </w: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Borders>
              <w:right w:val="single" w:sz="8" w:color="BFBFBF"/>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r>
      <w:tr>
        <w:trPr>
          <w:trHeight w:val="199"/>
        </w:trPr>
        <w:tc>
          <w:tcPr>
            <w:tcW w:w="3340" w:type="dxa"/>
            <w:vAlign w:val="bottom"/>
            <w:tcBorders>
              <w:left w:val="single" w:sz="8" w:color="BFBFBF"/>
              <w:bottom w:val="single" w:sz="8" w:color="BFBFBF"/>
              <w:right w:val="single" w:sz="8" w:color="BFBFBF"/>
            </w:tcBorders>
          </w:tcPr>
          <w:p>
            <w:pPr>
              <w:ind w:left="380"/>
              <w:spacing w:after="0" w:line="200" w:lineRule="exact"/>
              <w:rPr>
                <w:sz w:val="20"/>
                <w:szCs w:val="20"/>
                <w:color w:val="auto"/>
              </w:rPr>
            </w:pPr>
            <w:r>
              <w:rPr>
                <w:rFonts w:ascii="Arial" w:cs="Arial" w:eastAsia="Arial" w:hAnsi="Arial"/>
                <w:sz w:val="18"/>
                <w:szCs w:val="18"/>
                <w:color w:val="auto"/>
              </w:rPr>
              <w:t>Technology Solutions</w:t>
            </w:r>
          </w:p>
        </w:tc>
        <w:tc>
          <w:tcPr>
            <w:tcW w:w="240" w:type="dxa"/>
            <w:vAlign w:val="bottom"/>
            <w:tcBorders>
              <w:bottom w:val="single" w:sz="8" w:color="BFBFBF"/>
            </w:tcBorders>
          </w:tcPr>
          <w:p>
            <w:pPr>
              <w:spacing w:after="0"/>
              <w:rPr>
                <w:sz w:val="17"/>
                <w:szCs w:val="17"/>
                <w:color w:val="auto"/>
              </w:rPr>
            </w:pPr>
          </w:p>
        </w:tc>
        <w:tc>
          <w:tcPr>
            <w:tcW w:w="178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40" w:type="dxa"/>
            <w:vAlign w:val="bottom"/>
            <w:tcBorders>
              <w:bottom w:val="single" w:sz="8" w:color="BFBFBF"/>
            </w:tcBorders>
          </w:tcPr>
          <w:p>
            <w:pPr>
              <w:spacing w:after="0"/>
              <w:rPr>
                <w:sz w:val="17"/>
                <w:szCs w:val="17"/>
                <w:color w:val="auto"/>
              </w:rPr>
            </w:pPr>
          </w:p>
        </w:tc>
        <w:tc>
          <w:tcPr>
            <w:tcW w:w="100" w:type="dxa"/>
            <w:vAlign w:val="bottom"/>
            <w:tcBorders>
              <w:bottom w:val="single" w:sz="8" w:color="BFBFBF"/>
            </w:tcBorders>
          </w:tcPr>
          <w:p>
            <w:pPr>
              <w:spacing w:after="0"/>
              <w:rPr>
                <w:sz w:val="17"/>
                <w:szCs w:val="17"/>
                <w:color w:val="auto"/>
              </w:rPr>
            </w:pPr>
          </w:p>
        </w:tc>
        <w:tc>
          <w:tcPr>
            <w:tcW w:w="112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320" w:type="dxa"/>
            <w:vAlign w:val="bottom"/>
            <w:tcBorders>
              <w:bottom w:val="single" w:sz="8" w:color="BFBFBF"/>
            </w:tcBorders>
          </w:tcPr>
          <w:p>
            <w:pPr>
              <w:spacing w:after="0"/>
              <w:rPr>
                <w:sz w:val="17"/>
                <w:szCs w:val="17"/>
                <w:color w:val="auto"/>
              </w:rPr>
            </w:pPr>
          </w:p>
        </w:tc>
        <w:tc>
          <w:tcPr>
            <w:tcW w:w="1700" w:type="dxa"/>
            <w:vAlign w:val="bottom"/>
            <w:tcBorders>
              <w:bottom w:val="single" w:sz="8" w:color="BFBFBF"/>
            </w:tcBorders>
          </w:tcPr>
          <w:p>
            <w:pPr>
              <w:spacing w:after="0"/>
              <w:rPr>
                <w:sz w:val="17"/>
                <w:szCs w:val="17"/>
                <w:color w:val="auto"/>
              </w:rPr>
            </w:pPr>
          </w:p>
        </w:tc>
        <w:tc>
          <w:tcPr>
            <w:tcW w:w="200" w:type="dxa"/>
            <w:vAlign w:val="bottom"/>
            <w:tcBorders>
              <w:bottom w:val="single" w:sz="8" w:color="BFBFBF"/>
              <w:right w:val="single" w:sz="8" w:color="BFBFBF"/>
            </w:tcBorders>
          </w:tcPr>
          <w:p>
            <w:pPr>
              <w:spacing w:after="0"/>
              <w:rPr>
                <w:sz w:val="17"/>
                <w:szCs w:val="17"/>
                <w:color w:val="auto"/>
              </w:rPr>
            </w:pPr>
          </w:p>
        </w:tc>
        <w:tc>
          <w:tcPr>
            <w:tcW w:w="240" w:type="dxa"/>
            <w:vAlign w:val="bottom"/>
            <w:tcBorders>
              <w:bottom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108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right w:val="single" w:sz="8" w:color="BFBFBF"/>
            </w:tcBorders>
          </w:tcPr>
          <w:p>
            <w:pPr>
              <w:spacing w:after="0"/>
              <w:rPr>
                <w:sz w:val="17"/>
                <w:szCs w:val="17"/>
                <w:color w:val="auto"/>
              </w:rPr>
            </w:pPr>
          </w:p>
        </w:tc>
      </w:tr>
      <w:tr>
        <w:trPr>
          <w:trHeight w:val="250"/>
        </w:trPr>
        <w:tc>
          <w:tcPr>
            <w:tcW w:w="334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78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112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320" w:type="dxa"/>
            <w:vAlign w:val="bottom"/>
            <w:tcBorders>
              <w:bottom w:val="single" w:sz="8" w:color="BFBFBF"/>
            </w:tcBorders>
            <w:shd w:val="clear" w:color="auto" w:fill="DDEFF3"/>
          </w:tcPr>
          <w:p>
            <w:pPr>
              <w:spacing w:after="0"/>
              <w:rPr>
                <w:sz w:val="21"/>
                <w:szCs w:val="21"/>
                <w:color w:val="auto"/>
              </w:rPr>
            </w:pPr>
          </w:p>
        </w:tc>
        <w:tc>
          <w:tcPr>
            <w:tcW w:w="170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40" w:type="dxa"/>
            <w:vAlign w:val="bottom"/>
            <w:tcBorders>
              <w:bottom w:val="single" w:sz="8" w:color="BFBFBF"/>
            </w:tcBorders>
            <w:shd w:val="clear" w:color="auto" w:fill="DDEFF3"/>
          </w:tcPr>
          <w:p>
            <w:pPr>
              <w:spacing w:after="0"/>
              <w:rPr>
                <w:sz w:val="21"/>
                <w:szCs w:val="21"/>
                <w:color w:val="auto"/>
              </w:rPr>
            </w:pPr>
          </w:p>
        </w:tc>
        <w:tc>
          <w:tcPr>
            <w:tcW w:w="1080" w:type="dxa"/>
            <w:vAlign w:val="bottom"/>
            <w:tcBorders>
              <w:bottom w:val="single" w:sz="8" w:color="BFBFBF"/>
            </w:tcBorders>
            <w:shd w:val="clear" w:color="auto" w:fill="DDEFF3"/>
          </w:tcPr>
          <w:p>
            <w:pPr>
              <w:spacing w:after="0"/>
              <w:rPr>
                <w:sz w:val="21"/>
                <w:szCs w:val="21"/>
                <w:color w:val="auto"/>
              </w:rPr>
            </w:pPr>
          </w:p>
        </w:tc>
        <w:tc>
          <w:tcPr>
            <w:tcW w:w="340" w:type="dxa"/>
            <w:vAlign w:val="bottom"/>
            <w:tcBorders>
              <w:bottom w:val="single" w:sz="8" w:color="BFBFBF"/>
              <w:right w:val="single" w:sz="8" w:color="BFBFBF"/>
            </w:tcBorders>
            <w:shd w:val="clear" w:color="auto" w:fill="DDEFF3"/>
          </w:tcPr>
          <w:p>
            <w:pPr>
              <w:spacing w:after="0"/>
              <w:rPr>
                <w:sz w:val="21"/>
                <w:szCs w:val="21"/>
                <w:color w:val="auto"/>
              </w:rPr>
            </w:pPr>
          </w:p>
        </w:tc>
      </w:tr>
      <w:tr>
        <w:trPr>
          <w:trHeight w:val="196"/>
        </w:trPr>
        <w:tc>
          <w:tcPr>
            <w:tcW w:w="3340" w:type="dxa"/>
            <w:vAlign w:val="bottom"/>
            <w:tcBorders>
              <w:left w:val="single" w:sz="8" w:color="BFBFBF"/>
              <w:bottom w:val="single" w:sz="8" w:color="BFBFBF"/>
              <w:right w:val="single" w:sz="8" w:color="BFBFBF"/>
            </w:tcBorders>
          </w:tcPr>
          <w:p>
            <w:pPr>
              <w:ind w:left="180"/>
              <w:spacing w:after="0" w:line="196" w:lineRule="exact"/>
              <w:rPr>
                <w:sz w:val="20"/>
                <w:szCs w:val="20"/>
                <w:color w:val="auto"/>
              </w:rPr>
            </w:pPr>
            <w:r>
              <w:rPr>
                <w:rFonts w:ascii="Arial" w:cs="Arial" w:eastAsia="Arial" w:hAnsi="Arial"/>
                <w:sz w:val="18"/>
                <w:szCs w:val="18"/>
                <w:color w:val="auto"/>
              </w:rPr>
              <w:t>Hans-Ole Jochumsen</w:t>
            </w:r>
          </w:p>
        </w:tc>
        <w:tc>
          <w:tcPr>
            <w:tcW w:w="240" w:type="dxa"/>
            <w:vAlign w:val="bottom"/>
            <w:tcBorders>
              <w:bottom w:val="single" w:sz="8" w:color="BFBFBF"/>
            </w:tcBorders>
          </w:tcPr>
          <w:p>
            <w:pPr>
              <w:spacing w:after="0"/>
              <w:rPr>
                <w:sz w:val="17"/>
                <w:szCs w:val="17"/>
                <w:color w:val="auto"/>
              </w:rPr>
            </w:pPr>
          </w:p>
        </w:tc>
        <w:tc>
          <w:tcPr>
            <w:tcW w:w="2080" w:type="dxa"/>
            <w:vAlign w:val="bottom"/>
            <w:tcBorders>
              <w:bottom w:val="single" w:sz="8" w:color="BFBFBF"/>
              <w:right w:val="single" w:sz="8" w:color="BFBFBF"/>
            </w:tcBorders>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BFBFBF"/>
            </w:tcBorders>
          </w:tcPr>
          <w:p>
            <w:pPr>
              <w:spacing w:after="0"/>
              <w:rPr>
                <w:sz w:val="17"/>
                <w:szCs w:val="17"/>
                <w:color w:val="auto"/>
              </w:rPr>
            </w:pPr>
          </w:p>
        </w:tc>
        <w:tc>
          <w:tcPr>
            <w:tcW w:w="100" w:type="dxa"/>
            <w:vAlign w:val="bottom"/>
            <w:tcBorders>
              <w:bottom w:val="single" w:sz="8" w:color="BFBFBF"/>
            </w:tcBorders>
          </w:tcPr>
          <w:p>
            <w:pPr>
              <w:spacing w:after="0"/>
              <w:rPr>
                <w:sz w:val="17"/>
                <w:szCs w:val="17"/>
                <w:color w:val="auto"/>
              </w:rPr>
            </w:pPr>
          </w:p>
        </w:tc>
        <w:tc>
          <w:tcPr>
            <w:tcW w:w="1420" w:type="dxa"/>
            <w:vAlign w:val="bottom"/>
            <w:tcBorders>
              <w:bottom w:val="single" w:sz="8" w:color="BFBFBF"/>
              <w:right w:val="single" w:sz="8" w:color="BFBFBF"/>
            </w:tcBorders>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BFBFBF"/>
            </w:tcBorders>
          </w:tcPr>
          <w:p>
            <w:pPr>
              <w:spacing w:after="0"/>
              <w:rPr>
                <w:sz w:val="17"/>
                <w:szCs w:val="17"/>
                <w:color w:val="auto"/>
              </w:rPr>
            </w:pPr>
          </w:p>
        </w:tc>
        <w:tc>
          <w:tcPr>
            <w:tcW w:w="170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82,625(6)</w:t>
            </w:r>
          </w:p>
        </w:tc>
        <w:tc>
          <w:tcPr>
            <w:tcW w:w="200" w:type="dxa"/>
            <w:vAlign w:val="bottom"/>
            <w:tcBorders>
              <w:bottom w:val="single" w:sz="8" w:color="BFBFBF"/>
              <w:right w:val="single" w:sz="8" w:color="BFBFBF"/>
            </w:tcBorders>
          </w:tcPr>
          <w:p>
            <w:pPr>
              <w:spacing w:after="0"/>
              <w:rPr>
                <w:sz w:val="17"/>
                <w:szCs w:val="17"/>
                <w:color w:val="auto"/>
              </w:rPr>
            </w:pPr>
          </w:p>
        </w:tc>
        <w:tc>
          <w:tcPr>
            <w:tcW w:w="380" w:type="dxa"/>
            <w:vAlign w:val="bottom"/>
            <w:tcBorders>
              <w:bottom w:val="single" w:sz="8" w:color="BFBFBF"/>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1,991,299</w:t>
            </w:r>
          </w:p>
        </w:tc>
        <w:tc>
          <w:tcPr>
            <w:tcW w:w="340" w:type="dxa"/>
            <w:vAlign w:val="bottom"/>
            <w:tcBorders>
              <w:bottom w:val="single" w:sz="8" w:color="BFBFBF"/>
              <w:right w:val="single" w:sz="8" w:color="BFBFBF"/>
            </w:tcBorders>
          </w:tcPr>
          <w:p>
            <w:pPr>
              <w:spacing w:after="0"/>
              <w:rPr>
                <w:sz w:val="17"/>
                <w:szCs w:val="17"/>
                <w:color w:val="auto"/>
              </w:rPr>
            </w:pPr>
          </w:p>
        </w:tc>
      </w:tr>
      <w:tr>
        <w:trPr>
          <w:trHeight w:val="199"/>
        </w:trPr>
        <w:tc>
          <w:tcPr>
            <w:tcW w:w="3340" w:type="dxa"/>
            <w:vAlign w:val="bottom"/>
            <w:tcBorders>
              <w:left w:val="single" w:sz="8" w:color="BFBFBF"/>
              <w:right w:val="single" w:sz="8" w:color="BFBFBF"/>
            </w:tcBorders>
          </w:tcPr>
          <w:p>
            <w:pPr>
              <w:ind w:left="380"/>
              <w:spacing w:after="0" w:line="200" w:lineRule="exact"/>
              <w:rPr>
                <w:sz w:val="20"/>
                <w:szCs w:val="20"/>
                <w:color w:val="auto"/>
              </w:rPr>
            </w:pPr>
            <w:r>
              <w:rPr>
                <w:rFonts w:ascii="Arial" w:cs="Arial" w:eastAsia="Arial" w:hAnsi="Arial"/>
                <w:sz w:val="18"/>
                <w:szCs w:val="18"/>
                <w:color w:val="auto"/>
              </w:rPr>
              <w:t>Executive Vice President,</w:t>
            </w: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Borders>
              <w:right w:val="single" w:sz="8" w:color="BFBFBF"/>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r>
      <w:tr>
        <w:trPr>
          <w:trHeight w:val="199"/>
        </w:trPr>
        <w:tc>
          <w:tcPr>
            <w:tcW w:w="3340" w:type="dxa"/>
            <w:vAlign w:val="bottom"/>
            <w:tcBorders>
              <w:left w:val="single" w:sz="8" w:color="BFBFBF"/>
              <w:bottom w:val="single" w:sz="8" w:color="BFBFBF"/>
              <w:right w:val="single" w:sz="8" w:color="BFBFBF"/>
            </w:tcBorders>
          </w:tcPr>
          <w:p>
            <w:pPr>
              <w:ind w:left="380"/>
              <w:spacing w:after="0" w:line="200" w:lineRule="exact"/>
              <w:rPr>
                <w:sz w:val="20"/>
                <w:szCs w:val="20"/>
                <w:color w:val="auto"/>
              </w:rPr>
            </w:pPr>
            <w:r>
              <w:rPr>
                <w:rFonts w:ascii="Arial" w:cs="Arial" w:eastAsia="Arial" w:hAnsi="Arial"/>
                <w:sz w:val="18"/>
                <w:szCs w:val="18"/>
                <w:color w:val="auto"/>
              </w:rPr>
              <w:t>Transaction Services Nordic</w:t>
            </w:r>
          </w:p>
        </w:tc>
        <w:tc>
          <w:tcPr>
            <w:tcW w:w="240" w:type="dxa"/>
            <w:vAlign w:val="bottom"/>
            <w:tcBorders>
              <w:bottom w:val="single" w:sz="8" w:color="BFBFBF"/>
            </w:tcBorders>
          </w:tcPr>
          <w:p>
            <w:pPr>
              <w:spacing w:after="0"/>
              <w:rPr>
                <w:sz w:val="17"/>
                <w:szCs w:val="17"/>
                <w:color w:val="auto"/>
              </w:rPr>
            </w:pPr>
          </w:p>
        </w:tc>
        <w:tc>
          <w:tcPr>
            <w:tcW w:w="178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40" w:type="dxa"/>
            <w:vAlign w:val="bottom"/>
            <w:tcBorders>
              <w:bottom w:val="single" w:sz="8" w:color="BFBFBF"/>
            </w:tcBorders>
          </w:tcPr>
          <w:p>
            <w:pPr>
              <w:spacing w:after="0"/>
              <w:rPr>
                <w:sz w:val="17"/>
                <w:szCs w:val="17"/>
                <w:color w:val="auto"/>
              </w:rPr>
            </w:pPr>
          </w:p>
        </w:tc>
        <w:tc>
          <w:tcPr>
            <w:tcW w:w="100" w:type="dxa"/>
            <w:vAlign w:val="bottom"/>
            <w:tcBorders>
              <w:bottom w:val="single" w:sz="8" w:color="BFBFBF"/>
            </w:tcBorders>
          </w:tcPr>
          <w:p>
            <w:pPr>
              <w:spacing w:after="0"/>
              <w:rPr>
                <w:sz w:val="17"/>
                <w:szCs w:val="17"/>
                <w:color w:val="auto"/>
              </w:rPr>
            </w:pPr>
          </w:p>
        </w:tc>
        <w:tc>
          <w:tcPr>
            <w:tcW w:w="112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320" w:type="dxa"/>
            <w:vAlign w:val="bottom"/>
            <w:tcBorders>
              <w:bottom w:val="single" w:sz="8" w:color="BFBFBF"/>
            </w:tcBorders>
          </w:tcPr>
          <w:p>
            <w:pPr>
              <w:spacing w:after="0"/>
              <w:rPr>
                <w:sz w:val="17"/>
                <w:szCs w:val="17"/>
                <w:color w:val="auto"/>
              </w:rPr>
            </w:pPr>
          </w:p>
        </w:tc>
        <w:tc>
          <w:tcPr>
            <w:tcW w:w="1700" w:type="dxa"/>
            <w:vAlign w:val="bottom"/>
            <w:tcBorders>
              <w:bottom w:val="single" w:sz="8" w:color="BFBFBF"/>
            </w:tcBorders>
          </w:tcPr>
          <w:p>
            <w:pPr>
              <w:spacing w:after="0"/>
              <w:rPr>
                <w:sz w:val="17"/>
                <w:szCs w:val="17"/>
                <w:color w:val="auto"/>
              </w:rPr>
            </w:pPr>
          </w:p>
        </w:tc>
        <w:tc>
          <w:tcPr>
            <w:tcW w:w="200" w:type="dxa"/>
            <w:vAlign w:val="bottom"/>
            <w:tcBorders>
              <w:bottom w:val="single" w:sz="8" w:color="BFBFBF"/>
              <w:right w:val="single" w:sz="8" w:color="BFBFBF"/>
            </w:tcBorders>
          </w:tcPr>
          <w:p>
            <w:pPr>
              <w:spacing w:after="0"/>
              <w:rPr>
                <w:sz w:val="17"/>
                <w:szCs w:val="17"/>
                <w:color w:val="auto"/>
              </w:rPr>
            </w:pPr>
          </w:p>
        </w:tc>
        <w:tc>
          <w:tcPr>
            <w:tcW w:w="240" w:type="dxa"/>
            <w:vAlign w:val="bottom"/>
            <w:tcBorders>
              <w:bottom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108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right w:val="single" w:sz="8" w:color="BFBFBF"/>
            </w:tcBorders>
          </w:tcPr>
          <w:p>
            <w:pPr>
              <w:spacing w:after="0"/>
              <w:rPr>
                <w:sz w:val="17"/>
                <w:szCs w:val="17"/>
                <w:color w:val="auto"/>
              </w:rPr>
            </w:pPr>
          </w:p>
        </w:tc>
      </w:tr>
      <w:tr>
        <w:trPr>
          <w:trHeight w:val="250"/>
        </w:trPr>
        <w:tc>
          <w:tcPr>
            <w:tcW w:w="334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78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112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320" w:type="dxa"/>
            <w:vAlign w:val="bottom"/>
            <w:tcBorders>
              <w:bottom w:val="single" w:sz="8" w:color="BFBFBF"/>
            </w:tcBorders>
            <w:shd w:val="clear" w:color="auto" w:fill="DDEFF3"/>
          </w:tcPr>
          <w:p>
            <w:pPr>
              <w:spacing w:after="0"/>
              <w:rPr>
                <w:sz w:val="21"/>
                <w:szCs w:val="21"/>
                <w:color w:val="auto"/>
              </w:rPr>
            </w:pPr>
          </w:p>
        </w:tc>
        <w:tc>
          <w:tcPr>
            <w:tcW w:w="170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240" w:type="dxa"/>
            <w:vAlign w:val="bottom"/>
            <w:tcBorders>
              <w:bottom w:val="single" w:sz="8" w:color="BFBFBF"/>
            </w:tcBorders>
            <w:shd w:val="clear" w:color="auto" w:fill="DDEFF3"/>
          </w:tcPr>
          <w:p>
            <w:pPr>
              <w:spacing w:after="0"/>
              <w:rPr>
                <w:sz w:val="21"/>
                <w:szCs w:val="21"/>
                <w:color w:val="auto"/>
              </w:rPr>
            </w:pPr>
          </w:p>
        </w:tc>
        <w:tc>
          <w:tcPr>
            <w:tcW w:w="140" w:type="dxa"/>
            <w:vAlign w:val="bottom"/>
            <w:tcBorders>
              <w:bottom w:val="single" w:sz="8" w:color="BFBFBF"/>
            </w:tcBorders>
            <w:shd w:val="clear" w:color="auto" w:fill="DDEFF3"/>
          </w:tcPr>
          <w:p>
            <w:pPr>
              <w:spacing w:after="0"/>
              <w:rPr>
                <w:sz w:val="21"/>
                <w:szCs w:val="21"/>
                <w:color w:val="auto"/>
              </w:rPr>
            </w:pPr>
          </w:p>
        </w:tc>
        <w:tc>
          <w:tcPr>
            <w:tcW w:w="1080" w:type="dxa"/>
            <w:vAlign w:val="bottom"/>
            <w:tcBorders>
              <w:bottom w:val="single" w:sz="8" w:color="BFBFBF"/>
            </w:tcBorders>
            <w:shd w:val="clear" w:color="auto" w:fill="DDEFF3"/>
          </w:tcPr>
          <w:p>
            <w:pPr>
              <w:spacing w:after="0"/>
              <w:rPr>
                <w:sz w:val="21"/>
                <w:szCs w:val="21"/>
                <w:color w:val="auto"/>
              </w:rPr>
            </w:pPr>
          </w:p>
        </w:tc>
        <w:tc>
          <w:tcPr>
            <w:tcW w:w="340" w:type="dxa"/>
            <w:vAlign w:val="bottom"/>
            <w:tcBorders>
              <w:bottom w:val="single" w:sz="8" w:color="BFBFBF"/>
              <w:right w:val="single" w:sz="8" w:color="BFBFBF"/>
            </w:tcBorders>
            <w:shd w:val="clear" w:color="auto" w:fill="DDEFF3"/>
          </w:tcPr>
          <w:p>
            <w:pPr>
              <w:spacing w:after="0"/>
              <w:rPr>
                <w:sz w:val="21"/>
                <w:szCs w:val="21"/>
                <w:color w:val="auto"/>
              </w:rPr>
            </w:pPr>
          </w:p>
        </w:tc>
      </w:tr>
      <w:tr>
        <w:trPr>
          <w:trHeight w:val="196"/>
        </w:trPr>
        <w:tc>
          <w:tcPr>
            <w:tcW w:w="3340" w:type="dxa"/>
            <w:vAlign w:val="bottom"/>
            <w:tcBorders>
              <w:left w:val="single" w:sz="8" w:color="BFBFBF"/>
              <w:bottom w:val="single" w:sz="8" w:color="BFBFBF"/>
              <w:right w:val="single" w:sz="8" w:color="BFBFBF"/>
            </w:tcBorders>
          </w:tcPr>
          <w:p>
            <w:pPr>
              <w:ind w:left="180"/>
              <w:spacing w:after="0" w:line="196" w:lineRule="exact"/>
              <w:rPr>
                <w:sz w:val="20"/>
                <w:szCs w:val="20"/>
                <w:color w:val="auto"/>
              </w:rPr>
            </w:pPr>
            <w:r>
              <w:rPr>
                <w:rFonts w:ascii="Arial" w:cs="Arial" w:eastAsia="Arial" w:hAnsi="Arial"/>
                <w:sz w:val="18"/>
                <w:szCs w:val="18"/>
                <w:color w:val="auto"/>
              </w:rPr>
              <w:t>Eric W. Noll</w:t>
            </w:r>
          </w:p>
        </w:tc>
        <w:tc>
          <w:tcPr>
            <w:tcW w:w="240" w:type="dxa"/>
            <w:vAlign w:val="bottom"/>
            <w:tcBorders>
              <w:bottom w:val="single" w:sz="8" w:color="BFBFBF"/>
            </w:tcBorders>
          </w:tcPr>
          <w:p>
            <w:pPr>
              <w:spacing w:after="0"/>
              <w:rPr>
                <w:sz w:val="17"/>
                <w:szCs w:val="17"/>
                <w:color w:val="auto"/>
              </w:rPr>
            </w:pPr>
          </w:p>
        </w:tc>
        <w:tc>
          <w:tcPr>
            <w:tcW w:w="2080" w:type="dxa"/>
            <w:vAlign w:val="bottom"/>
            <w:tcBorders>
              <w:bottom w:val="single" w:sz="8" w:color="BFBFBF"/>
              <w:right w:val="single" w:sz="8" w:color="BFBFBF"/>
            </w:tcBorders>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BFBFBF"/>
            </w:tcBorders>
          </w:tcPr>
          <w:p>
            <w:pPr>
              <w:spacing w:after="0"/>
              <w:rPr>
                <w:sz w:val="17"/>
                <w:szCs w:val="17"/>
                <w:color w:val="auto"/>
              </w:rPr>
            </w:pPr>
          </w:p>
        </w:tc>
        <w:tc>
          <w:tcPr>
            <w:tcW w:w="100" w:type="dxa"/>
            <w:vAlign w:val="bottom"/>
            <w:tcBorders>
              <w:bottom w:val="single" w:sz="8" w:color="BFBFBF"/>
            </w:tcBorders>
          </w:tcPr>
          <w:p>
            <w:pPr>
              <w:spacing w:after="0"/>
              <w:rPr>
                <w:sz w:val="17"/>
                <w:szCs w:val="17"/>
                <w:color w:val="auto"/>
              </w:rPr>
            </w:pPr>
          </w:p>
        </w:tc>
        <w:tc>
          <w:tcPr>
            <w:tcW w:w="1420" w:type="dxa"/>
            <w:vAlign w:val="bottom"/>
            <w:tcBorders>
              <w:bottom w:val="single" w:sz="8" w:color="BFBFBF"/>
              <w:right w:val="single" w:sz="8" w:color="BFBFBF"/>
            </w:tcBorders>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BFBFBF"/>
            </w:tcBorders>
          </w:tcPr>
          <w:p>
            <w:pPr>
              <w:spacing w:after="0"/>
              <w:rPr>
                <w:sz w:val="17"/>
                <w:szCs w:val="17"/>
                <w:color w:val="auto"/>
              </w:rPr>
            </w:pPr>
          </w:p>
        </w:tc>
        <w:tc>
          <w:tcPr>
            <w:tcW w:w="1700" w:type="dxa"/>
            <w:vAlign w:val="bottom"/>
            <w:tcBorders>
              <w:bottom w:val="single" w:sz="8" w:color="BFBFBF"/>
            </w:tcBorders>
          </w:tcPr>
          <w:p>
            <w:pPr>
              <w:jc w:val="right"/>
              <w:ind w:right="112"/>
              <w:spacing w:after="0" w:line="196" w:lineRule="exact"/>
              <w:rPr>
                <w:sz w:val="20"/>
                <w:szCs w:val="20"/>
                <w:color w:val="auto"/>
              </w:rPr>
            </w:pPr>
            <w:r>
              <w:rPr>
                <w:rFonts w:ascii="Arial" w:cs="Arial" w:eastAsia="Arial" w:hAnsi="Arial"/>
                <w:sz w:val="18"/>
                <w:szCs w:val="18"/>
                <w:color w:val="auto"/>
              </w:rPr>
              <w:t>61,288(7)</w:t>
            </w:r>
          </w:p>
        </w:tc>
        <w:tc>
          <w:tcPr>
            <w:tcW w:w="200" w:type="dxa"/>
            <w:vAlign w:val="bottom"/>
            <w:tcBorders>
              <w:bottom w:val="single" w:sz="8" w:color="BFBFBF"/>
              <w:right w:val="single" w:sz="8" w:color="BFBFBF"/>
            </w:tcBorders>
          </w:tcPr>
          <w:p>
            <w:pPr>
              <w:spacing w:after="0"/>
              <w:rPr>
                <w:sz w:val="17"/>
                <w:szCs w:val="17"/>
                <w:color w:val="auto"/>
              </w:rPr>
            </w:pPr>
          </w:p>
        </w:tc>
        <w:tc>
          <w:tcPr>
            <w:tcW w:w="380" w:type="dxa"/>
            <w:vAlign w:val="bottom"/>
            <w:tcBorders>
              <w:bottom w:val="single" w:sz="8" w:color="BFBFBF"/>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1,481,887</w:t>
            </w:r>
          </w:p>
        </w:tc>
        <w:tc>
          <w:tcPr>
            <w:tcW w:w="340" w:type="dxa"/>
            <w:vAlign w:val="bottom"/>
            <w:tcBorders>
              <w:bottom w:val="single" w:sz="8" w:color="BFBFBF"/>
              <w:right w:val="single" w:sz="8" w:color="BFBFBF"/>
            </w:tcBorders>
          </w:tcPr>
          <w:p>
            <w:pPr>
              <w:spacing w:after="0"/>
              <w:rPr>
                <w:sz w:val="17"/>
                <w:szCs w:val="17"/>
                <w:color w:val="auto"/>
              </w:rPr>
            </w:pPr>
          </w:p>
        </w:tc>
      </w:tr>
      <w:tr>
        <w:trPr>
          <w:trHeight w:val="199"/>
        </w:trPr>
        <w:tc>
          <w:tcPr>
            <w:tcW w:w="3340" w:type="dxa"/>
            <w:vAlign w:val="bottom"/>
            <w:tcBorders>
              <w:left w:val="single" w:sz="8" w:color="BFBFBF"/>
              <w:right w:val="single" w:sz="8" w:color="BFBFBF"/>
            </w:tcBorders>
          </w:tcPr>
          <w:p>
            <w:pPr>
              <w:ind w:left="380"/>
              <w:spacing w:after="0" w:line="200" w:lineRule="exact"/>
              <w:rPr>
                <w:sz w:val="20"/>
                <w:szCs w:val="20"/>
                <w:color w:val="auto"/>
              </w:rPr>
            </w:pPr>
            <w:r>
              <w:rPr>
                <w:rFonts w:ascii="Arial" w:cs="Arial" w:eastAsia="Arial" w:hAnsi="Arial"/>
                <w:sz w:val="18"/>
                <w:szCs w:val="18"/>
                <w:color w:val="auto"/>
              </w:rPr>
              <w:t>Executive Vice President,</w:t>
            </w: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Borders>
              <w:right w:val="single" w:sz="8" w:color="BFBFBF"/>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r>
      <w:tr>
        <w:trPr>
          <w:trHeight w:val="203"/>
        </w:trPr>
        <w:tc>
          <w:tcPr>
            <w:tcW w:w="3340" w:type="dxa"/>
            <w:vAlign w:val="bottom"/>
            <w:tcBorders>
              <w:left w:val="single" w:sz="8" w:color="BFBFBF"/>
              <w:right w:val="single" w:sz="8" w:color="BFBFBF"/>
            </w:tcBorders>
          </w:tcPr>
          <w:p>
            <w:pPr>
              <w:ind w:left="380"/>
              <w:spacing w:after="0" w:line="202" w:lineRule="exact"/>
              <w:rPr>
                <w:sz w:val="20"/>
                <w:szCs w:val="20"/>
                <w:color w:val="auto"/>
              </w:rPr>
            </w:pPr>
            <w:r>
              <w:rPr>
                <w:rFonts w:ascii="Arial" w:cs="Arial" w:eastAsia="Arial" w:hAnsi="Arial"/>
                <w:sz w:val="18"/>
                <w:szCs w:val="18"/>
                <w:color w:val="auto"/>
              </w:rPr>
              <w:t>Transaction Services U.S.</w:t>
            </w: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Borders>
              <w:right w:val="single" w:sz="8" w:color="BFBFBF"/>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r>
      <w:tr>
        <w:trPr>
          <w:trHeight w:val="199"/>
        </w:trPr>
        <w:tc>
          <w:tcPr>
            <w:tcW w:w="3340" w:type="dxa"/>
            <w:vAlign w:val="bottom"/>
            <w:tcBorders>
              <w:left w:val="single" w:sz="8" w:color="BFBFBF"/>
              <w:bottom w:val="single" w:sz="8" w:color="BFBFBF"/>
              <w:right w:val="single" w:sz="8" w:color="BFBFBF"/>
            </w:tcBorders>
          </w:tcPr>
          <w:p>
            <w:pPr>
              <w:ind w:left="380"/>
              <w:spacing w:after="0" w:line="200" w:lineRule="exact"/>
              <w:rPr>
                <w:sz w:val="20"/>
                <w:szCs w:val="20"/>
                <w:color w:val="auto"/>
              </w:rPr>
            </w:pPr>
            <w:r>
              <w:rPr>
                <w:rFonts w:ascii="Arial" w:cs="Arial" w:eastAsia="Arial" w:hAnsi="Arial"/>
                <w:sz w:val="18"/>
                <w:szCs w:val="18"/>
                <w:color w:val="auto"/>
              </w:rPr>
              <w:t>and U.K.</w:t>
            </w:r>
          </w:p>
        </w:tc>
        <w:tc>
          <w:tcPr>
            <w:tcW w:w="240" w:type="dxa"/>
            <w:vAlign w:val="bottom"/>
            <w:tcBorders>
              <w:bottom w:val="single" w:sz="8" w:color="BFBFBF"/>
            </w:tcBorders>
          </w:tcPr>
          <w:p>
            <w:pPr>
              <w:spacing w:after="0"/>
              <w:rPr>
                <w:sz w:val="17"/>
                <w:szCs w:val="17"/>
                <w:color w:val="auto"/>
              </w:rPr>
            </w:pPr>
          </w:p>
        </w:tc>
        <w:tc>
          <w:tcPr>
            <w:tcW w:w="178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40" w:type="dxa"/>
            <w:vAlign w:val="bottom"/>
            <w:tcBorders>
              <w:bottom w:val="single" w:sz="8" w:color="BFBFBF"/>
            </w:tcBorders>
          </w:tcPr>
          <w:p>
            <w:pPr>
              <w:spacing w:after="0"/>
              <w:rPr>
                <w:sz w:val="17"/>
                <w:szCs w:val="17"/>
                <w:color w:val="auto"/>
              </w:rPr>
            </w:pPr>
          </w:p>
        </w:tc>
        <w:tc>
          <w:tcPr>
            <w:tcW w:w="100" w:type="dxa"/>
            <w:vAlign w:val="bottom"/>
            <w:tcBorders>
              <w:bottom w:val="single" w:sz="8" w:color="BFBFBF"/>
            </w:tcBorders>
          </w:tcPr>
          <w:p>
            <w:pPr>
              <w:spacing w:after="0"/>
              <w:rPr>
                <w:sz w:val="17"/>
                <w:szCs w:val="17"/>
                <w:color w:val="auto"/>
              </w:rPr>
            </w:pPr>
          </w:p>
        </w:tc>
        <w:tc>
          <w:tcPr>
            <w:tcW w:w="112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320" w:type="dxa"/>
            <w:vAlign w:val="bottom"/>
            <w:tcBorders>
              <w:bottom w:val="single" w:sz="8" w:color="BFBFBF"/>
            </w:tcBorders>
          </w:tcPr>
          <w:p>
            <w:pPr>
              <w:spacing w:after="0"/>
              <w:rPr>
                <w:sz w:val="17"/>
                <w:szCs w:val="17"/>
                <w:color w:val="auto"/>
              </w:rPr>
            </w:pPr>
          </w:p>
        </w:tc>
        <w:tc>
          <w:tcPr>
            <w:tcW w:w="1700" w:type="dxa"/>
            <w:vAlign w:val="bottom"/>
            <w:tcBorders>
              <w:bottom w:val="single" w:sz="8" w:color="BFBFBF"/>
            </w:tcBorders>
          </w:tcPr>
          <w:p>
            <w:pPr>
              <w:spacing w:after="0"/>
              <w:rPr>
                <w:sz w:val="17"/>
                <w:szCs w:val="17"/>
                <w:color w:val="auto"/>
              </w:rPr>
            </w:pPr>
          </w:p>
        </w:tc>
        <w:tc>
          <w:tcPr>
            <w:tcW w:w="200" w:type="dxa"/>
            <w:vAlign w:val="bottom"/>
            <w:tcBorders>
              <w:bottom w:val="single" w:sz="8" w:color="BFBFBF"/>
              <w:right w:val="single" w:sz="8" w:color="BFBFBF"/>
            </w:tcBorders>
          </w:tcPr>
          <w:p>
            <w:pPr>
              <w:spacing w:after="0"/>
              <w:rPr>
                <w:sz w:val="17"/>
                <w:szCs w:val="17"/>
                <w:color w:val="auto"/>
              </w:rPr>
            </w:pPr>
          </w:p>
        </w:tc>
        <w:tc>
          <w:tcPr>
            <w:tcW w:w="240" w:type="dxa"/>
            <w:vAlign w:val="bottom"/>
            <w:tcBorders>
              <w:bottom w:val="single" w:sz="8" w:color="BFBFBF"/>
            </w:tcBorders>
          </w:tcPr>
          <w:p>
            <w:pPr>
              <w:spacing w:after="0"/>
              <w:rPr>
                <w:sz w:val="17"/>
                <w:szCs w:val="17"/>
                <w:color w:val="auto"/>
              </w:rPr>
            </w:pPr>
          </w:p>
        </w:tc>
        <w:tc>
          <w:tcPr>
            <w:tcW w:w="140" w:type="dxa"/>
            <w:vAlign w:val="bottom"/>
            <w:tcBorders>
              <w:bottom w:val="single" w:sz="8" w:color="BFBFBF"/>
            </w:tcBorders>
          </w:tcPr>
          <w:p>
            <w:pPr>
              <w:spacing w:after="0"/>
              <w:rPr>
                <w:sz w:val="17"/>
                <w:szCs w:val="17"/>
                <w:color w:val="auto"/>
              </w:rPr>
            </w:pPr>
          </w:p>
        </w:tc>
        <w:tc>
          <w:tcPr>
            <w:tcW w:w="108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right w:val="single" w:sz="8" w:color="BFBFBF"/>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-2880995</wp:posOffset>
            </wp:positionV>
            <wp:extent cx="889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-2880995</wp:posOffset>
            </wp:positionV>
            <wp:extent cx="889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-3292475</wp:posOffset>
            </wp:positionV>
            <wp:extent cx="889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-3292475</wp:posOffset>
            </wp:positionV>
            <wp:extent cx="889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32" w:lineRule="exact"/>
        <w:rPr>
          <w:sz w:val="20"/>
          <w:szCs w:val="20"/>
          <w:color w:val="auto"/>
        </w:rPr>
      </w:pPr>
    </w:p>
    <w:p>
      <w:pPr>
        <w:ind w:left="580" w:right="140" w:hanging="572"/>
        <w:spacing w:after="0" w:line="239"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reported in this column are calculated by multiplying the number of shares received upon exercise by the difference between the closing market price of our common stock on the date of exercise and the exercise price of the option.</w:t>
      </w:r>
    </w:p>
    <w:p>
      <w:pPr>
        <w:spacing w:after="0" w:line="60" w:lineRule="exact"/>
        <w:rPr>
          <w:rFonts w:ascii="Arial" w:cs="Arial" w:eastAsia="Arial" w:hAnsi="Arial"/>
          <w:sz w:val="18"/>
          <w:szCs w:val="18"/>
          <w:color w:val="auto"/>
        </w:rPr>
      </w:pPr>
    </w:p>
    <w:p>
      <w:pPr>
        <w:ind w:left="580" w:right="160" w:hanging="572"/>
        <w:spacing w:after="0" w:line="239"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reported in this column are calculated by multiplying the number of shares of stock that vested by the closing market price of our common stock on the vesting date.</w:t>
      </w:r>
    </w:p>
    <w:p>
      <w:pPr>
        <w:spacing w:after="0" w:line="60"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reported includes 35,397 shares that were withheld to pay taxes in connection with the vesting of PSUs.</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reported include 34,002 shares that were withheld to pay taxes in connection with the vesting of PSUs and RSUs.</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reported includes 76,615 shares that were withheld to pay taxes in connection with the vesting of PSUs and RSUs.</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reported includes 47,925 shares that were withheld to pay taxes in connection with the vesting of PSUs and RSU.</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reported includes 28,883 shares that were withheld to pay taxes in connection with the vesting of PSUs and RSUs.</w:t>
      </w:r>
    </w:p>
    <w:p>
      <w:pPr>
        <w:spacing w:after="0" w:line="144"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65</w:t>
      </w:r>
    </w:p>
    <w:p>
      <w:pPr>
        <w:sectPr>
          <w:pgSz w:w="11900" w:h="16838" w:orient="portrait"/>
          <w:cols w:equalWidth="0" w:num="1">
            <w:col w:w="11440"/>
          </w:cols>
          <w:pgMar w:left="240" w:top="459" w:right="2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72"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NASDAQ OMX provides a tax-qualified Section 401(k) savings plan (401(k) Plan) for eligible employees. As of December 31, 2012, all of the named executive officers, except Mr. Jochumsen, participated in the 401(k) Plan. NASDAQ OMX matches employee contributions to this plan during the year up to 4% of base salary, not to exceed the Internal Revenue Service (IRS) annual limits. For the year ended December 31, 2012, NASDAQ OMX also provided true-up matching to ensure that employees who contributed 4% of base salary to the 401(k) Plan in 2012 would receive the maximum company match for 2012, regardless of the timing of employee contributions.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Frozen Pension Plan and SERP</w:t>
      </w:r>
    </w:p>
    <w:p>
      <w:pPr>
        <w:spacing w:after="0" w:line="7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Effective May 1, 2007, the Pension Plan and SERP were fully frozen for all employees, and new retirement benefits were implemented on July 1, 2007. As a result, the eligible named executive officers have accrued Pension Plan and SERP benefits only through April 30, 2007. As of that date, the plan participants no longer accrue additional benefits from future salary earnings and years of service with NASDAQ OMX.</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Retirement Contributions (ERCs)</w:t>
      </w:r>
    </w:p>
    <w:p>
      <w:pPr>
        <w:spacing w:after="0" w:line="72"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Retirement benefits available for service after May 1, 2007 include two features. The first part of the retirement benefits, which is provided through the existing 401(k) Plan, is available to eligible U.S. employees, including the U.S.-based named executive officers, on the same terms. Under the plan, NASDAQ OMX:</w:t>
      </w:r>
    </w:p>
    <w:p>
      <w:pPr>
        <w:spacing w:after="0" w:line="59" w:lineRule="exact"/>
        <w:rPr>
          <w:sz w:val="20"/>
          <w:szCs w:val="20"/>
          <w:color w:val="auto"/>
        </w:rPr>
      </w:pPr>
    </w:p>
    <w:p>
      <w:pPr>
        <w:ind w:left="1120" w:hanging="437"/>
        <w:spacing w:after="0"/>
        <w:tabs>
          <w:tab w:leader="none" w:pos="1120" w:val="left"/>
        </w:tabs>
        <w:numPr>
          <w:ilvl w:val="0"/>
          <w:numId w:val="58"/>
        </w:numPr>
        <w:rPr>
          <w:rFonts w:ascii="Arial" w:cs="Arial" w:eastAsia="Arial" w:hAnsi="Arial"/>
          <w:sz w:val="18"/>
          <w:szCs w:val="18"/>
          <w:color w:val="0088A6"/>
        </w:rPr>
      </w:pPr>
      <w:r>
        <w:rPr>
          <w:rFonts w:ascii="Arial" w:cs="Arial" w:eastAsia="Arial" w:hAnsi="Arial"/>
          <w:sz w:val="18"/>
          <w:szCs w:val="18"/>
          <w:color w:val="auto"/>
        </w:rPr>
        <w:t>matches an employee’s contributions to the 401(k) Plan up to 4% of base salary;</w:t>
      </w:r>
    </w:p>
    <w:p>
      <w:pPr>
        <w:spacing w:after="0" w:line="63" w:lineRule="exact"/>
        <w:rPr>
          <w:rFonts w:ascii="Arial" w:cs="Arial" w:eastAsia="Arial" w:hAnsi="Arial"/>
          <w:sz w:val="18"/>
          <w:szCs w:val="18"/>
          <w:color w:val="0088A6"/>
        </w:rPr>
      </w:pPr>
    </w:p>
    <w:p>
      <w:pPr>
        <w:ind w:left="1120" w:right="80" w:hanging="437"/>
        <w:spacing w:after="0" w:line="239" w:lineRule="auto"/>
        <w:tabs>
          <w:tab w:leader="none" w:pos="1120" w:val="left"/>
        </w:tabs>
        <w:numPr>
          <w:ilvl w:val="0"/>
          <w:numId w:val="58"/>
        </w:numPr>
        <w:rPr>
          <w:rFonts w:ascii="Arial" w:cs="Arial" w:eastAsia="Arial" w:hAnsi="Arial"/>
          <w:sz w:val="18"/>
          <w:szCs w:val="18"/>
          <w:color w:val="0088A6"/>
        </w:rPr>
      </w:pPr>
      <w:r>
        <w:rPr>
          <w:rFonts w:ascii="Arial" w:cs="Arial" w:eastAsia="Arial" w:hAnsi="Arial"/>
          <w:sz w:val="18"/>
          <w:szCs w:val="18"/>
          <w:color w:val="auto"/>
        </w:rPr>
        <w:t>makes discretionary tax-qualified contributions to the 401(k) Plan, called the Basic Employer Retirement Contributions (Basic ERC), within specified guidelines based on years of service; and</w:t>
      </w:r>
    </w:p>
    <w:p>
      <w:pPr>
        <w:spacing w:after="0" w:line="60" w:lineRule="exact"/>
        <w:rPr>
          <w:rFonts w:ascii="Arial" w:cs="Arial" w:eastAsia="Arial" w:hAnsi="Arial"/>
          <w:sz w:val="18"/>
          <w:szCs w:val="18"/>
          <w:color w:val="0088A6"/>
        </w:rPr>
      </w:pPr>
    </w:p>
    <w:p>
      <w:pPr>
        <w:ind w:left="1120" w:right="40" w:hanging="437"/>
        <w:spacing w:after="0" w:line="239" w:lineRule="auto"/>
        <w:tabs>
          <w:tab w:leader="none" w:pos="1120" w:val="left"/>
        </w:tabs>
        <w:numPr>
          <w:ilvl w:val="0"/>
          <w:numId w:val="58"/>
        </w:numPr>
        <w:rPr>
          <w:rFonts w:ascii="Arial" w:cs="Arial" w:eastAsia="Arial" w:hAnsi="Arial"/>
          <w:sz w:val="18"/>
          <w:szCs w:val="18"/>
          <w:color w:val="0088A6"/>
        </w:rPr>
      </w:pPr>
      <w:r>
        <w:rPr>
          <w:rFonts w:ascii="Arial" w:cs="Arial" w:eastAsia="Arial" w:hAnsi="Arial"/>
          <w:sz w:val="18"/>
          <w:szCs w:val="18"/>
          <w:color w:val="auto"/>
        </w:rPr>
        <w:t>makes discretionary additional tax-qualified contributions, called Enhanced Employer Retirement Contributions (Enhanced ERC), for employees age 45 or older with at least 10 years of service as of December 31, 2006.</w:t>
      </w:r>
    </w:p>
    <w:p>
      <w:pPr>
        <w:spacing w:after="0" w:line="114"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The second part of NASDAQ OMX’s retirement program is a non-qualified plan called Supplemental Employer Retirement Contributions (Supplemental ERC). The Supplemental ERC is available to officers and non-officers whose base salaries exceed the IRS compensation limit of $250,000 (for 2012) or whose total employee and NASDAQ OMX contributions to qualified plans exceed the IRS total annual contribution limit, generally $50,000 (for 2012). For years in which an ERC is contributed to the 401(k) Plan, a Supplemental ERC will be contributed for those employees for whom the ERC must be reduced by operation of these IRS limits. The Supplemental ERC is equal to the difference between the ERC that would have been contributed for the employee had the IRS limits not applied, and the actual ERC contributed to the 401(k) Plan.</w:t>
      </w:r>
    </w:p>
    <w:p>
      <w:pPr>
        <w:spacing w:after="0" w:line="91"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Employees may direct investment of Basic ERC and Enhanced ERC contributions among the various mutual funds available through our 401(k) Plan. Supplemental ERC contributions receive interest at a rate set forth in the plan document. Unlike the Pension Plan and SERP, the ERC benefits allow for immediate vesting.</w:t>
      </w:r>
    </w:p>
    <w:p>
      <w:pPr>
        <w:spacing w:after="0" w:line="11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Most employees outside of the U.S. are covered by local retirement plans or by applicable social laws. Mr. Jochumsen participates in a non-U.S. defined contribution pension plan. Under this type of plan, NASDAQ OMX makes annual contributions equal to a percentage of fixed salary to participants’ personal accounts. Each participant is free to invest such contributions as he or she chooses.</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Participants are not taxed on the contributions until they are withdrawn upon retirement. Under his employment agreement, Mr. Jochumsen is entitled to receive annual contributions under this plan equal to 20% of his base salary.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TABLE</w:t>
      </w:r>
    </w:p>
    <w:p>
      <w:pPr>
        <w:spacing w:after="0" w:line="7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table below shows the actuarial present value of accumulated benefits payable to each of the named executive officers, including the number of years of service credited to each such named executive officer, under the Pension Plan and the SERP as of December 31, 2012. Messrs. Jochumsen, Noll and Shavel are not participants in the Pension Plan or SERP.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Pension Benefits Table</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660" w:type="dxa"/>
            <w:vAlign w:val="bottom"/>
            <w:tcBorders>
              <w:left w:val="single" w:sz="8" w:color="BFBFBF"/>
            </w:tcBorders>
            <w:shd w:val="clear" w:color="auto" w:fill="0088A6"/>
          </w:tcPr>
          <w:p>
            <w:pPr>
              <w:spacing w:after="0"/>
              <w:rPr>
                <w:sz w:val="17"/>
                <w:szCs w:val="17"/>
                <w:color w:val="auto"/>
              </w:rPr>
            </w:pPr>
          </w:p>
        </w:tc>
        <w:tc>
          <w:tcPr>
            <w:tcW w:w="360" w:type="dxa"/>
            <w:vAlign w:val="bottom"/>
            <w:tcBorders>
              <w:right w:val="single" w:sz="8" w:color="BFBFBF"/>
            </w:tcBorders>
            <w:shd w:val="clear" w:color="auto" w:fill="0088A6"/>
          </w:tcPr>
          <w:p>
            <w:pPr>
              <w:spacing w:after="0"/>
              <w:rPr>
                <w:sz w:val="17"/>
                <w:szCs w:val="17"/>
                <w:color w:val="auto"/>
              </w:rPr>
            </w:pPr>
          </w:p>
        </w:tc>
        <w:tc>
          <w:tcPr>
            <w:tcW w:w="120" w:type="dxa"/>
            <w:vAlign w:val="bottom"/>
            <w:shd w:val="clear" w:color="auto" w:fill="0088A6"/>
          </w:tcPr>
          <w:p>
            <w:pPr>
              <w:spacing w:after="0"/>
              <w:rPr>
                <w:sz w:val="17"/>
                <w:szCs w:val="17"/>
                <w:color w:val="auto"/>
              </w:rPr>
            </w:pPr>
          </w:p>
        </w:tc>
        <w:tc>
          <w:tcPr>
            <w:tcW w:w="1160" w:type="dxa"/>
            <w:vAlign w:val="bottom"/>
            <w:tcBorders>
              <w:right w:val="single" w:sz="8" w:color="BFBFBF"/>
            </w:tcBorders>
            <w:shd w:val="clear" w:color="auto" w:fill="0088A6"/>
          </w:tcPr>
          <w:p>
            <w:pPr>
              <w:spacing w:after="0"/>
              <w:rPr>
                <w:sz w:val="17"/>
                <w:szCs w:val="17"/>
                <w:color w:val="auto"/>
              </w:rPr>
            </w:pPr>
          </w:p>
        </w:tc>
        <w:tc>
          <w:tcPr>
            <w:tcW w:w="100" w:type="dxa"/>
            <w:vAlign w:val="bottom"/>
            <w:shd w:val="clear" w:color="auto" w:fill="0088A6"/>
          </w:tcPr>
          <w:p>
            <w:pPr>
              <w:spacing w:after="0"/>
              <w:rPr>
                <w:sz w:val="17"/>
                <w:szCs w:val="17"/>
                <w:color w:val="auto"/>
              </w:rPr>
            </w:pPr>
          </w:p>
        </w:tc>
        <w:tc>
          <w:tcPr>
            <w:tcW w:w="1420" w:type="dxa"/>
            <w:vAlign w:val="bottom"/>
            <w:shd w:val="clear" w:color="auto" w:fill="0088A6"/>
          </w:tcPr>
          <w:p>
            <w:pPr>
              <w:spacing w:after="0"/>
              <w:rPr>
                <w:sz w:val="17"/>
                <w:szCs w:val="17"/>
                <w:color w:val="auto"/>
              </w:rPr>
            </w:pPr>
          </w:p>
        </w:tc>
        <w:tc>
          <w:tcPr>
            <w:tcW w:w="180" w:type="dxa"/>
            <w:vAlign w:val="bottom"/>
            <w:tcBorders>
              <w:right w:val="single" w:sz="8" w:color="BFBFBF"/>
            </w:tcBorders>
            <w:shd w:val="clear" w:color="auto" w:fill="0088A6"/>
          </w:tcPr>
          <w:p>
            <w:pPr>
              <w:spacing w:after="0"/>
              <w:rPr>
                <w:sz w:val="17"/>
                <w:szCs w:val="17"/>
                <w:color w:val="auto"/>
              </w:rPr>
            </w:pPr>
          </w:p>
        </w:tc>
        <w:tc>
          <w:tcPr>
            <w:tcW w:w="120" w:type="dxa"/>
            <w:vAlign w:val="bottom"/>
            <w:shd w:val="clear" w:color="auto" w:fill="0088A6"/>
          </w:tcPr>
          <w:p>
            <w:pPr>
              <w:spacing w:after="0"/>
              <w:rPr>
                <w:sz w:val="17"/>
                <w:szCs w:val="17"/>
                <w:color w:val="auto"/>
              </w:rPr>
            </w:pPr>
          </w:p>
        </w:tc>
        <w:tc>
          <w:tcPr>
            <w:tcW w:w="1520" w:type="dxa"/>
            <w:vAlign w:val="bottom"/>
            <w:tcBorders>
              <w:right w:val="single" w:sz="8" w:color="BFBFBF"/>
            </w:tcBorders>
            <w:gridSpan w:val="3"/>
            <w:shd w:val="clear" w:color="auto" w:fill="0088A6"/>
          </w:tcPr>
          <w:p>
            <w:pPr>
              <w:jc w:val="center"/>
              <w:ind w:right="220"/>
              <w:spacing w:after="0"/>
              <w:rPr>
                <w:sz w:val="20"/>
                <w:szCs w:val="20"/>
                <w:color w:val="auto"/>
              </w:rPr>
            </w:pPr>
            <w:r>
              <w:rPr>
                <w:rFonts w:ascii="Arial" w:cs="Arial" w:eastAsia="Arial" w:hAnsi="Arial"/>
                <w:sz w:val="18"/>
                <w:szCs w:val="18"/>
                <w:b w:val="1"/>
                <w:bCs w:val="1"/>
                <w:color w:val="FFFFFF"/>
                <w:w w:val="95"/>
              </w:rPr>
              <w:t>Present Value</w:t>
            </w:r>
          </w:p>
        </w:tc>
        <w:tc>
          <w:tcPr>
            <w:tcW w:w="120" w:type="dxa"/>
            <w:vAlign w:val="bottom"/>
            <w:shd w:val="clear" w:color="auto" w:fill="0088A6"/>
          </w:tcPr>
          <w:p>
            <w:pPr>
              <w:spacing w:after="0"/>
              <w:rPr>
                <w:sz w:val="17"/>
                <w:szCs w:val="17"/>
                <w:color w:val="auto"/>
              </w:rPr>
            </w:pPr>
          </w:p>
        </w:tc>
        <w:tc>
          <w:tcPr>
            <w:tcW w:w="1440" w:type="dxa"/>
            <w:vAlign w:val="bottom"/>
            <w:shd w:val="clear" w:color="auto" w:fill="0088A6"/>
          </w:tcPr>
          <w:p>
            <w:pPr>
              <w:spacing w:after="0"/>
              <w:rPr>
                <w:sz w:val="17"/>
                <w:szCs w:val="17"/>
                <w:color w:val="auto"/>
              </w:rPr>
            </w:pPr>
          </w:p>
        </w:tc>
        <w:tc>
          <w:tcPr>
            <w:tcW w:w="240" w:type="dxa"/>
            <w:vAlign w:val="bottom"/>
            <w:tcBorders>
              <w:right w:val="single" w:sz="8" w:color="BFBFBF"/>
            </w:tcBorders>
            <w:shd w:val="clear" w:color="auto" w:fill="0088A6"/>
          </w:tcPr>
          <w:p>
            <w:pPr>
              <w:spacing w:after="0"/>
              <w:rPr>
                <w:sz w:val="17"/>
                <w:szCs w:val="17"/>
                <w:color w:val="auto"/>
              </w:rPr>
            </w:pPr>
          </w:p>
        </w:tc>
      </w:tr>
      <w:tr>
        <w:trPr>
          <w:trHeight w:val="203"/>
        </w:trPr>
        <w:tc>
          <w:tcPr>
            <w:tcW w:w="4660" w:type="dxa"/>
            <w:vAlign w:val="bottom"/>
            <w:tcBorders>
              <w:left w:val="single" w:sz="8" w:color="BFBFBF"/>
            </w:tcBorders>
            <w:shd w:val="clear" w:color="auto" w:fill="0088A6"/>
          </w:tcPr>
          <w:p>
            <w:pPr>
              <w:spacing w:after="0"/>
              <w:rPr>
                <w:sz w:val="17"/>
                <w:szCs w:val="17"/>
                <w:color w:val="auto"/>
              </w:rPr>
            </w:pPr>
          </w:p>
        </w:tc>
        <w:tc>
          <w:tcPr>
            <w:tcW w:w="360" w:type="dxa"/>
            <w:vAlign w:val="bottom"/>
            <w:tcBorders>
              <w:right w:val="single" w:sz="8" w:color="BFBFBF"/>
            </w:tcBorders>
            <w:shd w:val="clear" w:color="auto" w:fill="0088A6"/>
          </w:tcPr>
          <w:p>
            <w:pPr>
              <w:spacing w:after="0"/>
              <w:rPr>
                <w:sz w:val="17"/>
                <w:szCs w:val="17"/>
                <w:color w:val="auto"/>
              </w:rPr>
            </w:pPr>
          </w:p>
        </w:tc>
        <w:tc>
          <w:tcPr>
            <w:tcW w:w="120" w:type="dxa"/>
            <w:vAlign w:val="bottom"/>
            <w:shd w:val="clear" w:color="auto" w:fill="0088A6"/>
          </w:tcPr>
          <w:p>
            <w:pPr>
              <w:spacing w:after="0"/>
              <w:rPr>
                <w:sz w:val="17"/>
                <w:szCs w:val="17"/>
                <w:color w:val="auto"/>
              </w:rPr>
            </w:pPr>
          </w:p>
        </w:tc>
        <w:tc>
          <w:tcPr>
            <w:tcW w:w="1160" w:type="dxa"/>
            <w:vAlign w:val="bottom"/>
            <w:tcBorders>
              <w:right w:val="single" w:sz="8" w:color="BFBFBF"/>
            </w:tcBorders>
            <w:shd w:val="clear" w:color="auto" w:fill="0088A6"/>
          </w:tcPr>
          <w:p>
            <w:pPr>
              <w:spacing w:after="0"/>
              <w:rPr>
                <w:sz w:val="17"/>
                <w:szCs w:val="17"/>
                <w:color w:val="auto"/>
              </w:rPr>
            </w:pPr>
          </w:p>
        </w:tc>
        <w:tc>
          <w:tcPr>
            <w:tcW w:w="100" w:type="dxa"/>
            <w:vAlign w:val="bottom"/>
            <w:shd w:val="clear" w:color="auto" w:fill="0088A6"/>
          </w:tcPr>
          <w:p>
            <w:pPr>
              <w:spacing w:after="0"/>
              <w:rPr>
                <w:sz w:val="17"/>
                <w:szCs w:val="17"/>
                <w:color w:val="auto"/>
              </w:rPr>
            </w:pPr>
          </w:p>
        </w:tc>
        <w:tc>
          <w:tcPr>
            <w:tcW w:w="1600" w:type="dxa"/>
            <w:vAlign w:val="bottom"/>
            <w:tcBorders>
              <w:right w:val="single" w:sz="8" w:color="BFBFBF"/>
            </w:tcBorders>
            <w:gridSpan w:val="2"/>
            <w:shd w:val="clear" w:color="auto" w:fill="0088A6"/>
          </w:tcPr>
          <w:p>
            <w:pPr>
              <w:jc w:val="center"/>
              <w:ind w:right="180"/>
              <w:spacing w:after="0" w:line="202" w:lineRule="exact"/>
              <w:rPr>
                <w:sz w:val="20"/>
                <w:szCs w:val="20"/>
                <w:color w:val="auto"/>
              </w:rPr>
            </w:pPr>
            <w:r>
              <w:rPr>
                <w:rFonts w:ascii="Arial" w:cs="Arial" w:eastAsia="Arial" w:hAnsi="Arial"/>
                <w:sz w:val="18"/>
                <w:szCs w:val="18"/>
                <w:b w:val="1"/>
                <w:bCs w:val="1"/>
                <w:color w:val="FFFFFF"/>
                <w:w w:val="95"/>
              </w:rPr>
              <w:t>Number of Years</w:t>
            </w:r>
          </w:p>
        </w:tc>
        <w:tc>
          <w:tcPr>
            <w:tcW w:w="120" w:type="dxa"/>
            <w:vAlign w:val="bottom"/>
            <w:shd w:val="clear" w:color="auto" w:fill="0088A6"/>
          </w:tcPr>
          <w:p>
            <w:pPr>
              <w:spacing w:after="0"/>
              <w:rPr>
                <w:sz w:val="17"/>
                <w:szCs w:val="17"/>
                <w:color w:val="auto"/>
              </w:rPr>
            </w:pPr>
          </w:p>
        </w:tc>
        <w:tc>
          <w:tcPr>
            <w:tcW w:w="1520" w:type="dxa"/>
            <w:vAlign w:val="bottom"/>
            <w:tcBorders>
              <w:right w:val="single" w:sz="8" w:color="BFBFBF"/>
            </w:tcBorders>
            <w:gridSpan w:val="3"/>
            <w:shd w:val="clear" w:color="auto" w:fill="0088A6"/>
          </w:tcPr>
          <w:p>
            <w:pPr>
              <w:spacing w:after="0" w:line="202" w:lineRule="exact"/>
              <w:rPr>
                <w:sz w:val="20"/>
                <w:szCs w:val="20"/>
                <w:color w:val="auto"/>
              </w:rPr>
            </w:pPr>
            <w:r>
              <w:rPr>
                <w:rFonts w:ascii="Arial" w:cs="Arial" w:eastAsia="Arial" w:hAnsi="Arial"/>
                <w:sz w:val="18"/>
                <w:szCs w:val="18"/>
                <w:b w:val="1"/>
                <w:bCs w:val="1"/>
                <w:color w:val="FFFFFF"/>
              </w:rPr>
              <w:t>of Accumulated</w:t>
            </w:r>
          </w:p>
        </w:tc>
        <w:tc>
          <w:tcPr>
            <w:tcW w:w="120" w:type="dxa"/>
            <w:vAlign w:val="bottom"/>
            <w:shd w:val="clear" w:color="auto" w:fill="0088A6"/>
          </w:tcPr>
          <w:p>
            <w:pPr>
              <w:spacing w:after="0"/>
              <w:rPr>
                <w:sz w:val="17"/>
                <w:szCs w:val="17"/>
                <w:color w:val="auto"/>
              </w:rPr>
            </w:pPr>
          </w:p>
        </w:tc>
        <w:tc>
          <w:tcPr>
            <w:tcW w:w="1680" w:type="dxa"/>
            <w:vAlign w:val="bottom"/>
            <w:tcBorders>
              <w:right w:val="single" w:sz="8" w:color="BFBFBF"/>
            </w:tcBorders>
            <w:gridSpan w:val="2"/>
            <w:shd w:val="clear" w:color="auto" w:fill="0088A6"/>
          </w:tcPr>
          <w:p>
            <w:pPr>
              <w:jc w:val="center"/>
              <w:ind w:right="240"/>
              <w:spacing w:after="0" w:line="202" w:lineRule="exact"/>
              <w:rPr>
                <w:sz w:val="20"/>
                <w:szCs w:val="20"/>
                <w:color w:val="auto"/>
              </w:rPr>
            </w:pPr>
            <w:r>
              <w:rPr>
                <w:rFonts w:ascii="Arial" w:cs="Arial" w:eastAsia="Arial" w:hAnsi="Arial"/>
                <w:sz w:val="18"/>
                <w:szCs w:val="18"/>
                <w:b w:val="1"/>
                <w:bCs w:val="1"/>
                <w:color w:val="FFFFFF"/>
                <w:w w:val="97"/>
              </w:rPr>
              <w:t>Payments During</w:t>
            </w:r>
          </w:p>
        </w:tc>
      </w:tr>
      <w:tr>
        <w:trPr>
          <w:trHeight w:val="203"/>
        </w:trPr>
        <w:tc>
          <w:tcPr>
            <w:tcW w:w="4660" w:type="dxa"/>
            <w:vAlign w:val="bottom"/>
            <w:tcBorders>
              <w:left w:val="single" w:sz="8" w:color="BFBFBF"/>
            </w:tcBorders>
            <w:shd w:val="clear" w:color="auto" w:fill="0088A6"/>
          </w:tcPr>
          <w:p>
            <w:pPr>
              <w:spacing w:after="0"/>
              <w:rPr>
                <w:sz w:val="17"/>
                <w:szCs w:val="17"/>
                <w:color w:val="auto"/>
              </w:rPr>
            </w:pPr>
          </w:p>
        </w:tc>
        <w:tc>
          <w:tcPr>
            <w:tcW w:w="360" w:type="dxa"/>
            <w:vAlign w:val="bottom"/>
            <w:tcBorders>
              <w:right w:val="single" w:sz="8" w:color="BFBFBF"/>
            </w:tcBorders>
            <w:shd w:val="clear" w:color="auto" w:fill="0088A6"/>
          </w:tcPr>
          <w:p>
            <w:pPr>
              <w:spacing w:after="0"/>
              <w:rPr>
                <w:sz w:val="17"/>
                <w:szCs w:val="17"/>
                <w:color w:val="auto"/>
              </w:rPr>
            </w:pPr>
          </w:p>
        </w:tc>
        <w:tc>
          <w:tcPr>
            <w:tcW w:w="120" w:type="dxa"/>
            <w:vAlign w:val="bottom"/>
            <w:shd w:val="clear" w:color="auto" w:fill="0088A6"/>
          </w:tcPr>
          <w:p>
            <w:pPr>
              <w:spacing w:after="0"/>
              <w:rPr>
                <w:sz w:val="17"/>
                <w:szCs w:val="17"/>
                <w:color w:val="auto"/>
              </w:rPr>
            </w:pPr>
          </w:p>
        </w:tc>
        <w:tc>
          <w:tcPr>
            <w:tcW w:w="1160" w:type="dxa"/>
            <w:vAlign w:val="bottom"/>
            <w:tcBorders>
              <w:right w:val="single" w:sz="8" w:color="BFBFBF"/>
            </w:tcBorders>
            <w:shd w:val="clear" w:color="auto" w:fill="0088A6"/>
          </w:tcPr>
          <w:p>
            <w:pPr>
              <w:spacing w:after="0"/>
              <w:rPr>
                <w:sz w:val="17"/>
                <w:szCs w:val="17"/>
                <w:color w:val="auto"/>
              </w:rPr>
            </w:pPr>
          </w:p>
        </w:tc>
        <w:tc>
          <w:tcPr>
            <w:tcW w:w="100" w:type="dxa"/>
            <w:vAlign w:val="bottom"/>
            <w:shd w:val="clear" w:color="auto" w:fill="0088A6"/>
          </w:tcPr>
          <w:p>
            <w:pPr>
              <w:spacing w:after="0"/>
              <w:rPr>
                <w:sz w:val="17"/>
                <w:szCs w:val="17"/>
                <w:color w:val="auto"/>
              </w:rPr>
            </w:pPr>
          </w:p>
        </w:tc>
        <w:tc>
          <w:tcPr>
            <w:tcW w:w="1600" w:type="dxa"/>
            <w:vAlign w:val="bottom"/>
            <w:tcBorders>
              <w:right w:val="single" w:sz="8" w:color="BFBFBF"/>
            </w:tcBorders>
            <w:gridSpan w:val="2"/>
            <w:shd w:val="clear" w:color="auto" w:fill="0088A6"/>
          </w:tcPr>
          <w:p>
            <w:pPr>
              <w:jc w:val="center"/>
              <w:ind w:right="180"/>
              <w:spacing w:after="0" w:line="202" w:lineRule="exact"/>
              <w:rPr>
                <w:sz w:val="20"/>
                <w:szCs w:val="20"/>
                <w:color w:val="auto"/>
              </w:rPr>
            </w:pPr>
            <w:r>
              <w:rPr>
                <w:rFonts w:ascii="Arial" w:cs="Arial" w:eastAsia="Arial" w:hAnsi="Arial"/>
                <w:sz w:val="18"/>
                <w:szCs w:val="18"/>
                <w:b w:val="1"/>
                <w:bCs w:val="1"/>
                <w:color w:val="FFFFFF"/>
                <w:w w:val="97"/>
              </w:rPr>
              <w:t>Credited Service</w:t>
            </w:r>
          </w:p>
        </w:tc>
        <w:tc>
          <w:tcPr>
            <w:tcW w:w="120" w:type="dxa"/>
            <w:vAlign w:val="bottom"/>
            <w:shd w:val="clear" w:color="auto" w:fill="0088A6"/>
          </w:tcPr>
          <w:p>
            <w:pPr>
              <w:spacing w:after="0"/>
              <w:rPr>
                <w:sz w:val="17"/>
                <w:szCs w:val="17"/>
                <w:color w:val="auto"/>
              </w:rPr>
            </w:pPr>
          </w:p>
        </w:tc>
        <w:tc>
          <w:tcPr>
            <w:tcW w:w="220" w:type="dxa"/>
            <w:vAlign w:val="bottom"/>
            <w:shd w:val="clear" w:color="auto" w:fill="0088A6"/>
          </w:tcPr>
          <w:p>
            <w:pPr>
              <w:spacing w:after="0"/>
              <w:rPr>
                <w:sz w:val="17"/>
                <w:szCs w:val="17"/>
                <w:color w:val="auto"/>
              </w:rPr>
            </w:pPr>
          </w:p>
        </w:tc>
        <w:tc>
          <w:tcPr>
            <w:tcW w:w="1300" w:type="dxa"/>
            <w:vAlign w:val="bottom"/>
            <w:tcBorders>
              <w:right w:val="single" w:sz="8" w:color="BFBFBF"/>
            </w:tcBorders>
            <w:gridSpan w:val="2"/>
            <w:shd w:val="clear" w:color="auto" w:fill="0088A6"/>
          </w:tcPr>
          <w:p>
            <w:pPr>
              <w:jc w:val="center"/>
              <w:ind w:right="420"/>
              <w:spacing w:after="0" w:line="202" w:lineRule="exact"/>
              <w:rPr>
                <w:sz w:val="20"/>
                <w:szCs w:val="20"/>
                <w:color w:val="auto"/>
              </w:rPr>
            </w:pPr>
            <w:r>
              <w:rPr>
                <w:rFonts w:ascii="Arial" w:cs="Arial" w:eastAsia="Arial" w:hAnsi="Arial"/>
                <w:sz w:val="18"/>
                <w:szCs w:val="18"/>
                <w:b w:val="1"/>
                <w:bCs w:val="1"/>
                <w:color w:val="FFFFFF"/>
                <w:w w:val="98"/>
              </w:rPr>
              <w:t>Benefit</w:t>
            </w:r>
          </w:p>
        </w:tc>
        <w:tc>
          <w:tcPr>
            <w:tcW w:w="120" w:type="dxa"/>
            <w:vAlign w:val="bottom"/>
            <w:shd w:val="clear" w:color="auto" w:fill="0088A6"/>
          </w:tcPr>
          <w:p>
            <w:pPr>
              <w:spacing w:after="0"/>
              <w:rPr>
                <w:sz w:val="17"/>
                <w:szCs w:val="17"/>
                <w:color w:val="auto"/>
              </w:rPr>
            </w:pPr>
          </w:p>
        </w:tc>
        <w:tc>
          <w:tcPr>
            <w:tcW w:w="1680" w:type="dxa"/>
            <w:vAlign w:val="bottom"/>
            <w:tcBorders>
              <w:right w:val="single" w:sz="8" w:color="BFBFBF"/>
            </w:tcBorders>
            <w:gridSpan w:val="2"/>
            <w:shd w:val="clear" w:color="auto" w:fill="0088A6"/>
          </w:tcPr>
          <w:p>
            <w:pPr>
              <w:jc w:val="center"/>
              <w:ind w:right="240"/>
              <w:spacing w:after="0" w:line="202" w:lineRule="exact"/>
              <w:rPr>
                <w:sz w:val="20"/>
                <w:szCs w:val="20"/>
                <w:color w:val="auto"/>
              </w:rPr>
            </w:pPr>
            <w:r>
              <w:rPr>
                <w:rFonts w:ascii="Arial" w:cs="Arial" w:eastAsia="Arial" w:hAnsi="Arial"/>
                <w:sz w:val="18"/>
                <w:szCs w:val="18"/>
                <w:b w:val="1"/>
                <w:bCs w:val="1"/>
                <w:color w:val="FFFFFF"/>
                <w:w w:val="96"/>
              </w:rPr>
              <w:t>Last Fiscal Year</w:t>
            </w:r>
          </w:p>
        </w:tc>
      </w:tr>
      <w:tr>
        <w:trPr>
          <w:trHeight w:val="261"/>
        </w:trPr>
        <w:tc>
          <w:tcPr>
            <w:tcW w:w="4660" w:type="dxa"/>
            <w:vAlign w:val="bottom"/>
            <w:tcBorders>
              <w:left w:val="single" w:sz="8" w:color="BFBFBF"/>
              <w:bottom w:val="single" w:sz="8" w:color="auto"/>
            </w:tcBorders>
            <w:shd w:val="clear" w:color="auto" w:fill="0088A6"/>
          </w:tcPr>
          <w:p>
            <w:pPr>
              <w:ind w:left="2160"/>
              <w:spacing w:after="0"/>
              <w:rPr>
                <w:sz w:val="20"/>
                <w:szCs w:val="20"/>
                <w:color w:val="auto"/>
              </w:rPr>
            </w:pPr>
            <w:r>
              <w:rPr>
                <w:rFonts w:ascii="Arial" w:cs="Arial" w:eastAsia="Arial" w:hAnsi="Arial"/>
                <w:sz w:val="18"/>
                <w:szCs w:val="18"/>
                <w:b w:val="1"/>
                <w:bCs w:val="1"/>
                <w:color w:val="FFFFFF"/>
              </w:rPr>
              <w:t>Name</w:t>
            </w:r>
          </w:p>
        </w:tc>
        <w:tc>
          <w:tcPr>
            <w:tcW w:w="360" w:type="dxa"/>
            <w:vAlign w:val="bottom"/>
            <w:tcBorders>
              <w:bottom w:val="single" w:sz="8" w:color="0088A6"/>
              <w:right w:val="single" w:sz="8" w:color="BFBFBF"/>
            </w:tcBorders>
            <w:shd w:val="clear" w:color="auto" w:fill="0088A6"/>
          </w:tcPr>
          <w:p>
            <w:pPr>
              <w:spacing w:after="0"/>
              <w:rPr>
                <w:sz w:val="22"/>
                <w:szCs w:val="22"/>
                <w:color w:val="auto"/>
              </w:rPr>
            </w:pPr>
          </w:p>
        </w:tc>
        <w:tc>
          <w:tcPr>
            <w:tcW w:w="120" w:type="dxa"/>
            <w:vAlign w:val="bottom"/>
            <w:tcBorders>
              <w:bottom w:val="single" w:sz="8" w:color="0088A6"/>
            </w:tcBorders>
            <w:shd w:val="clear" w:color="auto" w:fill="0088A6"/>
          </w:tcPr>
          <w:p>
            <w:pPr>
              <w:spacing w:after="0"/>
              <w:rPr>
                <w:sz w:val="22"/>
                <w:szCs w:val="22"/>
                <w:color w:val="auto"/>
              </w:rPr>
            </w:pPr>
          </w:p>
        </w:tc>
        <w:tc>
          <w:tcPr>
            <w:tcW w:w="1160" w:type="dxa"/>
            <w:vAlign w:val="bottom"/>
            <w:tcBorders>
              <w:bottom w:val="single" w:sz="8" w:color="auto"/>
              <w:right w:val="single" w:sz="8" w:color="BFBFBF"/>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7"/>
              </w:rPr>
              <w:t>Plan Name</w:t>
            </w:r>
          </w:p>
        </w:tc>
        <w:tc>
          <w:tcPr>
            <w:tcW w:w="100" w:type="dxa"/>
            <w:vAlign w:val="bottom"/>
            <w:tcBorders>
              <w:bottom w:val="single" w:sz="8" w:color="0088A6"/>
            </w:tcBorders>
            <w:shd w:val="clear" w:color="auto" w:fill="0088A6"/>
          </w:tcPr>
          <w:p>
            <w:pPr>
              <w:spacing w:after="0"/>
              <w:rPr>
                <w:sz w:val="22"/>
                <w:szCs w:val="22"/>
                <w:color w:val="auto"/>
              </w:rPr>
            </w:pPr>
          </w:p>
        </w:tc>
        <w:tc>
          <w:tcPr>
            <w:tcW w:w="142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9"/>
              </w:rPr>
              <w:t>(#)</w:t>
            </w:r>
          </w:p>
        </w:tc>
        <w:tc>
          <w:tcPr>
            <w:tcW w:w="180" w:type="dxa"/>
            <w:vAlign w:val="bottom"/>
            <w:tcBorders>
              <w:bottom w:val="single" w:sz="8" w:color="0088A6"/>
              <w:right w:val="single" w:sz="8" w:color="BFBFBF"/>
            </w:tcBorders>
            <w:shd w:val="clear" w:color="auto" w:fill="0088A6"/>
          </w:tcPr>
          <w:p>
            <w:pPr>
              <w:spacing w:after="0"/>
              <w:rPr>
                <w:sz w:val="22"/>
                <w:szCs w:val="22"/>
                <w:color w:val="auto"/>
              </w:rPr>
            </w:pPr>
          </w:p>
        </w:tc>
        <w:tc>
          <w:tcPr>
            <w:tcW w:w="120" w:type="dxa"/>
            <w:vAlign w:val="bottom"/>
            <w:tcBorders>
              <w:bottom w:val="single" w:sz="8" w:color="0088A6"/>
            </w:tcBorders>
            <w:shd w:val="clear" w:color="auto" w:fill="0088A6"/>
          </w:tcPr>
          <w:p>
            <w:pPr>
              <w:spacing w:after="0"/>
              <w:rPr>
                <w:sz w:val="22"/>
                <w:szCs w:val="22"/>
                <w:color w:val="auto"/>
              </w:rPr>
            </w:pPr>
          </w:p>
        </w:tc>
        <w:tc>
          <w:tcPr>
            <w:tcW w:w="220" w:type="dxa"/>
            <w:vAlign w:val="bottom"/>
            <w:tcBorders>
              <w:bottom w:val="single" w:sz="8" w:color="auto"/>
            </w:tcBorders>
            <w:shd w:val="clear" w:color="auto" w:fill="0088A6"/>
          </w:tcPr>
          <w:p>
            <w:pPr>
              <w:spacing w:after="0"/>
              <w:rPr>
                <w:sz w:val="22"/>
                <w:szCs w:val="22"/>
                <w:color w:val="auto"/>
              </w:rPr>
            </w:pPr>
          </w:p>
        </w:tc>
        <w:tc>
          <w:tcPr>
            <w:tcW w:w="1100" w:type="dxa"/>
            <w:vAlign w:val="bottom"/>
            <w:tcBorders>
              <w:bottom w:val="single" w:sz="8" w:color="auto"/>
            </w:tcBorders>
            <w:shd w:val="clear" w:color="auto" w:fill="0088A6"/>
          </w:tcPr>
          <w:p>
            <w:pPr>
              <w:jc w:val="center"/>
              <w:ind w:right="152"/>
              <w:spacing w:after="0"/>
              <w:rPr>
                <w:sz w:val="20"/>
                <w:szCs w:val="20"/>
                <w:color w:val="auto"/>
              </w:rPr>
            </w:pPr>
            <w:r>
              <w:rPr>
                <w:rFonts w:ascii="Arial" w:cs="Arial" w:eastAsia="Arial" w:hAnsi="Arial"/>
                <w:sz w:val="18"/>
                <w:szCs w:val="18"/>
                <w:b w:val="1"/>
                <w:bCs w:val="1"/>
                <w:color w:val="FFFFFF"/>
                <w:w w:val="95"/>
              </w:rPr>
              <w:t>($)(1)</w:t>
            </w:r>
          </w:p>
        </w:tc>
        <w:tc>
          <w:tcPr>
            <w:tcW w:w="200" w:type="dxa"/>
            <w:vAlign w:val="bottom"/>
            <w:tcBorders>
              <w:bottom w:val="single" w:sz="8" w:color="0088A6"/>
              <w:right w:val="single" w:sz="8" w:color="BFBFBF"/>
            </w:tcBorders>
            <w:shd w:val="clear" w:color="auto" w:fill="0088A6"/>
          </w:tcPr>
          <w:p>
            <w:pPr>
              <w:spacing w:after="0"/>
              <w:rPr>
                <w:sz w:val="22"/>
                <w:szCs w:val="22"/>
                <w:color w:val="auto"/>
              </w:rPr>
            </w:pPr>
          </w:p>
        </w:tc>
        <w:tc>
          <w:tcPr>
            <w:tcW w:w="120" w:type="dxa"/>
            <w:vAlign w:val="bottom"/>
            <w:tcBorders>
              <w:bottom w:val="single" w:sz="8" w:color="0088A6"/>
            </w:tcBorders>
            <w:shd w:val="clear" w:color="auto" w:fill="0088A6"/>
          </w:tcPr>
          <w:p>
            <w:pPr>
              <w:spacing w:after="0"/>
              <w:rPr>
                <w:sz w:val="22"/>
                <w:szCs w:val="22"/>
                <w:color w:val="auto"/>
              </w:rPr>
            </w:pPr>
          </w:p>
        </w:tc>
        <w:tc>
          <w:tcPr>
            <w:tcW w:w="144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0"/>
              </w:rPr>
              <w:t>($)</w:t>
            </w:r>
          </w:p>
        </w:tc>
        <w:tc>
          <w:tcPr>
            <w:tcW w:w="240" w:type="dxa"/>
            <w:vAlign w:val="bottom"/>
            <w:tcBorders>
              <w:bottom w:val="single" w:sz="8" w:color="0088A6"/>
              <w:right w:val="single" w:sz="8" w:color="BFBFBF"/>
            </w:tcBorders>
            <w:shd w:val="clear" w:color="auto" w:fill="0088A6"/>
          </w:tcPr>
          <w:p>
            <w:pPr>
              <w:spacing w:after="0"/>
              <w:rPr>
                <w:sz w:val="22"/>
                <w:szCs w:val="22"/>
                <w:color w:val="auto"/>
              </w:rPr>
            </w:pPr>
          </w:p>
        </w:tc>
      </w:tr>
      <w:tr>
        <w:trPr>
          <w:trHeight w:val="183"/>
        </w:trPr>
        <w:tc>
          <w:tcPr>
            <w:tcW w:w="4660" w:type="dxa"/>
            <w:vAlign w:val="bottom"/>
            <w:tcBorders>
              <w:left w:val="single" w:sz="8" w:color="BFBFBF"/>
              <w:bottom w:val="single" w:sz="8" w:color="BFBFBF"/>
            </w:tcBorders>
          </w:tcPr>
          <w:p>
            <w:pPr>
              <w:ind w:left="220"/>
              <w:spacing w:after="0" w:line="183" w:lineRule="exact"/>
              <w:rPr>
                <w:sz w:val="20"/>
                <w:szCs w:val="20"/>
                <w:color w:val="auto"/>
              </w:rPr>
            </w:pPr>
            <w:r>
              <w:rPr>
                <w:rFonts w:ascii="Arial" w:cs="Arial" w:eastAsia="Arial" w:hAnsi="Arial"/>
                <w:sz w:val="18"/>
                <w:szCs w:val="18"/>
                <w:color w:val="auto"/>
              </w:rPr>
              <w:t>Robert Greifeld</w:t>
            </w:r>
          </w:p>
        </w:tc>
        <w:tc>
          <w:tcPr>
            <w:tcW w:w="360" w:type="dxa"/>
            <w:vAlign w:val="bottom"/>
            <w:tcBorders>
              <w:bottom w:val="single" w:sz="8" w:color="BFBFBF"/>
              <w:right w:val="single" w:sz="8" w:color="BFBFBF"/>
            </w:tcBorders>
          </w:tcPr>
          <w:p>
            <w:pPr>
              <w:spacing w:after="0"/>
              <w:rPr>
                <w:sz w:val="15"/>
                <w:szCs w:val="15"/>
                <w:color w:val="auto"/>
              </w:rPr>
            </w:pPr>
          </w:p>
        </w:tc>
        <w:tc>
          <w:tcPr>
            <w:tcW w:w="120" w:type="dxa"/>
            <w:vAlign w:val="bottom"/>
            <w:tcBorders>
              <w:bottom w:val="single" w:sz="8" w:color="BFBFBF"/>
            </w:tcBorders>
          </w:tcPr>
          <w:p>
            <w:pPr>
              <w:spacing w:after="0"/>
              <w:rPr>
                <w:sz w:val="15"/>
                <w:szCs w:val="15"/>
                <w:color w:val="auto"/>
              </w:rPr>
            </w:pPr>
          </w:p>
        </w:tc>
        <w:tc>
          <w:tcPr>
            <w:tcW w:w="1160" w:type="dxa"/>
            <w:vAlign w:val="bottom"/>
            <w:tcBorders>
              <w:bottom w:val="single" w:sz="8" w:color="BFBFBF"/>
              <w:right w:val="single" w:sz="8" w:color="BFBFBF"/>
            </w:tcBorders>
          </w:tcPr>
          <w:p>
            <w:pPr>
              <w:jc w:val="center"/>
              <w:spacing w:after="0" w:line="183" w:lineRule="exact"/>
              <w:rPr>
                <w:sz w:val="20"/>
                <w:szCs w:val="20"/>
                <w:color w:val="auto"/>
              </w:rPr>
            </w:pPr>
            <w:r>
              <w:rPr>
                <w:rFonts w:ascii="Arial" w:cs="Arial" w:eastAsia="Arial" w:hAnsi="Arial"/>
                <w:sz w:val="18"/>
                <w:szCs w:val="18"/>
                <w:color w:val="auto"/>
                <w:w w:val="98"/>
              </w:rPr>
              <w:t>Pension Plan</w:t>
            </w:r>
          </w:p>
        </w:tc>
        <w:tc>
          <w:tcPr>
            <w:tcW w:w="1520" w:type="dxa"/>
            <w:vAlign w:val="bottom"/>
            <w:tcBorders>
              <w:bottom w:val="single" w:sz="8" w:color="BFBFBF"/>
            </w:tcBorders>
            <w:gridSpan w:val="2"/>
          </w:tcPr>
          <w:p>
            <w:pPr>
              <w:jc w:val="right"/>
              <w:ind w:right="312"/>
              <w:spacing w:after="0" w:line="183" w:lineRule="exact"/>
              <w:rPr>
                <w:sz w:val="20"/>
                <w:szCs w:val="20"/>
                <w:color w:val="auto"/>
              </w:rPr>
            </w:pPr>
            <w:r>
              <w:rPr>
                <w:rFonts w:ascii="Arial" w:cs="Arial" w:eastAsia="Arial" w:hAnsi="Arial"/>
                <w:sz w:val="18"/>
                <w:szCs w:val="18"/>
                <w:color w:val="auto"/>
              </w:rPr>
              <w:t>9.67</w:t>
            </w:r>
          </w:p>
        </w:tc>
        <w:tc>
          <w:tcPr>
            <w:tcW w:w="180" w:type="dxa"/>
            <w:vAlign w:val="bottom"/>
            <w:tcBorders>
              <w:bottom w:val="single" w:sz="8" w:color="BFBFBF"/>
              <w:right w:val="single" w:sz="8" w:color="BFBFBF"/>
            </w:tcBorders>
          </w:tcPr>
          <w:p>
            <w:pPr>
              <w:spacing w:after="0"/>
              <w:rPr>
                <w:sz w:val="15"/>
                <w:szCs w:val="15"/>
                <w:color w:val="auto"/>
              </w:rPr>
            </w:pPr>
          </w:p>
        </w:tc>
        <w:tc>
          <w:tcPr>
            <w:tcW w:w="120" w:type="dxa"/>
            <w:vAlign w:val="bottom"/>
            <w:tcBorders>
              <w:bottom w:val="single" w:sz="8" w:color="BFBFBF"/>
            </w:tcBorders>
          </w:tcPr>
          <w:p>
            <w:pPr>
              <w:spacing w:after="0"/>
              <w:rPr>
                <w:sz w:val="15"/>
                <w:szCs w:val="15"/>
                <w:color w:val="auto"/>
              </w:rPr>
            </w:pPr>
          </w:p>
        </w:tc>
        <w:tc>
          <w:tcPr>
            <w:tcW w:w="220" w:type="dxa"/>
            <w:vAlign w:val="bottom"/>
            <w:tcBorders>
              <w:bottom w:val="single" w:sz="8" w:color="BFBFBF"/>
            </w:tcBorders>
          </w:tcPr>
          <w:p>
            <w:pPr>
              <w:spacing w:after="0" w:line="183"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line="183" w:lineRule="exact"/>
              <w:rPr>
                <w:sz w:val="20"/>
                <w:szCs w:val="20"/>
                <w:color w:val="auto"/>
              </w:rPr>
            </w:pPr>
            <w:r>
              <w:rPr>
                <w:rFonts w:ascii="Arial" w:cs="Arial" w:eastAsia="Arial" w:hAnsi="Arial"/>
                <w:sz w:val="18"/>
                <w:szCs w:val="18"/>
                <w:color w:val="auto"/>
              </w:rPr>
              <w:t>140,556</w:t>
            </w:r>
          </w:p>
        </w:tc>
        <w:tc>
          <w:tcPr>
            <w:tcW w:w="200" w:type="dxa"/>
            <w:vAlign w:val="bottom"/>
            <w:tcBorders>
              <w:bottom w:val="single" w:sz="8" w:color="BFBFBF"/>
              <w:right w:val="single" w:sz="8" w:color="BFBFBF"/>
            </w:tcBorders>
          </w:tcPr>
          <w:p>
            <w:pPr>
              <w:spacing w:after="0"/>
              <w:rPr>
                <w:sz w:val="15"/>
                <w:szCs w:val="15"/>
                <w:color w:val="auto"/>
              </w:rPr>
            </w:pPr>
          </w:p>
        </w:tc>
        <w:tc>
          <w:tcPr>
            <w:tcW w:w="120" w:type="dxa"/>
            <w:vAlign w:val="bottom"/>
            <w:tcBorders>
              <w:bottom w:val="single" w:sz="8" w:color="BFBFBF"/>
            </w:tcBorders>
          </w:tcPr>
          <w:p>
            <w:pPr>
              <w:spacing w:after="0"/>
              <w:rPr>
                <w:sz w:val="15"/>
                <w:szCs w:val="15"/>
                <w:color w:val="auto"/>
              </w:rPr>
            </w:pPr>
          </w:p>
        </w:tc>
        <w:tc>
          <w:tcPr>
            <w:tcW w:w="1680" w:type="dxa"/>
            <w:vAlign w:val="bottom"/>
            <w:tcBorders>
              <w:bottom w:val="single" w:sz="8" w:color="BFBFBF"/>
              <w:right w:val="single" w:sz="8" w:color="BFBFBF"/>
            </w:tcBorders>
            <w:gridSpan w:val="2"/>
          </w:tcPr>
          <w:p>
            <w:pPr>
              <w:ind w:left="1080"/>
              <w:spacing w:after="0" w:line="183" w:lineRule="exact"/>
              <w:rPr>
                <w:sz w:val="20"/>
                <w:szCs w:val="20"/>
                <w:color w:val="auto"/>
              </w:rPr>
            </w:pPr>
            <w:r>
              <w:rPr>
                <w:rFonts w:ascii="Arial" w:cs="Arial" w:eastAsia="Arial" w:hAnsi="Arial"/>
                <w:sz w:val="18"/>
                <w:szCs w:val="18"/>
                <w:color w:val="auto"/>
              </w:rPr>
              <w:t>—</w:t>
            </w:r>
          </w:p>
        </w:tc>
      </w:tr>
      <w:tr>
        <w:trPr>
          <w:trHeight w:val="196"/>
        </w:trPr>
        <w:tc>
          <w:tcPr>
            <w:tcW w:w="4660" w:type="dxa"/>
            <w:vAlign w:val="bottom"/>
            <w:tcBorders>
              <w:left w:val="single" w:sz="8" w:color="BFBFBF"/>
              <w:bottom w:val="single" w:sz="8" w:color="BFBFBF"/>
            </w:tcBorders>
          </w:tcPr>
          <w:p>
            <w:pPr>
              <w:ind w:left="440"/>
              <w:spacing w:after="0" w:line="196" w:lineRule="exact"/>
              <w:rPr>
                <w:sz w:val="20"/>
                <w:szCs w:val="20"/>
                <w:color w:val="auto"/>
              </w:rPr>
            </w:pPr>
            <w:r>
              <w:rPr>
                <w:rFonts w:ascii="Arial" w:cs="Arial" w:eastAsia="Arial" w:hAnsi="Arial"/>
                <w:sz w:val="18"/>
                <w:szCs w:val="18"/>
                <w:color w:val="auto"/>
              </w:rPr>
              <w:t>Chief Executive Officer</w:t>
            </w:r>
          </w:p>
        </w:tc>
        <w:tc>
          <w:tcPr>
            <w:tcW w:w="36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160" w:type="dxa"/>
            <w:vAlign w:val="bottom"/>
            <w:tcBorders>
              <w:bottom w:val="single" w:sz="8" w:color="BFBFBF"/>
              <w:right w:val="single" w:sz="8" w:color="BFBFBF"/>
            </w:tcBorders>
          </w:tcPr>
          <w:p>
            <w:pPr>
              <w:jc w:val="center"/>
              <w:spacing w:after="0" w:line="196" w:lineRule="exact"/>
              <w:rPr>
                <w:sz w:val="20"/>
                <w:szCs w:val="20"/>
                <w:color w:val="auto"/>
              </w:rPr>
            </w:pPr>
            <w:r>
              <w:rPr>
                <w:rFonts w:ascii="Arial" w:cs="Arial" w:eastAsia="Arial" w:hAnsi="Arial"/>
                <w:sz w:val="18"/>
                <w:szCs w:val="18"/>
                <w:color w:val="auto"/>
                <w:w w:val="97"/>
              </w:rPr>
              <w:t>SERP</w:t>
            </w:r>
          </w:p>
        </w:tc>
        <w:tc>
          <w:tcPr>
            <w:tcW w:w="152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9.67</w:t>
            </w:r>
          </w:p>
        </w:tc>
        <w:tc>
          <w:tcPr>
            <w:tcW w:w="18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22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4,660,800</w:t>
            </w:r>
          </w:p>
        </w:tc>
        <w:tc>
          <w:tcPr>
            <w:tcW w:w="20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680" w:type="dxa"/>
            <w:vAlign w:val="bottom"/>
            <w:tcBorders>
              <w:bottom w:val="single" w:sz="8" w:color="BFBFBF"/>
              <w:right w:val="single" w:sz="8" w:color="BFBFBF"/>
            </w:tcBorders>
            <w:gridSpan w:val="2"/>
          </w:tcPr>
          <w:p>
            <w:pPr>
              <w:ind w:left="1080"/>
              <w:spacing w:after="0" w:line="196" w:lineRule="exact"/>
              <w:rPr>
                <w:sz w:val="20"/>
                <w:szCs w:val="20"/>
                <w:color w:val="auto"/>
              </w:rPr>
            </w:pPr>
            <w:r>
              <w:rPr>
                <w:rFonts w:ascii="Arial" w:cs="Arial" w:eastAsia="Arial" w:hAnsi="Arial"/>
                <w:sz w:val="18"/>
                <w:szCs w:val="18"/>
                <w:color w:val="auto"/>
              </w:rPr>
              <w:t>—</w:t>
            </w:r>
          </w:p>
        </w:tc>
      </w:tr>
      <w:tr>
        <w:trPr>
          <w:trHeight w:val="250"/>
        </w:trPr>
        <w:tc>
          <w:tcPr>
            <w:tcW w:w="4660" w:type="dxa"/>
            <w:vAlign w:val="bottom"/>
            <w:tcBorders>
              <w:left w:val="single" w:sz="8" w:color="BFBFBF"/>
              <w:bottom w:val="single" w:sz="8" w:color="BFBFBF"/>
            </w:tcBorders>
            <w:shd w:val="clear" w:color="auto" w:fill="DDEFF3"/>
          </w:tcPr>
          <w:p>
            <w:pPr>
              <w:spacing w:after="0"/>
              <w:rPr>
                <w:sz w:val="21"/>
                <w:szCs w:val="21"/>
                <w:color w:val="auto"/>
              </w:rPr>
            </w:pPr>
          </w:p>
        </w:tc>
        <w:tc>
          <w:tcPr>
            <w:tcW w:w="360" w:type="dxa"/>
            <w:vAlign w:val="bottom"/>
            <w:tcBorders>
              <w:bottom w:val="single" w:sz="8" w:color="BFBFBF"/>
              <w:right w:val="single" w:sz="8" w:color="BFBFBF"/>
            </w:tcBorders>
            <w:shd w:val="clear" w:color="auto" w:fill="DDEFF3"/>
          </w:tcPr>
          <w:p>
            <w:pPr>
              <w:spacing w:after="0"/>
              <w:rPr>
                <w:sz w:val="21"/>
                <w:szCs w:val="21"/>
                <w:color w:val="auto"/>
              </w:rPr>
            </w:pPr>
          </w:p>
        </w:tc>
        <w:tc>
          <w:tcPr>
            <w:tcW w:w="120" w:type="dxa"/>
            <w:vAlign w:val="bottom"/>
            <w:tcBorders>
              <w:bottom w:val="single" w:sz="8" w:color="BFBFBF"/>
            </w:tcBorders>
            <w:shd w:val="clear" w:color="auto" w:fill="DDEFF3"/>
          </w:tcPr>
          <w:p>
            <w:pPr>
              <w:spacing w:after="0"/>
              <w:rPr>
                <w:sz w:val="21"/>
                <w:szCs w:val="21"/>
                <w:color w:val="auto"/>
              </w:rPr>
            </w:pPr>
          </w:p>
        </w:tc>
        <w:tc>
          <w:tcPr>
            <w:tcW w:w="1160" w:type="dxa"/>
            <w:vAlign w:val="bottom"/>
            <w:tcBorders>
              <w:bottom w:val="single" w:sz="8" w:color="BFBFBF"/>
              <w:right w:val="single" w:sz="8" w:color="BFBFBF"/>
            </w:tcBorders>
            <w:shd w:val="clear" w:color="auto" w:fill="DDEFF3"/>
          </w:tcPr>
          <w:p>
            <w:pPr>
              <w:spacing w:after="0"/>
              <w:rPr>
                <w:sz w:val="21"/>
                <w:szCs w:val="21"/>
                <w:color w:val="auto"/>
              </w:rPr>
            </w:pPr>
          </w:p>
        </w:tc>
        <w:tc>
          <w:tcPr>
            <w:tcW w:w="100" w:type="dxa"/>
            <w:vAlign w:val="bottom"/>
            <w:tcBorders>
              <w:bottom w:val="single" w:sz="8" w:color="BFBFBF"/>
            </w:tcBorders>
            <w:shd w:val="clear" w:color="auto" w:fill="DDEFF3"/>
          </w:tcPr>
          <w:p>
            <w:pPr>
              <w:spacing w:after="0"/>
              <w:rPr>
                <w:sz w:val="21"/>
                <w:szCs w:val="21"/>
                <w:color w:val="auto"/>
              </w:rPr>
            </w:pPr>
          </w:p>
        </w:tc>
        <w:tc>
          <w:tcPr>
            <w:tcW w:w="1420" w:type="dxa"/>
            <w:vAlign w:val="bottom"/>
            <w:tcBorders>
              <w:bottom w:val="single" w:sz="8" w:color="BFBFBF"/>
            </w:tcBorders>
            <w:shd w:val="clear" w:color="auto" w:fill="DDEFF3"/>
          </w:tcPr>
          <w:p>
            <w:pPr>
              <w:spacing w:after="0"/>
              <w:rPr>
                <w:sz w:val="21"/>
                <w:szCs w:val="21"/>
                <w:color w:val="auto"/>
              </w:rPr>
            </w:pPr>
          </w:p>
        </w:tc>
        <w:tc>
          <w:tcPr>
            <w:tcW w:w="180" w:type="dxa"/>
            <w:vAlign w:val="bottom"/>
            <w:tcBorders>
              <w:bottom w:val="single" w:sz="8" w:color="BFBFBF"/>
              <w:right w:val="single" w:sz="8" w:color="BFBFBF"/>
            </w:tcBorders>
            <w:shd w:val="clear" w:color="auto" w:fill="DDEFF3"/>
          </w:tcPr>
          <w:p>
            <w:pPr>
              <w:spacing w:after="0"/>
              <w:rPr>
                <w:sz w:val="21"/>
                <w:szCs w:val="21"/>
                <w:color w:val="auto"/>
              </w:rPr>
            </w:pPr>
          </w:p>
        </w:tc>
        <w:tc>
          <w:tcPr>
            <w:tcW w:w="120" w:type="dxa"/>
            <w:vAlign w:val="bottom"/>
            <w:tcBorders>
              <w:bottom w:val="single" w:sz="8" w:color="BFBFBF"/>
            </w:tcBorders>
            <w:shd w:val="clear" w:color="auto" w:fill="DDEFF3"/>
          </w:tcPr>
          <w:p>
            <w:pPr>
              <w:spacing w:after="0"/>
              <w:rPr>
                <w:sz w:val="21"/>
                <w:szCs w:val="21"/>
                <w:color w:val="auto"/>
              </w:rPr>
            </w:pPr>
          </w:p>
        </w:tc>
        <w:tc>
          <w:tcPr>
            <w:tcW w:w="220" w:type="dxa"/>
            <w:vAlign w:val="bottom"/>
            <w:tcBorders>
              <w:bottom w:val="single" w:sz="8" w:color="BFBFBF"/>
            </w:tcBorders>
            <w:shd w:val="clear" w:color="auto" w:fill="DDEFF3"/>
          </w:tcPr>
          <w:p>
            <w:pPr>
              <w:spacing w:after="0"/>
              <w:rPr>
                <w:sz w:val="21"/>
                <w:szCs w:val="21"/>
                <w:color w:val="auto"/>
              </w:rPr>
            </w:pPr>
          </w:p>
        </w:tc>
        <w:tc>
          <w:tcPr>
            <w:tcW w:w="1100" w:type="dxa"/>
            <w:vAlign w:val="bottom"/>
            <w:tcBorders>
              <w:bottom w:val="single" w:sz="8" w:color="BFBFBF"/>
            </w:tcBorders>
            <w:shd w:val="clear" w:color="auto" w:fill="DDEFF3"/>
          </w:tcPr>
          <w:p>
            <w:pPr>
              <w:spacing w:after="0"/>
              <w:rPr>
                <w:sz w:val="21"/>
                <w:szCs w:val="21"/>
                <w:color w:val="auto"/>
              </w:rPr>
            </w:pPr>
          </w:p>
        </w:tc>
        <w:tc>
          <w:tcPr>
            <w:tcW w:w="200" w:type="dxa"/>
            <w:vAlign w:val="bottom"/>
            <w:tcBorders>
              <w:bottom w:val="single" w:sz="8" w:color="BFBFBF"/>
              <w:right w:val="single" w:sz="8" w:color="BFBFBF"/>
            </w:tcBorders>
            <w:shd w:val="clear" w:color="auto" w:fill="DDEFF3"/>
          </w:tcPr>
          <w:p>
            <w:pPr>
              <w:spacing w:after="0"/>
              <w:rPr>
                <w:sz w:val="21"/>
                <w:szCs w:val="21"/>
                <w:color w:val="auto"/>
              </w:rPr>
            </w:pPr>
          </w:p>
        </w:tc>
        <w:tc>
          <w:tcPr>
            <w:tcW w:w="120" w:type="dxa"/>
            <w:vAlign w:val="bottom"/>
            <w:tcBorders>
              <w:bottom w:val="single" w:sz="8" w:color="BFBFBF"/>
            </w:tcBorders>
            <w:shd w:val="clear" w:color="auto" w:fill="DDEFF3"/>
          </w:tcPr>
          <w:p>
            <w:pPr>
              <w:spacing w:after="0"/>
              <w:rPr>
                <w:sz w:val="21"/>
                <w:szCs w:val="21"/>
                <w:color w:val="auto"/>
              </w:rPr>
            </w:pPr>
          </w:p>
        </w:tc>
        <w:tc>
          <w:tcPr>
            <w:tcW w:w="1440" w:type="dxa"/>
            <w:vAlign w:val="bottom"/>
            <w:tcBorders>
              <w:bottom w:val="single" w:sz="8" w:color="BFBFBF"/>
            </w:tcBorders>
            <w:shd w:val="clear" w:color="auto" w:fill="DDEFF3"/>
          </w:tcPr>
          <w:p>
            <w:pPr>
              <w:spacing w:after="0"/>
              <w:rPr>
                <w:sz w:val="21"/>
                <w:szCs w:val="21"/>
                <w:color w:val="auto"/>
              </w:rPr>
            </w:pPr>
          </w:p>
        </w:tc>
        <w:tc>
          <w:tcPr>
            <w:tcW w:w="240" w:type="dxa"/>
            <w:vAlign w:val="bottom"/>
            <w:tcBorders>
              <w:bottom w:val="single" w:sz="8" w:color="BFBFBF"/>
              <w:right w:val="single" w:sz="8" w:color="BFBFBF"/>
            </w:tcBorders>
            <w:shd w:val="clear" w:color="auto" w:fill="DDEFF3"/>
          </w:tcPr>
          <w:p>
            <w:pPr>
              <w:spacing w:after="0"/>
              <w:rPr>
                <w:sz w:val="21"/>
                <w:szCs w:val="21"/>
                <w:color w:val="auto"/>
              </w:rPr>
            </w:pPr>
          </w:p>
        </w:tc>
      </w:tr>
      <w:tr>
        <w:trPr>
          <w:trHeight w:val="196"/>
        </w:trPr>
        <w:tc>
          <w:tcPr>
            <w:tcW w:w="4660" w:type="dxa"/>
            <w:vAlign w:val="bottom"/>
            <w:tcBorders>
              <w:left w:val="single" w:sz="8" w:color="BFBFBF"/>
              <w:bottom w:val="single" w:sz="8" w:color="BFBFBF"/>
            </w:tcBorders>
          </w:tcPr>
          <w:p>
            <w:pPr>
              <w:ind w:left="220"/>
              <w:spacing w:after="0" w:line="196" w:lineRule="exact"/>
              <w:rPr>
                <w:sz w:val="20"/>
                <w:szCs w:val="20"/>
                <w:color w:val="auto"/>
              </w:rPr>
            </w:pPr>
            <w:r>
              <w:rPr>
                <w:rFonts w:ascii="Arial" w:cs="Arial" w:eastAsia="Arial" w:hAnsi="Arial"/>
                <w:sz w:val="18"/>
                <w:szCs w:val="18"/>
                <w:color w:val="auto"/>
              </w:rPr>
              <w:t>Anna M. Ewing</w:t>
            </w:r>
          </w:p>
        </w:tc>
        <w:tc>
          <w:tcPr>
            <w:tcW w:w="36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160" w:type="dxa"/>
            <w:vAlign w:val="bottom"/>
            <w:tcBorders>
              <w:bottom w:val="single" w:sz="8" w:color="BFBFBF"/>
              <w:right w:val="single" w:sz="8" w:color="BFBFBF"/>
            </w:tcBorders>
          </w:tcPr>
          <w:p>
            <w:pPr>
              <w:jc w:val="center"/>
              <w:spacing w:after="0" w:line="196" w:lineRule="exact"/>
              <w:rPr>
                <w:sz w:val="20"/>
                <w:szCs w:val="20"/>
                <w:color w:val="auto"/>
              </w:rPr>
            </w:pPr>
            <w:r>
              <w:rPr>
                <w:rFonts w:ascii="Arial" w:cs="Arial" w:eastAsia="Arial" w:hAnsi="Arial"/>
                <w:sz w:val="18"/>
                <w:szCs w:val="18"/>
                <w:color w:val="auto"/>
                <w:w w:val="98"/>
              </w:rPr>
              <w:t>Pension Plan</w:t>
            </w:r>
          </w:p>
        </w:tc>
        <w:tc>
          <w:tcPr>
            <w:tcW w:w="152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12.25</w:t>
            </w:r>
          </w:p>
        </w:tc>
        <w:tc>
          <w:tcPr>
            <w:tcW w:w="18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22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199,346</w:t>
            </w:r>
          </w:p>
        </w:tc>
        <w:tc>
          <w:tcPr>
            <w:tcW w:w="20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680" w:type="dxa"/>
            <w:vAlign w:val="bottom"/>
            <w:tcBorders>
              <w:bottom w:val="single" w:sz="8" w:color="BFBFBF"/>
              <w:right w:val="single" w:sz="8" w:color="BFBFBF"/>
            </w:tcBorders>
            <w:gridSpan w:val="2"/>
          </w:tcPr>
          <w:p>
            <w:pPr>
              <w:ind w:left="1080"/>
              <w:spacing w:after="0" w:line="196" w:lineRule="exact"/>
              <w:rPr>
                <w:sz w:val="20"/>
                <w:szCs w:val="20"/>
                <w:color w:val="auto"/>
              </w:rPr>
            </w:pPr>
            <w:r>
              <w:rPr>
                <w:rFonts w:ascii="Arial" w:cs="Arial" w:eastAsia="Arial" w:hAnsi="Arial"/>
                <w:sz w:val="18"/>
                <w:szCs w:val="18"/>
                <w:color w:val="auto"/>
              </w:rPr>
              <w:t>—</w:t>
            </w:r>
          </w:p>
        </w:tc>
      </w:tr>
      <w:tr>
        <w:trPr>
          <w:trHeight w:val="196"/>
        </w:trPr>
        <w:tc>
          <w:tcPr>
            <w:tcW w:w="4660" w:type="dxa"/>
            <w:vAlign w:val="bottom"/>
            <w:tcBorders>
              <w:left w:val="single" w:sz="8" w:color="BFBFBF"/>
            </w:tcBorders>
          </w:tcPr>
          <w:p>
            <w:pPr>
              <w:ind w:left="440"/>
              <w:spacing w:after="0" w:line="196" w:lineRule="exact"/>
              <w:rPr>
                <w:sz w:val="20"/>
                <w:szCs w:val="20"/>
                <w:color w:val="auto"/>
              </w:rPr>
            </w:pPr>
            <w:r>
              <w:rPr>
                <w:rFonts w:ascii="Arial" w:cs="Arial" w:eastAsia="Arial" w:hAnsi="Arial"/>
                <w:sz w:val="18"/>
                <w:szCs w:val="18"/>
                <w:color w:val="auto"/>
              </w:rPr>
              <w:t>Executive Vice</w:t>
            </w:r>
          </w:p>
        </w:tc>
        <w:tc>
          <w:tcPr>
            <w:tcW w:w="360" w:type="dxa"/>
            <w:vAlign w:val="bottom"/>
            <w:tcBorders>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160" w:type="dxa"/>
            <w:vAlign w:val="bottom"/>
            <w:tcBorders>
              <w:bottom w:val="single" w:sz="8" w:color="BFBFBF"/>
              <w:right w:val="single" w:sz="8" w:color="BFBFBF"/>
            </w:tcBorders>
          </w:tcPr>
          <w:p>
            <w:pPr>
              <w:jc w:val="center"/>
              <w:spacing w:after="0" w:line="196" w:lineRule="exact"/>
              <w:rPr>
                <w:sz w:val="20"/>
                <w:szCs w:val="20"/>
                <w:color w:val="auto"/>
              </w:rPr>
            </w:pPr>
            <w:r>
              <w:rPr>
                <w:rFonts w:ascii="Arial" w:cs="Arial" w:eastAsia="Arial" w:hAnsi="Arial"/>
                <w:sz w:val="18"/>
                <w:szCs w:val="18"/>
                <w:color w:val="auto"/>
                <w:w w:val="97"/>
              </w:rPr>
              <w:t>SERP</w:t>
            </w:r>
          </w:p>
        </w:tc>
        <w:tc>
          <w:tcPr>
            <w:tcW w:w="1520" w:type="dxa"/>
            <w:vAlign w:val="bottom"/>
            <w:tcBorders>
              <w:bottom w:val="single" w:sz="8" w:color="BFBFBF"/>
            </w:tcBorders>
            <w:gridSpan w:val="2"/>
          </w:tcPr>
          <w:p>
            <w:pPr>
              <w:jc w:val="right"/>
              <w:ind w:right="312"/>
              <w:spacing w:after="0" w:line="196" w:lineRule="exact"/>
              <w:rPr>
                <w:sz w:val="20"/>
                <w:szCs w:val="20"/>
                <w:color w:val="auto"/>
              </w:rPr>
            </w:pPr>
            <w:r>
              <w:rPr>
                <w:rFonts w:ascii="Arial" w:cs="Arial" w:eastAsia="Arial" w:hAnsi="Arial"/>
                <w:sz w:val="18"/>
                <w:szCs w:val="18"/>
                <w:color w:val="auto"/>
              </w:rPr>
              <w:t>12.25</w:t>
            </w:r>
          </w:p>
        </w:tc>
        <w:tc>
          <w:tcPr>
            <w:tcW w:w="18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22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722,538</w:t>
            </w:r>
          </w:p>
        </w:tc>
        <w:tc>
          <w:tcPr>
            <w:tcW w:w="200" w:type="dxa"/>
            <w:vAlign w:val="bottom"/>
            <w:tcBorders>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1680" w:type="dxa"/>
            <w:vAlign w:val="bottom"/>
            <w:tcBorders>
              <w:bottom w:val="single" w:sz="8" w:color="BFBFBF"/>
              <w:right w:val="single" w:sz="8" w:color="BFBFBF"/>
            </w:tcBorders>
            <w:gridSpan w:val="2"/>
          </w:tcPr>
          <w:p>
            <w:pPr>
              <w:ind w:left="1080"/>
              <w:spacing w:after="0" w:line="196" w:lineRule="exact"/>
              <w:rPr>
                <w:sz w:val="20"/>
                <w:szCs w:val="20"/>
                <w:color w:val="auto"/>
              </w:rPr>
            </w:pPr>
            <w:r>
              <w:rPr>
                <w:rFonts w:ascii="Arial" w:cs="Arial" w:eastAsia="Arial" w:hAnsi="Arial"/>
                <w:sz w:val="18"/>
                <w:szCs w:val="18"/>
                <w:color w:val="auto"/>
              </w:rPr>
              <w:t>—</w:t>
            </w:r>
          </w:p>
        </w:tc>
      </w:tr>
      <w:tr>
        <w:trPr>
          <w:trHeight w:val="183"/>
        </w:trPr>
        <w:tc>
          <w:tcPr>
            <w:tcW w:w="4660" w:type="dxa"/>
            <w:vAlign w:val="bottom"/>
            <w:tcBorders>
              <w:left w:val="single" w:sz="8" w:color="BFBFBF"/>
              <w:bottom w:val="single" w:sz="8" w:color="BFBFBF"/>
            </w:tcBorders>
          </w:tcPr>
          <w:p>
            <w:pPr>
              <w:ind w:left="440"/>
              <w:spacing w:after="0" w:line="182" w:lineRule="exact"/>
              <w:rPr>
                <w:sz w:val="20"/>
                <w:szCs w:val="20"/>
                <w:color w:val="auto"/>
              </w:rPr>
            </w:pPr>
            <w:r>
              <w:rPr>
                <w:rFonts w:ascii="Arial" w:cs="Arial" w:eastAsia="Arial" w:hAnsi="Arial"/>
                <w:sz w:val="18"/>
                <w:szCs w:val="18"/>
                <w:color w:val="auto"/>
              </w:rPr>
              <w:t>President, Global Technology Solutions</w:t>
            </w:r>
          </w:p>
        </w:tc>
        <w:tc>
          <w:tcPr>
            <w:tcW w:w="360" w:type="dxa"/>
            <w:vAlign w:val="bottom"/>
            <w:tcBorders>
              <w:bottom w:val="single" w:sz="8" w:color="BFBFBF"/>
              <w:right w:val="single" w:sz="8" w:color="BFBFBF"/>
            </w:tcBorders>
          </w:tcPr>
          <w:p>
            <w:pPr>
              <w:spacing w:after="0"/>
              <w:rPr>
                <w:sz w:val="15"/>
                <w:szCs w:val="15"/>
                <w:color w:val="auto"/>
              </w:rPr>
            </w:pPr>
          </w:p>
        </w:tc>
        <w:tc>
          <w:tcPr>
            <w:tcW w:w="120" w:type="dxa"/>
            <w:vAlign w:val="bottom"/>
            <w:tcBorders>
              <w:bottom w:val="single" w:sz="8" w:color="BFBFBF"/>
            </w:tcBorders>
          </w:tcPr>
          <w:p>
            <w:pPr>
              <w:spacing w:after="0"/>
              <w:rPr>
                <w:sz w:val="15"/>
                <w:szCs w:val="15"/>
                <w:color w:val="auto"/>
              </w:rPr>
            </w:pPr>
          </w:p>
        </w:tc>
        <w:tc>
          <w:tcPr>
            <w:tcW w:w="1160" w:type="dxa"/>
            <w:vAlign w:val="bottom"/>
            <w:tcBorders>
              <w:bottom w:val="single" w:sz="8" w:color="BFBFBF"/>
              <w:right w:val="single" w:sz="8" w:color="BFBFBF"/>
            </w:tcBorders>
          </w:tcPr>
          <w:p>
            <w:pPr>
              <w:spacing w:after="0"/>
              <w:rPr>
                <w:sz w:val="15"/>
                <w:szCs w:val="15"/>
                <w:color w:val="auto"/>
              </w:rPr>
            </w:pPr>
          </w:p>
        </w:tc>
        <w:tc>
          <w:tcPr>
            <w:tcW w:w="100" w:type="dxa"/>
            <w:vAlign w:val="bottom"/>
            <w:tcBorders>
              <w:bottom w:val="single" w:sz="8" w:color="BFBFBF"/>
            </w:tcBorders>
          </w:tcPr>
          <w:p>
            <w:pPr>
              <w:spacing w:after="0"/>
              <w:rPr>
                <w:sz w:val="15"/>
                <w:szCs w:val="15"/>
                <w:color w:val="auto"/>
              </w:rPr>
            </w:pPr>
          </w:p>
        </w:tc>
        <w:tc>
          <w:tcPr>
            <w:tcW w:w="1420" w:type="dxa"/>
            <w:vAlign w:val="bottom"/>
            <w:tcBorders>
              <w:bottom w:val="single" w:sz="8" w:color="BFBFBF"/>
            </w:tcBorders>
          </w:tcPr>
          <w:p>
            <w:pPr>
              <w:spacing w:after="0"/>
              <w:rPr>
                <w:sz w:val="15"/>
                <w:szCs w:val="15"/>
                <w:color w:val="auto"/>
              </w:rPr>
            </w:pPr>
          </w:p>
        </w:tc>
        <w:tc>
          <w:tcPr>
            <w:tcW w:w="180" w:type="dxa"/>
            <w:vAlign w:val="bottom"/>
            <w:tcBorders>
              <w:bottom w:val="single" w:sz="8" w:color="BFBFBF"/>
              <w:right w:val="single" w:sz="8" w:color="BFBFBF"/>
            </w:tcBorders>
          </w:tcPr>
          <w:p>
            <w:pPr>
              <w:spacing w:after="0"/>
              <w:rPr>
                <w:sz w:val="15"/>
                <w:szCs w:val="15"/>
                <w:color w:val="auto"/>
              </w:rPr>
            </w:pPr>
          </w:p>
        </w:tc>
        <w:tc>
          <w:tcPr>
            <w:tcW w:w="120" w:type="dxa"/>
            <w:vAlign w:val="bottom"/>
            <w:tcBorders>
              <w:bottom w:val="single" w:sz="8" w:color="BFBFBF"/>
            </w:tcBorders>
          </w:tcPr>
          <w:p>
            <w:pPr>
              <w:spacing w:after="0"/>
              <w:rPr>
                <w:sz w:val="15"/>
                <w:szCs w:val="15"/>
                <w:color w:val="auto"/>
              </w:rPr>
            </w:pPr>
          </w:p>
        </w:tc>
        <w:tc>
          <w:tcPr>
            <w:tcW w:w="220" w:type="dxa"/>
            <w:vAlign w:val="bottom"/>
            <w:tcBorders>
              <w:bottom w:val="single" w:sz="8" w:color="BFBFBF"/>
            </w:tcBorders>
          </w:tcPr>
          <w:p>
            <w:pPr>
              <w:spacing w:after="0"/>
              <w:rPr>
                <w:sz w:val="15"/>
                <w:szCs w:val="15"/>
                <w:color w:val="auto"/>
              </w:rPr>
            </w:pPr>
          </w:p>
        </w:tc>
        <w:tc>
          <w:tcPr>
            <w:tcW w:w="1100" w:type="dxa"/>
            <w:vAlign w:val="bottom"/>
            <w:tcBorders>
              <w:bottom w:val="single" w:sz="8" w:color="BFBFBF"/>
            </w:tcBorders>
          </w:tcPr>
          <w:p>
            <w:pPr>
              <w:spacing w:after="0"/>
              <w:rPr>
                <w:sz w:val="15"/>
                <w:szCs w:val="15"/>
                <w:color w:val="auto"/>
              </w:rPr>
            </w:pPr>
          </w:p>
        </w:tc>
        <w:tc>
          <w:tcPr>
            <w:tcW w:w="200" w:type="dxa"/>
            <w:vAlign w:val="bottom"/>
            <w:tcBorders>
              <w:bottom w:val="single" w:sz="8" w:color="BFBFBF"/>
              <w:right w:val="single" w:sz="8" w:color="BFBFBF"/>
            </w:tcBorders>
          </w:tcPr>
          <w:p>
            <w:pPr>
              <w:spacing w:after="0"/>
              <w:rPr>
                <w:sz w:val="15"/>
                <w:szCs w:val="15"/>
                <w:color w:val="auto"/>
              </w:rPr>
            </w:pPr>
          </w:p>
        </w:tc>
        <w:tc>
          <w:tcPr>
            <w:tcW w:w="120" w:type="dxa"/>
            <w:vAlign w:val="bottom"/>
            <w:tcBorders>
              <w:bottom w:val="single" w:sz="8" w:color="BFBFBF"/>
            </w:tcBorders>
          </w:tcPr>
          <w:p>
            <w:pPr>
              <w:spacing w:after="0"/>
              <w:rPr>
                <w:sz w:val="15"/>
                <w:szCs w:val="15"/>
                <w:color w:val="auto"/>
              </w:rPr>
            </w:pPr>
          </w:p>
        </w:tc>
        <w:tc>
          <w:tcPr>
            <w:tcW w:w="1440" w:type="dxa"/>
            <w:vAlign w:val="bottom"/>
            <w:tcBorders>
              <w:bottom w:val="single" w:sz="8" w:color="BFBFBF"/>
            </w:tcBorders>
          </w:tcPr>
          <w:p>
            <w:pPr>
              <w:spacing w:after="0"/>
              <w:rPr>
                <w:sz w:val="15"/>
                <w:szCs w:val="15"/>
                <w:color w:val="auto"/>
              </w:rPr>
            </w:pPr>
          </w:p>
        </w:tc>
        <w:tc>
          <w:tcPr>
            <w:tcW w:w="240" w:type="dxa"/>
            <w:vAlign w:val="bottom"/>
            <w:tcBorders>
              <w:bottom w:val="single" w:sz="8" w:color="BFBFBF"/>
              <w:right w:val="single" w:sz="8" w:color="BFBFBF"/>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-874395</wp:posOffset>
            </wp:positionV>
            <wp:extent cx="889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889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32" w:lineRule="exact"/>
        <w:rPr>
          <w:sz w:val="20"/>
          <w:szCs w:val="20"/>
          <w:color w:val="auto"/>
        </w:rPr>
      </w:pPr>
    </w:p>
    <w:p>
      <w:pPr>
        <w:ind w:left="580" w:right="100" w:hanging="572"/>
        <w:spacing w:after="0" w:line="273"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amounts reported comprise the actuarial present value of the named executive officer’s accumulated benefit under the Pension Plan and SERP as of December 31, 2012. Assumptions used in calculating the amounts include a 4.00% discount rate as of December 31, 2012, retirement at age 62 (which is the earliest age at which a participant may retire and receive unreduced benefits under the plans) and other assumptions used for financial statement reporting purposes under generally accepted accounting principles as described in footnote 11 to the company’s audited financial statements for the fiscal year ended December 31, 2012 included in our Form 10-K.</w:t>
      </w:r>
    </w:p>
    <w:p>
      <w:pPr>
        <w:spacing w:after="0" w:line="88"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Generally, participants in the Pension Plan become vested in retirement benefits under the plan after five years of service from the participant’s date of hire. As of December 31, 2012, Mr. Greifeld and Ms. Ewing were vested in benefits payable under the Pension Plan. Participants in the SERP generally become vested in retirement benefits under the SERP after reaching age 55 and completing 10 years of service. Under the provisions of his employment agreement, Mr. Greifeld is vested in benefits payable under the SERP. None of the other named executive officers were vested in benefits payable under the SERP as of December 31, 2012.</w:t>
      </w:r>
    </w:p>
    <w:p>
      <w:pPr>
        <w:spacing w:after="0" w:line="144"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67</w:t>
      </w:r>
    </w:p>
    <w:p>
      <w:pPr>
        <w:sectPr>
          <w:pgSz w:w="11900" w:h="16838" w:orient="portrait"/>
          <w:cols w:equalWidth="0" w:num="1">
            <w:col w:w="11440"/>
          </w:cols>
          <w:pgMar w:left="240" w:top="459" w:right="2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of December 31, 2012, the only nonqualified defined contribution plan in which our named executive officers participated was the Supplemental ERC. The table below shows the amounts contributed to this plan by, or on behalf of, our named executive officers during the fiscal year ended December 31, 2012 and other information. Mr. Jochumsen is not a participant in the Supplemental ERC.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Nonqualified Deferred Compensation Table</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20" w:type="dxa"/>
            <w:vAlign w:val="bottom"/>
            <w:tcBorders>
              <w:left w:val="single" w:sz="8" w:color="BFBFBF"/>
              <w:right w:val="single" w:sz="8" w:color="BFBFBF"/>
            </w:tcBorders>
            <w:shd w:val="clear" w:color="auto" w:fill="0088A6"/>
          </w:tcPr>
          <w:p>
            <w:pPr>
              <w:spacing w:after="0"/>
              <w:rPr>
                <w:sz w:val="17"/>
                <w:szCs w:val="17"/>
                <w:color w:val="auto"/>
              </w:rPr>
            </w:pPr>
          </w:p>
        </w:tc>
        <w:tc>
          <w:tcPr>
            <w:tcW w:w="200" w:type="dxa"/>
            <w:vAlign w:val="bottom"/>
            <w:shd w:val="clear" w:color="auto" w:fill="0088A6"/>
          </w:tcPr>
          <w:p>
            <w:pPr>
              <w:spacing w:after="0"/>
              <w:rPr>
                <w:sz w:val="17"/>
                <w:szCs w:val="17"/>
                <w:color w:val="auto"/>
              </w:rPr>
            </w:pPr>
          </w:p>
        </w:tc>
        <w:tc>
          <w:tcPr>
            <w:tcW w:w="1640" w:type="dxa"/>
            <w:vAlign w:val="bottom"/>
            <w:tcBorders>
              <w:right w:val="single" w:sz="8" w:color="BFBFBF"/>
            </w:tcBorders>
            <w:gridSpan w:val="2"/>
            <w:shd w:val="clear" w:color="auto" w:fill="0088A6"/>
          </w:tcPr>
          <w:p>
            <w:pPr>
              <w:ind w:left="240"/>
              <w:spacing w:after="0"/>
              <w:rPr>
                <w:sz w:val="20"/>
                <w:szCs w:val="20"/>
                <w:color w:val="auto"/>
              </w:rPr>
            </w:pPr>
            <w:r>
              <w:rPr>
                <w:rFonts w:ascii="Arial" w:cs="Arial" w:eastAsia="Arial" w:hAnsi="Arial"/>
                <w:sz w:val="18"/>
                <w:szCs w:val="18"/>
                <w:b w:val="1"/>
                <w:bCs w:val="1"/>
                <w:color w:val="FFFFFF"/>
              </w:rPr>
              <w:t>Executive</w:t>
            </w:r>
          </w:p>
        </w:tc>
        <w:tc>
          <w:tcPr>
            <w:tcW w:w="200" w:type="dxa"/>
            <w:vAlign w:val="bottom"/>
            <w:shd w:val="clear" w:color="auto" w:fill="0088A6"/>
          </w:tcPr>
          <w:p>
            <w:pPr>
              <w:spacing w:after="0"/>
              <w:rPr>
                <w:sz w:val="17"/>
                <w:szCs w:val="17"/>
                <w:color w:val="auto"/>
              </w:rPr>
            </w:pPr>
          </w:p>
        </w:tc>
        <w:tc>
          <w:tcPr>
            <w:tcW w:w="1460" w:type="dxa"/>
            <w:vAlign w:val="bottom"/>
            <w:tcBorders>
              <w:right w:val="single" w:sz="8" w:color="BFBFBF"/>
            </w:tcBorders>
            <w:gridSpan w:val="3"/>
            <w:shd w:val="clear" w:color="auto" w:fill="0088A6"/>
          </w:tcPr>
          <w:p>
            <w:pPr>
              <w:ind w:left="140"/>
              <w:spacing w:after="0"/>
              <w:rPr>
                <w:sz w:val="20"/>
                <w:szCs w:val="20"/>
                <w:color w:val="auto"/>
              </w:rPr>
            </w:pPr>
            <w:r>
              <w:rPr>
                <w:rFonts w:ascii="Arial" w:cs="Arial" w:eastAsia="Arial" w:hAnsi="Arial"/>
                <w:sz w:val="18"/>
                <w:szCs w:val="18"/>
                <w:b w:val="1"/>
                <w:bCs w:val="1"/>
                <w:color w:val="FFFFFF"/>
              </w:rPr>
              <w:t>Registrant</w:t>
            </w:r>
          </w:p>
        </w:tc>
        <w:tc>
          <w:tcPr>
            <w:tcW w:w="220" w:type="dxa"/>
            <w:vAlign w:val="bottom"/>
            <w:shd w:val="clear" w:color="auto" w:fill="0088A6"/>
          </w:tcPr>
          <w:p>
            <w:pPr>
              <w:spacing w:after="0"/>
              <w:rPr>
                <w:sz w:val="17"/>
                <w:szCs w:val="17"/>
                <w:color w:val="auto"/>
              </w:rPr>
            </w:pPr>
          </w:p>
        </w:tc>
        <w:tc>
          <w:tcPr>
            <w:tcW w:w="1160" w:type="dxa"/>
            <w:vAlign w:val="bottom"/>
            <w:tcBorders>
              <w:right w:val="single" w:sz="8" w:color="BFBFBF"/>
            </w:tcBorders>
            <w:gridSpan w:val="3"/>
            <w:shd w:val="clear" w:color="auto" w:fill="0088A6"/>
          </w:tcPr>
          <w:p>
            <w:pPr>
              <w:spacing w:after="0"/>
              <w:rPr>
                <w:sz w:val="20"/>
                <w:szCs w:val="20"/>
                <w:color w:val="auto"/>
              </w:rPr>
            </w:pPr>
            <w:r>
              <w:rPr>
                <w:rFonts w:ascii="Arial" w:cs="Arial" w:eastAsia="Arial" w:hAnsi="Arial"/>
                <w:sz w:val="18"/>
                <w:szCs w:val="18"/>
                <w:b w:val="1"/>
                <w:bCs w:val="1"/>
                <w:color w:val="FFFFFF"/>
              </w:rPr>
              <w:t>Aggregate</w:t>
            </w:r>
          </w:p>
        </w:tc>
        <w:tc>
          <w:tcPr>
            <w:tcW w:w="200" w:type="dxa"/>
            <w:vAlign w:val="bottom"/>
            <w:shd w:val="clear" w:color="auto" w:fill="0088A6"/>
          </w:tcPr>
          <w:p>
            <w:pPr>
              <w:spacing w:after="0"/>
              <w:rPr>
                <w:sz w:val="17"/>
                <w:szCs w:val="17"/>
                <w:color w:val="auto"/>
              </w:rPr>
            </w:pPr>
          </w:p>
        </w:tc>
        <w:tc>
          <w:tcPr>
            <w:tcW w:w="1400" w:type="dxa"/>
            <w:vAlign w:val="bottom"/>
            <w:tcBorders>
              <w:right w:val="single" w:sz="8" w:color="BFBFBF"/>
            </w:tcBorders>
            <w:gridSpan w:val="2"/>
            <w:shd w:val="clear" w:color="auto" w:fill="0088A6"/>
          </w:tcPr>
          <w:p>
            <w:pPr>
              <w:ind w:left="100"/>
              <w:spacing w:after="0"/>
              <w:rPr>
                <w:sz w:val="20"/>
                <w:szCs w:val="20"/>
                <w:color w:val="auto"/>
              </w:rPr>
            </w:pPr>
            <w:r>
              <w:rPr>
                <w:rFonts w:ascii="Arial" w:cs="Arial" w:eastAsia="Arial" w:hAnsi="Arial"/>
                <w:sz w:val="18"/>
                <w:szCs w:val="18"/>
                <w:b w:val="1"/>
                <w:bCs w:val="1"/>
                <w:color w:val="FFFFFF"/>
              </w:rPr>
              <w:t>Aggregate</w:t>
            </w:r>
          </w:p>
        </w:tc>
        <w:tc>
          <w:tcPr>
            <w:tcW w:w="200" w:type="dxa"/>
            <w:vAlign w:val="bottom"/>
            <w:shd w:val="clear" w:color="auto" w:fill="0088A6"/>
          </w:tcPr>
          <w:p>
            <w:pPr>
              <w:spacing w:after="0"/>
              <w:rPr>
                <w:sz w:val="17"/>
                <w:szCs w:val="17"/>
                <w:color w:val="auto"/>
              </w:rPr>
            </w:pPr>
          </w:p>
        </w:tc>
        <w:tc>
          <w:tcPr>
            <w:tcW w:w="740" w:type="dxa"/>
            <w:vAlign w:val="bottom"/>
            <w:shd w:val="clear" w:color="auto" w:fill="0088A6"/>
          </w:tcPr>
          <w:p>
            <w:pPr>
              <w:spacing w:after="0"/>
              <w:rPr>
                <w:sz w:val="17"/>
                <w:szCs w:val="17"/>
                <w:color w:val="auto"/>
              </w:rPr>
            </w:pPr>
          </w:p>
        </w:tc>
        <w:tc>
          <w:tcPr>
            <w:tcW w:w="860" w:type="dxa"/>
            <w:vAlign w:val="bottom"/>
            <w:shd w:val="clear" w:color="auto" w:fill="0088A6"/>
          </w:tcPr>
          <w:p>
            <w:pPr>
              <w:spacing w:after="0"/>
              <w:rPr>
                <w:sz w:val="17"/>
                <w:szCs w:val="17"/>
                <w:color w:val="auto"/>
              </w:rPr>
            </w:pPr>
          </w:p>
        </w:tc>
        <w:tc>
          <w:tcPr>
            <w:tcW w:w="340" w:type="dxa"/>
            <w:vAlign w:val="bottom"/>
            <w:tcBorders>
              <w:right w:val="single" w:sz="8" w:color="BFBFBF"/>
            </w:tcBorders>
            <w:shd w:val="clear" w:color="auto" w:fill="0088A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Borders>
              <w:left w:val="single" w:sz="8" w:color="BFBFBF"/>
              <w:right w:val="single" w:sz="8" w:color="BFBFBF"/>
            </w:tcBorders>
            <w:shd w:val="clear" w:color="auto" w:fill="0088A6"/>
          </w:tcPr>
          <w:p>
            <w:pPr>
              <w:spacing w:after="0"/>
              <w:rPr>
                <w:sz w:val="17"/>
                <w:szCs w:val="17"/>
                <w:color w:val="auto"/>
              </w:rPr>
            </w:pPr>
          </w:p>
        </w:tc>
        <w:tc>
          <w:tcPr>
            <w:tcW w:w="200" w:type="dxa"/>
            <w:vAlign w:val="bottom"/>
            <w:shd w:val="clear" w:color="auto" w:fill="0088A6"/>
          </w:tcPr>
          <w:p>
            <w:pPr>
              <w:spacing w:after="0"/>
              <w:rPr>
                <w:sz w:val="17"/>
                <w:szCs w:val="17"/>
                <w:color w:val="auto"/>
              </w:rPr>
            </w:pPr>
          </w:p>
        </w:tc>
        <w:tc>
          <w:tcPr>
            <w:tcW w:w="1640" w:type="dxa"/>
            <w:vAlign w:val="bottom"/>
            <w:tcBorders>
              <w:right w:val="single" w:sz="8" w:color="BFBFBF"/>
            </w:tcBorders>
            <w:gridSpan w:val="2"/>
            <w:shd w:val="clear" w:color="auto" w:fill="0088A6"/>
          </w:tcPr>
          <w:p>
            <w:pPr>
              <w:jc w:val="center"/>
              <w:ind w:right="280"/>
              <w:spacing w:after="0" w:line="202" w:lineRule="exact"/>
              <w:rPr>
                <w:sz w:val="20"/>
                <w:szCs w:val="20"/>
                <w:color w:val="auto"/>
              </w:rPr>
            </w:pPr>
            <w:r>
              <w:rPr>
                <w:rFonts w:ascii="Arial" w:cs="Arial" w:eastAsia="Arial" w:hAnsi="Arial"/>
                <w:sz w:val="18"/>
                <w:szCs w:val="18"/>
                <w:b w:val="1"/>
                <w:bCs w:val="1"/>
                <w:color w:val="FFFFFF"/>
                <w:w w:val="97"/>
              </w:rPr>
              <w:t>Contributions in</w:t>
            </w:r>
          </w:p>
        </w:tc>
        <w:tc>
          <w:tcPr>
            <w:tcW w:w="200" w:type="dxa"/>
            <w:vAlign w:val="bottom"/>
            <w:shd w:val="clear" w:color="auto" w:fill="0088A6"/>
          </w:tcPr>
          <w:p>
            <w:pPr>
              <w:spacing w:after="0"/>
              <w:rPr>
                <w:sz w:val="17"/>
                <w:szCs w:val="17"/>
                <w:color w:val="auto"/>
              </w:rPr>
            </w:pPr>
          </w:p>
        </w:tc>
        <w:tc>
          <w:tcPr>
            <w:tcW w:w="1460" w:type="dxa"/>
            <w:vAlign w:val="bottom"/>
            <w:tcBorders>
              <w:right w:val="single" w:sz="8" w:color="BFBFBF"/>
            </w:tcBorders>
            <w:gridSpan w:val="3"/>
            <w:shd w:val="clear" w:color="auto" w:fill="0088A6"/>
          </w:tcPr>
          <w:p>
            <w:pPr>
              <w:ind w:left="20"/>
              <w:spacing w:after="0" w:line="202" w:lineRule="exact"/>
              <w:rPr>
                <w:sz w:val="20"/>
                <w:szCs w:val="20"/>
                <w:color w:val="auto"/>
              </w:rPr>
            </w:pPr>
            <w:r>
              <w:rPr>
                <w:rFonts w:ascii="Arial" w:cs="Arial" w:eastAsia="Arial" w:hAnsi="Arial"/>
                <w:sz w:val="18"/>
                <w:szCs w:val="18"/>
                <w:b w:val="1"/>
                <w:bCs w:val="1"/>
                <w:color w:val="FFFFFF"/>
              </w:rPr>
              <w:t>Contributions</w:t>
            </w:r>
          </w:p>
        </w:tc>
        <w:tc>
          <w:tcPr>
            <w:tcW w:w="220" w:type="dxa"/>
            <w:vAlign w:val="bottom"/>
            <w:shd w:val="clear" w:color="auto" w:fill="0088A6"/>
          </w:tcPr>
          <w:p>
            <w:pPr>
              <w:spacing w:after="0"/>
              <w:rPr>
                <w:sz w:val="17"/>
                <w:szCs w:val="17"/>
                <w:color w:val="auto"/>
              </w:rPr>
            </w:pPr>
          </w:p>
        </w:tc>
        <w:tc>
          <w:tcPr>
            <w:tcW w:w="1160" w:type="dxa"/>
            <w:vAlign w:val="bottom"/>
            <w:tcBorders>
              <w:right w:val="single" w:sz="8" w:color="BFBFBF"/>
            </w:tcBorders>
            <w:gridSpan w:val="3"/>
            <w:shd w:val="clear" w:color="auto" w:fill="0088A6"/>
          </w:tcPr>
          <w:p>
            <w:pPr>
              <w:jc w:val="center"/>
              <w:ind w:right="300"/>
              <w:spacing w:after="0" w:line="202" w:lineRule="exact"/>
              <w:rPr>
                <w:sz w:val="20"/>
                <w:szCs w:val="20"/>
                <w:color w:val="auto"/>
              </w:rPr>
            </w:pPr>
            <w:r>
              <w:rPr>
                <w:rFonts w:ascii="Arial" w:cs="Arial" w:eastAsia="Arial" w:hAnsi="Arial"/>
                <w:sz w:val="18"/>
                <w:szCs w:val="18"/>
                <w:b w:val="1"/>
                <w:bCs w:val="1"/>
                <w:color w:val="FFFFFF"/>
                <w:w w:val="96"/>
              </w:rPr>
              <w:t>Earnings</w:t>
            </w:r>
          </w:p>
        </w:tc>
        <w:tc>
          <w:tcPr>
            <w:tcW w:w="200" w:type="dxa"/>
            <w:vAlign w:val="bottom"/>
            <w:shd w:val="clear" w:color="auto" w:fill="0088A6"/>
          </w:tcPr>
          <w:p>
            <w:pPr>
              <w:spacing w:after="0"/>
              <w:rPr>
                <w:sz w:val="17"/>
                <w:szCs w:val="17"/>
                <w:color w:val="auto"/>
              </w:rPr>
            </w:pPr>
          </w:p>
        </w:tc>
        <w:tc>
          <w:tcPr>
            <w:tcW w:w="1400" w:type="dxa"/>
            <w:vAlign w:val="bottom"/>
            <w:tcBorders>
              <w:right w:val="single" w:sz="8" w:color="BFBFBF"/>
            </w:tcBorders>
            <w:gridSpan w:val="2"/>
            <w:shd w:val="clear" w:color="auto" w:fill="0088A6"/>
          </w:tcPr>
          <w:p>
            <w:pPr>
              <w:jc w:val="center"/>
              <w:ind w:right="280"/>
              <w:spacing w:after="0" w:line="202" w:lineRule="exact"/>
              <w:rPr>
                <w:sz w:val="20"/>
                <w:szCs w:val="20"/>
                <w:color w:val="auto"/>
              </w:rPr>
            </w:pPr>
            <w:r>
              <w:rPr>
                <w:rFonts w:ascii="Arial" w:cs="Arial" w:eastAsia="Arial" w:hAnsi="Arial"/>
                <w:sz w:val="18"/>
                <w:szCs w:val="18"/>
                <w:b w:val="1"/>
                <w:bCs w:val="1"/>
                <w:color w:val="FFFFFF"/>
                <w:w w:val="97"/>
              </w:rPr>
              <w:t>Withdrawals/</w:t>
            </w:r>
          </w:p>
        </w:tc>
        <w:tc>
          <w:tcPr>
            <w:tcW w:w="200" w:type="dxa"/>
            <w:vAlign w:val="bottom"/>
            <w:shd w:val="clear" w:color="auto" w:fill="0088A6"/>
          </w:tcPr>
          <w:p>
            <w:pPr>
              <w:spacing w:after="0"/>
              <w:rPr>
                <w:sz w:val="17"/>
                <w:szCs w:val="17"/>
                <w:color w:val="auto"/>
              </w:rPr>
            </w:pPr>
          </w:p>
        </w:tc>
        <w:tc>
          <w:tcPr>
            <w:tcW w:w="1940" w:type="dxa"/>
            <w:vAlign w:val="bottom"/>
            <w:tcBorders>
              <w:right w:val="single" w:sz="8" w:color="BFBFBF"/>
            </w:tcBorders>
            <w:gridSpan w:val="3"/>
            <w:shd w:val="clear" w:color="auto" w:fill="0088A6"/>
          </w:tcPr>
          <w:p>
            <w:pPr>
              <w:spacing w:after="0" w:line="202" w:lineRule="exact"/>
              <w:rPr>
                <w:sz w:val="20"/>
                <w:szCs w:val="20"/>
                <w:color w:val="auto"/>
              </w:rPr>
            </w:pPr>
            <w:r>
              <w:rPr>
                <w:rFonts w:ascii="Arial" w:cs="Arial" w:eastAsia="Arial" w:hAnsi="Arial"/>
                <w:sz w:val="18"/>
                <w:szCs w:val="18"/>
                <w:b w:val="1"/>
                <w:bCs w:val="1"/>
                <w:color w:val="FFFFFF"/>
              </w:rPr>
              <w:t>Aggregate Balance</w:t>
            </w:r>
          </w:p>
        </w:tc>
        <w:tc>
          <w:tcPr>
            <w:tcW w:w="0" w:type="dxa"/>
            <w:vAlign w:val="bottom"/>
          </w:tcPr>
          <w:p>
            <w:pPr>
              <w:spacing w:after="0"/>
              <w:rPr>
                <w:sz w:val="1"/>
                <w:szCs w:val="1"/>
                <w:color w:val="auto"/>
              </w:rPr>
            </w:pPr>
          </w:p>
        </w:tc>
      </w:tr>
      <w:tr>
        <w:trPr>
          <w:trHeight w:val="203"/>
        </w:trPr>
        <w:tc>
          <w:tcPr>
            <w:tcW w:w="2820" w:type="dxa"/>
            <w:vAlign w:val="bottom"/>
            <w:tcBorders>
              <w:left w:val="single" w:sz="8" w:color="BFBFBF"/>
              <w:right w:val="single" w:sz="8" w:color="BFBFBF"/>
            </w:tcBorders>
            <w:vMerge w:val="restart"/>
            <w:shd w:val="clear" w:color="auto" w:fill="0088A6"/>
          </w:tcPr>
          <w:p>
            <w:pPr>
              <w:ind w:left="120"/>
              <w:spacing w:after="0"/>
              <w:rPr>
                <w:sz w:val="20"/>
                <w:szCs w:val="20"/>
                <w:color w:val="auto"/>
              </w:rPr>
            </w:pPr>
            <w:r>
              <w:rPr>
                <w:rFonts w:ascii="Arial" w:cs="Arial" w:eastAsia="Arial" w:hAnsi="Arial"/>
                <w:sz w:val="18"/>
                <w:szCs w:val="18"/>
                <w:b w:val="1"/>
                <w:bCs w:val="1"/>
                <w:color w:val="FFFFFF"/>
              </w:rPr>
              <w:t>Name</w:t>
            </w:r>
          </w:p>
        </w:tc>
        <w:tc>
          <w:tcPr>
            <w:tcW w:w="200" w:type="dxa"/>
            <w:vAlign w:val="bottom"/>
            <w:shd w:val="clear" w:color="auto" w:fill="0088A6"/>
          </w:tcPr>
          <w:p>
            <w:pPr>
              <w:spacing w:after="0"/>
              <w:rPr>
                <w:sz w:val="17"/>
                <w:szCs w:val="17"/>
                <w:color w:val="auto"/>
              </w:rPr>
            </w:pPr>
          </w:p>
        </w:tc>
        <w:tc>
          <w:tcPr>
            <w:tcW w:w="1640" w:type="dxa"/>
            <w:vAlign w:val="bottom"/>
            <w:tcBorders>
              <w:right w:val="single" w:sz="8" w:color="BFBFBF"/>
            </w:tcBorders>
            <w:gridSpan w:val="2"/>
            <w:shd w:val="clear" w:color="auto" w:fill="0088A6"/>
          </w:tcPr>
          <w:p>
            <w:pPr>
              <w:jc w:val="center"/>
              <w:ind w:right="280"/>
              <w:spacing w:after="0" w:line="202" w:lineRule="exact"/>
              <w:rPr>
                <w:sz w:val="20"/>
                <w:szCs w:val="20"/>
                <w:color w:val="auto"/>
              </w:rPr>
            </w:pPr>
            <w:r>
              <w:rPr>
                <w:rFonts w:ascii="Arial" w:cs="Arial" w:eastAsia="Arial" w:hAnsi="Arial"/>
                <w:sz w:val="18"/>
                <w:szCs w:val="18"/>
                <w:b w:val="1"/>
                <w:bCs w:val="1"/>
                <w:color w:val="FFFFFF"/>
                <w:w w:val="94"/>
              </w:rPr>
              <w:t>last FY</w:t>
            </w:r>
          </w:p>
        </w:tc>
        <w:tc>
          <w:tcPr>
            <w:tcW w:w="200" w:type="dxa"/>
            <w:vAlign w:val="bottom"/>
            <w:shd w:val="clear" w:color="auto" w:fill="0088A6"/>
          </w:tcPr>
          <w:p>
            <w:pPr>
              <w:spacing w:after="0"/>
              <w:rPr>
                <w:sz w:val="17"/>
                <w:szCs w:val="17"/>
                <w:color w:val="auto"/>
              </w:rPr>
            </w:pPr>
          </w:p>
        </w:tc>
        <w:tc>
          <w:tcPr>
            <w:tcW w:w="1460" w:type="dxa"/>
            <w:vAlign w:val="bottom"/>
            <w:tcBorders>
              <w:right w:val="single" w:sz="8" w:color="BFBFBF"/>
            </w:tcBorders>
            <w:gridSpan w:val="3"/>
            <w:shd w:val="clear" w:color="auto" w:fill="0088A6"/>
          </w:tcPr>
          <w:p>
            <w:pPr>
              <w:ind w:left="200"/>
              <w:spacing w:after="0" w:line="202" w:lineRule="exact"/>
              <w:rPr>
                <w:sz w:val="20"/>
                <w:szCs w:val="20"/>
                <w:color w:val="auto"/>
              </w:rPr>
            </w:pPr>
            <w:r>
              <w:rPr>
                <w:rFonts w:ascii="Arial" w:cs="Arial" w:eastAsia="Arial" w:hAnsi="Arial"/>
                <w:sz w:val="18"/>
                <w:szCs w:val="18"/>
                <w:b w:val="1"/>
                <w:bCs w:val="1"/>
                <w:color w:val="FFFFFF"/>
              </w:rPr>
              <w:t>in last FY</w:t>
            </w:r>
          </w:p>
        </w:tc>
        <w:tc>
          <w:tcPr>
            <w:tcW w:w="220" w:type="dxa"/>
            <w:vAlign w:val="bottom"/>
            <w:shd w:val="clear" w:color="auto" w:fill="0088A6"/>
          </w:tcPr>
          <w:p>
            <w:pPr>
              <w:spacing w:after="0"/>
              <w:rPr>
                <w:sz w:val="17"/>
                <w:szCs w:val="17"/>
                <w:color w:val="auto"/>
              </w:rPr>
            </w:pPr>
          </w:p>
        </w:tc>
        <w:tc>
          <w:tcPr>
            <w:tcW w:w="1160" w:type="dxa"/>
            <w:vAlign w:val="bottom"/>
            <w:tcBorders>
              <w:right w:val="single" w:sz="8" w:color="BFBFBF"/>
            </w:tcBorders>
            <w:gridSpan w:val="3"/>
            <w:shd w:val="clear" w:color="auto" w:fill="0088A6"/>
          </w:tcPr>
          <w:p>
            <w:pPr>
              <w:jc w:val="center"/>
              <w:ind w:right="300"/>
              <w:spacing w:after="0" w:line="202" w:lineRule="exact"/>
              <w:rPr>
                <w:sz w:val="20"/>
                <w:szCs w:val="20"/>
                <w:color w:val="auto"/>
              </w:rPr>
            </w:pPr>
            <w:r>
              <w:rPr>
                <w:rFonts w:ascii="Arial" w:cs="Arial" w:eastAsia="Arial" w:hAnsi="Arial"/>
                <w:sz w:val="18"/>
                <w:szCs w:val="18"/>
                <w:b w:val="1"/>
                <w:bCs w:val="1"/>
                <w:color w:val="FFFFFF"/>
                <w:w w:val="97"/>
              </w:rPr>
              <w:t>in last FY</w:t>
            </w:r>
          </w:p>
        </w:tc>
        <w:tc>
          <w:tcPr>
            <w:tcW w:w="200" w:type="dxa"/>
            <w:vAlign w:val="bottom"/>
            <w:shd w:val="clear" w:color="auto" w:fill="0088A6"/>
          </w:tcPr>
          <w:p>
            <w:pPr>
              <w:spacing w:after="0"/>
              <w:rPr>
                <w:sz w:val="17"/>
                <w:szCs w:val="17"/>
                <w:color w:val="auto"/>
              </w:rPr>
            </w:pPr>
          </w:p>
        </w:tc>
        <w:tc>
          <w:tcPr>
            <w:tcW w:w="1400" w:type="dxa"/>
            <w:vAlign w:val="bottom"/>
            <w:tcBorders>
              <w:right w:val="single" w:sz="8" w:color="BFBFBF"/>
            </w:tcBorders>
            <w:gridSpan w:val="2"/>
            <w:shd w:val="clear" w:color="auto" w:fill="0088A6"/>
          </w:tcPr>
          <w:p>
            <w:pPr>
              <w:jc w:val="center"/>
              <w:ind w:right="280"/>
              <w:spacing w:after="0" w:line="202" w:lineRule="exact"/>
              <w:rPr>
                <w:sz w:val="20"/>
                <w:szCs w:val="20"/>
                <w:color w:val="auto"/>
              </w:rPr>
            </w:pPr>
            <w:r>
              <w:rPr>
                <w:rFonts w:ascii="Arial" w:cs="Arial" w:eastAsia="Arial" w:hAnsi="Arial"/>
                <w:sz w:val="18"/>
                <w:szCs w:val="18"/>
                <w:b w:val="1"/>
                <w:bCs w:val="1"/>
                <w:color w:val="FFFFFF"/>
                <w:w w:val="97"/>
              </w:rPr>
              <w:t>Distributions</w:t>
            </w:r>
          </w:p>
        </w:tc>
        <w:tc>
          <w:tcPr>
            <w:tcW w:w="200" w:type="dxa"/>
            <w:vAlign w:val="bottom"/>
            <w:shd w:val="clear" w:color="auto" w:fill="0088A6"/>
          </w:tcPr>
          <w:p>
            <w:pPr>
              <w:spacing w:after="0"/>
              <w:rPr>
                <w:sz w:val="17"/>
                <w:szCs w:val="17"/>
                <w:color w:val="auto"/>
              </w:rPr>
            </w:pPr>
          </w:p>
        </w:tc>
        <w:tc>
          <w:tcPr>
            <w:tcW w:w="1940" w:type="dxa"/>
            <w:vAlign w:val="bottom"/>
            <w:tcBorders>
              <w:right w:val="single" w:sz="8" w:color="BFBFBF"/>
            </w:tcBorders>
            <w:gridSpan w:val="3"/>
            <w:shd w:val="clear" w:color="auto" w:fill="0088A6"/>
          </w:tcPr>
          <w:p>
            <w:pPr>
              <w:ind w:left="360"/>
              <w:spacing w:after="0" w:line="202" w:lineRule="exact"/>
              <w:rPr>
                <w:sz w:val="20"/>
                <w:szCs w:val="20"/>
                <w:color w:val="auto"/>
              </w:rPr>
            </w:pPr>
            <w:r>
              <w:rPr>
                <w:rFonts w:ascii="Arial" w:cs="Arial" w:eastAsia="Arial" w:hAnsi="Arial"/>
                <w:sz w:val="18"/>
                <w:szCs w:val="18"/>
                <w:b w:val="1"/>
                <w:bCs w:val="1"/>
                <w:color w:val="FFFFFF"/>
              </w:rPr>
              <w:t>at last FYE</w:t>
            </w:r>
          </w:p>
        </w:tc>
        <w:tc>
          <w:tcPr>
            <w:tcW w:w="0" w:type="dxa"/>
            <w:vAlign w:val="bottom"/>
          </w:tcPr>
          <w:p>
            <w:pPr>
              <w:spacing w:after="0"/>
              <w:rPr>
                <w:sz w:val="1"/>
                <w:szCs w:val="1"/>
                <w:color w:val="auto"/>
              </w:rPr>
            </w:pPr>
          </w:p>
        </w:tc>
      </w:tr>
      <w:tr>
        <w:trPr>
          <w:trHeight w:val="261"/>
        </w:trPr>
        <w:tc>
          <w:tcPr>
            <w:tcW w:w="2820" w:type="dxa"/>
            <w:vAlign w:val="bottom"/>
            <w:tcBorders>
              <w:left w:val="single" w:sz="8" w:color="BFBFBF"/>
              <w:bottom w:val="single" w:sz="8" w:color="auto"/>
              <w:right w:val="single" w:sz="8" w:color="BFBFBF"/>
            </w:tcBorders>
            <w:vMerge w:val="continue"/>
            <w:shd w:val="clear" w:color="auto" w:fill="0088A6"/>
          </w:tcPr>
          <w:p>
            <w:pPr>
              <w:spacing w:after="0"/>
              <w:rPr>
                <w:sz w:val="22"/>
                <w:szCs w:val="22"/>
                <w:color w:val="auto"/>
              </w:rPr>
            </w:pPr>
          </w:p>
        </w:tc>
        <w:tc>
          <w:tcPr>
            <w:tcW w:w="200" w:type="dxa"/>
            <w:vAlign w:val="bottom"/>
            <w:tcBorders>
              <w:bottom w:val="single" w:sz="8" w:color="0088A6"/>
            </w:tcBorders>
            <w:shd w:val="clear" w:color="auto" w:fill="0088A6"/>
          </w:tcPr>
          <w:p>
            <w:pPr>
              <w:spacing w:after="0"/>
              <w:rPr>
                <w:sz w:val="22"/>
                <w:szCs w:val="22"/>
                <w:color w:val="auto"/>
              </w:rPr>
            </w:pPr>
          </w:p>
        </w:tc>
        <w:tc>
          <w:tcPr>
            <w:tcW w:w="136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0"/>
              </w:rPr>
              <w:t>($)</w:t>
            </w:r>
          </w:p>
        </w:tc>
        <w:tc>
          <w:tcPr>
            <w:tcW w:w="280" w:type="dxa"/>
            <w:vAlign w:val="bottom"/>
            <w:tcBorders>
              <w:bottom w:val="single" w:sz="8" w:color="0088A6"/>
              <w:right w:val="single" w:sz="8" w:color="BFBFBF"/>
            </w:tcBorders>
            <w:shd w:val="clear" w:color="auto" w:fill="0088A6"/>
          </w:tcPr>
          <w:p>
            <w:pPr>
              <w:spacing w:after="0"/>
              <w:rPr>
                <w:sz w:val="22"/>
                <w:szCs w:val="22"/>
                <w:color w:val="auto"/>
              </w:rPr>
            </w:pPr>
          </w:p>
        </w:tc>
        <w:tc>
          <w:tcPr>
            <w:tcW w:w="200" w:type="dxa"/>
            <w:vAlign w:val="bottom"/>
            <w:tcBorders>
              <w:bottom w:val="single" w:sz="8" w:color="0088A6"/>
            </w:tcBorders>
            <w:shd w:val="clear" w:color="auto" w:fill="0088A6"/>
          </w:tcPr>
          <w:p>
            <w:pPr>
              <w:spacing w:after="0"/>
              <w:rPr>
                <w:sz w:val="22"/>
                <w:szCs w:val="22"/>
                <w:color w:val="auto"/>
              </w:rPr>
            </w:pPr>
          </w:p>
        </w:tc>
        <w:tc>
          <w:tcPr>
            <w:tcW w:w="540" w:type="dxa"/>
            <w:vAlign w:val="bottom"/>
            <w:tcBorders>
              <w:bottom w:val="single" w:sz="8" w:color="auto"/>
            </w:tcBorders>
            <w:shd w:val="clear" w:color="auto" w:fill="0088A6"/>
          </w:tcPr>
          <w:p>
            <w:pPr>
              <w:ind w:left="380"/>
              <w:spacing w:after="0"/>
              <w:rPr>
                <w:sz w:val="20"/>
                <w:szCs w:val="20"/>
                <w:color w:val="auto"/>
              </w:rPr>
            </w:pPr>
            <w:r>
              <w:rPr>
                <w:rFonts w:ascii="Arial" w:cs="Arial" w:eastAsia="Arial" w:hAnsi="Arial"/>
                <w:sz w:val="18"/>
                <w:szCs w:val="18"/>
                <w:b w:val="1"/>
                <w:bCs w:val="1"/>
                <w:color w:val="FFFFFF"/>
                <w:w w:val="87"/>
              </w:rPr>
              <w:t>($</w:t>
            </w:r>
          </w:p>
        </w:tc>
        <w:tc>
          <w:tcPr>
            <w:tcW w:w="640" w:type="dxa"/>
            <w:vAlign w:val="bottom"/>
            <w:tcBorders>
              <w:bottom w:val="single" w:sz="8" w:color="auto"/>
            </w:tcBorders>
            <w:shd w:val="clear" w:color="auto" w:fill="0088A6"/>
          </w:tcPr>
          <w:p>
            <w:pPr>
              <w:jc w:val="right"/>
              <w:ind w:right="292"/>
              <w:spacing w:after="0"/>
              <w:rPr>
                <w:sz w:val="20"/>
                <w:szCs w:val="20"/>
                <w:color w:val="auto"/>
              </w:rPr>
            </w:pPr>
            <w:r>
              <w:rPr>
                <w:rFonts w:ascii="Arial" w:cs="Arial" w:eastAsia="Arial" w:hAnsi="Arial"/>
                <w:sz w:val="18"/>
                <w:szCs w:val="18"/>
                <w:b w:val="1"/>
                <w:bCs w:val="1"/>
                <w:color w:val="FFFFFF"/>
                <w:w w:val="85"/>
              </w:rPr>
              <w:t>)(1)</w:t>
            </w:r>
          </w:p>
        </w:tc>
        <w:tc>
          <w:tcPr>
            <w:tcW w:w="280" w:type="dxa"/>
            <w:vAlign w:val="bottom"/>
            <w:tcBorders>
              <w:bottom w:val="single" w:sz="8" w:color="0088A6"/>
              <w:right w:val="single" w:sz="8" w:color="BFBFBF"/>
            </w:tcBorders>
            <w:shd w:val="clear" w:color="auto" w:fill="0088A6"/>
          </w:tcPr>
          <w:p>
            <w:pPr>
              <w:spacing w:after="0"/>
              <w:rPr>
                <w:sz w:val="22"/>
                <w:szCs w:val="22"/>
                <w:color w:val="auto"/>
              </w:rPr>
            </w:pPr>
          </w:p>
        </w:tc>
        <w:tc>
          <w:tcPr>
            <w:tcW w:w="220" w:type="dxa"/>
            <w:vAlign w:val="bottom"/>
            <w:tcBorders>
              <w:bottom w:val="single" w:sz="8" w:color="0088A6"/>
            </w:tcBorders>
            <w:shd w:val="clear" w:color="auto" w:fill="0088A6"/>
          </w:tcPr>
          <w:p>
            <w:pPr>
              <w:spacing w:after="0"/>
              <w:rPr>
                <w:sz w:val="22"/>
                <w:szCs w:val="22"/>
                <w:color w:val="auto"/>
              </w:rPr>
            </w:pPr>
          </w:p>
        </w:tc>
        <w:tc>
          <w:tcPr>
            <w:tcW w:w="160" w:type="dxa"/>
            <w:vAlign w:val="bottom"/>
            <w:tcBorders>
              <w:bottom w:val="single" w:sz="8" w:color="auto"/>
            </w:tcBorders>
            <w:shd w:val="clear" w:color="auto" w:fill="0088A6"/>
          </w:tcPr>
          <w:p>
            <w:pPr>
              <w:spacing w:after="0"/>
              <w:rPr>
                <w:sz w:val="22"/>
                <w:szCs w:val="22"/>
                <w:color w:val="auto"/>
              </w:rPr>
            </w:pPr>
          </w:p>
        </w:tc>
        <w:tc>
          <w:tcPr>
            <w:tcW w:w="700" w:type="dxa"/>
            <w:vAlign w:val="bottom"/>
            <w:tcBorders>
              <w:bottom w:val="single" w:sz="8" w:color="auto"/>
            </w:tcBorders>
            <w:shd w:val="clear" w:color="auto" w:fill="0088A6"/>
          </w:tcPr>
          <w:p>
            <w:pPr>
              <w:jc w:val="center"/>
              <w:ind w:right="72"/>
              <w:spacing w:after="0"/>
              <w:rPr>
                <w:sz w:val="20"/>
                <w:szCs w:val="20"/>
                <w:color w:val="auto"/>
              </w:rPr>
            </w:pPr>
            <w:r>
              <w:rPr>
                <w:rFonts w:ascii="Arial" w:cs="Arial" w:eastAsia="Arial" w:hAnsi="Arial"/>
                <w:sz w:val="18"/>
                <w:szCs w:val="18"/>
                <w:b w:val="1"/>
                <w:bCs w:val="1"/>
                <w:color w:val="FFFFFF"/>
                <w:w w:val="95"/>
              </w:rPr>
              <w:t>($)(2)</w:t>
            </w:r>
          </w:p>
        </w:tc>
        <w:tc>
          <w:tcPr>
            <w:tcW w:w="300" w:type="dxa"/>
            <w:vAlign w:val="bottom"/>
            <w:tcBorders>
              <w:bottom w:val="single" w:sz="8" w:color="0088A6"/>
              <w:right w:val="single" w:sz="8" w:color="BFBFBF"/>
            </w:tcBorders>
            <w:shd w:val="clear" w:color="auto" w:fill="0088A6"/>
          </w:tcPr>
          <w:p>
            <w:pPr>
              <w:spacing w:after="0"/>
              <w:rPr>
                <w:sz w:val="22"/>
                <w:szCs w:val="22"/>
                <w:color w:val="auto"/>
              </w:rPr>
            </w:pPr>
          </w:p>
        </w:tc>
        <w:tc>
          <w:tcPr>
            <w:tcW w:w="200" w:type="dxa"/>
            <w:vAlign w:val="bottom"/>
            <w:tcBorders>
              <w:bottom w:val="single" w:sz="8" w:color="0088A6"/>
            </w:tcBorders>
            <w:shd w:val="clear" w:color="auto" w:fill="0088A6"/>
          </w:tcPr>
          <w:p>
            <w:pPr>
              <w:spacing w:after="0"/>
              <w:rPr>
                <w:sz w:val="22"/>
                <w:szCs w:val="22"/>
                <w:color w:val="auto"/>
              </w:rPr>
            </w:pPr>
          </w:p>
        </w:tc>
        <w:tc>
          <w:tcPr>
            <w:tcW w:w="110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8"/>
                <w:szCs w:val="18"/>
                <w:b w:val="1"/>
                <w:bCs w:val="1"/>
                <w:color w:val="FFFFFF"/>
                <w:w w:val="99"/>
              </w:rPr>
              <w:t>($)</w:t>
            </w:r>
          </w:p>
        </w:tc>
        <w:tc>
          <w:tcPr>
            <w:tcW w:w="300" w:type="dxa"/>
            <w:vAlign w:val="bottom"/>
            <w:tcBorders>
              <w:bottom w:val="single" w:sz="8" w:color="0088A6"/>
              <w:right w:val="single" w:sz="8" w:color="BFBFBF"/>
            </w:tcBorders>
            <w:shd w:val="clear" w:color="auto" w:fill="0088A6"/>
          </w:tcPr>
          <w:p>
            <w:pPr>
              <w:spacing w:after="0"/>
              <w:rPr>
                <w:sz w:val="22"/>
                <w:szCs w:val="22"/>
                <w:color w:val="auto"/>
              </w:rPr>
            </w:pPr>
          </w:p>
        </w:tc>
        <w:tc>
          <w:tcPr>
            <w:tcW w:w="200" w:type="dxa"/>
            <w:vAlign w:val="bottom"/>
            <w:tcBorders>
              <w:bottom w:val="single" w:sz="8" w:color="0088A6"/>
            </w:tcBorders>
            <w:shd w:val="clear" w:color="auto" w:fill="0088A6"/>
          </w:tcPr>
          <w:p>
            <w:pPr>
              <w:spacing w:after="0"/>
              <w:rPr>
                <w:sz w:val="22"/>
                <w:szCs w:val="22"/>
                <w:color w:val="auto"/>
              </w:rPr>
            </w:pPr>
          </w:p>
        </w:tc>
        <w:tc>
          <w:tcPr>
            <w:tcW w:w="740" w:type="dxa"/>
            <w:vAlign w:val="bottom"/>
            <w:tcBorders>
              <w:bottom w:val="single" w:sz="8" w:color="auto"/>
            </w:tcBorders>
            <w:shd w:val="clear" w:color="auto" w:fill="0088A6"/>
          </w:tcPr>
          <w:p>
            <w:pPr>
              <w:jc w:val="right"/>
              <w:spacing w:after="0"/>
              <w:rPr>
                <w:sz w:val="20"/>
                <w:szCs w:val="20"/>
                <w:color w:val="auto"/>
              </w:rPr>
            </w:pPr>
            <w:r>
              <w:rPr>
                <w:rFonts w:ascii="Arial" w:cs="Arial" w:eastAsia="Arial" w:hAnsi="Arial"/>
                <w:sz w:val="18"/>
                <w:szCs w:val="18"/>
                <w:b w:val="1"/>
                <w:bCs w:val="1"/>
                <w:color w:val="FFFFFF"/>
              </w:rPr>
              <w:t>($</w:t>
            </w:r>
          </w:p>
        </w:tc>
        <w:tc>
          <w:tcPr>
            <w:tcW w:w="860" w:type="dxa"/>
            <w:vAlign w:val="bottom"/>
            <w:tcBorders>
              <w:bottom w:val="single" w:sz="8" w:color="auto"/>
            </w:tcBorders>
            <w:shd w:val="clear" w:color="auto" w:fill="0088A6"/>
          </w:tcPr>
          <w:p>
            <w:pPr>
              <w:jc w:val="right"/>
              <w:ind w:right="492"/>
              <w:spacing w:after="0"/>
              <w:rPr>
                <w:sz w:val="20"/>
                <w:szCs w:val="20"/>
                <w:color w:val="auto"/>
              </w:rPr>
            </w:pPr>
            <w:r>
              <w:rPr>
                <w:rFonts w:ascii="Arial" w:cs="Arial" w:eastAsia="Arial" w:hAnsi="Arial"/>
                <w:sz w:val="18"/>
                <w:szCs w:val="18"/>
                <w:b w:val="1"/>
                <w:bCs w:val="1"/>
                <w:color w:val="FFFFFF"/>
                <w:w w:val="92"/>
              </w:rPr>
              <w:t>)(3)</w:t>
            </w:r>
          </w:p>
        </w:tc>
        <w:tc>
          <w:tcPr>
            <w:tcW w:w="340" w:type="dxa"/>
            <w:vAlign w:val="bottom"/>
            <w:tcBorders>
              <w:bottom w:val="single" w:sz="8" w:color="0088A6"/>
              <w:right w:val="single" w:sz="8" w:color="BFBFBF"/>
            </w:tcBorders>
            <w:shd w:val="clear" w:color="auto" w:fill="0088A6"/>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820" w:type="dxa"/>
            <w:vAlign w:val="bottom"/>
            <w:tcBorders>
              <w:left w:val="single" w:sz="8" w:color="BFBFBF"/>
              <w:bottom w:val="single" w:sz="8" w:color="BFBFBF"/>
              <w:right w:val="single" w:sz="8" w:color="BFBFBF"/>
            </w:tcBorders>
          </w:tcPr>
          <w:p>
            <w:pPr>
              <w:ind w:left="120"/>
              <w:spacing w:after="0" w:line="183" w:lineRule="exact"/>
              <w:rPr>
                <w:sz w:val="20"/>
                <w:szCs w:val="20"/>
                <w:color w:val="auto"/>
              </w:rPr>
            </w:pPr>
            <w:r>
              <w:rPr>
                <w:rFonts w:ascii="Arial" w:cs="Arial" w:eastAsia="Arial" w:hAnsi="Arial"/>
                <w:sz w:val="18"/>
                <w:szCs w:val="18"/>
                <w:color w:val="auto"/>
              </w:rPr>
              <w:t>Robert Greifeld</w:t>
            </w:r>
          </w:p>
        </w:tc>
        <w:tc>
          <w:tcPr>
            <w:tcW w:w="200" w:type="dxa"/>
            <w:vAlign w:val="bottom"/>
            <w:tcBorders>
              <w:bottom w:val="single" w:sz="8" w:color="BFBFBF"/>
            </w:tcBorders>
          </w:tcPr>
          <w:p>
            <w:pPr>
              <w:spacing w:after="0"/>
              <w:rPr>
                <w:sz w:val="15"/>
                <w:szCs w:val="15"/>
                <w:color w:val="auto"/>
              </w:rPr>
            </w:pPr>
          </w:p>
        </w:tc>
        <w:tc>
          <w:tcPr>
            <w:tcW w:w="1640" w:type="dxa"/>
            <w:vAlign w:val="bottom"/>
            <w:tcBorders>
              <w:bottom w:val="single" w:sz="8" w:color="BFBFBF"/>
              <w:right w:val="single" w:sz="8" w:color="BFBFBF"/>
            </w:tcBorders>
            <w:gridSpan w:val="2"/>
          </w:tcPr>
          <w:p>
            <w:pPr>
              <w:ind w:left="1000"/>
              <w:spacing w:after="0" w:line="18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ind w:left="20"/>
              <w:spacing w:after="0" w:line="183"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BFBFBF"/>
              <w:right w:val="single" w:sz="8" w:color="BFBFBF"/>
            </w:tcBorders>
            <w:gridSpan w:val="2"/>
          </w:tcPr>
          <w:p>
            <w:pPr>
              <w:jc w:val="right"/>
              <w:ind w:right="280"/>
              <w:spacing w:after="0" w:line="183" w:lineRule="exact"/>
              <w:rPr>
                <w:sz w:val="20"/>
                <w:szCs w:val="20"/>
                <w:color w:val="auto"/>
              </w:rPr>
            </w:pPr>
            <w:r>
              <w:rPr>
                <w:rFonts w:ascii="Arial" w:cs="Arial" w:eastAsia="Arial" w:hAnsi="Arial"/>
                <w:sz w:val="18"/>
                <w:szCs w:val="18"/>
                <w:color w:val="auto"/>
              </w:rPr>
              <w:t>30,000</w:t>
            </w:r>
          </w:p>
        </w:tc>
        <w:tc>
          <w:tcPr>
            <w:tcW w:w="380" w:type="dxa"/>
            <w:vAlign w:val="bottom"/>
            <w:tcBorders>
              <w:bottom w:val="single" w:sz="8" w:color="BFBFBF"/>
            </w:tcBorders>
            <w:gridSpan w:val="2"/>
          </w:tcPr>
          <w:p>
            <w:pPr>
              <w:ind w:left="220"/>
              <w:spacing w:after="0" w:line="18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tcPr>
          <w:p>
            <w:pPr>
              <w:jc w:val="right"/>
              <w:spacing w:after="0" w:line="183" w:lineRule="exact"/>
              <w:rPr>
                <w:sz w:val="20"/>
                <w:szCs w:val="20"/>
                <w:color w:val="auto"/>
              </w:rPr>
            </w:pPr>
            <w:r>
              <w:rPr>
                <w:rFonts w:ascii="Arial" w:cs="Arial" w:eastAsia="Arial" w:hAnsi="Arial"/>
                <w:sz w:val="18"/>
                <w:szCs w:val="18"/>
                <w:color w:val="auto"/>
              </w:rPr>
              <w:t>8,868</w:t>
            </w:r>
          </w:p>
        </w:tc>
        <w:tc>
          <w:tcPr>
            <w:tcW w:w="300" w:type="dxa"/>
            <w:vAlign w:val="bottom"/>
            <w:tcBorders>
              <w:bottom w:val="single" w:sz="8" w:color="BFBFBF"/>
              <w:right w:val="single" w:sz="8" w:color="BFBFBF"/>
            </w:tcBorders>
          </w:tcPr>
          <w:p>
            <w:pPr>
              <w:spacing w:after="0"/>
              <w:rPr>
                <w:sz w:val="15"/>
                <w:szCs w:val="15"/>
                <w:color w:val="auto"/>
              </w:rPr>
            </w:pPr>
          </w:p>
        </w:tc>
        <w:tc>
          <w:tcPr>
            <w:tcW w:w="200" w:type="dxa"/>
            <w:vAlign w:val="bottom"/>
            <w:tcBorders>
              <w:bottom w:val="single" w:sz="8" w:color="BFBFBF"/>
            </w:tcBorders>
          </w:tcPr>
          <w:p>
            <w:pPr>
              <w:spacing w:after="0"/>
              <w:rPr>
                <w:sz w:val="15"/>
                <w:szCs w:val="15"/>
                <w:color w:val="auto"/>
              </w:rPr>
            </w:pPr>
          </w:p>
        </w:tc>
        <w:tc>
          <w:tcPr>
            <w:tcW w:w="1400" w:type="dxa"/>
            <w:vAlign w:val="bottom"/>
            <w:tcBorders>
              <w:bottom w:val="single" w:sz="8" w:color="BFBFBF"/>
              <w:right w:val="single" w:sz="8" w:color="BFBFBF"/>
            </w:tcBorders>
            <w:gridSpan w:val="2"/>
          </w:tcPr>
          <w:p>
            <w:pPr>
              <w:ind w:left="740"/>
              <w:spacing w:after="0" w:line="18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BFBFBF"/>
            </w:tcBorders>
            <w:gridSpan w:val="2"/>
          </w:tcPr>
          <w:p>
            <w:pPr>
              <w:ind w:left="200"/>
              <w:spacing w:after="0" w:line="18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BFBFBF"/>
            </w:tcBorders>
          </w:tcPr>
          <w:p>
            <w:pPr>
              <w:jc w:val="right"/>
              <w:spacing w:after="0" w:line="183" w:lineRule="exact"/>
              <w:rPr>
                <w:sz w:val="20"/>
                <w:szCs w:val="20"/>
                <w:color w:val="auto"/>
              </w:rPr>
            </w:pPr>
            <w:r>
              <w:rPr>
                <w:rFonts w:ascii="Arial" w:cs="Arial" w:eastAsia="Arial" w:hAnsi="Arial"/>
                <w:sz w:val="18"/>
                <w:szCs w:val="18"/>
                <w:color w:val="auto"/>
              </w:rPr>
              <w:t>160,337</w:t>
            </w:r>
          </w:p>
        </w:tc>
        <w:tc>
          <w:tcPr>
            <w:tcW w:w="340" w:type="dxa"/>
            <w:vAlign w:val="bottom"/>
            <w:tcBorders>
              <w:bottom w:val="single" w:sz="8" w:color="BFBFBF"/>
              <w:right w:val="single" w:sz="8" w:color="BFBFB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20" w:type="dxa"/>
            <w:vAlign w:val="bottom"/>
            <w:tcBorders>
              <w:left w:val="single" w:sz="8" w:color="BFBFBF"/>
              <w:bottom w:val="single" w:sz="8" w:color="BFBFBF"/>
              <w:right w:val="single" w:sz="8" w:color="BFBFBF"/>
            </w:tcBorders>
          </w:tcPr>
          <w:p>
            <w:pPr>
              <w:ind w:left="340"/>
              <w:spacing w:after="0" w:line="196" w:lineRule="exact"/>
              <w:rPr>
                <w:sz w:val="20"/>
                <w:szCs w:val="20"/>
                <w:color w:val="auto"/>
              </w:rPr>
            </w:pPr>
            <w:r>
              <w:rPr>
                <w:rFonts w:ascii="Arial" w:cs="Arial" w:eastAsia="Arial" w:hAnsi="Arial"/>
                <w:sz w:val="18"/>
                <w:szCs w:val="18"/>
                <w:color w:val="auto"/>
              </w:rPr>
              <w:t>Chief Executive Officer</w:t>
            </w:r>
          </w:p>
        </w:tc>
        <w:tc>
          <w:tcPr>
            <w:tcW w:w="200" w:type="dxa"/>
            <w:vAlign w:val="bottom"/>
            <w:tcBorders>
              <w:bottom w:val="single" w:sz="8" w:color="BFBFBF"/>
            </w:tcBorders>
          </w:tcPr>
          <w:p>
            <w:pPr>
              <w:spacing w:after="0"/>
              <w:rPr>
                <w:sz w:val="17"/>
                <w:szCs w:val="17"/>
                <w:color w:val="auto"/>
              </w:rPr>
            </w:pPr>
          </w:p>
        </w:tc>
        <w:tc>
          <w:tcPr>
            <w:tcW w:w="1360" w:type="dxa"/>
            <w:vAlign w:val="bottom"/>
            <w:tcBorders>
              <w:bottom w:val="single" w:sz="8" w:color="BFBFBF"/>
            </w:tcBorders>
          </w:tcPr>
          <w:p>
            <w:pPr>
              <w:spacing w:after="0"/>
              <w:rPr>
                <w:sz w:val="17"/>
                <w:szCs w:val="17"/>
                <w:color w:val="auto"/>
              </w:rPr>
            </w:pPr>
          </w:p>
        </w:tc>
        <w:tc>
          <w:tcPr>
            <w:tcW w:w="28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540" w:type="dxa"/>
            <w:vAlign w:val="bottom"/>
            <w:tcBorders>
              <w:bottom w:val="single" w:sz="8" w:color="BFBFBF"/>
            </w:tcBorders>
          </w:tcPr>
          <w:p>
            <w:pPr>
              <w:spacing w:after="0"/>
              <w:rPr>
                <w:sz w:val="17"/>
                <w:szCs w:val="17"/>
                <w:color w:val="auto"/>
              </w:rPr>
            </w:pPr>
          </w:p>
        </w:tc>
        <w:tc>
          <w:tcPr>
            <w:tcW w:w="640" w:type="dxa"/>
            <w:vAlign w:val="bottom"/>
            <w:tcBorders>
              <w:bottom w:val="single" w:sz="8" w:color="BFBFBF"/>
            </w:tcBorders>
          </w:tcPr>
          <w:p>
            <w:pPr>
              <w:spacing w:after="0"/>
              <w:rPr>
                <w:sz w:val="17"/>
                <w:szCs w:val="17"/>
                <w:color w:val="auto"/>
              </w:rPr>
            </w:pPr>
          </w:p>
        </w:tc>
        <w:tc>
          <w:tcPr>
            <w:tcW w:w="280" w:type="dxa"/>
            <w:vAlign w:val="bottom"/>
            <w:tcBorders>
              <w:bottom w:val="single" w:sz="8" w:color="BFBFBF"/>
              <w:right w:val="single" w:sz="8" w:color="BFBFBF"/>
            </w:tcBorders>
          </w:tcPr>
          <w:p>
            <w:pPr>
              <w:spacing w:after="0"/>
              <w:rPr>
                <w:sz w:val="17"/>
                <w:szCs w:val="17"/>
                <w:color w:val="auto"/>
              </w:rPr>
            </w:pPr>
          </w:p>
        </w:tc>
        <w:tc>
          <w:tcPr>
            <w:tcW w:w="220" w:type="dxa"/>
            <w:vAlign w:val="bottom"/>
            <w:tcBorders>
              <w:bottom w:val="single" w:sz="8" w:color="BFBFBF"/>
            </w:tcBorders>
          </w:tcPr>
          <w:p>
            <w:pPr>
              <w:spacing w:after="0"/>
              <w:rPr>
                <w:sz w:val="17"/>
                <w:szCs w:val="17"/>
                <w:color w:val="auto"/>
              </w:rPr>
            </w:pPr>
          </w:p>
        </w:tc>
        <w:tc>
          <w:tcPr>
            <w:tcW w:w="160" w:type="dxa"/>
            <w:vAlign w:val="bottom"/>
            <w:tcBorders>
              <w:bottom w:val="single" w:sz="8" w:color="BFBFBF"/>
            </w:tcBorders>
          </w:tcPr>
          <w:p>
            <w:pPr>
              <w:spacing w:after="0"/>
              <w:rPr>
                <w:sz w:val="17"/>
                <w:szCs w:val="17"/>
                <w:color w:val="auto"/>
              </w:rPr>
            </w:pPr>
          </w:p>
        </w:tc>
        <w:tc>
          <w:tcPr>
            <w:tcW w:w="70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110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740" w:type="dxa"/>
            <w:vAlign w:val="bottom"/>
            <w:tcBorders>
              <w:bottom w:val="single" w:sz="8" w:color="BFBFBF"/>
            </w:tcBorders>
          </w:tcPr>
          <w:p>
            <w:pPr>
              <w:spacing w:after="0"/>
              <w:rPr>
                <w:sz w:val="17"/>
                <w:szCs w:val="17"/>
                <w:color w:val="auto"/>
              </w:rPr>
            </w:pPr>
          </w:p>
        </w:tc>
        <w:tc>
          <w:tcPr>
            <w:tcW w:w="86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2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1360" w:type="dxa"/>
            <w:vAlign w:val="bottom"/>
            <w:tcBorders>
              <w:bottom w:val="single" w:sz="8" w:color="BFBFBF"/>
            </w:tcBorders>
            <w:shd w:val="clear" w:color="auto" w:fill="DDEFF3"/>
          </w:tcPr>
          <w:p>
            <w:pPr>
              <w:spacing w:after="0"/>
              <w:rPr>
                <w:sz w:val="21"/>
                <w:szCs w:val="21"/>
                <w:color w:val="auto"/>
              </w:rPr>
            </w:pPr>
          </w:p>
        </w:tc>
        <w:tc>
          <w:tcPr>
            <w:tcW w:w="280" w:type="dxa"/>
            <w:vAlign w:val="bottom"/>
            <w:tcBorders>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540" w:type="dxa"/>
            <w:vAlign w:val="bottom"/>
            <w:tcBorders>
              <w:bottom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280" w:type="dxa"/>
            <w:vAlign w:val="bottom"/>
            <w:tcBorders>
              <w:bottom w:val="single" w:sz="8" w:color="BFBFBF"/>
              <w:right w:val="single" w:sz="8" w:color="BFBFBF"/>
            </w:tcBorders>
            <w:shd w:val="clear" w:color="auto" w:fill="DDEFF3"/>
          </w:tcPr>
          <w:p>
            <w:pPr>
              <w:spacing w:after="0"/>
              <w:rPr>
                <w:sz w:val="21"/>
                <w:szCs w:val="21"/>
                <w:color w:val="auto"/>
              </w:rPr>
            </w:pPr>
          </w:p>
        </w:tc>
        <w:tc>
          <w:tcPr>
            <w:tcW w:w="220" w:type="dxa"/>
            <w:vAlign w:val="bottom"/>
            <w:tcBorders>
              <w:bottom w:val="single" w:sz="8" w:color="BFBFBF"/>
            </w:tcBorders>
            <w:shd w:val="clear" w:color="auto" w:fill="DDEFF3"/>
          </w:tcPr>
          <w:p>
            <w:pPr>
              <w:spacing w:after="0"/>
              <w:rPr>
                <w:sz w:val="21"/>
                <w:szCs w:val="21"/>
                <w:color w:val="auto"/>
              </w:rPr>
            </w:pPr>
          </w:p>
        </w:tc>
        <w:tc>
          <w:tcPr>
            <w:tcW w:w="160" w:type="dxa"/>
            <w:vAlign w:val="bottom"/>
            <w:tcBorders>
              <w:bottom w:val="single" w:sz="8" w:color="BFBFBF"/>
            </w:tcBorders>
            <w:shd w:val="clear" w:color="auto" w:fill="DDEFF3"/>
          </w:tcPr>
          <w:p>
            <w:pPr>
              <w:spacing w:after="0"/>
              <w:rPr>
                <w:sz w:val="21"/>
                <w:szCs w:val="21"/>
                <w:color w:val="auto"/>
              </w:rPr>
            </w:pPr>
          </w:p>
        </w:tc>
        <w:tc>
          <w:tcPr>
            <w:tcW w:w="70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110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740" w:type="dxa"/>
            <w:vAlign w:val="bottom"/>
            <w:tcBorders>
              <w:bottom w:val="single" w:sz="8" w:color="BFBFBF"/>
            </w:tcBorders>
            <w:shd w:val="clear" w:color="auto" w:fill="DDEFF3"/>
          </w:tcPr>
          <w:p>
            <w:pPr>
              <w:spacing w:after="0"/>
              <w:rPr>
                <w:sz w:val="21"/>
                <w:szCs w:val="21"/>
                <w:color w:val="auto"/>
              </w:rPr>
            </w:pPr>
          </w:p>
        </w:tc>
        <w:tc>
          <w:tcPr>
            <w:tcW w:w="860" w:type="dxa"/>
            <w:vAlign w:val="bottom"/>
            <w:tcBorders>
              <w:bottom w:val="single" w:sz="8" w:color="BFBFBF"/>
            </w:tcBorders>
            <w:shd w:val="clear" w:color="auto" w:fill="DDEFF3"/>
          </w:tcPr>
          <w:p>
            <w:pPr>
              <w:spacing w:after="0"/>
              <w:rPr>
                <w:sz w:val="21"/>
                <w:szCs w:val="21"/>
                <w:color w:val="auto"/>
              </w:rPr>
            </w:pPr>
          </w:p>
        </w:tc>
        <w:tc>
          <w:tcPr>
            <w:tcW w:w="34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8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Lee Shavel</w:t>
            </w:r>
          </w:p>
        </w:tc>
        <w:tc>
          <w:tcPr>
            <w:tcW w:w="200" w:type="dxa"/>
            <w:vAlign w:val="bottom"/>
            <w:tcBorders>
              <w:bottom w:val="single" w:sz="8" w:color="BFBFBF"/>
            </w:tcBorders>
          </w:tcPr>
          <w:p>
            <w:pPr>
              <w:spacing w:after="0"/>
              <w:rPr>
                <w:sz w:val="17"/>
                <w:szCs w:val="17"/>
                <w:color w:val="auto"/>
              </w:rPr>
            </w:pPr>
          </w:p>
        </w:tc>
        <w:tc>
          <w:tcPr>
            <w:tcW w:w="1640" w:type="dxa"/>
            <w:vAlign w:val="bottom"/>
            <w:tcBorders>
              <w:bottom w:val="single" w:sz="8" w:color="BFBFBF"/>
              <w:right w:val="single" w:sz="8" w:color="BFBFBF"/>
            </w:tcBorders>
            <w:gridSpan w:val="2"/>
          </w:tcPr>
          <w:p>
            <w:pPr>
              <w:ind w:left="100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7"/>
                <w:szCs w:val="17"/>
                <w:color w:val="auto"/>
              </w:rPr>
            </w:pPr>
          </w:p>
        </w:tc>
        <w:tc>
          <w:tcPr>
            <w:tcW w:w="540" w:type="dxa"/>
            <w:vAlign w:val="bottom"/>
            <w:tcBorders>
              <w:bottom w:val="single" w:sz="8" w:color="BFBFBF"/>
            </w:tcBorders>
          </w:tcPr>
          <w:p>
            <w:pPr>
              <w:ind w:left="2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BFBFBF"/>
              <w:right w:val="single" w:sz="8" w:color="BFBFBF"/>
            </w:tcBorders>
            <w:gridSpan w:val="2"/>
          </w:tcPr>
          <w:p>
            <w:pPr>
              <w:jc w:val="right"/>
              <w:ind w:right="280"/>
              <w:spacing w:after="0" w:line="196" w:lineRule="exact"/>
              <w:rPr>
                <w:sz w:val="20"/>
                <w:szCs w:val="20"/>
                <w:color w:val="auto"/>
              </w:rPr>
            </w:pPr>
            <w:r>
              <w:rPr>
                <w:rFonts w:ascii="Arial" w:cs="Arial" w:eastAsia="Arial" w:hAnsi="Arial"/>
                <w:sz w:val="18"/>
                <w:szCs w:val="18"/>
                <w:color w:val="auto"/>
              </w:rPr>
              <w:t>5,000</w:t>
            </w:r>
          </w:p>
        </w:tc>
        <w:tc>
          <w:tcPr>
            <w:tcW w:w="380" w:type="dxa"/>
            <w:vAlign w:val="bottom"/>
            <w:tcBorders>
              <w:bottom w:val="single" w:sz="8" w:color="BFBFBF"/>
            </w:tcBorders>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FBFBF"/>
              <w:right w:val="single" w:sz="8" w:color="BFBFBF"/>
            </w:tcBorders>
            <w:gridSpan w:val="2"/>
          </w:tcPr>
          <w:p>
            <w:pPr>
              <w:jc w:val="right"/>
              <w:ind w:right="300"/>
              <w:spacing w:after="0" w:line="196" w:lineRule="exact"/>
              <w:rPr>
                <w:sz w:val="20"/>
                <w:szCs w:val="20"/>
                <w:color w:val="auto"/>
              </w:rPr>
            </w:pPr>
            <w:r>
              <w:rPr>
                <w:rFonts w:ascii="Arial" w:cs="Arial" w:eastAsia="Arial" w:hAnsi="Arial"/>
                <w:sz w:val="18"/>
                <w:szCs w:val="18"/>
                <w:color w:val="auto"/>
              </w:rPr>
              <w:t>56</w:t>
            </w:r>
          </w:p>
        </w:tc>
        <w:tc>
          <w:tcPr>
            <w:tcW w:w="200" w:type="dxa"/>
            <w:vAlign w:val="bottom"/>
            <w:tcBorders>
              <w:bottom w:val="single" w:sz="8" w:color="BFBFBF"/>
            </w:tcBorders>
          </w:tcPr>
          <w:p>
            <w:pPr>
              <w:spacing w:after="0"/>
              <w:rPr>
                <w:sz w:val="17"/>
                <w:szCs w:val="17"/>
                <w:color w:val="auto"/>
              </w:rPr>
            </w:pPr>
          </w:p>
        </w:tc>
        <w:tc>
          <w:tcPr>
            <w:tcW w:w="1400" w:type="dxa"/>
            <w:vAlign w:val="bottom"/>
            <w:tcBorders>
              <w:bottom w:val="single" w:sz="8" w:color="BFBFBF"/>
              <w:right w:val="single" w:sz="8" w:color="BFBFBF"/>
            </w:tcBorders>
            <w:gridSpan w:val="2"/>
          </w:tcPr>
          <w:p>
            <w:pPr>
              <w:ind w:left="74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BFBFBF"/>
            </w:tcBorders>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1,118</w:t>
            </w:r>
          </w:p>
        </w:tc>
        <w:tc>
          <w:tcPr>
            <w:tcW w:w="3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20" w:type="dxa"/>
            <w:vAlign w:val="bottom"/>
            <w:tcBorders>
              <w:left w:val="single" w:sz="8" w:color="BFBFBF"/>
              <w:right w:val="single" w:sz="8" w:color="BFBFBF"/>
            </w:tcBorders>
          </w:tcPr>
          <w:p>
            <w:pPr>
              <w:ind w:left="340"/>
              <w:spacing w:after="0" w:line="200" w:lineRule="exact"/>
              <w:rPr>
                <w:sz w:val="20"/>
                <w:szCs w:val="20"/>
                <w:color w:val="auto"/>
              </w:rPr>
            </w:pPr>
            <w:r>
              <w:rPr>
                <w:rFonts w:ascii="Arial" w:cs="Arial" w:eastAsia="Arial" w:hAnsi="Arial"/>
                <w:sz w:val="18"/>
                <w:szCs w:val="18"/>
                <w:color w:val="auto"/>
              </w:rPr>
              <w:t>Chief Financial Officer</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Borders>
              <w:left w:val="single" w:sz="8" w:color="BFBFBF"/>
              <w:right w:val="single" w:sz="8" w:color="BFBFBF"/>
            </w:tcBorders>
          </w:tcPr>
          <w:p>
            <w:pPr>
              <w:ind w:left="340"/>
              <w:spacing w:after="0" w:line="202" w:lineRule="exact"/>
              <w:rPr>
                <w:sz w:val="20"/>
                <w:szCs w:val="20"/>
                <w:color w:val="auto"/>
              </w:rPr>
            </w:pPr>
            <w:r>
              <w:rPr>
                <w:rFonts w:ascii="Arial" w:cs="Arial" w:eastAsia="Arial" w:hAnsi="Arial"/>
                <w:sz w:val="18"/>
                <w:szCs w:val="18"/>
                <w:color w:val="auto"/>
              </w:rPr>
              <w:t>and Executive Vice</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20" w:type="dxa"/>
            <w:vAlign w:val="bottom"/>
            <w:tcBorders>
              <w:left w:val="single" w:sz="8" w:color="BFBFBF"/>
              <w:bottom w:val="single" w:sz="8" w:color="BFBFBF"/>
              <w:right w:val="single" w:sz="8" w:color="BFBFBF"/>
            </w:tcBorders>
          </w:tcPr>
          <w:p>
            <w:pPr>
              <w:ind w:left="340"/>
              <w:spacing w:after="0" w:line="200" w:lineRule="exact"/>
              <w:rPr>
                <w:sz w:val="20"/>
                <w:szCs w:val="20"/>
                <w:color w:val="auto"/>
              </w:rPr>
            </w:pPr>
            <w:r>
              <w:rPr>
                <w:rFonts w:ascii="Arial" w:cs="Arial" w:eastAsia="Arial" w:hAnsi="Arial"/>
                <w:sz w:val="18"/>
                <w:szCs w:val="18"/>
                <w:color w:val="auto"/>
              </w:rPr>
              <w:t>President, Corporate Strategy</w:t>
            </w:r>
          </w:p>
        </w:tc>
        <w:tc>
          <w:tcPr>
            <w:tcW w:w="200" w:type="dxa"/>
            <w:vAlign w:val="bottom"/>
            <w:tcBorders>
              <w:bottom w:val="single" w:sz="8" w:color="BFBFBF"/>
            </w:tcBorders>
          </w:tcPr>
          <w:p>
            <w:pPr>
              <w:spacing w:after="0"/>
              <w:rPr>
                <w:sz w:val="17"/>
                <w:szCs w:val="17"/>
                <w:color w:val="auto"/>
              </w:rPr>
            </w:pPr>
          </w:p>
        </w:tc>
        <w:tc>
          <w:tcPr>
            <w:tcW w:w="1360" w:type="dxa"/>
            <w:vAlign w:val="bottom"/>
            <w:tcBorders>
              <w:bottom w:val="single" w:sz="8" w:color="BFBFBF"/>
            </w:tcBorders>
          </w:tcPr>
          <w:p>
            <w:pPr>
              <w:spacing w:after="0"/>
              <w:rPr>
                <w:sz w:val="17"/>
                <w:szCs w:val="17"/>
                <w:color w:val="auto"/>
              </w:rPr>
            </w:pPr>
          </w:p>
        </w:tc>
        <w:tc>
          <w:tcPr>
            <w:tcW w:w="28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540" w:type="dxa"/>
            <w:vAlign w:val="bottom"/>
            <w:tcBorders>
              <w:bottom w:val="single" w:sz="8" w:color="BFBFBF"/>
            </w:tcBorders>
          </w:tcPr>
          <w:p>
            <w:pPr>
              <w:spacing w:after="0"/>
              <w:rPr>
                <w:sz w:val="17"/>
                <w:szCs w:val="17"/>
                <w:color w:val="auto"/>
              </w:rPr>
            </w:pPr>
          </w:p>
        </w:tc>
        <w:tc>
          <w:tcPr>
            <w:tcW w:w="640" w:type="dxa"/>
            <w:vAlign w:val="bottom"/>
            <w:tcBorders>
              <w:bottom w:val="single" w:sz="8" w:color="BFBFBF"/>
            </w:tcBorders>
          </w:tcPr>
          <w:p>
            <w:pPr>
              <w:spacing w:after="0"/>
              <w:rPr>
                <w:sz w:val="17"/>
                <w:szCs w:val="17"/>
                <w:color w:val="auto"/>
              </w:rPr>
            </w:pPr>
          </w:p>
        </w:tc>
        <w:tc>
          <w:tcPr>
            <w:tcW w:w="280" w:type="dxa"/>
            <w:vAlign w:val="bottom"/>
            <w:tcBorders>
              <w:bottom w:val="single" w:sz="8" w:color="BFBFBF"/>
              <w:right w:val="single" w:sz="8" w:color="BFBFBF"/>
            </w:tcBorders>
          </w:tcPr>
          <w:p>
            <w:pPr>
              <w:spacing w:after="0"/>
              <w:rPr>
                <w:sz w:val="17"/>
                <w:szCs w:val="17"/>
                <w:color w:val="auto"/>
              </w:rPr>
            </w:pPr>
          </w:p>
        </w:tc>
        <w:tc>
          <w:tcPr>
            <w:tcW w:w="220" w:type="dxa"/>
            <w:vAlign w:val="bottom"/>
            <w:tcBorders>
              <w:bottom w:val="single" w:sz="8" w:color="BFBFBF"/>
            </w:tcBorders>
          </w:tcPr>
          <w:p>
            <w:pPr>
              <w:spacing w:after="0"/>
              <w:rPr>
                <w:sz w:val="17"/>
                <w:szCs w:val="17"/>
                <w:color w:val="auto"/>
              </w:rPr>
            </w:pPr>
          </w:p>
        </w:tc>
        <w:tc>
          <w:tcPr>
            <w:tcW w:w="160" w:type="dxa"/>
            <w:vAlign w:val="bottom"/>
            <w:tcBorders>
              <w:bottom w:val="single" w:sz="8" w:color="BFBFBF"/>
            </w:tcBorders>
          </w:tcPr>
          <w:p>
            <w:pPr>
              <w:spacing w:after="0"/>
              <w:rPr>
                <w:sz w:val="17"/>
                <w:szCs w:val="17"/>
                <w:color w:val="auto"/>
              </w:rPr>
            </w:pPr>
          </w:p>
        </w:tc>
        <w:tc>
          <w:tcPr>
            <w:tcW w:w="70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110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740" w:type="dxa"/>
            <w:vAlign w:val="bottom"/>
            <w:tcBorders>
              <w:bottom w:val="single" w:sz="8" w:color="BFBFBF"/>
            </w:tcBorders>
          </w:tcPr>
          <w:p>
            <w:pPr>
              <w:spacing w:after="0"/>
              <w:rPr>
                <w:sz w:val="17"/>
                <w:szCs w:val="17"/>
                <w:color w:val="auto"/>
              </w:rPr>
            </w:pPr>
          </w:p>
        </w:tc>
        <w:tc>
          <w:tcPr>
            <w:tcW w:w="86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2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1360" w:type="dxa"/>
            <w:vAlign w:val="bottom"/>
            <w:tcBorders>
              <w:bottom w:val="single" w:sz="8" w:color="BFBFBF"/>
            </w:tcBorders>
            <w:shd w:val="clear" w:color="auto" w:fill="DDEFF3"/>
          </w:tcPr>
          <w:p>
            <w:pPr>
              <w:spacing w:after="0"/>
              <w:rPr>
                <w:sz w:val="21"/>
                <w:szCs w:val="21"/>
                <w:color w:val="auto"/>
              </w:rPr>
            </w:pPr>
          </w:p>
        </w:tc>
        <w:tc>
          <w:tcPr>
            <w:tcW w:w="280" w:type="dxa"/>
            <w:vAlign w:val="bottom"/>
            <w:tcBorders>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540" w:type="dxa"/>
            <w:vAlign w:val="bottom"/>
            <w:tcBorders>
              <w:bottom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280" w:type="dxa"/>
            <w:vAlign w:val="bottom"/>
            <w:tcBorders>
              <w:bottom w:val="single" w:sz="8" w:color="BFBFBF"/>
              <w:right w:val="single" w:sz="8" w:color="BFBFBF"/>
            </w:tcBorders>
            <w:shd w:val="clear" w:color="auto" w:fill="DDEFF3"/>
          </w:tcPr>
          <w:p>
            <w:pPr>
              <w:spacing w:after="0"/>
              <w:rPr>
                <w:sz w:val="21"/>
                <w:szCs w:val="21"/>
                <w:color w:val="auto"/>
              </w:rPr>
            </w:pPr>
          </w:p>
        </w:tc>
        <w:tc>
          <w:tcPr>
            <w:tcW w:w="220" w:type="dxa"/>
            <w:vAlign w:val="bottom"/>
            <w:tcBorders>
              <w:bottom w:val="single" w:sz="8" w:color="BFBFBF"/>
            </w:tcBorders>
            <w:shd w:val="clear" w:color="auto" w:fill="DDEFF3"/>
          </w:tcPr>
          <w:p>
            <w:pPr>
              <w:spacing w:after="0"/>
              <w:rPr>
                <w:sz w:val="21"/>
                <w:szCs w:val="21"/>
                <w:color w:val="auto"/>
              </w:rPr>
            </w:pPr>
          </w:p>
        </w:tc>
        <w:tc>
          <w:tcPr>
            <w:tcW w:w="160" w:type="dxa"/>
            <w:vAlign w:val="bottom"/>
            <w:tcBorders>
              <w:bottom w:val="single" w:sz="8" w:color="BFBFBF"/>
            </w:tcBorders>
            <w:shd w:val="clear" w:color="auto" w:fill="DDEFF3"/>
          </w:tcPr>
          <w:p>
            <w:pPr>
              <w:spacing w:after="0"/>
              <w:rPr>
                <w:sz w:val="21"/>
                <w:szCs w:val="21"/>
                <w:color w:val="auto"/>
              </w:rPr>
            </w:pPr>
          </w:p>
        </w:tc>
        <w:tc>
          <w:tcPr>
            <w:tcW w:w="70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110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740" w:type="dxa"/>
            <w:vAlign w:val="bottom"/>
            <w:tcBorders>
              <w:bottom w:val="single" w:sz="8" w:color="BFBFBF"/>
            </w:tcBorders>
            <w:shd w:val="clear" w:color="auto" w:fill="DDEFF3"/>
          </w:tcPr>
          <w:p>
            <w:pPr>
              <w:spacing w:after="0"/>
              <w:rPr>
                <w:sz w:val="21"/>
                <w:szCs w:val="21"/>
                <w:color w:val="auto"/>
              </w:rPr>
            </w:pPr>
          </w:p>
        </w:tc>
        <w:tc>
          <w:tcPr>
            <w:tcW w:w="860" w:type="dxa"/>
            <w:vAlign w:val="bottom"/>
            <w:tcBorders>
              <w:bottom w:val="single" w:sz="8" w:color="BFBFBF"/>
            </w:tcBorders>
            <w:shd w:val="clear" w:color="auto" w:fill="DDEFF3"/>
          </w:tcPr>
          <w:p>
            <w:pPr>
              <w:spacing w:after="0"/>
              <w:rPr>
                <w:sz w:val="21"/>
                <w:szCs w:val="21"/>
                <w:color w:val="auto"/>
              </w:rPr>
            </w:pPr>
          </w:p>
        </w:tc>
        <w:tc>
          <w:tcPr>
            <w:tcW w:w="34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8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Anna M. Ewing</w:t>
            </w:r>
          </w:p>
        </w:tc>
        <w:tc>
          <w:tcPr>
            <w:tcW w:w="200" w:type="dxa"/>
            <w:vAlign w:val="bottom"/>
            <w:tcBorders>
              <w:bottom w:val="single" w:sz="8" w:color="BFBFBF"/>
            </w:tcBorders>
          </w:tcPr>
          <w:p>
            <w:pPr>
              <w:spacing w:after="0"/>
              <w:rPr>
                <w:sz w:val="17"/>
                <w:szCs w:val="17"/>
                <w:color w:val="auto"/>
              </w:rPr>
            </w:pPr>
          </w:p>
        </w:tc>
        <w:tc>
          <w:tcPr>
            <w:tcW w:w="1640" w:type="dxa"/>
            <w:vAlign w:val="bottom"/>
            <w:tcBorders>
              <w:bottom w:val="single" w:sz="8" w:color="BFBFBF"/>
              <w:right w:val="single" w:sz="8" w:color="BFBFBF"/>
            </w:tcBorders>
            <w:gridSpan w:val="2"/>
          </w:tcPr>
          <w:p>
            <w:pPr>
              <w:ind w:left="100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7"/>
                <w:szCs w:val="17"/>
                <w:color w:val="auto"/>
              </w:rPr>
            </w:pPr>
          </w:p>
        </w:tc>
        <w:tc>
          <w:tcPr>
            <w:tcW w:w="540" w:type="dxa"/>
            <w:vAlign w:val="bottom"/>
            <w:tcBorders>
              <w:bottom w:val="single" w:sz="8" w:color="BFBFBF"/>
            </w:tcBorders>
          </w:tcPr>
          <w:p>
            <w:pPr>
              <w:ind w:left="2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BFBFBF"/>
              <w:right w:val="single" w:sz="8" w:color="BFBFBF"/>
            </w:tcBorders>
            <w:gridSpan w:val="2"/>
          </w:tcPr>
          <w:p>
            <w:pPr>
              <w:jc w:val="right"/>
              <w:ind w:right="280"/>
              <w:spacing w:after="0" w:line="196" w:lineRule="exact"/>
              <w:rPr>
                <w:sz w:val="20"/>
                <w:szCs w:val="20"/>
                <w:color w:val="auto"/>
              </w:rPr>
            </w:pPr>
            <w:r>
              <w:rPr>
                <w:rFonts w:ascii="Arial" w:cs="Arial" w:eastAsia="Arial" w:hAnsi="Arial"/>
                <w:sz w:val="18"/>
                <w:szCs w:val="18"/>
                <w:color w:val="auto"/>
              </w:rPr>
              <w:t>15,000</w:t>
            </w:r>
          </w:p>
        </w:tc>
        <w:tc>
          <w:tcPr>
            <w:tcW w:w="380" w:type="dxa"/>
            <w:vAlign w:val="bottom"/>
            <w:tcBorders>
              <w:bottom w:val="single" w:sz="8" w:color="BFBFBF"/>
            </w:tcBorders>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3,264</w:t>
            </w:r>
          </w:p>
        </w:tc>
        <w:tc>
          <w:tcPr>
            <w:tcW w:w="30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1400" w:type="dxa"/>
            <w:vAlign w:val="bottom"/>
            <w:tcBorders>
              <w:bottom w:val="single" w:sz="8" w:color="BFBFBF"/>
              <w:right w:val="single" w:sz="8" w:color="BFBFBF"/>
            </w:tcBorders>
            <w:gridSpan w:val="2"/>
          </w:tcPr>
          <w:p>
            <w:pPr>
              <w:ind w:left="74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BFBFBF"/>
            </w:tcBorders>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59,524</w:t>
            </w:r>
          </w:p>
        </w:tc>
        <w:tc>
          <w:tcPr>
            <w:tcW w:w="3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20" w:type="dxa"/>
            <w:vAlign w:val="bottom"/>
            <w:tcBorders>
              <w:left w:val="single" w:sz="8" w:color="BFBFBF"/>
              <w:right w:val="single" w:sz="8" w:color="BFBFBF"/>
            </w:tcBorders>
          </w:tcPr>
          <w:p>
            <w:pPr>
              <w:ind w:left="340"/>
              <w:spacing w:after="0" w:line="200" w:lineRule="exact"/>
              <w:rPr>
                <w:sz w:val="20"/>
                <w:szCs w:val="20"/>
                <w:color w:val="auto"/>
              </w:rPr>
            </w:pPr>
            <w:r>
              <w:rPr>
                <w:rFonts w:ascii="Arial" w:cs="Arial" w:eastAsia="Arial" w:hAnsi="Arial"/>
                <w:sz w:val="18"/>
                <w:szCs w:val="18"/>
                <w:color w:val="auto"/>
              </w:rPr>
              <w:t>Executive Vice</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Borders>
              <w:left w:val="single" w:sz="8" w:color="BFBFBF"/>
              <w:right w:val="single" w:sz="8" w:color="BFBFBF"/>
            </w:tcBorders>
          </w:tcPr>
          <w:p>
            <w:pPr>
              <w:ind w:left="340"/>
              <w:spacing w:after="0" w:line="202" w:lineRule="exact"/>
              <w:rPr>
                <w:sz w:val="20"/>
                <w:szCs w:val="20"/>
                <w:color w:val="auto"/>
              </w:rPr>
            </w:pPr>
            <w:r>
              <w:rPr>
                <w:rFonts w:ascii="Arial" w:cs="Arial" w:eastAsia="Arial" w:hAnsi="Arial"/>
                <w:sz w:val="18"/>
                <w:szCs w:val="18"/>
                <w:color w:val="auto"/>
              </w:rPr>
              <w:t>President, Global</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20" w:type="dxa"/>
            <w:vAlign w:val="bottom"/>
            <w:tcBorders>
              <w:left w:val="single" w:sz="8" w:color="BFBFBF"/>
              <w:bottom w:val="single" w:sz="8" w:color="BFBFBF"/>
              <w:right w:val="single" w:sz="8" w:color="BFBFBF"/>
            </w:tcBorders>
          </w:tcPr>
          <w:p>
            <w:pPr>
              <w:ind w:left="340"/>
              <w:spacing w:after="0" w:line="200" w:lineRule="exact"/>
              <w:rPr>
                <w:sz w:val="20"/>
                <w:szCs w:val="20"/>
                <w:color w:val="auto"/>
              </w:rPr>
            </w:pPr>
            <w:r>
              <w:rPr>
                <w:rFonts w:ascii="Arial" w:cs="Arial" w:eastAsia="Arial" w:hAnsi="Arial"/>
                <w:sz w:val="18"/>
                <w:szCs w:val="18"/>
                <w:color w:val="auto"/>
              </w:rPr>
              <w:t>Technology Solutions</w:t>
            </w:r>
          </w:p>
        </w:tc>
        <w:tc>
          <w:tcPr>
            <w:tcW w:w="200" w:type="dxa"/>
            <w:vAlign w:val="bottom"/>
            <w:tcBorders>
              <w:bottom w:val="single" w:sz="8" w:color="BFBFBF"/>
            </w:tcBorders>
          </w:tcPr>
          <w:p>
            <w:pPr>
              <w:spacing w:after="0"/>
              <w:rPr>
                <w:sz w:val="17"/>
                <w:szCs w:val="17"/>
                <w:color w:val="auto"/>
              </w:rPr>
            </w:pPr>
          </w:p>
        </w:tc>
        <w:tc>
          <w:tcPr>
            <w:tcW w:w="1360" w:type="dxa"/>
            <w:vAlign w:val="bottom"/>
            <w:tcBorders>
              <w:bottom w:val="single" w:sz="8" w:color="BFBFBF"/>
            </w:tcBorders>
          </w:tcPr>
          <w:p>
            <w:pPr>
              <w:spacing w:after="0"/>
              <w:rPr>
                <w:sz w:val="17"/>
                <w:szCs w:val="17"/>
                <w:color w:val="auto"/>
              </w:rPr>
            </w:pPr>
          </w:p>
        </w:tc>
        <w:tc>
          <w:tcPr>
            <w:tcW w:w="28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540" w:type="dxa"/>
            <w:vAlign w:val="bottom"/>
            <w:tcBorders>
              <w:bottom w:val="single" w:sz="8" w:color="BFBFBF"/>
            </w:tcBorders>
          </w:tcPr>
          <w:p>
            <w:pPr>
              <w:spacing w:after="0"/>
              <w:rPr>
                <w:sz w:val="17"/>
                <w:szCs w:val="17"/>
                <w:color w:val="auto"/>
              </w:rPr>
            </w:pPr>
          </w:p>
        </w:tc>
        <w:tc>
          <w:tcPr>
            <w:tcW w:w="640" w:type="dxa"/>
            <w:vAlign w:val="bottom"/>
            <w:tcBorders>
              <w:bottom w:val="single" w:sz="8" w:color="BFBFBF"/>
            </w:tcBorders>
          </w:tcPr>
          <w:p>
            <w:pPr>
              <w:spacing w:after="0"/>
              <w:rPr>
                <w:sz w:val="17"/>
                <w:szCs w:val="17"/>
                <w:color w:val="auto"/>
              </w:rPr>
            </w:pPr>
          </w:p>
        </w:tc>
        <w:tc>
          <w:tcPr>
            <w:tcW w:w="280" w:type="dxa"/>
            <w:vAlign w:val="bottom"/>
            <w:tcBorders>
              <w:bottom w:val="single" w:sz="8" w:color="BFBFBF"/>
              <w:right w:val="single" w:sz="8" w:color="BFBFBF"/>
            </w:tcBorders>
          </w:tcPr>
          <w:p>
            <w:pPr>
              <w:spacing w:after="0"/>
              <w:rPr>
                <w:sz w:val="17"/>
                <w:szCs w:val="17"/>
                <w:color w:val="auto"/>
              </w:rPr>
            </w:pPr>
          </w:p>
        </w:tc>
        <w:tc>
          <w:tcPr>
            <w:tcW w:w="220" w:type="dxa"/>
            <w:vAlign w:val="bottom"/>
            <w:tcBorders>
              <w:bottom w:val="single" w:sz="8" w:color="BFBFBF"/>
            </w:tcBorders>
          </w:tcPr>
          <w:p>
            <w:pPr>
              <w:spacing w:after="0"/>
              <w:rPr>
                <w:sz w:val="17"/>
                <w:szCs w:val="17"/>
                <w:color w:val="auto"/>
              </w:rPr>
            </w:pPr>
          </w:p>
        </w:tc>
        <w:tc>
          <w:tcPr>
            <w:tcW w:w="160" w:type="dxa"/>
            <w:vAlign w:val="bottom"/>
            <w:tcBorders>
              <w:bottom w:val="single" w:sz="8" w:color="BFBFBF"/>
            </w:tcBorders>
          </w:tcPr>
          <w:p>
            <w:pPr>
              <w:spacing w:after="0"/>
              <w:rPr>
                <w:sz w:val="17"/>
                <w:szCs w:val="17"/>
                <w:color w:val="auto"/>
              </w:rPr>
            </w:pPr>
          </w:p>
        </w:tc>
        <w:tc>
          <w:tcPr>
            <w:tcW w:w="70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110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740" w:type="dxa"/>
            <w:vAlign w:val="bottom"/>
            <w:tcBorders>
              <w:bottom w:val="single" w:sz="8" w:color="BFBFBF"/>
            </w:tcBorders>
          </w:tcPr>
          <w:p>
            <w:pPr>
              <w:spacing w:after="0"/>
              <w:rPr>
                <w:sz w:val="17"/>
                <w:szCs w:val="17"/>
                <w:color w:val="auto"/>
              </w:rPr>
            </w:pPr>
          </w:p>
        </w:tc>
        <w:tc>
          <w:tcPr>
            <w:tcW w:w="86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20" w:type="dxa"/>
            <w:vAlign w:val="bottom"/>
            <w:tcBorders>
              <w:left w:val="single" w:sz="8" w:color="BFBFBF"/>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1360" w:type="dxa"/>
            <w:vAlign w:val="bottom"/>
            <w:tcBorders>
              <w:bottom w:val="single" w:sz="8" w:color="BFBFBF"/>
            </w:tcBorders>
            <w:shd w:val="clear" w:color="auto" w:fill="DDEFF3"/>
          </w:tcPr>
          <w:p>
            <w:pPr>
              <w:spacing w:after="0"/>
              <w:rPr>
                <w:sz w:val="21"/>
                <w:szCs w:val="21"/>
                <w:color w:val="auto"/>
              </w:rPr>
            </w:pPr>
          </w:p>
        </w:tc>
        <w:tc>
          <w:tcPr>
            <w:tcW w:w="280" w:type="dxa"/>
            <w:vAlign w:val="bottom"/>
            <w:tcBorders>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540" w:type="dxa"/>
            <w:vAlign w:val="bottom"/>
            <w:tcBorders>
              <w:bottom w:val="single" w:sz="8" w:color="BFBFBF"/>
            </w:tcBorders>
            <w:shd w:val="clear" w:color="auto" w:fill="DDEFF3"/>
          </w:tcPr>
          <w:p>
            <w:pPr>
              <w:spacing w:after="0"/>
              <w:rPr>
                <w:sz w:val="21"/>
                <w:szCs w:val="21"/>
                <w:color w:val="auto"/>
              </w:rPr>
            </w:pPr>
          </w:p>
        </w:tc>
        <w:tc>
          <w:tcPr>
            <w:tcW w:w="640" w:type="dxa"/>
            <w:vAlign w:val="bottom"/>
            <w:tcBorders>
              <w:bottom w:val="single" w:sz="8" w:color="BFBFBF"/>
            </w:tcBorders>
            <w:shd w:val="clear" w:color="auto" w:fill="DDEFF3"/>
          </w:tcPr>
          <w:p>
            <w:pPr>
              <w:spacing w:after="0"/>
              <w:rPr>
                <w:sz w:val="21"/>
                <w:szCs w:val="21"/>
                <w:color w:val="auto"/>
              </w:rPr>
            </w:pPr>
          </w:p>
        </w:tc>
        <w:tc>
          <w:tcPr>
            <w:tcW w:w="280" w:type="dxa"/>
            <w:vAlign w:val="bottom"/>
            <w:tcBorders>
              <w:bottom w:val="single" w:sz="8" w:color="BFBFBF"/>
              <w:right w:val="single" w:sz="8" w:color="BFBFBF"/>
            </w:tcBorders>
            <w:shd w:val="clear" w:color="auto" w:fill="DDEFF3"/>
          </w:tcPr>
          <w:p>
            <w:pPr>
              <w:spacing w:after="0"/>
              <w:rPr>
                <w:sz w:val="21"/>
                <w:szCs w:val="21"/>
                <w:color w:val="auto"/>
              </w:rPr>
            </w:pPr>
          </w:p>
        </w:tc>
        <w:tc>
          <w:tcPr>
            <w:tcW w:w="220" w:type="dxa"/>
            <w:vAlign w:val="bottom"/>
            <w:tcBorders>
              <w:bottom w:val="single" w:sz="8" w:color="BFBFBF"/>
            </w:tcBorders>
            <w:shd w:val="clear" w:color="auto" w:fill="DDEFF3"/>
          </w:tcPr>
          <w:p>
            <w:pPr>
              <w:spacing w:after="0"/>
              <w:rPr>
                <w:sz w:val="21"/>
                <w:szCs w:val="21"/>
                <w:color w:val="auto"/>
              </w:rPr>
            </w:pPr>
          </w:p>
        </w:tc>
        <w:tc>
          <w:tcPr>
            <w:tcW w:w="160" w:type="dxa"/>
            <w:vAlign w:val="bottom"/>
            <w:tcBorders>
              <w:bottom w:val="single" w:sz="8" w:color="BFBFBF"/>
            </w:tcBorders>
            <w:shd w:val="clear" w:color="auto" w:fill="DDEFF3"/>
          </w:tcPr>
          <w:p>
            <w:pPr>
              <w:spacing w:after="0"/>
              <w:rPr>
                <w:sz w:val="21"/>
                <w:szCs w:val="21"/>
                <w:color w:val="auto"/>
              </w:rPr>
            </w:pPr>
          </w:p>
        </w:tc>
        <w:tc>
          <w:tcPr>
            <w:tcW w:w="70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1100" w:type="dxa"/>
            <w:vAlign w:val="bottom"/>
            <w:tcBorders>
              <w:bottom w:val="single" w:sz="8" w:color="BFBFBF"/>
            </w:tcBorders>
            <w:shd w:val="clear" w:color="auto" w:fill="DDEFF3"/>
          </w:tcPr>
          <w:p>
            <w:pPr>
              <w:spacing w:after="0"/>
              <w:rPr>
                <w:sz w:val="21"/>
                <w:szCs w:val="21"/>
                <w:color w:val="auto"/>
              </w:rPr>
            </w:pPr>
          </w:p>
        </w:tc>
        <w:tc>
          <w:tcPr>
            <w:tcW w:w="300" w:type="dxa"/>
            <w:vAlign w:val="bottom"/>
            <w:tcBorders>
              <w:bottom w:val="single" w:sz="8" w:color="BFBFBF"/>
              <w:right w:val="single" w:sz="8" w:color="BFBFBF"/>
            </w:tcBorders>
            <w:shd w:val="clear" w:color="auto" w:fill="DDEFF3"/>
          </w:tcPr>
          <w:p>
            <w:pPr>
              <w:spacing w:after="0"/>
              <w:rPr>
                <w:sz w:val="21"/>
                <w:szCs w:val="21"/>
                <w:color w:val="auto"/>
              </w:rPr>
            </w:pPr>
          </w:p>
        </w:tc>
        <w:tc>
          <w:tcPr>
            <w:tcW w:w="200" w:type="dxa"/>
            <w:vAlign w:val="bottom"/>
            <w:tcBorders>
              <w:bottom w:val="single" w:sz="8" w:color="BFBFBF"/>
            </w:tcBorders>
            <w:shd w:val="clear" w:color="auto" w:fill="DDEFF3"/>
          </w:tcPr>
          <w:p>
            <w:pPr>
              <w:spacing w:after="0"/>
              <w:rPr>
                <w:sz w:val="21"/>
                <w:szCs w:val="21"/>
                <w:color w:val="auto"/>
              </w:rPr>
            </w:pPr>
          </w:p>
        </w:tc>
        <w:tc>
          <w:tcPr>
            <w:tcW w:w="740" w:type="dxa"/>
            <w:vAlign w:val="bottom"/>
            <w:tcBorders>
              <w:bottom w:val="single" w:sz="8" w:color="BFBFBF"/>
            </w:tcBorders>
            <w:shd w:val="clear" w:color="auto" w:fill="DDEFF3"/>
          </w:tcPr>
          <w:p>
            <w:pPr>
              <w:spacing w:after="0"/>
              <w:rPr>
                <w:sz w:val="21"/>
                <w:szCs w:val="21"/>
                <w:color w:val="auto"/>
              </w:rPr>
            </w:pPr>
          </w:p>
        </w:tc>
        <w:tc>
          <w:tcPr>
            <w:tcW w:w="860" w:type="dxa"/>
            <w:vAlign w:val="bottom"/>
            <w:tcBorders>
              <w:bottom w:val="single" w:sz="8" w:color="BFBFBF"/>
            </w:tcBorders>
            <w:shd w:val="clear" w:color="auto" w:fill="DDEFF3"/>
          </w:tcPr>
          <w:p>
            <w:pPr>
              <w:spacing w:after="0"/>
              <w:rPr>
                <w:sz w:val="21"/>
                <w:szCs w:val="21"/>
                <w:color w:val="auto"/>
              </w:rPr>
            </w:pPr>
          </w:p>
        </w:tc>
        <w:tc>
          <w:tcPr>
            <w:tcW w:w="340" w:type="dxa"/>
            <w:vAlign w:val="bottom"/>
            <w:tcBorders>
              <w:bottom w:val="single" w:sz="8" w:color="BFBFBF"/>
              <w:right w:val="single" w:sz="8" w:color="BFBFBF"/>
            </w:tcBorders>
            <w:shd w:val="clear" w:color="auto" w:fill="DDEFF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8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Eric W. Noll</w:t>
            </w:r>
          </w:p>
        </w:tc>
        <w:tc>
          <w:tcPr>
            <w:tcW w:w="200" w:type="dxa"/>
            <w:vAlign w:val="bottom"/>
            <w:tcBorders>
              <w:bottom w:val="single" w:sz="8" w:color="BFBFBF"/>
            </w:tcBorders>
          </w:tcPr>
          <w:p>
            <w:pPr>
              <w:spacing w:after="0"/>
              <w:rPr>
                <w:sz w:val="17"/>
                <w:szCs w:val="17"/>
                <w:color w:val="auto"/>
              </w:rPr>
            </w:pPr>
          </w:p>
        </w:tc>
        <w:tc>
          <w:tcPr>
            <w:tcW w:w="1640" w:type="dxa"/>
            <w:vAlign w:val="bottom"/>
            <w:tcBorders>
              <w:bottom w:val="single" w:sz="8" w:color="BFBFBF"/>
              <w:right w:val="single" w:sz="8" w:color="BFBFBF"/>
            </w:tcBorders>
            <w:gridSpan w:val="2"/>
          </w:tcPr>
          <w:p>
            <w:pPr>
              <w:ind w:left="100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7"/>
                <w:szCs w:val="17"/>
                <w:color w:val="auto"/>
              </w:rPr>
            </w:pPr>
          </w:p>
        </w:tc>
        <w:tc>
          <w:tcPr>
            <w:tcW w:w="540" w:type="dxa"/>
            <w:vAlign w:val="bottom"/>
            <w:tcBorders>
              <w:bottom w:val="single" w:sz="8" w:color="BFBFBF"/>
            </w:tcBorders>
          </w:tcPr>
          <w:p>
            <w:pPr>
              <w:ind w:left="2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BFBFBF"/>
              <w:right w:val="single" w:sz="8" w:color="BFBFBF"/>
            </w:tcBorders>
            <w:gridSpan w:val="2"/>
          </w:tcPr>
          <w:p>
            <w:pPr>
              <w:jc w:val="right"/>
              <w:ind w:right="280"/>
              <w:spacing w:after="0" w:line="196" w:lineRule="exact"/>
              <w:rPr>
                <w:sz w:val="20"/>
                <w:szCs w:val="20"/>
                <w:color w:val="auto"/>
              </w:rPr>
            </w:pPr>
            <w:r>
              <w:rPr>
                <w:rFonts w:ascii="Arial" w:cs="Arial" w:eastAsia="Arial" w:hAnsi="Arial"/>
                <w:sz w:val="18"/>
                <w:szCs w:val="18"/>
                <w:color w:val="auto"/>
              </w:rPr>
              <w:t>5,000</w:t>
            </w:r>
          </w:p>
        </w:tc>
        <w:tc>
          <w:tcPr>
            <w:tcW w:w="380" w:type="dxa"/>
            <w:vAlign w:val="bottom"/>
            <w:tcBorders>
              <w:bottom w:val="single" w:sz="8" w:color="BFBFBF"/>
            </w:tcBorders>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591</w:t>
            </w:r>
          </w:p>
        </w:tc>
        <w:tc>
          <w:tcPr>
            <w:tcW w:w="30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1400" w:type="dxa"/>
            <w:vAlign w:val="bottom"/>
            <w:tcBorders>
              <w:bottom w:val="single" w:sz="8" w:color="BFBFBF"/>
              <w:right w:val="single" w:sz="8" w:color="BFBFBF"/>
            </w:tcBorders>
            <w:gridSpan w:val="2"/>
          </w:tcPr>
          <w:p>
            <w:pPr>
              <w:ind w:left="74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BFBFBF"/>
            </w:tcBorders>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BFBFBF"/>
            </w:tcBorders>
          </w:tcPr>
          <w:p>
            <w:pPr>
              <w:jc w:val="right"/>
              <w:spacing w:after="0" w:line="196" w:lineRule="exact"/>
              <w:rPr>
                <w:sz w:val="20"/>
                <w:szCs w:val="20"/>
                <w:color w:val="auto"/>
              </w:rPr>
            </w:pPr>
            <w:r>
              <w:rPr>
                <w:rFonts w:ascii="Arial" w:cs="Arial" w:eastAsia="Arial" w:hAnsi="Arial"/>
                <w:sz w:val="18"/>
                <w:szCs w:val="18"/>
                <w:color w:val="auto"/>
              </w:rPr>
              <w:t>11,063</w:t>
            </w:r>
          </w:p>
        </w:tc>
        <w:tc>
          <w:tcPr>
            <w:tcW w:w="3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20" w:type="dxa"/>
            <w:vAlign w:val="bottom"/>
            <w:tcBorders>
              <w:left w:val="single" w:sz="8" w:color="BFBFBF"/>
              <w:right w:val="single" w:sz="8" w:color="BFBFBF"/>
            </w:tcBorders>
          </w:tcPr>
          <w:p>
            <w:pPr>
              <w:ind w:left="340"/>
              <w:spacing w:after="0" w:line="200" w:lineRule="exact"/>
              <w:rPr>
                <w:sz w:val="20"/>
                <w:szCs w:val="20"/>
                <w:color w:val="auto"/>
              </w:rPr>
            </w:pPr>
            <w:r>
              <w:rPr>
                <w:rFonts w:ascii="Arial" w:cs="Arial" w:eastAsia="Arial" w:hAnsi="Arial"/>
                <w:sz w:val="18"/>
                <w:szCs w:val="18"/>
                <w:color w:val="auto"/>
              </w:rPr>
              <w:t>Executive Vice</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Borders>
              <w:left w:val="single" w:sz="8" w:color="BFBFBF"/>
              <w:right w:val="single" w:sz="8" w:color="BFBFBF"/>
            </w:tcBorders>
          </w:tcPr>
          <w:p>
            <w:pPr>
              <w:ind w:left="340"/>
              <w:spacing w:after="0" w:line="202" w:lineRule="exact"/>
              <w:rPr>
                <w:sz w:val="20"/>
                <w:szCs w:val="20"/>
                <w:color w:val="auto"/>
              </w:rPr>
            </w:pPr>
            <w:r>
              <w:rPr>
                <w:rFonts w:ascii="Arial" w:cs="Arial" w:eastAsia="Arial" w:hAnsi="Arial"/>
                <w:sz w:val="18"/>
                <w:szCs w:val="18"/>
                <w:color w:val="auto"/>
              </w:rPr>
              <w:t>President, Transaction</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right w:val="single" w:sz="8" w:color="BFBFBF"/>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Borders>
              <w:right w:val="single" w:sz="8" w:color="BFBFBF"/>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20" w:type="dxa"/>
            <w:vAlign w:val="bottom"/>
            <w:tcBorders>
              <w:left w:val="single" w:sz="8" w:color="BFBFBF"/>
              <w:bottom w:val="single" w:sz="8" w:color="BFBFBF"/>
              <w:right w:val="single" w:sz="8" w:color="BFBFBF"/>
            </w:tcBorders>
          </w:tcPr>
          <w:p>
            <w:pPr>
              <w:ind w:left="340"/>
              <w:spacing w:after="0" w:line="200" w:lineRule="exact"/>
              <w:rPr>
                <w:sz w:val="20"/>
                <w:szCs w:val="20"/>
                <w:color w:val="auto"/>
              </w:rPr>
            </w:pPr>
            <w:r>
              <w:rPr>
                <w:rFonts w:ascii="Arial" w:cs="Arial" w:eastAsia="Arial" w:hAnsi="Arial"/>
                <w:sz w:val="18"/>
                <w:szCs w:val="18"/>
                <w:color w:val="auto"/>
              </w:rPr>
              <w:t>Services U.S. and U.K.</w:t>
            </w:r>
          </w:p>
        </w:tc>
        <w:tc>
          <w:tcPr>
            <w:tcW w:w="200" w:type="dxa"/>
            <w:vAlign w:val="bottom"/>
            <w:tcBorders>
              <w:bottom w:val="single" w:sz="8" w:color="BFBFBF"/>
            </w:tcBorders>
          </w:tcPr>
          <w:p>
            <w:pPr>
              <w:spacing w:after="0"/>
              <w:rPr>
                <w:sz w:val="17"/>
                <w:szCs w:val="17"/>
                <w:color w:val="auto"/>
              </w:rPr>
            </w:pPr>
          </w:p>
        </w:tc>
        <w:tc>
          <w:tcPr>
            <w:tcW w:w="1360" w:type="dxa"/>
            <w:vAlign w:val="bottom"/>
            <w:tcBorders>
              <w:bottom w:val="single" w:sz="8" w:color="BFBFBF"/>
            </w:tcBorders>
          </w:tcPr>
          <w:p>
            <w:pPr>
              <w:spacing w:after="0"/>
              <w:rPr>
                <w:sz w:val="17"/>
                <w:szCs w:val="17"/>
                <w:color w:val="auto"/>
              </w:rPr>
            </w:pPr>
          </w:p>
        </w:tc>
        <w:tc>
          <w:tcPr>
            <w:tcW w:w="28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540" w:type="dxa"/>
            <w:vAlign w:val="bottom"/>
            <w:tcBorders>
              <w:bottom w:val="single" w:sz="8" w:color="BFBFBF"/>
            </w:tcBorders>
          </w:tcPr>
          <w:p>
            <w:pPr>
              <w:spacing w:after="0"/>
              <w:rPr>
                <w:sz w:val="17"/>
                <w:szCs w:val="17"/>
                <w:color w:val="auto"/>
              </w:rPr>
            </w:pPr>
          </w:p>
        </w:tc>
        <w:tc>
          <w:tcPr>
            <w:tcW w:w="640" w:type="dxa"/>
            <w:vAlign w:val="bottom"/>
            <w:tcBorders>
              <w:bottom w:val="single" w:sz="8" w:color="BFBFBF"/>
            </w:tcBorders>
          </w:tcPr>
          <w:p>
            <w:pPr>
              <w:spacing w:after="0"/>
              <w:rPr>
                <w:sz w:val="17"/>
                <w:szCs w:val="17"/>
                <w:color w:val="auto"/>
              </w:rPr>
            </w:pPr>
          </w:p>
        </w:tc>
        <w:tc>
          <w:tcPr>
            <w:tcW w:w="280" w:type="dxa"/>
            <w:vAlign w:val="bottom"/>
            <w:tcBorders>
              <w:bottom w:val="single" w:sz="8" w:color="BFBFBF"/>
              <w:right w:val="single" w:sz="8" w:color="BFBFBF"/>
            </w:tcBorders>
          </w:tcPr>
          <w:p>
            <w:pPr>
              <w:spacing w:after="0"/>
              <w:rPr>
                <w:sz w:val="17"/>
                <w:szCs w:val="17"/>
                <w:color w:val="auto"/>
              </w:rPr>
            </w:pPr>
          </w:p>
        </w:tc>
        <w:tc>
          <w:tcPr>
            <w:tcW w:w="220" w:type="dxa"/>
            <w:vAlign w:val="bottom"/>
            <w:tcBorders>
              <w:bottom w:val="single" w:sz="8" w:color="BFBFBF"/>
            </w:tcBorders>
          </w:tcPr>
          <w:p>
            <w:pPr>
              <w:spacing w:after="0"/>
              <w:rPr>
                <w:sz w:val="17"/>
                <w:szCs w:val="17"/>
                <w:color w:val="auto"/>
              </w:rPr>
            </w:pPr>
          </w:p>
        </w:tc>
        <w:tc>
          <w:tcPr>
            <w:tcW w:w="160" w:type="dxa"/>
            <w:vAlign w:val="bottom"/>
            <w:tcBorders>
              <w:bottom w:val="single" w:sz="8" w:color="BFBFBF"/>
            </w:tcBorders>
          </w:tcPr>
          <w:p>
            <w:pPr>
              <w:spacing w:after="0"/>
              <w:rPr>
                <w:sz w:val="17"/>
                <w:szCs w:val="17"/>
                <w:color w:val="auto"/>
              </w:rPr>
            </w:pPr>
          </w:p>
        </w:tc>
        <w:tc>
          <w:tcPr>
            <w:tcW w:w="70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1100" w:type="dxa"/>
            <w:vAlign w:val="bottom"/>
            <w:tcBorders>
              <w:bottom w:val="single" w:sz="8" w:color="BFBFBF"/>
            </w:tcBorders>
          </w:tcPr>
          <w:p>
            <w:pPr>
              <w:spacing w:after="0"/>
              <w:rPr>
                <w:sz w:val="17"/>
                <w:szCs w:val="17"/>
                <w:color w:val="auto"/>
              </w:rPr>
            </w:pPr>
          </w:p>
        </w:tc>
        <w:tc>
          <w:tcPr>
            <w:tcW w:w="300" w:type="dxa"/>
            <w:vAlign w:val="bottom"/>
            <w:tcBorders>
              <w:bottom w:val="single" w:sz="8" w:color="BFBFBF"/>
              <w:right w:val="single" w:sz="8" w:color="BFBFBF"/>
            </w:tcBorders>
          </w:tcPr>
          <w:p>
            <w:pPr>
              <w:spacing w:after="0"/>
              <w:rPr>
                <w:sz w:val="17"/>
                <w:szCs w:val="17"/>
                <w:color w:val="auto"/>
              </w:rPr>
            </w:pPr>
          </w:p>
        </w:tc>
        <w:tc>
          <w:tcPr>
            <w:tcW w:w="200" w:type="dxa"/>
            <w:vAlign w:val="bottom"/>
            <w:tcBorders>
              <w:bottom w:val="single" w:sz="8" w:color="BFBFBF"/>
            </w:tcBorders>
          </w:tcPr>
          <w:p>
            <w:pPr>
              <w:spacing w:after="0"/>
              <w:rPr>
                <w:sz w:val="17"/>
                <w:szCs w:val="17"/>
                <w:color w:val="auto"/>
              </w:rPr>
            </w:pPr>
          </w:p>
        </w:tc>
        <w:tc>
          <w:tcPr>
            <w:tcW w:w="740" w:type="dxa"/>
            <w:vAlign w:val="bottom"/>
            <w:tcBorders>
              <w:bottom w:val="single" w:sz="8" w:color="BFBFBF"/>
            </w:tcBorders>
          </w:tcPr>
          <w:p>
            <w:pPr>
              <w:spacing w:after="0"/>
              <w:rPr>
                <w:sz w:val="17"/>
                <w:szCs w:val="17"/>
                <w:color w:val="auto"/>
              </w:rPr>
            </w:pPr>
          </w:p>
        </w:tc>
        <w:tc>
          <w:tcPr>
            <w:tcW w:w="860" w:type="dxa"/>
            <w:vAlign w:val="bottom"/>
            <w:tcBorders>
              <w:bottom w:val="single" w:sz="8" w:color="BFBFBF"/>
            </w:tcBorders>
          </w:tcPr>
          <w:p>
            <w:pPr>
              <w:spacing w:after="0"/>
              <w:rPr>
                <w:sz w:val="17"/>
                <w:szCs w:val="17"/>
                <w:color w:val="auto"/>
              </w:rPr>
            </w:pPr>
          </w:p>
        </w:tc>
        <w:tc>
          <w:tcPr>
            <w:tcW w:w="340" w:type="dxa"/>
            <w:vAlign w:val="bottom"/>
            <w:tcBorders>
              <w:bottom w:val="single" w:sz="8" w:color="BFBFBF"/>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-2409190</wp:posOffset>
            </wp:positionV>
            <wp:extent cx="889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-2409190</wp:posOffset>
            </wp:positionV>
            <wp:extent cx="889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32" w:lineRule="exact"/>
        <w:rPr>
          <w:sz w:val="20"/>
          <w:szCs w:val="20"/>
          <w:color w:val="auto"/>
        </w:rPr>
      </w:pPr>
    </w:p>
    <w:p>
      <w:pPr>
        <w:jc w:val="both"/>
        <w:ind w:left="580" w:right="40" w:hanging="572"/>
        <w:spacing w:after="0" w:line="238"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reported in this column reflect contributions by the company to the named executive officers under the Supplemental ERC for the fiscal year ended December 31, 2012 which were paid in February 2013. For each named executive officer, these amounts are reported in the column “All Other Compensation” in the “Summary Compensation Table.”</w:t>
      </w:r>
    </w:p>
    <w:p>
      <w:pPr>
        <w:spacing w:after="0" w:line="59" w:lineRule="exact"/>
        <w:rPr>
          <w:rFonts w:ascii="Arial" w:cs="Arial" w:eastAsia="Arial" w:hAnsi="Arial"/>
          <w:sz w:val="18"/>
          <w:szCs w:val="18"/>
          <w:color w:val="auto"/>
        </w:rPr>
      </w:pPr>
    </w:p>
    <w:p>
      <w:pPr>
        <w:ind w:left="580" w:right="260" w:hanging="572"/>
        <w:spacing w:after="0" w:line="299"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amounts reported in this column represent interest earned during 2012 on account balances. Interest is paid at an annual rate of 7% (which is the 10-year U.S. Treasury securities rate on the effective date of the Supplemental ERC program plus an additional 1%).</w:t>
      </w:r>
    </w:p>
    <w:p>
      <w:pPr>
        <w:spacing w:after="0" w:line="14" w:lineRule="exact"/>
        <w:rPr>
          <w:rFonts w:ascii="Arial" w:cs="Arial" w:eastAsia="Arial" w:hAnsi="Arial"/>
          <w:sz w:val="16"/>
          <w:szCs w:val="16"/>
          <w:color w:val="auto"/>
        </w:rPr>
      </w:pPr>
    </w:p>
    <w:p>
      <w:pPr>
        <w:ind w:left="580" w:right="200" w:hanging="572"/>
        <w:spacing w:after="0" w:line="236"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reported in this column represent account balances at December 31, 2012. These amounts include contributions that the company has made to the named executive officers under the Supplemental ERC and interest earned on account balances. To the extent that the named executive officers were considered named executive officers in prior years’ proxy statements, the Supplemental ERC contributions for prior years were reported in the column “All Other Compensation” in the “Summary Compensation Table” found in our proxy statement for the annual meeting of stockholders.</w:t>
      </w:r>
    </w:p>
    <w:p>
      <w:pPr>
        <w:spacing w:after="0" w:line="144"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68</w:t>
      </w:r>
    </w:p>
    <w:p>
      <w:pPr>
        <w:sectPr>
          <w:pgSz w:w="11900" w:h="16838" w:orient="portrait"/>
          <w:cols w:equalWidth="0" w:num="1">
            <w:col w:w="11440"/>
          </w:cols>
          <w:pgMar w:left="240" w:top="459" w:right="2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5340"/>
        <w:spacing w:after="0" w:line="310" w:lineRule="auto"/>
        <w:rPr>
          <w:sz w:val="20"/>
          <w:szCs w:val="20"/>
          <w:color w:val="auto"/>
        </w:rPr>
      </w:pPr>
      <w:r>
        <w:rPr>
          <w:rFonts w:ascii="Arial" w:cs="Arial" w:eastAsia="Arial" w:hAnsi="Arial"/>
          <w:sz w:val="18"/>
          <w:szCs w:val="18"/>
          <w:b w:val="1"/>
          <w:bCs w:val="1"/>
          <w:color w:val="auto"/>
        </w:rPr>
        <w:t>POTENTIAL PAYMENTS UPON TERMINATION OR CHANGE IN CONTROL Change in Control Agreements</w:t>
      </w:r>
    </w:p>
    <w:p>
      <w:pPr>
        <w:ind w:right="140"/>
        <w:spacing w:after="0" w:line="236" w:lineRule="auto"/>
        <w:rPr>
          <w:sz w:val="20"/>
          <w:szCs w:val="20"/>
          <w:color w:val="auto"/>
        </w:rPr>
      </w:pPr>
      <w:r>
        <w:rPr>
          <w:rFonts w:ascii="Arial" w:cs="Arial" w:eastAsia="Arial" w:hAnsi="Arial"/>
          <w:sz w:val="18"/>
          <w:szCs w:val="18"/>
          <w:color w:val="auto"/>
        </w:rPr>
        <w:t>Mr. Greifeld’s employment agreement provides for limited payments and benefits in the event of termination of employment following a change in control of the company. Mr. Jochumsen’s employment agreement provides for a severance payment in the event of termination of employment by the company for any reason, other than substantial breach of the agreement. In addition, we have entered into letter agreements with the other named executive officers providing limited payments and benefits to them if their employment is terminated in connection with a change in control of the company. Payments and benefits under these agreements are subject to a “double trigger,” meaning that payments are payable only upon the occurrence of both a change in control of the company and a loss of employment.</w:t>
      </w:r>
    </w:p>
    <w:p>
      <w:pPr>
        <w:spacing w:after="0" w:line="11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Under Mr. Greifeld’s employment agreement and the agreements with the other named executive officers (other than Mr. Jochumsen), a change in control generally consists of the first to occur of the following:</w:t>
      </w:r>
    </w:p>
    <w:p>
      <w:pPr>
        <w:spacing w:after="0" w:line="60" w:lineRule="exact"/>
        <w:rPr>
          <w:sz w:val="20"/>
          <w:szCs w:val="20"/>
          <w:color w:val="auto"/>
        </w:rPr>
      </w:pPr>
    </w:p>
    <w:p>
      <w:pPr>
        <w:ind w:left="1120" w:right="500" w:hanging="437"/>
        <w:spacing w:after="0" w:line="239" w:lineRule="auto"/>
        <w:tabs>
          <w:tab w:leader="none" w:pos="1120" w:val="left"/>
        </w:tabs>
        <w:numPr>
          <w:ilvl w:val="0"/>
          <w:numId w:val="61"/>
        </w:numPr>
        <w:rPr>
          <w:rFonts w:ascii="Arial" w:cs="Arial" w:eastAsia="Arial" w:hAnsi="Arial"/>
          <w:sz w:val="18"/>
          <w:szCs w:val="18"/>
          <w:color w:val="0088A6"/>
        </w:rPr>
      </w:pPr>
      <w:r>
        <w:rPr>
          <w:rFonts w:ascii="Arial" w:cs="Arial" w:eastAsia="Arial" w:hAnsi="Arial"/>
          <w:sz w:val="18"/>
          <w:szCs w:val="18"/>
          <w:color w:val="auto"/>
        </w:rPr>
        <w:t>any person becomes the beneficial owner, directly or indirectly, of more than 50% of the company’s voting securities (except in limited circumstances);</w:t>
      </w:r>
    </w:p>
    <w:p>
      <w:pPr>
        <w:spacing w:after="0" w:line="60" w:lineRule="exact"/>
        <w:rPr>
          <w:rFonts w:ascii="Arial" w:cs="Arial" w:eastAsia="Arial" w:hAnsi="Arial"/>
          <w:sz w:val="18"/>
          <w:szCs w:val="18"/>
          <w:color w:val="0088A6"/>
        </w:rPr>
      </w:pPr>
    </w:p>
    <w:p>
      <w:pPr>
        <w:ind w:left="1120" w:right="320" w:hanging="437"/>
        <w:spacing w:after="0" w:line="239" w:lineRule="auto"/>
        <w:tabs>
          <w:tab w:leader="none" w:pos="1120" w:val="left"/>
        </w:tabs>
        <w:numPr>
          <w:ilvl w:val="0"/>
          <w:numId w:val="61"/>
        </w:numPr>
        <w:rPr>
          <w:rFonts w:ascii="Arial" w:cs="Arial" w:eastAsia="Arial" w:hAnsi="Arial"/>
          <w:sz w:val="18"/>
          <w:szCs w:val="18"/>
          <w:color w:val="0088A6"/>
        </w:rPr>
      </w:pPr>
      <w:r>
        <w:rPr>
          <w:rFonts w:ascii="Arial" w:cs="Arial" w:eastAsia="Arial" w:hAnsi="Arial"/>
          <w:sz w:val="18"/>
          <w:szCs w:val="18"/>
          <w:color w:val="auto"/>
        </w:rPr>
        <w:t>a majority of the directors on the board are replaced by directors not endorsed by at least two-thirds of the members of the board before the date of appointment or election;</w:t>
      </w:r>
    </w:p>
    <w:p>
      <w:pPr>
        <w:spacing w:after="0" w:line="60" w:lineRule="exact"/>
        <w:rPr>
          <w:rFonts w:ascii="Arial" w:cs="Arial" w:eastAsia="Arial" w:hAnsi="Arial"/>
          <w:sz w:val="18"/>
          <w:szCs w:val="18"/>
          <w:color w:val="0088A6"/>
        </w:rPr>
      </w:pPr>
    </w:p>
    <w:p>
      <w:pPr>
        <w:ind w:left="1120" w:right="340" w:hanging="437"/>
        <w:spacing w:after="0" w:line="236" w:lineRule="auto"/>
        <w:tabs>
          <w:tab w:leader="none" w:pos="1120" w:val="left"/>
        </w:tabs>
        <w:numPr>
          <w:ilvl w:val="0"/>
          <w:numId w:val="61"/>
        </w:numPr>
        <w:rPr>
          <w:rFonts w:ascii="Arial" w:cs="Arial" w:eastAsia="Arial" w:hAnsi="Arial"/>
          <w:sz w:val="18"/>
          <w:szCs w:val="18"/>
          <w:color w:val="0088A6"/>
        </w:rPr>
      </w:pPr>
      <w:r>
        <w:rPr>
          <w:rFonts w:ascii="Arial" w:cs="Arial" w:eastAsia="Arial" w:hAnsi="Arial"/>
          <w:sz w:val="18"/>
          <w:szCs w:val="18"/>
          <w:color w:val="auto"/>
        </w:rPr>
        <w:t>the consummation of a merger or consolidation, unless (1) the company’s voting securities prior to the transaction continue to represent more than 50% of the voting securities of the surviving entity (either by remaining outstanding or being converted into voting securities of the surviving entity) or (2) the transaction effectuates a recapitalization of the company in which no person directly or indirectly acquires more than 50% of the company’s then outstanding voting securities (other than acquisitions directly from the company); or</w:t>
      </w:r>
    </w:p>
    <w:p>
      <w:pPr>
        <w:spacing w:after="0" w:line="62" w:lineRule="exact"/>
        <w:rPr>
          <w:rFonts w:ascii="Arial" w:cs="Arial" w:eastAsia="Arial" w:hAnsi="Arial"/>
          <w:sz w:val="18"/>
          <w:szCs w:val="18"/>
          <w:color w:val="0088A6"/>
        </w:rPr>
      </w:pPr>
    </w:p>
    <w:p>
      <w:pPr>
        <w:ind w:left="1120" w:hanging="437"/>
        <w:spacing w:after="0"/>
        <w:tabs>
          <w:tab w:leader="none" w:pos="1120" w:val="left"/>
        </w:tabs>
        <w:numPr>
          <w:ilvl w:val="0"/>
          <w:numId w:val="61"/>
        </w:numPr>
        <w:rPr>
          <w:rFonts w:ascii="Arial" w:cs="Arial" w:eastAsia="Arial" w:hAnsi="Arial"/>
          <w:sz w:val="18"/>
          <w:szCs w:val="18"/>
          <w:color w:val="0088A6"/>
        </w:rPr>
      </w:pPr>
      <w:r>
        <w:rPr>
          <w:rFonts w:ascii="Arial" w:cs="Arial" w:eastAsia="Arial" w:hAnsi="Arial"/>
          <w:sz w:val="18"/>
          <w:szCs w:val="18"/>
          <w:color w:val="auto"/>
        </w:rPr>
        <w:t>the sale or disposition by the company of all or substantially all of its assets.</w:t>
      </w:r>
    </w:p>
    <w:p>
      <w:pPr>
        <w:spacing w:after="0" w:line="117"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We also have provisions in our Equity Plan that provide for the accelerated vesting of outstanding unvested equity awards in the event of a termination due to a change in control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0088A6"/>
        </w:rPr>
        <w:t>Robert Greifeld</w:t>
      </w:r>
    </w:p>
    <w:p>
      <w:pPr>
        <w:spacing w:after="0" w:line="68" w:lineRule="exact"/>
        <w:rPr>
          <w:sz w:val="20"/>
          <w:szCs w:val="20"/>
          <w:color w:val="auto"/>
        </w:rPr>
      </w:pPr>
    </w:p>
    <w:p>
      <w:pPr>
        <w:ind w:right="440"/>
        <w:spacing w:after="0" w:line="299" w:lineRule="auto"/>
        <w:rPr>
          <w:sz w:val="20"/>
          <w:szCs w:val="20"/>
          <w:color w:val="auto"/>
        </w:rPr>
      </w:pPr>
      <w:r>
        <w:rPr>
          <w:rFonts w:ascii="Arial" w:cs="Arial" w:eastAsia="Arial" w:hAnsi="Arial"/>
          <w:sz w:val="16"/>
          <w:szCs w:val="16"/>
          <w:color w:val="auto"/>
        </w:rPr>
        <w:t>Under Mr. Greifeld’s employment agreement, if his employment is terminated within two years after a change in control either by the company without cause or by Mr. Greifeld for good reason, he will be entitled to the following severance payments and benefits from the company:</w:t>
      </w:r>
    </w:p>
    <w:p>
      <w:pPr>
        <w:spacing w:after="0" w:line="14" w:lineRule="exact"/>
        <w:rPr>
          <w:sz w:val="20"/>
          <w:szCs w:val="20"/>
          <w:color w:val="auto"/>
        </w:rPr>
      </w:pPr>
    </w:p>
    <w:p>
      <w:pPr>
        <w:ind w:left="1120" w:right="100" w:hanging="437"/>
        <w:spacing w:after="0" w:line="299" w:lineRule="auto"/>
        <w:tabs>
          <w:tab w:leader="none" w:pos="1120" w:val="left"/>
        </w:tabs>
        <w:numPr>
          <w:ilvl w:val="0"/>
          <w:numId w:val="62"/>
        </w:numPr>
        <w:rPr>
          <w:rFonts w:ascii="Arial" w:cs="Arial" w:eastAsia="Arial" w:hAnsi="Arial"/>
          <w:sz w:val="16"/>
          <w:szCs w:val="16"/>
          <w:color w:val="0088A6"/>
        </w:rPr>
      </w:pPr>
      <w:r>
        <w:rPr>
          <w:rFonts w:ascii="Arial" w:cs="Arial" w:eastAsia="Arial" w:hAnsi="Arial"/>
          <w:sz w:val="16"/>
          <w:szCs w:val="16"/>
          <w:color w:val="auto"/>
        </w:rPr>
        <w:t>a cash payment for unpaid base salary through the date of termination, accrued but unpaid vacation through the date of termination and any earned but unpaid incentive compensation for the calendar year prior to the date of termination (Base Obligations);</w:t>
      </w:r>
    </w:p>
    <w:p>
      <w:pPr>
        <w:spacing w:after="0" w:line="14" w:lineRule="exact"/>
        <w:rPr>
          <w:rFonts w:ascii="Arial" w:cs="Arial" w:eastAsia="Arial" w:hAnsi="Arial"/>
          <w:sz w:val="16"/>
          <w:szCs w:val="16"/>
          <w:color w:val="0088A6"/>
        </w:rPr>
      </w:pPr>
    </w:p>
    <w:p>
      <w:pPr>
        <w:ind w:left="1120" w:right="80" w:hanging="437"/>
        <w:spacing w:after="0" w:line="238" w:lineRule="auto"/>
        <w:tabs>
          <w:tab w:leader="none" w:pos="1120" w:val="left"/>
        </w:tabs>
        <w:numPr>
          <w:ilvl w:val="0"/>
          <w:numId w:val="62"/>
        </w:numPr>
        <w:rPr>
          <w:rFonts w:ascii="Arial" w:cs="Arial" w:eastAsia="Arial" w:hAnsi="Arial"/>
          <w:sz w:val="18"/>
          <w:szCs w:val="18"/>
          <w:color w:val="0088A6"/>
        </w:rPr>
      </w:pPr>
      <w:r>
        <w:rPr>
          <w:rFonts w:ascii="Arial" w:cs="Arial" w:eastAsia="Arial" w:hAnsi="Arial"/>
          <w:sz w:val="18"/>
          <w:szCs w:val="18"/>
          <w:color w:val="auto"/>
        </w:rPr>
        <w:t>a cash payment equal to the sum of: (i) two times the prior year’s annual base salary, (ii) the target bonus amount for the calendar year preceding the year in which the termination occurs and (iii) any pro rata target bonus with respect to the calendar year in which the termination occurs to the extent that performance goals are satisfied;</w:t>
      </w:r>
    </w:p>
    <w:p>
      <w:pPr>
        <w:spacing w:after="0" w:line="59" w:lineRule="exact"/>
        <w:rPr>
          <w:rFonts w:ascii="Arial" w:cs="Arial" w:eastAsia="Arial" w:hAnsi="Arial"/>
          <w:sz w:val="18"/>
          <w:szCs w:val="18"/>
          <w:color w:val="0088A6"/>
        </w:rPr>
      </w:pPr>
    </w:p>
    <w:p>
      <w:pPr>
        <w:ind w:left="1120" w:right="100" w:hanging="437"/>
        <w:spacing w:after="0" w:line="237" w:lineRule="auto"/>
        <w:tabs>
          <w:tab w:leader="none" w:pos="1120" w:val="left"/>
        </w:tabs>
        <w:numPr>
          <w:ilvl w:val="0"/>
          <w:numId w:val="62"/>
        </w:numPr>
        <w:rPr>
          <w:rFonts w:ascii="Arial" w:cs="Arial" w:eastAsia="Arial" w:hAnsi="Arial"/>
          <w:sz w:val="18"/>
          <w:szCs w:val="18"/>
          <w:color w:val="0088A6"/>
        </w:rPr>
      </w:pPr>
      <w:r>
        <w:rPr>
          <w:rFonts w:ascii="Arial" w:cs="Arial" w:eastAsia="Arial" w:hAnsi="Arial"/>
          <w:sz w:val="18"/>
          <w:szCs w:val="18"/>
          <w:color w:val="auto"/>
        </w:rPr>
        <w:t>a taxable monthly cash payment equal to the Consolidated Omnibus Budget Reconciliation Act (COBRA) premium for the highest level of coverage available under the company’s group health plans, reduced by the monthly amount that Mr. Greifeld would pay for such coverage if he was an active employee, until the earlier of 24 months or the date he is eligible for coverage under the health care plans of a subsequent employer; and</w:t>
      </w:r>
    </w:p>
    <w:p>
      <w:pPr>
        <w:spacing w:after="0" w:line="60" w:lineRule="exact"/>
        <w:rPr>
          <w:rFonts w:ascii="Arial" w:cs="Arial" w:eastAsia="Arial" w:hAnsi="Arial"/>
          <w:sz w:val="18"/>
          <w:szCs w:val="18"/>
          <w:color w:val="0088A6"/>
        </w:rPr>
      </w:pPr>
    </w:p>
    <w:p>
      <w:pPr>
        <w:ind w:left="1120" w:right="440" w:hanging="437"/>
        <w:spacing w:after="0" w:line="239" w:lineRule="auto"/>
        <w:tabs>
          <w:tab w:leader="none" w:pos="1120" w:val="left"/>
        </w:tabs>
        <w:numPr>
          <w:ilvl w:val="0"/>
          <w:numId w:val="62"/>
        </w:numPr>
        <w:rPr>
          <w:rFonts w:ascii="Arial" w:cs="Arial" w:eastAsia="Arial" w:hAnsi="Arial"/>
          <w:sz w:val="18"/>
          <w:szCs w:val="18"/>
          <w:color w:val="0088A6"/>
        </w:rPr>
      </w:pPr>
      <w:r>
        <w:rPr>
          <w:rFonts w:ascii="Arial" w:cs="Arial" w:eastAsia="Arial" w:hAnsi="Arial"/>
          <w:sz w:val="18"/>
          <w:szCs w:val="18"/>
          <w:color w:val="auto"/>
        </w:rPr>
        <w:t>continued life insurance and accidental death and dismemberment insurance benefits for 24 months for the same period as the continued health coverage payments.</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Under a “best net provision,” if any amounts payable to Mr. Greifeld due to a change in control would be characterized as excess parachute payments and due to that characterization, Mr. Greifeld would be subject to an excise tax under the Code, the amounts will be reduced. The reduction will be to an amount so that none of the amounts payable constitute excess parachute payments if this would result, after taking into account the applicable federal, state and local income taxes and the excise tax imposed by Section 4999, in Mr. Greifeld’s receipt on an after-tax basis of the greatest amount of termination and other benefits.</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Mr. Greifeld’s right to these amounts is subject to his compliance with several restrictive covenants in his employment agreement and confidentiality, non-solicitation and invention assignment agreement, including covenants that require him to maintain the confidentiality of the company’s proprietary information and to refrain from disparaging the company. Mr. Greifeld also is prohibited from soliciting the company’s employees or rendering services for a competing entity for a period of two years following the date of termination. Further, to receive payments and benefits upon a change in control, Mr. Greifeld must execute a general release of claims against the company. In addition, the change in control payments and benefits generally are subject to discontinuation in the event Mr. Greifeld breaches the restrictive covenants.</w:t>
      </w:r>
    </w:p>
    <w:p>
      <w:pPr>
        <w:spacing w:after="0" w:line="116"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In addition to the payments described above, under a change in control, Mr. Greifeld would be entitled to any vested Pension Plan and SERP benefits.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0088A6"/>
        </w:rPr>
        <w:t>Hans-Ole Jochumsen</w:t>
      </w:r>
    </w:p>
    <w:p>
      <w:pPr>
        <w:spacing w:after="0" w:line="68"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Under Mr. Jochumsens’s employment agreement, if his employment is terminated by the company on grounds other than Mr. Jochumsen’s substantial breach of the agreement, the company must give Mr. Jochumsen twelve months’ notice of termination, and Mr. Jochumsen will be entitled to severance pay equal to six months’ salary payable in a lump sum on his last day of employment.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0088A6"/>
        </w:rPr>
        <w:t>Other Named Executive Officers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the letter agreements with the named executive officers (other than Messrs. Greifeld and Jochumsen), if the executive’s employment is terminated by the company without cause or by the executive for good reason, either (x) during the 180 day period immediately prior to a change in control of the company (if the executive can reasonably demonstrate that the termination or good reason event was at the request of a third party that effects the change in control) or (y) during the one year period immediately following the change in control, then he or she will be entitled to the following severance payments and benefits from the company:</w:t>
      </w:r>
    </w:p>
    <w:p>
      <w:pPr>
        <w:spacing w:after="0" w:line="63" w:lineRule="exact"/>
        <w:rPr>
          <w:sz w:val="20"/>
          <w:szCs w:val="20"/>
          <w:color w:val="auto"/>
        </w:rPr>
      </w:pPr>
    </w:p>
    <w:p>
      <w:pPr>
        <w:ind w:left="1120" w:hanging="437"/>
        <w:spacing w:after="0"/>
        <w:tabs>
          <w:tab w:leader="none" w:pos="1120" w:val="left"/>
        </w:tabs>
        <w:numPr>
          <w:ilvl w:val="0"/>
          <w:numId w:val="63"/>
        </w:numPr>
        <w:rPr>
          <w:rFonts w:ascii="Arial" w:cs="Arial" w:eastAsia="Arial" w:hAnsi="Arial"/>
          <w:sz w:val="18"/>
          <w:szCs w:val="18"/>
          <w:color w:val="0088A6"/>
        </w:rPr>
      </w:pPr>
      <w:r>
        <w:rPr>
          <w:rFonts w:ascii="Arial" w:cs="Arial" w:eastAsia="Arial" w:hAnsi="Arial"/>
          <w:sz w:val="18"/>
          <w:szCs w:val="18"/>
          <w:color w:val="auto"/>
        </w:rPr>
        <w:t>cash payments equal to 24 months of annual base salary;</w:t>
      </w:r>
    </w:p>
    <w:p>
      <w:pPr>
        <w:spacing w:after="0" w:line="63" w:lineRule="exact"/>
        <w:rPr>
          <w:rFonts w:ascii="Arial" w:cs="Arial" w:eastAsia="Arial" w:hAnsi="Arial"/>
          <w:sz w:val="18"/>
          <w:szCs w:val="18"/>
          <w:color w:val="0088A6"/>
        </w:rPr>
      </w:pPr>
    </w:p>
    <w:p>
      <w:pPr>
        <w:ind w:left="1120" w:right="60" w:hanging="437"/>
        <w:spacing w:after="0" w:line="239" w:lineRule="auto"/>
        <w:tabs>
          <w:tab w:leader="none" w:pos="1120" w:val="left"/>
        </w:tabs>
        <w:numPr>
          <w:ilvl w:val="0"/>
          <w:numId w:val="63"/>
        </w:numPr>
        <w:rPr>
          <w:rFonts w:ascii="Arial" w:cs="Arial" w:eastAsia="Arial" w:hAnsi="Arial"/>
          <w:sz w:val="18"/>
          <w:szCs w:val="18"/>
          <w:color w:val="0088A6"/>
        </w:rPr>
      </w:pPr>
      <w:r>
        <w:rPr>
          <w:rFonts w:ascii="Arial" w:cs="Arial" w:eastAsia="Arial" w:hAnsi="Arial"/>
          <w:sz w:val="18"/>
          <w:szCs w:val="18"/>
          <w:color w:val="auto"/>
        </w:rPr>
        <w:t>100% of the annual target incentive award for the year in which termination occurs plus any earned but unpaid cash incentive award for a completed plan year;</w:t>
      </w:r>
    </w:p>
    <w:p>
      <w:pPr>
        <w:spacing w:after="0" w:line="60" w:lineRule="exact"/>
        <w:rPr>
          <w:rFonts w:ascii="Arial" w:cs="Arial" w:eastAsia="Arial" w:hAnsi="Arial"/>
          <w:sz w:val="18"/>
          <w:szCs w:val="18"/>
          <w:color w:val="0088A6"/>
        </w:rPr>
      </w:pPr>
    </w:p>
    <w:p>
      <w:pPr>
        <w:ind w:left="1120" w:right="20" w:hanging="437"/>
        <w:spacing w:after="0" w:line="238" w:lineRule="auto"/>
        <w:tabs>
          <w:tab w:leader="none" w:pos="1120" w:val="left"/>
        </w:tabs>
        <w:numPr>
          <w:ilvl w:val="0"/>
          <w:numId w:val="63"/>
        </w:numPr>
        <w:rPr>
          <w:rFonts w:ascii="Arial" w:cs="Arial" w:eastAsia="Arial" w:hAnsi="Arial"/>
          <w:sz w:val="18"/>
          <w:szCs w:val="18"/>
          <w:color w:val="0088A6"/>
        </w:rPr>
      </w:pPr>
      <w:r>
        <w:rPr>
          <w:rFonts w:ascii="Arial" w:cs="Arial" w:eastAsia="Arial" w:hAnsi="Arial"/>
          <w:sz w:val="18"/>
          <w:szCs w:val="18"/>
          <w:color w:val="auto"/>
        </w:rPr>
        <w:t>payment of COBRA premiums for continued medical and dental benefits until the earlier of (1) termination of the executive’s COBRA continuation period; (2) 24 months following termination; or (3) the date the executive secures subsequent employment with comparable medical and dental coverage;</w:t>
      </w:r>
    </w:p>
    <w:p>
      <w:pPr>
        <w:spacing w:after="0" w:line="59" w:lineRule="exact"/>
        <w:rPr>
          <w:rFonts w:ascii="Arial" w:cs="Arial" w:eastAsia="Arial" w:hAnsi="Arial"/>
          <w:sz w:val="18"/>
          <w:szCs w:val="18"/>
          <w:color w:val="0088A6"/>
        </w:rPr>
      </w:pPr>
    </w:p>
    <w:p>
      <w:pPr>
        <w:ind w:left="1120" w:hanging="437"/>
        <w:spacing w:after="0"/>
        <w:tabs>
          <w:tab w:leader="none" w:pos="1120" w:val="left"/>
        </w:tabs>
        <w:numPr>
          <w:ilvl w:val="0"/>
          <w:numId w:val="63"/>
        </w:numPr>
        <w:rPr>
          <w:rFonts w:ascii="Arial" w:cs="Arial" w:eastAsia="Arial" w:hAnsi="Arial"/>
          <w:sz w:val="18"/>
          <w:szCs w:val="18"/>
          <w:color w:val="0088A6"/>
        </w:rPr>
      </w:pPr>
      <w:r>
        <w:rPr>
          <w:rFonts w:ascii="Arial" w:cs="Arial" w:eastAsia="Arial" w:hAnsi="Arial"/>
          <w:sz w:val="18"/>
          <w:szCs w:val="18"/>
          <w:color w:val="auto"/>
        </w:rPr>
        <w:t>continued life insurance and accidental death and dismemberment insurance benefits for 24 months;</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63"/>
        </w:numPr>
        <w:rPr>
          <w:rFonts w:ascii="Arial" w:cs="Arial" w:eastAsia="Arial" w:hAnsi="Arial"/>
          <w:sz w:val="18"/>
          <w:szCs w:val="18"/>
          <w:color w:val="0088A6"/>
        </w:rPr>
      </w:pPr>
      <w:r>
        <w:rPr>
          <w:rFonts w:ascii="Arial" w:cs="Arial" w:eastAsia="Arial" w:hAnsi="Arial"/>
          <w:sz w:val="18"/>
          <w:szCs w:val="18"/>
          <w:color w:val="auto"/>
        </w:rPr>
        <w:t>any vested accrued benefits under the Pension Plan or SERP; and</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63"/>
        </w:numPr>
        <w:rPr>
          <w:rFonts w:ascii="Arial" w:cs="Arial" w:eastAsia="Arial" w:hAnsi="Arial"/>
          <w:sz w:val="18"/>
          <w:szCs w:val="18"/>
          <w:color w:val="0088A6"/>
        </w:rPr>
      </w:pPr>
      <w:r>
        <w:rPr>
          <w:rFonts w:ascii="Arial" w:cs="Arial" w:eastAsia="Arial" w:hAnsi="Arial"/>
          <w:sz w:val="18"/>
          <w:szCs w:val="18"/>
          <w:color w:val="auto"/>
        </w:rPr>
        <w:t>outplacement services for a period of 12 months or, if earlier, until the executive’s first acceptance of an employment offer.</w:t>
      </w:r>
    </w:p>
    <w:p>
      <w:pPr>
        <w:spacing w:after="0" w:line="117"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An executive is not entitled to benefits under the letter agreements if his or her termination of employment is on account of his or her death or disability.</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addition, the letter agreements do not provide for indemnification of any “golden parachute” excise taxes that may be payable by an executive under Section 4999 of the Code in connection with the change in control of the company. Rather, the agreements provide, if any payments or benefits to an executive would be subject to an excise tax under Section 4999, payments and/or benefits to the executive would be reduced to an amount that would not trigger such excise tax.</w:t>
      </w:r>
    </w:p>
    <w:p>
      <w:pPr>
        <w:spacing w:after="0" w:line="1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letter agreements contain restrictive covenants, which, among other things, require the executive to maintain the confidentiality of the company’s proprietary information and to refrain from disparaging the company. The executive is also prohibited from soliciting the company’s employees or rendering services to a competing entity for a period of one year following termination in connection with a change in control. Further, to receive the payments and benefits, the executive must execute a general release of claims against the company. In addition, the change in control payments and benefits generally are subject to discontinuation in the event an executive breaches the restrictive covenants.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0088A6"/>
        </w:rPr>
        <w:t>Equity Plan</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respect to a change in control, the employment agreements of Messrs. Greifeld and Jochumsen and the letter agreements of the other named executive officers do not change the terms of existing equity awards, which continue to be governed by the Equity Plan and the relevant terms and conditions of the individual award agreements. Under the Equity Plan, if an employee, including a named executive officer, is terminated by the company other than for cause within a one year period after a change in control of the company, the vesting of all outstanding unvested equity awards will accelerate to the date of termination.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(other than for Cause or Change in Control)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0088A6"/>
        </w:rPr>
        <w:t>Robert Greifeld</w:t>
      </w:r>
    </w:p>
    <w:p>
      <w:pPr>
        <w:spacing w:after="0" w:line="6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Mr. Greifeld’s employment agreement, if his employment is terminated by the company without cause, or by Mr. Greifeld for good reason, he will be entitled to the following severance payments and benefits from the company:</w:t>
      </w:r>
    </w:p>
    <w:p>
      <w:pPr>
        <w:spacing w:after="0" w:line="60" w:lineRule="exact"/>
        <w:rPr>
          <w:sz w:val="20"/>
          <w:szCs w:val="20"/>
          <w:color w:val="auto"/>
        </w:rPr>
      </w:pPr>
    </w:p>
    <w:p>
      <w:pPr>
        <w:ind w:left="1120" w:hanging="437"/>
        <w:spacing w:after="0"/>
        <w:tabs>
          <w:tab w:leader="none" w:pos="1120" w:val="left"/>
        </w:tabs>
        <w:numPr>
          <w:ilvl w:val="0"/>
          <w:numId w:val="64"/>
        </w:numPr>
        <w:rPr>
          <w:rFonts w:ascii="Arial" w:cs="Arial" w:eastAsia="Arial" w:hAnsi="Arial"/>
          <w:sz w:val="18"/>
          <w:szCs w:val="18"/>
          <w:color w:val="0088A6"/>
        </w:rPr>
      </w:pPr>
      <w:r>
        <w:rPr>
          <w:rFonts w:ascii="Arial" w:cs="Arial" w:eastAsia="Arial" w:hAnsi="Arial"/>
          <w:sz w:val="18"/>
          <w:szCs w:val="18"/>
          <w:color w:val="auto"/>
        </w:rPr>
        <w:t>the Base Obligations;</w:t>
      </w:r>
    </w:p>
    <w:p>
      <w:pPr>
        <w:spacing w:after="0" w:line="63" w:lineRule="exact"/>
        <w:rPr>
          <w:rFonts w:ascii="Arial" w:cs="Arial" w:eastAsia="Arial" w:hAnsi="Arial"/>
          <w:sz w:val="18"/>
          <w:szCs w:val="18"/>
          <w:color w:val="0088A6"/>
        </w:rPr>
      </w:pPr>
    </w:p>
    <w:p>
      <w:pPr>
        <w:ind w:left="1120" w:right="80" w:hanging="437"/>
        <w:spacing w:after="0" w:line="238" w:lineRule="auto"/>
        <w:tabs>
          <w:tab w:leader="none" w:pos="1120" w:val="left"/>
        </w:tabs>
        <w:numPr>
          <w:ilvl w:val="0"/>
          <w:numId w:val="64"/>
        </w:numPr>
        <w:rPr>
          <w:rFonts w:ascii="Arial" w:cs="Arial" w:eastAsia="Arial" w:hAnsi="Arial"/>
          <w:sz w:val="18"/>
          <w:szCs w:val="18"/>
          <w:color w:val="0088A6"/>
        </w:rPr>
      </w:pPr>
      <w:r>
        <w:rPr>
          <w:rFonts w:ascii="Arial" w:cs="Arial" w:eastAsia="Arial" w:hAnsi="Arial"/>
          <w:sz w:val="18"/>
          <w:szCs w:val="18"/>
          <w:color w:val="auto"/>
        </w:rPr>
        <w:t>a cash payment equal to the sum of: (i) two times the prior year’s annual base salary, (ii) the target bonus amount for the calendar year preceding the year in which the termination occurs and (iii) any pro rata target bonus with respect to the calendar year in which the termination occurs to the extent that performance goals are satisfied; and</w:t>
      </w:r>
    </w:p>
    <w:p>
      <w:pPr>
        <w:spacing w:after="0" w:line="59" w:lineRule="exact"/>
        <w:rPr>
          <w:rFonts w:ascii="Arial" w:cs="Arial" w:eastAsia="Arial" w:hAnsi="Arial"/>
          <w:sz w:val="18"/>
          <w:szCs w:val="18"/>
          <w:color w:val="0088A6"/>
        </w:rPr>
      </w:pPr>
    </w:p>
    <w:p>
      <w:pPr>
        <w:ind w:left="1120" w:right="360" w:hanging="437"/>
        <w:spacing w:after="0" w:line="281" w:lineRule="auto"/>
        <w:tabs>
          <w:tab w:leader="none" w:pos="1120" w:val="left"/>
        </w:tabs>
        <w:numPr>
          <w:ilvl w:val="0"/>
          <w:numId w:val="64"/>
        </w:numPr>
        <w:rPr>
          <w:rFonts w:ascii="Arial" w:cs="Arial" w:eastAsia="Arial" w:hAnsi="Arial"/>
          <w:sz w:val="16"/>
          <w:szCs w:val="16"/>
          <w:color w:val="0088A6"/>
        </w:rPr>
      </w:pPr>
      <w:r>
        <w:rPr>
          <w:rFonts w:ascii="Arial" w:cs="Arial" w:eastAsia="Arial" w:hAnsi="Arial"/>
          <w:sz w:val="16"/>
          <w:szCs w:val="16"/>
          <w:color w:val="auto"/>
        </w:rPr>
        <w:t>a taxable monthly cash payment equal to the COBRA premium for the highest level of coverage available under the company’s group health plans, reduced by the monthly amount that Mr. Greifeld would pay for such coverage if he was an active employee, until the earlier of 24 months or the date he is eligible for coverage under the health care plans of a subsequent employer.</w:t>
      </w:r>
    </w:p>
    <w:p>
      <w:pPr>
        <w:spacing w:after="0" w:line="8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addition, Mr. Greifeld would be entitled to any vested Pension Plan and SERP benefits. Mr. Greifeld’s vested stock options would remain exercisable for 36 months, his unvested options, if any, would continue to vest for 30 months subject to restrictive covenants and any performance share units would continue to vest subject to the satisfaction of the related performance objectives and continued compliance with the restrictive covenants.</w:t>
      </w:r>
    </w:p>
    <w:p>
      <w:pPr>
        <w:spacing w:after="0" w:line="11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Mr. Greifeld also may terminate his employment by providing the company with at least 270 days prior written notice. If Mr. Greifeld’s employment is terminated due to delivery of such notice, he will be entitled to the following payments and benefits:</w:t>
      </w:r>
    </w:p>
    <w:p>
      <w:pPr>
        <w:spacing w:after="0" w:line="60" w:lineRule="exact"/>
        <w:rPr>
          <w:sz w:val="20"/>
          <w:szCs w:val="20"/>
          <w:color w:val="auto"/>
        </w:rPr>
      </w:pPr>
    </w:p>
    <w:p>
      <w:pPr>
        <w:ind w:left="1120" w:hanging="437"/>
        <w:spacing w:after="0"/>
        <w:tabs>
          <w:tab w:leader="none" w:pos="1120" w:val="left"/>
        </w:tabs>
        <w:numPr>
          <w:ilvl w:val="0"/>
          <w:numId w:val="65"/>
        </w:numPr>
        <w:rPr>
          <w:rFonts w:ascii="Arial" w:cs="Arial" w:eastAsia="Arial" w:hAnsi="Arial"/>
          <w:sz w:val="18"/>
          <w:szCs w:val="18"/>
          <w:color w:val="0088A6"/>
        </w:rPr>
      </w:pPr>
      <w:r>
        <w:rPr>
          <w:rFonts w:ascii="Arial" w:cs="Arial" w:eastAsia="Arial" w:hAnsi="Arial"/>
          <w:sz w:val="18"/>
          <w:szCs w:val="18"/>
          <w:color w:val="auto"/>
        </w:rPr>
        <w:t>the Base Obligations;</w:t>
      </w:r>
    </w:p>
    <w:p>
      <w:pPr>
        <w:spacing w:after="0" w:line="63" w:lineRule="exact"/>
        <w:rPr>
          <w:rFonts w:ascii="Arial" w:cs="Arial" w:eastAsia="Arial" w:hAnsi="Arial"/>
          <w:sz w:val="18"/>
          <w:szCs w:val="18"/>
          <w:color w:val="0088A6"/>
        </w:rPr>
      </w:pPr>
    </w:p>
    <w:p>
      <w:pPr>
        <w:ind w:left="1120" w:right="300" w:hanging="437"/>
        <w:spacing w:after="0" w:line="239" w:lineRule="auto"/>
        <w:tabs>
          <w:tab w:leader="none" w:pos="1120" w:val="left"/>
        </w:tabs>
        <w:numPr>
          <w:ilvl w:val="0"/>
          <w:numId w:val="65"/>
        </w:numPr>
        <w:rPr>
          <w:rFonts w:ascii="Arial" w:cs="Arial" w:eastAsia="Arial" w:hAnsi="Arial"/>
          <w:sz w:val="18"/>
          <w:szCs w:val="18"/>
          <w:color w:val="0088A6"/>
        </w:rPr>
      </w:pPr>
      <w:r>
        <w:rPr>
          <w:rFonts w:ascii="Arial" w:cs="Arial" w:eastAsia="Arial" w:hAnsi="Arial"/>
          <w:sz w:val="18"/>
          <w:szCs w:val="18"/>
          <w:color w:val="auto"/>
        </w:rPr>
        <w:t>a cash payment equal to any pro rata target bonus with respect to the calendar year in which the termination occurs to the extent that performance goals are satisfied; and</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20" w:hanging="437"/>
        <w:spacing w:after="0"/>
        <w:tabs>
          <w:tab w:leader="none" w:pos="1120" w:val="left"/>
        </w:tabs>
        <w:numPr>
          <w:ilvl w:val="0"/>
          <w:numId w:val="66"/>
        </w:numPr>
        <w:rPr>
          <w:rFonts w:ascii="Arial" w:cs="Arial" w:eastAsia="Arial" w:hAnsi="Arial"/>
          <w:sz w:val="18"/>
          <w:szCs w:val="18"/>
          <w:color w:val="0088A6"/>
        </w:rPr>
      </w:pPr>
      <w:r>
        <w:rPr>
          <w:rFonts w:ascii="Arial" w:cs="Arial" w:eastAsia="Arial" w:hAnsi="Arial"/>
          <w:sz w:val="18"/>
          <w:szCs w:val="18"/>
          <w:color w:val="auto"/>
        </w:rPr>
        <w:t>continued vesting of all outstanding equity awards, based on actual performance during the relevant performance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0088A6"/>
        </w:rPr>
        <w:t>Lee Shavel</w:t>
      </w:r>
    </w:p>
    <w:p>
      <w:pPr>
        <w:spacing w:after="0" w:line="6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Under the terms of Mr. Shavel’s employment offer letter, in the event of a reduction-in-force or other involuntary termination of employment (other than a termination for “cause” as defined in the Equity Plan or a change in control of the company) during the first three years of employment, Mr. Shavel will be eligible for 15 months of severance pay at his then current base salary and any additional severance benefits (excluding severance pay) provided under the company’s then current in-practice severance policy.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0088A6"/>
        </w:rPr>
        <w:t>Hans-Ole Jochumsen</w:t>
      </w:r>
    </w:p>
    <w:p>
      <w:pPr>
        <w:spacing w:after="0" w:line="95"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Under Mr. Jochumsens’s employment agreement, if his employment is terminated by the company on grounds other than Mr. Jochumsen’s substantial breach of the agreement, the company must give Mr. Jochumsen twelve months’ notice of termination, and Mr. Jochumsen will be entitled to severance pay equal to six months’ salary payable in a lump sum on his last day of employment.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0088A6"/>
        </w:rPr>
        <w:t>Other Named Executive Officers</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Other than Messrs. Greifeld, Jochumsen and Shavel, none of the other named executive officers has an agreement with the company providing for severance payments and benefits in the event of termination of employment for reasons other than a change in control. According to predetermined NASDAQ OMX guidelines regarding post-termination payments, in the event of a reduction-in-force or other involuntary termination of employment (other than a “for cause” termination), the other named executives are entitled to receive 15 months of base salary continuation, eligibility to purchase COBRA health benefits for 18 months and up to nine months of outplacement services. Any severance payments and benefits would be made at the sole discretion of the company.</w:t>
      </w:r>
    </w:p>
    <w:p>
      <w:pPr>
        <w:spacing w:after="0" w:line="11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ECIP, in the event a named executive officer’s employment is terminated for any reason other than death, disability or retirement, the executive’s right to a non-equity incentive plan compensation award for the calendar year of termination is forfeited. The management compensation committee, in its sole discretion, may pay a pro rata non-equity incentive plan compensation award to the executive for the calendar year of termination. However, in the case of retirement, no such pro-rata award shall be paid unless the performance goals associated with the award have been met.</w:t>
      </w:r>
    </w:p>
    <w:p>
      <w:pPr>
        <w:spacing w:after="0" w:line="11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In addition, upon termination of employment, the named executive officers would receive the benefits to which they would be entitled under the company’s Pension Plan and SERP to the extent that they are vested in these plans.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Death, Disability or Retirement</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Upon termination of employment on account of death or disability, the named executive officers receive payments pursuant to life insurance or disability insurance purchased by the executive and available to employees generally. Under the ECIP, a named executive officer may, in the discretion of the management compensation committee, receive a pro rata portion of his or her non-equity incentive plan compensation award in the event of death, disability or retirement (provided that, in the case of retirement, the performance goals associated with the award have been met). Under Mr. Greifeld’s employment agreement, in the event of death or disability, he is entitled to a pro rata target bonus with respect to the calendar year in which the date of termination occurs and accelerated vesting of all unvested stock option awards. With respect to the other named executive officers, under the relevant terms and conditions of the Equity Plan and the individual equity award agreements, all stock option or restricted stock awards that would have vested within one year from the date of death or disability will</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immediately vest and all vested options may be exercised until the earlier of one year from the date of death or disability or their expiration date. Under Mr. Greifeld’s existing PSU award agreements, his unvested PSU awards will continue to vest at the end of the performance period(s) for such awards. Under the PSU award agreements for the other named executive officers, in the event of disability, unvested PSU awards will be forfeited. In the event of death, unvested PSU awards will vest at the later of the date of death or the completion of the performance period(s) for such awards.</w:t>
      </w:r>
    </w:p>
    <w:p>
      <w:pPr>
        <w:spacing w:after="0" w:line="11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Upon retirement, the named executive officers receive the benefits to which they would be entitled under the company’s Pension Plan and SERP to the extent that they are vested in these plans. Under the term and conditions of the Equity Plan and the equity award agreements, all stock option and restricted stock awards that would have vested within one year from the date of retirement will immediately vest and all vested options may be exercised until the earlier of one year from the date of retirement or their expiration date. Under Mr. Greifeld’s existing PSU award agreements, his unvested PSU awards will continue to vest at the end of the performance period(s) for such awards. Under the PSU award agreements for the other named executive officers, in the event of retirement, unvested PSU awards will be forfeited.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Change in Control or Termination Payments and Benefits at the End of 2012</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tables below reflect the payments and benefits payable to each of the named executive officers in the event of a termination of the executive’s employment under several different circumstances. The amounts shown assume that termination was effective as of December 31, 2012, given the executive’s compensation and service levels as of that date, and are estimates of the amounts that would be payable to the named executive officers in each situation. The actual amounts to be paid can only be determined at the time of an executive’s actual separation from the company. Factors that may affect the nature and amount of payments made on termination of employment, among others, include the timing of the event, compensation level, the market price of the company’s common stock and the executive’s age.</w:t>
      </w:r>
    </w:p>
    <w:p>
      <w:pPr>
        <w:spacing w:after="0" w:line="11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reported value of the accelerated vesting of outstanding equity awards is based on the intrinsic value of these awards (the value based upon the market price of the company’s common stock on December 31, 2012, reduced in the case of stock options, by the option exercise price). In the case of performance share unit awards for which the performance period has not been completed, the number of shares with accelerated vesting is assumed to be at the target level and at the closing market price on December 31, 2012. The amounts reported for Pension Plan and SERP benefits represent the actuarial present value of the named executive officer’s accumulated benefit under the Pension Plan and SERP as of December 31, 2012. Assumptions used in calculating the amounts include a 4.00% discount rate as of December 31, 2012, retirement at age 62 (which is the earliest age at which a participant may retire and receive unreduced benefits under the plans) and other assumptions used for financial reporting purposes under generally accepted accounting principles as described in footnote 11 to our audited financial statements for the fiscal year ended December 31, 2012 included in our Form 10-K. Under the Pension Plan and SERP, none of the named executive officers was eligible to retire and receive unreduced benefits as of December 31, 2012.</w:t>
      </w:r>
    </w:p>
    <w:p>
      <w:pPr>
        <w:spacing w:after="0" w:line="14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660" w:type="dxa"/>
            <w:vAlign w:val="bottom"/>
            <w:tcBorders>
              <w:left w:val="single" w:sz="8" w:color="BFBFBF"/>
              <w:right w:val="single" w:sz="8" w:color="BFBFBF"/>
            </w:tcBorders>
            <w:shd w:val="clear" w:color="auto" w:fill="0088A6"/>
          </w:tcPr>
          <w:p>
            <w:pPr>
              <w:spacing w:after="0"/>
              <w:rPr>
                <w:sz w:val="14"/>
                <w:szCs w:val="14"/>
                <w:color w:val="auto"/>
              </w:rPr>
            </w:pPr>
          </w:p>
        </w:tc>
        <w:tc>
          <w:tcPr>
            <w:tcW w:w="240" w:type="dxa"/>
            <w:vAlign w:val="bottom"/>
            <w:tcBorders>
              <w:right w:val="single" w:sz="8" w:color="0088A6"/>
            </w:tcBorders>
            <w:shd w:val="clear" w:color="auto" w:fill="0088A6"/>
          </w:tcPr>
          <w:p>
            <w:pPr>
              <w:spacing w:after="0"/>
              <w:rPr>
                <w:sz w:val="14"/>
                <w:szCs w:val="14"/>
                <w:color w:val="auto"/>
              </w:rPr>
            </w:pPr>
          </w:p>
        </w:tc>
        <w:tc>
          <w:tcPr>
            <w:tcW w:w="20" w:type="dxa"/>
            <w:vAlign w:val="bottom"/>
            <w:shd w:val="clear" w:color="auto" w:fill="0088A6"/>
          </w:tcPr>
          <w:p>
            <w:pPr>
              <w:spacing w:after="0"/>
              <w:rPr>
                <w:sz w:val="14"/>
                <w:szCs w:val="14"/>
                <w:color w:val="auto"/>
              </w:rPr>
            </w:pPr>
          </w:p>
        </w:tc>
        <w:tc>
          <w:tcPr>
            <w:tcW w:w="280" w:type="dxa"/>
            <w:vAlign w:val="bottom"/>
            <w:shd w:val="clear" w:color="auto" w:fill="0088A6"/>
          </w:tcPr>
          <w:p>
            <w:pPr>
              <w:spacing w:after="0"/>
              <w:rPr>
                <w:sz w:val="14"/>
                <w:szCs w:val="14"/>
                <w:color w:val="auto"/>
              </w:rPr>
            </w:pPr>
          </w:p>
        </w:tc>
        <w:tc>
          <w:tcPr>
            <w:tcW w:w="100" w:type="dxa"/>
            <w:vAlign w:val="bottom"/>
            <w:shd w:val="clear" w:color="auto" w:fill="0088A6"/>
          </w:tcPr>
          <w:p>
            <w:pPr>
              <w:spacing w:after="0"/>
              <w:rPr>
                <w:sz w:val="14"/>
                <w:szCs w:val="14"/>
                <w:color w:val="auto"/>
              </w:rPr>
            </w:pPr>
          </w:p>
        </w:tc>
        <w:tc>
          <w:tcPr>
            <w:tcW w:w="500" w:type="dxa"/>
            <w:vAlign w:val="bottom"/>
            <w:shd w:val="clear" w:color="auto" w:fill="0088A6"/>
          </w:tcPr>
          <w:p>
            <w:pPr>
              <w:spacing w:after="0"/>
              <w:rPr>
                <w:sz w:val="14"/>
                <w:szCs w:val="14"/>
                <w:color w:val="auto"/>
              </w:rPr>
            </w:pPr>
          </w:p>
        </w:tc>
        <w:tc>
          <w:tcPr>
            <w:tcW w:w="300" w:type="dxa"/>
            <w:vAlign w:val="bottom"/>
            <w:tcBorders>
              <w:right w:val="single" w:sz="8" w:color="0088A6"/>
            </w:tcBorders>
            <w:shd w:val="clear" w:color="auto" w:fill="0088A6"/>
          </w:tcPr>
          <w:p>
            <w:pPr>
              <w:spacing w:after="0"/>
              <w:rPr>
                <w:sz w:val="14"/>
                <w:szCs w:val="14"/>
                <w:color w:val="auto"/>
              </w:rPr>
            </w:pPr>
          </w:p>
        </w:tc>
        <w:tc>
          <w:tcPr>
            <w:tcW w:w="280" w:type="dxa"/>
            <w:vAlign w:val="bottom"/>
            <w:shd w:val="clear" w:color="auto" w:fill="0088A6"/>
          </w:tcPr>
          <w:p>
            <w:pPr>
              <w:spacing w:after="0"/>
              <w:rPr>
                <w:sz w:val="14"/>
                <w:szCs w:val="14"/>
                <w:color w:val="auto"/>
              </w:rPr>
            </w:pPr>
          </w:p>
        </w:tc>
        <w:tc>
          <w:tcPr>
            <w:tcW w:w="100" w:type="dxa"/>
            <w:vAlign w:val="bottom"/>
            <w:tcBorders>
              <w:right w:val="single" w:sz="8" w:color="0088A6"/>
            </w:tcBorders>
            <w:shd w:val="clear" w:color="auto" w:fill="0088A6"/>
          </w:tcPr>
          <w:p>
            <w:pPr>
              <w:spacing w:after="0"/>
              <w:rPr>
                <w:sz w:val="14"/>
                <w:szCs w:val="14"/>
                <w:color w:val="auto"/>
              </w:rPr>
            </w:pPr>
          </w:p>
        </w:tc>
        <w:tc>
          <w:tcPr>
            <w:tcW w:w="280" w:type="dxa"/>
            <w:vAlign w:val="bottom"/>
            <w:shd w:val="clear" w:color="auto" w:fill="0088A6"/>
          </w:tcPr>
          <w:p>
            <w:pPr>
              <w:spacing w:after="0"/>
              <w:rPr>
                <w:sz w:val="14"/>
                <w:szCs w:val="14"/>
                <w:color w:val="auto"/>
              </w:rPr>
            </w:pPr>
          </w:p>
        </w:tc>
        <w:tc>
          <w:tcPr>
            <w:tcW w:w="120" w:type="dxa"/>
            <w:vAlign w:val="bottom"/>
            <w:shd w:val="clear" w:color="auto" w:fill="0088A6"/>
          </w:tcPr>
          <w:p>
            <w:pPr>
              <w:spacing w:after="0"/>
              <w:rPr>
                <w:sz w:val="14"/>
                <w:szCs w:val="14"/>
                <w:color w:val="auto"/>
              </w:rPr>
            </w:pPr>
          </w:p>
        </w:tc>
        <w:tc>
          <w:tcPr>
            <w:tcW w:w="820" w:type="dxa"/>
            <w:vAlign w:val="bottom"/>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240" w:type="dxa"/>
            <w:vAlign w:val="bottom"/>
            <w:tcBorders>
              <w:right w:val="single" w:sz="8" w:color="BFBFBF"/>
            </w:tcBorders>
            <w:shd w:val="clear" w:color="auto" w:fill="0088A6"/>
          </w:tcPr>
          <w:p>
            <w:pPr>
              <w:spacing w:after="0"/>
              <w:rPr>
                <w:sz w:val="14"/>
                <w:szCs w:val="14"/>
                <w:color w:val="auto"/>
              </w:rPr>
            </w:pPr>
          </w:p>
        </w:tc>
        <w:tc>
          <w:tcPr>
            <w:tcW w:w="200" w:type="dxa"/>
            <w:vAlign w:val="bottom"/>
            <w:tcBorders>
              <w:right w:val="single" w:sz="8" w:color="0088A6"/>
            </w:tcBorders>
            <w:shd w:val="clear" w:color="auto" w:fill="0088A6"/>
          </w:tcPr>
          <w:p>
            <w:pPr>
              <w:spacing w:after="0"/>
              <w:rPr>
                <w:sz w:val="14"/>
                <w:szCs w:val="14"/>
                <w:color w:val="auto"/>
              </w:rPr>
            </w:pPr>
          </w:p>
        </w:tc>
        <w:tc>
          <w:tcPr>
            <w:tcW w:w="60" w:type="dxa"/>
            <w:vAlign w:val="bottom"/>
            <w:shd w:val="clear" w:color="auto" w:fill="0088A6"/>
          </w:tcPr>
          <w:p>
            <w:pPr>
              <w:spacing w:after="0"/>
              <w:rPr>
                <w:sz w:val="14"/>
                <w:szCs w:val="14"/>
                <w:color w:val="auto"/>
              </w:rPr>
            </w:pPr>
          </w:p>
        </w:tc>
        <w:tc>
          <w:tcPr>
            <w:tcW w:w="260" w:type="dxa"/>
            <w:vAlign w:val="bottom"/>
            <w:shd w:val="clear" w:color="auto" w:fill="0088A6"/>
          </w:tcPr>
          <w:p>
            <w:pPr>
              <w:spacing w:after="0"/>
              <w:rPr>
                <w:sz w:val="14"/>
                <w:szCs w:val="14"/>
                <w:color w:val="auto"/>
              </w:rPr>
            </w:pPr>
          </w:p>
        </w:tc>
        <w:tc>
          <w:tcPr>
            <w:tcW w:w="160" w:type="dxa"/>
            <w:vAlign w:val="bottom"/>
            <w:shd w:val="clear" w:color="auto" w:fill="0088A6"/>
          </w:tcPr>
          <w:p>
            <w:pPr>
              <w:spacing w:after="0"/>
              <w:rPr>
                <w:sz w:val="14"/>
                <w:szCs w:val="14"/>
                <w:color w:val="auto"/>
              </w:rPr>
            </w:pPr>
          </w:p>
        </w:tc>
        <w:tc>
          <w:tcPr>
            <w:tcW w:w="900" w:type="dxa"/>
            <w:vAlign w:val="bottom"/>
            <w:shd w:val="clear" w:color="auto" w:fill="0088A6"/>
          </w:tcPr>
          <w:p>
            <w:pPr>
              <w:spacing w:after="0"/>
              <w:rPr>
                <w:sz w:val="14"/>
                <w:szCs w:val="14"/>
                <w:color w:val="auto"/>
              </w:rPr>
            </w:pPr>
          </w:p>
        </w:tc>
        <w:tc>
          <w:tcPr>
            <w:tcW w:w="20" w:type="dxa"/>
            <w:vAlign w:val="bottom"/>
            <w:shd w:val="clear" w:color="auto" w:fill="0088A6"/>
          </w:tcPr>
          <w:p>
            <w:pPr>
              <w:spacing w:after="0"/>
              <w:rPr>
                <w:sz w:val="14"/>
                <w:szCs w:val="14"/>
                <w:color w:val="auto"/>
              </w:rPr>
            </w:pPr>
          </w:p>
        </w:tc>
        <w:tc>
          <w:tcPr>
            <w:tcW w:w="300" w:type="dxa"/>
            <w:vAlign w:val="bottom"/>
            <w:tcBorders>
              <w:right w:val="single" w:sz="8" w:color="BFBFBF"/>
            </w:tcBorders>
            <w:shd w:val="clear" w:color="auto" w:fill="0088A6"/>
          </w:tcPr>
          <w:p>
            <w:pPr>
              <w:spacing w:after="0"/>
              <w:rPr>
                <w:sz w:val="14"/>
                <w:szCs w:val="14"/>
                <w:color w:val="auto"/>
              </w:rPr>
            </w:pPr>
          </w:p>
        </w:tc>
        <w:tc>
          <w:tcPr>
            <w:tcW w:w="120" w:type="dxa"/>
            <w:vAlign w:val="bottom"/>
            <w:tcBorders>
              <w:right w:val="single" w:sz="8" w:color="0088A6"/>
            </w:tcBorders>
            <w:shd w:val="clear" w:color="auto" w:fill="0088A6"/>
          </w:tcPr>
          <w:p>
            <w:pPr>
              <w:spacing w:after="0"/>
              <w:rPr>
                <w:sz w:val="14"/>
                <w:szCs w:val="14"/>
                <w:color w:val="auto"/>
              </w:rPr>
            </w:pPr>
          </w:p>
        </w:tc>
        <w:tc>
          <w:tcPr>
            <w:tcW w:w="140" w:type="dxa"/>
            <w:vAlign w:val="bottom"/>
            <w:shd w:val="clear" w:color="auto" w:fill="0088A6"/>
          </w:tcPr>
          <w:p>
            <w:pPr>
              <w:spacing w:after="0"/>
              <w:rPr>
                <w:sz w:val="14"/>
                <w:szCs w:val="14"/>
                <w:color w:val="auto"/>
              </w:rPr>
            </w:pPr>
          </w:p>
        </w:tc>
        <w:tc>
          <w:tcPr>
            <w:tcW w:w="160" w:type="dxa"/>
            <w:vAlign w:val="bottom"/>
            <w:shd w:val="clear" w:color="auto" w:fill="0088A6"/>
          </w:tcPr>
          <w:p>
            <w:pPr>
              <w:spacing w:after="0"/>
              <w:rPr>
                <w:sz w:val="14"/>
                <w:szCs w:val="14"/>
                <w:color w:val="auto"/>
              </w:rPr>
            </w:pPr>
          </w:p>
        </w:tc>
        <w:tc>
          <w:tcPr>
            <w:tcW w:w="120" w:type="dxa"/>
            <w:vAlign w:val="bottom"/>
            <w:shd w:val="clear" w:color="auto" w:fill="0088A6"/>
          </w:tcPr>
          <w:p>
            <w:pPr>
              <w:spacing w:after="0"/>
              <w:rPr>
                <w:sz w:val="14"/>
                <w:szCs w:val="14"/>
                <w:color w:val="auto"/>
              </w:rPr>
            </w:pPr>
          </w:p>
        </w:tc>
        <w:tc>
          <w:tcPr>
            <w:tcW w:w="900" w:type="dxa"/>
            <w:vAlign w:val="bottom"/>
            <w:shd w:val="clear" w:color="auto" w:fill="0088A6"/>
          </w:tcPr>
          <w:p>
            <w:pPr>
              <w:spacing w:after="0"/>
              <w:rPr>
                <w:sz w:val="14"/>
                <w:szCs w:val="14"/>
                <w:color w:val="auto"/>
              </w:rPr>
            </w:pPr>
          </w:p>
        </w:tc>
        <w:tc>
          <w:tcPr>
            <w:tcW w:w="160" w:type="dxa"/>
            <w:vAlign w:val="bottom"/>
            <w:shd w:val="clear" w:color="auto" w:fill="0088A6"/>
          </w:tcPr>
          <w:p>
            <w:pPr>
              <w:spacing w:after="0"/>
              <w:rPr>
                <w:sz w:val="14"/>
                <w:szCs w:val="14"/>
                <w:color w:val="auto"/>
              </w:rPr>
            </w:pPr>
          </w:p>
        </w:tc>
        <w:tc>
          <w:tcPr>
            <w:tcW w:w="300" w:type="dxa"/>
            <w:vAlign w:val="bottom"/>
            <w:tcBorders>
              <w:right w:val="single" w:sz="8" w:color="0088A6"/>
            </w:tcBorders>
            <w:shd w:val="clear" w:color="auto" w:fill="0088A6"/>
          </w:tcPr>
          <w:p>
            <w:pPr>
              <w:spacing w:after="0"/>
              <w:rPr>
                <w:sz w:val="14"/>
                <w:szCs w:val="14"/>
                <w:color w:val="auto"/>
              </w:rPr>
            </w:pPr>
          </w:p>
        </w:tc>
        <w:tc>
          <w:tcPr>
            <w:tcW w:w="260" w:type="dxa"/>
            <w:vAlign w:val="bottom"/>
            <w:shd w:val="clear" w:color="auto" w:fill="0088A6"/>
          </w:tcPr>
          <w:p>
            <w:pPr>
              <w:spacing w:after="0"/>
              <w:rPr>
                <w:sz w:val="14"/>
                <w:szCs w:val="14"/>
                <w:color w:val="auto"/>
              </w:rPr>
            </w:pPr>
          </w:p>
        </w:tc>
        <w:tc>
          <w:tcPr>
            <w:tcW w:w="20" w:type="dxa"/>
            <w:vAlign w:val="bottom"/>
            <w:shd w:val="clear" w:color="auto" w:fill="0088A6"/>
          </w:tcPr>
          <w:p>
            <w:pPr>
              <w:spacing w:after="0"/>
              <w:rPr>
                <w:sz w:val="14"/>
                <w:szCs w:val="14"/>
                <w:color w:val="auto"/>
              </w:rPr>
            </w:pPr>
          </w:p>
        </w:tc>
        <w:tc>
          <w:tcPr>
            <w:tcW w:w="1340" w:type="dxa"/>
            <w:vAlign w:val="bottom"/>
            <w:tcBorders>
              <w:right w:val="single" w:sz="8" w:color="BFBFBF"/>
            </w:tcBorders>
            <w:gridSpan w:val="4"/>
            <w:shd w:val="clear" w:color="auto" w:fill="0088A6"/>
          </w:tcPr>
          <w:p>
            <w:pPr>
              <w:jc w:val="center"/>
              <w:ind w:right="340"/>
              <w:spacing w:after="0"/>
              <w:rPr>
                <w:sz w:val="20"/>
                <w:szCs w:val="20"/>
                <w:color w:val="auto"/>
              </w:rPr>
            </w:pPr>
            <w:r>
              <w:rPr>
                <w:rFonts w:ascii="Arial" w:cs="Arial" w:eastAsia="Arial" w:hAnsi="Arial"/>
                <w:sz w:val="14"/>
                <w:szCs w:val="14"/>
                <w:b w:val="1"/>
                <w:bCs w:val="1"/>
                <w:color w:val="FFFFFF"/>
                <w:w w:val="94"/>
              </w:rPr>
              <w:t>Termination</w:t>
            </w:r>
          </w:p>
        </w:tc>
        <w:tc>
          <w:tcPr>
            <w:tcW w:w="0" w:type="dxa"/>
            <w:vAlign w:val="bottom"/>
          </w:tcPr>
          <w:p>
            <w:pPr>
              <w:spacing w:after="0"/>
              <w:rPr>
                <w:sz w:val="1"/>
                <w:szCs w:val="1"/>
                <w:color w:val="auto"/>
              </w:rPr>
            </w:pPr>
          </w:p>
        </w:tc>
      </w:tr>
      <w:tr>
        <w:trPr>
          <w:trHeight w:val="149"/>
        </w:trPr>
        <w:tc>
          <w:tcPr>
            <w:tcW w:w="2660" w:type="dxa"/>
            <w:vAlign w:val="bottom"/>
            <w:tcBorders>
              <w:left w:val="single" w:sz="8" w:color="BFBFBF"/>
              <w:right w:val="single" w:sz="8" w:color="BFBFBF"/>
            </w:tcBorders>
            <w:shd w:val="clear" w:color="auto" w:fill="0088A6"/>
          </w:tcPr>
          <w:p>
            <w:pPr>
              <w:spacing w:after="0"/>
              <w:rPr>
                <w:sz w:val="12"/>
                <w:szCs w:val="12"/>
                <w:color w:val="auto"/>
              </w:rPr>
            </w:pPr>
          </w:p>
        </w:tc>
        <w:tc>
          <w:tcPr>
            <w:tcW w:w="240" w:type="dxa"/>
            <w:vAlign w:val="bottom"/>
            <w:tcBorders>
              <w:right w:val="single" w:sz="8" w:color="0088A6"/>
            </w:tcBorders>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180" w:type="dxa"/>
            <w:vAlign w:val="bottom"/>
            <w:tcBorders>
              <w:right w:val="single" w:sz="8" w:color="0088A6"/>
            </w:tcBorders>
            <w:gridSpan w:val="4"/>
            <w:shd w:val="clear" w:color="auto" w:fill="0088A6"/>
          </w:tcPr>
          <w:p>
            <w:pPr>
              <w:jc w:val="center"/>
              <w:ind w:right="300"/>
              <w:spacing w:after="0" w:line="149" w:lineRule="exact"/>
              <w:rPr>
                <w:sz w:val="20"/>
                <w:szCs w:val="20"/>
                <w:color w:val="auto"/>
              </w:rPr>
            </w:pPr>
            <w:r>
              <w:rPr>
                <w:rFonts w:ascii="Arial" w:cs="Arial" w:eastAsia="Arial" w:hAnsi="Arial"/>
                <w:sz w:val="14"/>
                <w:szCs w:val="14"/>
                <w:b w:val="1"/>
                <w:bCs w:val="1"/>
                <w:color w:val="FFFFFF"/>
                <w:w w:val="95"/>
              </w:rPr>
              <w:t>Involuntary</w:t>
            </w:r>
          </w:p>
        </w:tc>
        <w:tc>
          <w:tcPr>
            <w:tcW w:w="280" w:type="dxa"/>
            <w:vAlign w:val="bottom"/>
            <w:shd w:val="clear" w:color="auto" w:fill="0088A6"/>
          </w:tcPr>
          <w:p>
            <w:pPr>
              <w:spacing w:after="0"/>
              <w:rPr>
                <w:sz w:val="12"/>
                <w:szCs w:val="12"/>
                <w:color w:val="auto"/>
              </w:rPr>
            </w:pPr>
          </w:p>
        </w:tc>
        <w:tc>
          <w:tcPr>
            <w:tcW w:w="100" w:type="dxa"/>
            <w:vAlign w:val="bottom"/>
            <w:tcBorders>
              <w:right w:val="single" w:sz="8" w:color="0088A6"/>
            </w:tcBorders>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82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240" w:type="dxa"/>
            <w:vAlign w:val="bottom"/>
            <w:tcBorders>
              <w:right w:val="single" w:sz="8" w:color="BFBFBF"/>
            </w:tcBorders>
            <w:shd w:val="clear" w:color="auto" w:fill="0088A6"/>
          </w:tcPr>
          <w:p>
            <w:pPr>
              <w:spacing w:after="0"/>
              <w:rPr>
                <w:sz w:val="12"/>
                <w:szCs w:val="12"/>
                <w:color w:val="auto"/>
              </w:rPr>
            </w:pPr>
          </w:p>
        </w:tc>
        <w:tc>
          <w:tcPr>
            <w:tcW w:w="200" w:type="dxa"/>
            <w:vAlign w:val="bottom"/>
            <w:tcBorders>
              <w:right w:val="single" w:sz="8" w:color="0088A6"/>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300" w:type="dxa"/>
            <w:vAlign w:val="bottom"/>
            <w:tcBorders>
              <w:right w:val="single" w:sz="8" w:color="BFBFBF"/>
            </w:tcBorders>
            <w:shd w:val="clear" w:color="auto" w:fill="0088A6"/>
          </w:tcPr>
          <w:p>
            <w:pPr>
              <w:spacing w:after="0"/>
              <w:rPr>
                <w:sz w:val="12"/>
                <w:szCs w:val="12"/>
                <w:color w:val="auto"/>
              </w:rPr>
            </w:pPr>
          </w:p>
        </w:tc>
        <w:tc>
          <w:tcPr>
            <w:tcW w:w="120" w:type="dxa"/>
            <w:vAlign w:val="bottom"/>
            <w:tcBorders>
              <w:right w:val="single" w:sz="8" w:color="0088A6"/>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220" w:type="dxa"/>
            <w:vAlign w:val="bottom"/>
            <w:tcBorders>
              <w:right w:val="single" w:sz="8" w:color="BFBFBF"/>
            </w:tcBorders>
            <w:gridSpan w:val="3"/>
            <w:shd w:val="clear" w:color="auto" w:fill="0088A6"/>
          </w:tcPr>
          <w:p>
            <w:pPr>
              <w:jc w:val="center"/>
              <w:ind w:right="460"/>
              <w:spacing w:after="0" w:line="149" w:lineRule="exact"/>
              <w:rPr>
                <w:sz w:val="20"/>
                <w:szCs w:val="20"/>
                <w:color w:val="auto"/>
              </w:rPr>
            </w:pPr>
            <w:r>
              <w:rPr>
                <w:rFonts w:ascii="Arial" w:cs="Arial" w:eastAsia="Arial" w:hAnsi="Arial"/>
                <w:sz w:val="14"/>
                <w:szCs w:val="14"/>
                <w:b w:val="1"/>
                <w:bCs w:val="1"/>
                <w:color w:val="FFFFFF"/>
                <w:w w:val="92"/>
              </w:rPr>
              <w:t>Due To</w:t>
            </w:r>
          </w:p>
        </w:tc>
        <w:tc>
          <w:tcPr>
            <w:tcW w:w="0" w:type="dxa"/>
            <w:vAlign w:val="bottom"/>
          </w:tcPr>
          <w:p>
            <w:pPr>
              <w:spacing w:after="0"/>
              <w:rPr>
                <w:sz w:val="1"/>
                <w:szCs w:val="1"/>
                <w:color w:val="auto"/>
              </w:rPr>
            </w:pPr>
          </w:p>
        </w:tc>
      </w:tr>
      <w:tr>
        <w:trPr>
          <w:trHeight w:val="149"/>
        </w:trPr>
        <w:tc>
          <w:tcPr>
            <w:tcW w:w="2660" w:type="dxa"/>
            <w:vAlign w:val="bottom"/>
            <w:tcBorders>
              <w:left w:val="single" w:sz="8" w:color="BFBFBF"/>
              <w:right w:val="single" w:sz="8" w:color="BFBFBF"/>
            </w:tcBorders>
            <w:shd w:val="clear" w:color="auto" w:fill="0088A6"/>
          </w:tcPr>
          <w:p>
            <w:pPr>
              <w:spacing w:after="0"/>
              <w:rPr>
                <w:sz w:val="12"/>
                <w:szCs w:val="12"/>
                <w:color w:val="auto"/>
              </w:rPr>
            </w:pPr>
          </w:p>
        </w:tc>
        <w:tc>
          <w:tcPr>
            <w:tcW w:w="240" w:type="dxa"/>
            <w:vAlign w:val="bottom"/>
            <w:tcBorders>
              <w:right w:val="single" w:sz="8" w:color="0088A6"/>
            </w:tcBorders>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180" w:type="dxa"/>
            <w:vAlign w:val="bottom"/>
            <w:tcBorders>
              <w:right w:val="single" w:sz="8" w:color="0088A6"/>
            </w:tcBorders>
            <w:gridSpan w:val="4"/>
            <w:shd w:val="clear" w:color="auto" w:fill="0088A6"/>
          </w:tcPr>
          <w:p>
            <w:pPr>
              <w:ind w:left="20"/>
              <w:spacing w:after="0" w:line="149" w:lineRule="exact"/>
              <w:rPr>
                <w:sz w:val="20"/>
                <w:szCs w:val="20"/>
                <w:color w:val="auto"/>
              </w:rPr>
            </w:pPr>
            <w:r>
              <w:rPr>
                <w:rFonts w:ascii="Arial" w:cs="Arial" w:eastAsia="Arial" w:hAnsi="Arial"/>
                <w:sz w:val="14"/>
                <w:szCs w:val="14"/>
                <w:b w:val="1"/>
                <w:bCs w:val="1"/>
                <w:color w:val="FFFFFF"/>
              </w:rPr>
              <w:t>For Cause or</w:t>
            </w:r>
          </w:p>
        </w:tc>
        <w:tc>
          <w:tcPr>
            <w:tcW w:w="280" w:type="dxa"/>
            <w:vAlign w:val="bottom"/>
            <w:shd w:val="clear" w:color="auto" w:fill="0088A6"/>
          </w:tcPr>
          <w:p>
            <w:pPr>
              <w:spacing w:after="0"/>
              <w:rPr>
                <w:sz w:val="12"/>
                <w:szCs w:val="12"/>
                <w:color w:val="auto"/>
              </w:rPr>
            </w:pPr>
          </w:p>
        </w:tc>
        <w:tc>
          <w:tcPr>
            <w:tcW w:w="100" w:type="dxa"/>
            <w:vAlign w:val="bottom"/>
            <w:tcBorders>
              <w:right w:val="single" w:sz="8" w:color="0088A6"/>
            </w:tcBorders>
            <w:shd w:val="clear" w:color="auto" w:fill="0088A6"/>
          </w:tcPr>
          <w:p>
            <w:pPr>
              <w:spacing w:after="0"/>
              <w:rPr>
                <w:sz w:val="12"/>
                <w:szCs w:val="12"/>
                <w:color w:val="auto"/>
              </w:rPr>
            </w:pPr>
          </w:p>
        </w:tc>
        <w:tc>
          <w:tcPr>
            <w:tcW w:w="1220" w:type="dxa"/>
            <w:vAlign w:val="bottom"/>
            <w:gridSpan w:val="3"/>
            <w:shd w:val="clear" w:color="auto" w:fill="0088A6"/>
          </w:tcPr>
          <w:p>
            <w:pPr>
              <w:jc w:val="center"/>
              <w:ind w:right="32"/>
              <w:spacing w:after="0" w:line="149" w:lineRule="exact"/>
              <w:rPr>
                <w:sz w:val="20"/>
                <w:szCs w:val="20"/>
                <w:color w:val="auto"/>
              </w:rPr>
            </w:pPr>
            <w:r>
              <w:rPr>
                <w:rFonts w:ascii="Arial" w:cs="Arial" w:eastAsia="Arial" w:hAnsi="Arial"/>
                <w:sz w:val="14"/>
                <w:szCs w:val="14"/>
                <w:b w:val="1"/>
                <w:bCs w:val="1"/>
                <w:color w:val="FFFFFF"/>
                <w:w w:val="97"/>
              </w:rPr>
              <w:t>Involuntary Not</w:t>
            </w:r>
          </w:p>
        </w:tc>
        <w:tc>
          <w:tcPr>
            <w:tcW w:w="80" w:type="dxa"/>
            <w:vAlign w:val="bottom"/>
            <w:shd w:val="clear" w:color="auto" w:fill="0088A6"/>
          </w:tcPr>
          <w:p>
            <w:pPr>
              <w:spacing w:after="0"/>
              <w:rPr>
                <w:sz w:val="12"/>
                <w:szCs w:val="12"/>
                <w:color w:val="auto"/>
              </w:rPr>
            </w:pPr>
          </w:p>
        </w:tc>
        <w:tc>
          <w:tcPr>
            <w:tcW w:w="240" w:type="dxa"/>
            <w:vAlign w:val="bottom"/>
            <w:tcBorders>
              <w:right w:val="single" w:sz="8" w:color="BFBFBF"/>
            </w:tcBorders>
            <w:shd w:val="clear" w:color="auto" w:fill="0088A6"/>
          </w:tcPr>
          <w:p>
            <w:pPr>
              <w:spacing w:after="0"/>
              <w:rPr>
                <w:sz w:val="12"/>
                <w:szCs w:val="12"/>
                <w:color w:val="auto"/>
              </w:rPr>
            </w:pPr>
          </w:p>
        </w:tc>
        <w:tc>
          <w:tcPr>
            <w:tcW w:w="200" w:type="dxa"/>
            <w:vAlign w:val="bottom"/>
            <w:tcBorders>
              <w:right w:val="single" w:sz="8" w:color="0088A6"/>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300" w:type="dxa"/>
            <w:vAlign w:val="bottom"/>
            <w:tcBorders>
              <w:right w:val="single" w:sz="8" w:color="BFBFBF"/>
            </w:tcBorders>
            <w:shd w:val="clear" w:color="auto" w:fill="0088A6"/>
          </w:tcPr>
          <w:p>
            <w:pPr>
              <w:spacing w:after="0"/>
              <w:rPr>
                <w:sz w:val="12"/>
                <w:szCs w:val="12"/>
                <w:color w:val="auto"/>
              </w:rPr>
            </w:pPr>
          </w:p>
        </w:tc>
        <w:tc>
          <w:tcPr>
            <w:tcW w:w="120" w:type="dxa"/>
            <w:vAlign w:val="bottom"/>
            <w:tcBorders>
              <w:right w:val="single" w:sz="8" w:color="0088A6"/>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220" w:type="dxa"/>
            <w:vAlign w:val="bottom"/>
            <w:tcBorders>
              <w:right w:val="single" w:sz="8" w:color="BFBFBF"/>
            </w:tcBorders>
            <w:gridSpan w:val="3"/>
            <w:shd w:val="clear" w:color="auto" w:fill="0088A6"/>
          </w:tcPr>
          <w:p>
            <w:pPr>
              <w:jc w:val="center"/>
              <w:ind w:right="480"/>
              <w:spacing w:after="0" w:line="149" w:lineRule="exact"/>
              <w:rPr>
                <w:sz w:val="20"/>
                <w:szCs w:val="20"/>
                <w:color w:val="auto"/>
              </w:rPr>
            </w:pPr>
            <w:r>
              <w:rPr>
                <w:rFonts w:ascii="Arial" w:cs="Arial" w:eastAsia="Arial" w:hAnsi="Arial"/>
                <w:sz w:val="14"/>
                <w:szCs w:val="14"/>
                <w:b w:val="1"/>
                <w:bCs w:val="1"/>
                <w:color w:val="FFFFFF"/>
                <w:w w:val="97"/>
              </w:rPr>
              <w:t>Change in</w:t>
            </w:r>
          </w:p>
        </w:tc>
        <w:tc>
          <w:tcPr>
            <w:tcW w:w="0" w:type="dxa"/>
            <w:vAlign w:val="bottom"/>
          </w:tcPr>
          <w:p>
            <w:pPr>
              <w:spacing w:after="0"/>
              <w:rPr>
                <w:sz w:val="1"/>
                <w:szCs w:val="1"/>
                <w:color w:val="auto"/>
              </w:rPr>
            </w:pPr>
          </w:p>
        </w:tc>
      </w:tr>
      <w:tr>
        <w:trPr>
          <w:trHeight w:val="149"/>
        </w:trPr>
        <w:tc>
          <w:tcPr>
            <w:tcW w:w="2660" w:type="dxa"/>
            <w:vAlign w:val="bottom"/>
            <w:tcBorders>
              <w:left w:val="single" w:sz="8" w:color="BFBFBF"/>
              <w:right w:val="single" w:sz="8" w:color="BFBFBF"/>
            </w:tcBorders>
            <w:shd w:val="clear" w:color="auto" w:fill="0088A6"/>
          </w:tcPr>
          <w:p>
            <w:pPr>
              <w:spacing w:after="0"/>
              <w:rPr>
                <w:sz w:val="12"/>
                <w:szCs w:val="12"/>
                <w:color w:val="auto"/>
              </w:rPr>
            </w:pPr>
          </w:p>
        </w:tc>
        <w:tc>
          <w:tcPr>
            <w:tcW w:w="240" w:type="dxa"/>
            <w:vAlign w:val="bottom"/>
            <w:tcBorders>
              <w:right w:val="single" w:sz="8" w:color="0088A6"/>
            </w:tcBorders>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180" w:type="dxa"/>
            <w:vAlign w:val="bottom"/>
            <w:tcBorders>
              <w:right w:val="single" w:sz="8" w:color="0088A6"/>
            </w:tcBorders>
            <w:gridSpan w:val="4"/>
            <w:shd w:val="clear" w:color="auto" w:fill="0088A6"/>
          </w:tcPr>
          <w:p>
            <w:pPr>
              <w:jc w:val="center"/>
              <w:ind w:right="300"/>
              <w:spacing w:after="0" w:line="149" w:lineRule="exact"/>
              <w:rPr>
                <w:sz w:val="20"/>
                <w:szCs w:val="20"/>
                <w:color w:val="auto"/>
              </w:rPr>
            </w:pPr>
            <w:r>
              <w:rPr>
                <w:rFonts w:ascii="Arial" w:cs="Arial" w:eastAsia="Arial" w:hAnsi="Arial"/>
                <w:sz w:val="14"/>
                <w:szCs w:val="14"/>
                <w:b w:val="1"/>
                <w:bCs w:val="1"/>
                <w:color w:val="FFFFFF"/>
                <w:w w:val="92"/>
              </w:rPr>
              <w:t>Voluntary</w:t>
            </w:r>
          </w:p>
        </w:tc>
        <w:tc>
          <w:tcPr>
            <w:tcW w:w="280" w:type="dxa"/>
            <w:vAlign w:val="bottom"/>
            <w:shd w:val="clear" w:color="auto" w:fill="0088A6"/>
          </w:tcPr>
          <w:p>
            <w:pPr>
              <w:spacing w:after="0"/>
              <w:rPr>
                <w:sz w:val="12"/>
                <w:szCs w:val="12"/>
                <w:color w:val="auto"/>
              </w:rPr>
            </w:pPr>
          </w:p>
        </w:tc>
        <w:tc>
          <w:tcPr>
            <w:tcW w:w="100" w:type="dxa"/>
            <w:vAlign w:val="bottom"/>
            <w:tcBorders>
              <w:right w:val="single" w:sz="8" w:color="0088A6"/>
            </w:tcBorders>
            <w:shd w:val="clear" w:color="auto" w:fill="0088A6"/>
          </w:tcPr>
          <w:p>
            <w:pPr>
              <w:spacing w:after="0"/>
              <w:rPr>
                <w:sz w:val="12"/>
                <w:szCs w:val="12"/>
                <w:color w:val="auto"/>
              </w:rPr>
            </w:pPr>
          </w:p>
        </w:tc>
        <w:tc>
          <w:tcPr>
            <w:tcW w:w="1220" w:type="dxa"/>
            <w:vAlign w:val="bottom"/>
            <w:gridSpan w:val="3"/>
            <w:shd w:val="clear" w:color="auto" w:fill="0088A6"/>
          </w:tcPr>
          <w:p>
            <w:pPr>
              <w:jc w:val="center"/>
              <w:ind w:right="32"/>
              <w:spacing w:after="0" w:line="149" w:lineRule="exact"/>
              <w:rPr>
                <w:sz w:val="20"/>
                <w:szCs w:val="20"/>
                <w:color w:val="auto"/>
              </w:rPr>
            </w:pPr>
            <w:r>
              <w:rPr>
                <w:rFonts w:ascii="Arial" w:cs="Arial" w:eastAsia="Arial" w:hAnsi="Arial"/>
                <w:sz w:val="14"/>
                <w:szCs w:val="14"/>
                <w:b w:val="1"/>
                <w:bCs w:val="1"/>
                <w:color w:val="FFFFFF"/>
                <w:w w:val="97"/>
              </w:rPr>
              <w:t>For Cause or</w:t>
            </w:r>
          </w:p>
        </w:tc>
        <w:tc>
          <w:tcPr>
            <w:tcW w:w="80" w:type="dxa"/>
            <w:vAlign w:val="bottom"/>
            <w:shd w:val="clear" w:color="auto" w:fill="0088A6"/>
          </w:tcPr>
          <w:p>
            <w:pPr>
              <w:spacing w:after="0"/>
              <w:rPr>
                <w:sz w:val="12"/>
                <w:szCs w:val="12"/>
                <w:color w:val="auto"/>
              </w:rPr>
            </w:pPr>
          </w:p>
        </w:tc>
        <w:tc>
          <w:tcPr>
            <w:tcW w:w="240" w:type="dxa"/>
            <w:vAlign w:val="bottom"/>
            <w:tcBorders>
              <w:right w:val="single" w:sz="8" w:color="BFBFBF"/>
            </w:tcBorders>
            <w:shd w:val="clear" w:color="auto" w:fill="0088A6"/>
          </w:tcPr>
          <w:p>
            <w:pPr>
              <w:spacing w:after="0"/>
              <w:rPr>
                <w:sz w:val="12"/>
                <w:szCs w:val="12"/>
                <w:color w:val="auto"/>
              </w:rPr>
            </w:pPr>
          </w:p>
        </w:tc>
        <w:tc>
          <w:tcPr>
            <w:tcW w:w="200" w:type="dxa"/>
            <w:vAlign w:val="bottom"/>
            <w:tcBorders>
              <w:right w:val="single" w:sz="8" w:color="0088A6"/>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300" w:type="dxa"/>
            <w:vAlign w:val="bottom"/>
            <w:tcBorders>
              <w:right w:val="single" w:sz="8" w:color="BFBFBF"/>
            </w:tcBorders>
            <w:shd w:val="clear" w:color="auto" w:fill="0088A6"/>
          </w:tcPr>
          <w:p>
            <w:pPr>
              <w:spacing w:after="0"/>
              <w:rPr>
                <w:sz w:val="12"/>
                <w:szCs w:val="12"/>
                <w:color w:val="auto"/>
              </w:rPr>
            </w:pPr>
          </w:p>
        </w:tc>
        <w:tc>
          <w:tcPr>
            <w:tcW w:w="120" w:type="dxa"/>
            <w:vAlign w:val="bottom"/>
            <w:tcBorders>
              <w:right w:val="single" w:sz="8" w:color="0088A6"/>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060" w:type="dxa"/>
            <w:vAlign w:val="bottom"/>
            <w:gridSpan w:val="2"/>
            <w:shd w:val="clear" w:color="auto" w:fill="0088A6"/>
          </w:tcPr>
          <w:p>
            <w:pPr>
              <w:jc w:val="center"/>
              <w:ind w:right="280"/>
              <w:spacing w:after="0" w:line="149" w:lineRule="exact"/>
              <w:rPr>
                <w:sz w:val="20"/>
                <w:szCs w:val="20"/>
                <w:color w:val="auto"/>
              </w:rPr>
            </w:pPr>
            <w:r>
              <w:rPr>
                <w:rFonts w:ascii="Arial" w:cs="Arial" w:eastAsia="Arial" w:hAnsi="Arial"/>
                <w:sz w:val="14"/>
                <w:szCs w:val="14"/>
                <w:b w:val="1"/>
                <w:bCs w:val="1"/>
                <w:color w:val="FFFFFF"/>
                <w:w w:val="93"/>
              </w:rPr>
              <w:t>Non-</w:t>
            </w:r>
          </w:p>
        </w:tc>
        <w:tc>
          <w:tcPr>
            <w:tcW w:w="300" w:type="dxa"/>
            <w:vAlign w:val="bottom"/>
            <w:tcBorders>
              <w:right w:val="single" w:sz="8" w:color="0088A6"/>
            </w:tcBorders>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220" w:type="dxa"/>
            <w:vAlign w:val="bottom"/>
            <w:tcBorders>
              <w:right w:val="single" w:sz="8" w:color="BFBFBF"/>
            </w:tcBorders>
            <w:gridSpan w:val="3"/>
            <w:shd w:val="clear" w:color="auto" w:fill="0088A6"/>
          </w:tcPr>
          <w:p>
            <w:pPr>
              <w:jc w:val="center"/>
              <w:ind w:right="460"/>
              <w:spacing w:after="0" w:line="149" w:lineRule="exact"/>
              <w:rPr>
                <w:sz w:val="20"/>
                <w:szCs w:val="20"/>
                <w:color w:val="auto"/>
              </w:rPr>
            </w:pPr>
            <w:r>
              <w:rPr>
                <w:rFonts w:ascii="Arial" w:cs="Arial" w:eastAsia="Arial" w:hAnsi="Arial"/>
                <w:sz w:val="14"/>
                <w:szCs w:val="14"/>
                <w:b w:val="1"/>
                <w:bCs w:val="1"/>
                <w:color w:val="FFFFFF"/>
                <w:w w:val="96"/>
              </w:rPr>
              <w:t>Control</w:t>
            </w:r>
          </w:p>
        </w:tc>
        <w:tc>
          <w:tcPr>
            <w:tcW w:w="0" w:type="dxa"/>
            <w:vAlign w:val="bottom"/>
          </w:tcPr>
          <w:p>
            <w:pPr>
              <w:spacing w:after="0"/>
              <w:rPr>
                <w:sz w:val="1"/>
                <w:szCs w:val="1"/>
                <w:color w:val="auto"/>
              </w:rPr>
            </w:pPr>
          </w:p>
        </w:tc>
      </w:tr>
      <w:tr>
        <w:trPr>
          <w:trHeight w:val="149"/>
        </w:trPr>
        <w:tc>
          <w:tcPr>
            <w:tcW w:w="2660" w:type="dxa"/>
            <w:vAlign w:val="bottom"/>
            <w:tcBorders>
              <w:left w:val="single" w:sz="8" w:color="BFBFBF"/>
              <w:right w:val="single" w:sz="8" w:color="BFBFBF"/>
            </w:tcBorders>
            <w:vMerge w:val="restart"/>
            <w:shd w:val="clear" w:color="auto" w:fill="0088A6"/>
          </w:tcPr>
          <w:p>
            <w:pPr>
              <w:ind w:left="120"/>
              <w:spacing w:after="0"/>
              <w:rPr>
                <w:sz w:val="20"/>
                <w:szCs w:val="20"/>
                <w:color w:val="auto"/>
              </w:rPr>
            </w:pPr>
            <w:r>
              <w:rPr>
                <w:rFonts w:ascii="Arial" w:cs="Arial" w:eastAsia="Arial" w:hAnsi="Arial"/>
                <w:sz w:val="14"/>
                <w:szCs w:val="14"/>
                <w:b w:val="1"/>
                <w:bCs w:val="1"/>
                <w:color w:val="FFFFFF"/>
              </w:rPr>
              <w:t>Robert Greifeld</w:t>
            </w:r>
          </w:p>
        </w:tc>
        <w:tc>
          <w:tcPr>
            <w:tcW w:w="240" w:type="dxa"/>
            <w:vAlign w:val="bottom"/>
            <w:tcBorders>
              <w:right w:val="single" w:sz="8" w:color="0088A6"/>
            </w:tcBorders>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180" w:type="dxa"/>
            <w:vAlign w:val="bottom"/>
            <w:tcBorders>
              <w:right w:val="single" w:sz="8" w:color="0088A6"/>
            </w:tcBorders>
            <w:gridSpan w:val="4"/>
            <w:shd w:val="clear" w:color="auto" w:fill="0088A6"/>
          </w:tcPr>
          <w:p>
            <w:pPr>
              <w:jc w:val="center"/>
              <w:ind w:right="320"/>
              <w:spacing w:after="0" w:line="149" w:lineRule="exact"/>
              <w:rPr>
                <w:sz w:val="20"/>
                <w:szCs w:val="20"/>
                <w:color w:val="auto"/>
              </w:rPr>
            </w:pPr>
            <w:r>
              <w:rPr>
                <w:rFonts w:ascii="Arial" w:cs="Arial" w:eastAsia="Arial" w:hAnsi="Arial"/>
                <w:sz w:val="14"/>
                <w:szCs w:val="14"/>
                <w:b w:val="1"/>
                <w:bCs w:val="1"/>
                <w:color w:val="FFFFFF"/>
                <w:w w:val="95"/>
              </w:rPr>
              <w:t>Without</w:t>
            </w:r>
          </w:p>
        </w:tc>
        <w:tc>
          <w:tcPr>
            <w:tcW w:w="280" w:type="dxa"/>
            <w:vAlign w:val="bottom"/>
            <w:shd w:val="clear" w:color="auto" w:fill="0088A6"/>
          </w:tcPr>
          <w:p>
            <w:pPr>
              <w:spacing w:after="0"/>
              <w:rPr>
                <w:sz w:val="12"/>
                <w:szCs w:val="12"/>
                <w:color w:val="auto"/>
              </w:rPr>
            </w:pPr>
          </w:p>
        </w:tc>
        <w:tc>
          <w:tcPr>
            <w:tcW w:w="100" w:type="dxa"/>
            <w:vAlign w:val="bottom"/>
            <w:tcBorders>
              <w:right w:val="single" w:sz="8" w:color="0088A6"/>
            </w:tcBorders>
            <w:shd w:val="clear" w:color="auto" w:fill="0088A6"/>
          </w:tcPr>
          <w:p>
            <w:pPr>
              <w:spacing w:after="0"/>
              <w:rPr>
                <w:sz w:val="12"/>
                <w:szCs w:val="12"/>
                <w:color w:val="auto"/>
              </w:rPr>
            </w:pPr>
          </w:p>
        </w:tc>
        <w:tc>
          <w:tcPr>
            <w:tcW w:w="1220" w:type="dxa"/>
            <w:vAlign w:val="bottom"/>
            <w:gridSpan w:val="3"/>
            <w:shd w:val="clear" w:color="auto" w:fill="0088A6"/>
          </w:tcPr>
          <w:p>
            <w:pPr>
              <w:jc w:val="center"/>
              <w:ind w:right="52"/>
              <w:spacing w:after="0" w:line="149" w:lineRule="exact"/>
              <w:rPr>
                <w:sz w:val="20"/>
                <w:szCs w:val="20"/>
                <w:color w:val="auto"/>
              </w:rPr>
            </w:pPr>
            <w:r>
              <w:rPr>
                <w:rFonts w:ascii="Arial" w:cs="Arial" w:eastAsia="Arial" w:hAnsi="Arial"/>
                <w:sz w:val="14"/>
                <w:szCs w:val="14"/>
                <w:b w:val="1"/>
                <w:bCs w:val="1"/>
                <w:color w:val="FFFFFF"/>
                <w:w w:val="95"/>
              </w:rPr>
              <w:t>Voluntary With</w:t>
            </w:r>
          </w:p>
        </w:tc>
        <w:tc>
          <w:tcPr>
            <w:tcW w:w="80" w:type="dxa"/>
            <w:vAlign w:val="bottom"/>
            <w:shd w:val="clear" w:color="auto" w:fill="0088A6"/>
          </w:tcPr>
          <w:p>
            <w:pPr>
              <w:spacing w:after="0"/>
              <w:rPr>
                <w:sz w:val="12"/>
                <w:szCs w:val="12"/>
                <w:color w:val="auto"/>
              </w:rPr>
            </w:pPr>
          </w:p>
        </w:tc>
        <w:tc>
          <w:tcPr>
            <w:tcW w:w="240" w:type="dxa"/>
            <w:vAlign w:val="bottom"/>
            <w:tcBorders>
              <w:right w:val="single" w:sz="8" w:color="BFBFBF"/>
            </w:tcBorders>
            <w:shd w:val="clear" w:color="auto" w:fill="0088A6"/>
          </w:tcPr>
          <w:p>
            <w:pPr>
              <w:spacing w:after="0"/>
              <w:rPr>
                <w:sz w:val="12"/>
                <w:szCs w:val="12"/>
                <w:color w:val="auto"/>
              </w:rPr>
            </w:pPr>
          </w:p>
        </w:tc>
        <w:tc>
          <w:tcPr>
            <w:tcW w:w="200" w:type="dxa"/>
            <w:vAlign w:val="bottom"/>
            <w:tcBorders>
              <w:right w:val="single" w:sz="8" w:color="0088A6"/>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300" w:type="dxa"/>
            <w:vAlign w:val="bottom"/>
            <w:tcBorders>
              <w:right w:val="single" w:sz="8" w:color="BFBFBF"/>
            </w:tcBorders>
            <w:shd w:val="clear" w:color="auto" w:fill="0088A6"/>
          </w:tcPr>
          <w:p>
            <w:pPr>
              <w:spacing w:after="0"/>
              <w:rPr>
                <w:sz w:val="12"/>
                <w:szCs w:val="12"/>
                <w:color w:val="auto"/>
              </w:rPr>
            </w:pPr>
          </w:p>
        </w:tc>
        <w:tc>
          <w:tcPr>
            <w:tcW w:w="120" w:type="dxa"/>
            <w:vAlign w:val="bottom"/>
            <w:tcBorders>
              <w:right w:val="single" w:sz="8" w:color="0088A6"/>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1180" w:type="dxa"/>
            <w:vAlign w:val="bottom"/>
            <w:gridSpan w:val="3"/>
            <w:shd w:val="clear" w:color="auto" w:fill="0088A6"/>
          </w:tcPr>
          <w:p>
            <w:pPr>
              <w:ind w:left="80"/>
              <w:spacing w:after="0" w:line="149" w:lineRule="exact"/>
              <w:rPr>
                <w:sz w:val="20"/>
                <w:szCs w:val="20"/>
                <w:color w:val="auto"/>
              </w:rPr>
            </w:pPr>
            <w:r>
              <w:rPr>
                <w:rFonts w:ascii="Arial" w:cs="Arial" w:eastAsia="Arial" w:hAnsi="Arial"/>
                <w:sz w:val="14"/>
                <w:szCs w:val="14"/>
                <w:b w:val="1"/>
                <w:bCs w:val="1"/>
                <w:color w:val="FFFFFF"/>
              </w:rPr>
              <w:t>Continuation</w:t>
            </w:r>
          </w:p>
        </w:tc>
        <w:tc>
          <w:tcPr>
            <w:tcW w:w="300" w:type="dxa"/>
            <w:vAlign w:val="bottom"/>
            <w:tcBorders>
              <w:right w:val="single" w:sz="8" w:color="0088A6"/>
            </w:tcBorders>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220" w:type="dxa"/>
            <w:vAlign w:val="bottom"/>
            <w:tcBorders>
              <w:right w:val="single" w:sz="8" w:color="BFBFBF"/>
            </w:tcBorders>
            <w:gridSpan w:val="3"/>
            <w:shd w:val="clear" w:color="auto" w:fill="0088A6"/>
          </w:tcPr>
          <w:p>
            <w:pPr>
              <w:jc w:val="center"/>
              <w:ind w:right="460"/>
              <w:spacing w:after="0" w:line="149" w:lineRule="exact"/>
              <w:rPr>
                <w:sz w:val="20"/>
                <w:szCs w:val="20"/>
                <w:color w:val="auto"/>
              </w:rPr>
            </w:pPr>
            <w:r>
              <w:rPr>
                <w:rFonts w:ascii="Arial" w:cs="Arial" w:eastAsia="Arial" w:hAnsi="Arial"/>
                <w:sz w:val="14"/>
                <w:szCs w:val="14"/>
                <w:b w:val="1"/>
                <w:bCs w:val="1"/>
                <w:color w:val="FFFFFF"/>
                <w:w w:val="94"/>
              </w:rPr>
              <w:t>(“Double</w:t>
            </w:r>
          </w:p>
        </w:tc>
        <w:tc>
          <w:tcPr>
            <w:tcW w:w="0" w:type="dxa"/>
            <w:vAlign w:val="bottom"/>
          </w:tcPr>
          <w:p>
            <w:pPr>
              <w:spacing w:after="0"/>
              <w:rPr>
                <w:sz w:val="1"/>
                <w:szCs w:val="1"/>
                <w:color w:val="auto"/>
              </w:rPr>
            </w:pPr>
          </w:p>
        </w:tc>
      </w:tr>
      <w:tr>
        <w:trPr>
          <w:trHeight w:val="205"/>
        </w:trPr>
        <w:tc>
          <w:tcPr>
            <w:tcW w:w="2660" w:type="dxa"/>
            <w:vAlign w:val="bottom"/>
            <w:tcBorders>
              <w:left w:val="single" w:sz="8" w:color="BFBFBF"/>
              <w:bottom w:val="single" w:sz="8" w:color="auto"/>
              <w:right w:val="single" w:sz="8" w:color="BFBFBF"/>
            </w:tcBorders>
            <w:vMerge w:val="continue"/>
            <w:shd w:val="clear" w:color="auto" w:fill="0088A6"/>
          </w:tcPr>
          <w:p>
            <w:pPr>
              <w:spacing w:after="0"/>
              <w:rPr>
                <w:sz w:val="17"/>
                <w:szCs w:val="17"/>
                <w:color w:val="auto"/>
              </w:rPr>
            </w:pPr>
          </w:p>
        </w:tc>
        <w:tc>
          <w:tcPr>
            <w:tcW w:w="240" w:type="dxa"/>
            <w:vAlign w:val="bottom"/>
            <w:tcBorders>
              <w:bottom w:val="single" w:sz="8" w:color="0088A6"/>
              <w:right w:val="single" w:sz="8" w:color="0088A6"/>
            </w:tcBorders>
            <w:shd w:val="clear" w:color="auto" w:fill="0088A6"/>
          </w:tcPr>
          <w:p>
            <w:pPr>
              <w:spacing w:after="0"/>
              <w:rPr>
                <w:sz w:val="17"/>
                <w:szCs w:val="17"/>
                <w:color w:val="auto"/>
              </w:rPr>
            </w:pPr>
          </w:p>
        </w:tc>
        <w:tc>
          <w:tcPr>
            <w:tcW w:w="20" w:type="dxa"/>
            <w:vAlign w:val="bottom"/>
            <w:tcBorders>
              <w:bottom w:val="single" w:sz="8" w:color="0088A6"/>
            </w:tcBorders>
            <w:shd w:val="clear" w:color="auto" w:fill="0088A6"/>
          </w:tcPr>
          <w:p>
            <w:pPr>
              <w:spacing w:after="0"/>
              <w:rPr>
                <w:sz w:val="17"/>
                <w:szCs w:val="17"/>
                <w:color w:val="auto"/>
              </w:rPr>
            </w:pPr>
          </w:p>
        </w:tc>
        <w:tc>
          <w:tcPr>
            <w:tcW w:w="880" w:type="dxa"/>
            <w:vAlign w:val="bottom"/>
            <w:tcBorders>
              <w:bottom w:val="single" w:sz="8" w:color="auto"/>
            </w:tcBorders>
            <w:gridSpan w:val="3"/>
            <w:shd w:val="clear" w:color="auto" w:fill="0088A6"/>
          </w:tcPr>
          <w:p>
            <w:pPr>
              <w:jc w:val="center"/>
              <w:spacing w:after="0"/>
              <w:rPr>
                <w:sz w:val="20"/>
                <w:szCs w:val="20"/>
                <w:color w:val="auto"/>
              </w:rPr>
            </w:pPr>
            <w:r>
              <w:rPr>
                <w:rFonts w:ascii="Arial" w:cs="Arial" w:eastAsia="Arial" w:hAnsi="Arial"/>
                <w:sz w:val="14"/>
                <w:szCs w:val="14"/>
                <w:b w:val="1"/>
                <w:bCs w:val="1"/>
                <w:color w:val="FFFFFF"/>
                <w:w w:val="96"/>
              </w:rPr>
              <w:t>Good Reason</w:t>
            </w:r>
          </w:p>
        </w:tc>
        <w:tc>
          <w:tcPr>
            <w:tcW w:w="300" w:type="dxa"/>
            <w:vAlign w:val="bottom"/>
            <w:tcBorders>
              <w:bottom w:val="single" w:sz="8" w:color="0088A6"/>
              <w:right w:val="single" w:sz="8" w:color="0088A6"/>
            </w:tcBorders>
            <w:shd w:val="clear" w:color="auto" w:fill="0088A6"/>
          </w:tcPr>
          <w:p>
            <w:pPr>
              <w:spacing w:after="0"/>
              <w:rPr>
                <w:sz w:val="17"/>
                <w:szCs w:val="17"/>
                <w:color w:val="auto"/>
              </w:rPr>
            </w:pPr>
          </w:p>
        </w:tc>
        <w:tc>
          <w:tcPr>
            <w:tcW w:w="280" w:type="dxa"/>
            <w:vAlign w:val="bottom"/>
            <w:tcBorders>
              <w:bottom w:val="single" w:sz="8" w:color="0088A6"/>
            </w:tcBorders>
            <w:shd w:val="clear" w:color="auto" w:fill="0088A6"/>
          </w:tcPr>
          <w:p>
            <w:pPr>
              <w:spacing w:after="0"/>
              <w:rPr>
                <w:sz w:val="17"/>
                <w:szCs w:val="17"/>
                <w:color w:val="auto"/>
              </w:rPr>
            </w:pPr>
          </w:p>
        </w:tc>
        <w:tc>
          <w:tcPr>
            <w:tcW w:w="100" w:type="dxa"/>
            <w:vAlign w:val="bottom"/>
            <w:tcBorders>
              <w:bottom w:val="single" w:sz="8" w:color="auto"/>
              <w:right w:val="single" w:sz="8" w:color="0088A6"/>
            </w:tcBorders>
            <w:shd w:val="clear" w:color="auto" w:fill="0088A6"/>
          </w:tcPr>
          <w:p>
            <w:pPr>
              <w:spacing w:after="0"/>
              <w:rPr>
                <w:sz w:val="17"/>
                <w:szCs w:val="17"/>
                <w:color w:val="auto"/>
              </w:rPr>
            </w:pPr>
          </w:p>
        </w:tc>
        <w:tc>
          <w:tcPr>
            <w:tcW w:w="1220" w:type="dxa"/>
            <w:vAlign w:val="bottom"/>
            <w:tcBorders>
              <w:bottom w:val="single" w:sz="8" w:color="auto"/>
            </w:tcBorders>
            <w:gridSpan w:val="3"/>
            <w:shd w:val="clear" w:color="auto" w:fill="0088A6"/>
          </w:tcPr>
          <w:p>
            <w:pPr>
              <w:jc w:val="center"/>
              <w:ind w:right="32"/>
              <w:spacing w:after="0"/>
              <w:rPr>
                <w:sz w:val="20"/>
                <w:szCs w:val="20"/>
                <w:color w:val="auto"/>
              </w:rPr>
            </w:pPr>
            <w:r>
              <w:rPr>
                <w:rFonts w:ascii="Arial" w:cs="Arial" w:eastAsia="Arial" w:hAnsi="Arial"/>
                <w:sz w:val="14"/>
                <w:szCs w:val="14"/>
                <w:b w:val="1"/>
                <w:bCs w:val="1"/>
                <w:color w:val="FFFFFF"/>
                <w:w w:val="96"/>
              </w:rPr>
              <w:t>Good Reason</w:t>
            </w:r>
          </w:p>
        </w:tc>
        <w:tc>
          <w:tcPr>
            <w:tcW w:w="80" w:type="dxa"/>
            <w:vAlign w:val="bottom"/>
            <w:tcBorders>
              <w:bottom w:val="single" w:sz="8" w:color="0088A6"/>
            </w:tcBorders>
            <w:shd w:val="clear" w:color="auto" w:fill="0088A6"/>
          </w:tcPr>
          <w:p>
            <w:pPr>
              <w:spacing w:after="0"/>
              <w:rPr>
                <w:sz w:val="17"/>
                <w:szCs w:val="17"/>
                <w:color w:val="auto"/>
              </w:rPr>
            </w:pPr>
          </w:p>
        </w:tc>
        <w:tc>
          <w:tcPr>
            <w:tcW w:w="240" w:type="dxa"/>
            <w:vAlign w:val="bottom"/>
            <w:tcBorders>
              <w:bottom w:val="single" w:sz="8" w:color="0088A6"/>
              <w:right w:val="single" w:sz="8" w:color="BFBFBF"/>
            </w:tcBorders>
            <w:shd w:val="clear" w:color="auto" w:fill="0088A6"/>
          </w:tcPr>
          <w:p>
            <w:pPr>
              <w:spacing w:after="0"/>
              <w:rPr>
                <w:sz w:val="17"/>
                <w:szCs w:val="17"/>
                <w:color w:val="auto"/>
              </w:rPr>
            </w:pPr>
          </w:p>
        </w:tc>
        <w:tc>
          <w:tcPr>
            <w:tcW w:w="200" w:type="dxa"/>
            <w:vAlign w:val="bottom"/>
            <w:tcBorders>
              <w:bottom w:val="single" w:sz="8" w:color="0088A6"/>
              <w:right w:val="single" w:sz="8" w:color="0088A6"/>
            </w:tcBorders>
            <w:shd w:val="clear" w:color="auto" w:fill="0088A6"/>
          </w:tcPr>
          <w:p>
            <w:pPr>
              <w:spacing w:after="0"/>
              <w:rPr>
                <w:sz w:val="17"/>
                <w:szCs w:val="17"/>
                <w:color w:val="auto"/>
              </w:rPr>
            </w:pPr>
          </w:p>
        </w:tc>
        <w:tc>
          <w:tcPr>
            <w:tcW w:w="60" w:type="dxa"/>
            <w:vAlign w:val="bottom"/>
            <w:tcBorders>
              <w:bottom w:val="single" w:sz="8" w:color="0088A6"/>
            </w:tcBorders>
            <w:shd w:val="clear" w:color="auto" w:fill="0088A6"/>
          </w:tcPr>
          <w:p>
            <w:pPr>
              <w:spacing w:after="0"/>
              <w:rPr>
                <w:sz w:val="17"/>
                <w:szCs w:val="17"/>
                <w:color w:val="auto"/>
              </w:rPr>
            </w:pPr>
          </w:p>
        </w:tc>
        <w:tc>
          <w:tcPr>
            <w:tcW w:w="1340" w:type="dxa"/>
            <w:vAlign w:val="bottom"/>
            <w:tcBorders>
              <w:bottom w:val="single" w:sz="8" w:color="auto"/>
            </w:tcBorders>
            <w:gridSpan w:val="4"/>
            <w:shd w:val="clear" w:color="auto" w:fill="0088A6"/>
          </w:tcPr>
          <w:p>
            <w:pPr>
              <w:ind w:left="160"/>
              <w:spacing w:after="0"/>
              <w:rPr>
                <w:sz w:val="20"/>
                <w:szCs w:val="20"/>
                <w:color w:val="auto"/>
              </w:rPr>
            </w:pPr>
            <w:r>
              <w:rPr>
                <w:rFonts w:ascii="Arial" w:cs="Arial" w:eastAsia="Arial" w:hAnsi="Arial"/>
                <w:sz w:val="14"/>
                <w:szCs w:val="14"/>
                <w:b w:val="1"/>
                <w:bCs w:val="1"/>
                <w:color w:val="FFFFFF"/>
              </w:rPr>
              <w:t>Death/Disability</w:t>
            </w:r>
          </w:p>
        </w:tc>
        <w:tc>
          <w:tcPr>
            <w:tcW w:w="300" w:type="dxa"/>
            <w:vAlign w:val="bottom"/>
            <w:tcBorders>
              <w:bottom w:val="single" w:sz="8" w:color="0088A6"/>
              <w:right w:val="single" w:sz="8" w:color="BFBFBF"/>
            </w:tcBorders>
            <w:shd w:val="clear" w:color="auto" w:fill="0088A6"/>
          </w:tcPr>
          <w:p>
            <w:pPr>
              <w:spacing w:after="0"/>
              <w:rPr>
                <w:sz w:val="17"/>
                <w:szCs w:val="17"/>
                <w:color w:val="auto"/>
              </w:rPr>
            </w:pPr>
          </w:p>
        </w:tc>
        <w:tc>
          <w:tcPr>
            <w:tcW w:w="120" w:type="dxa"/>
            <w:vAlign w:val="bottom"/>
            <w:tcBorders>
              <w:bottom w:val="single" w:sz="8" w:color="0088A6"/>
              <w:right w:val="single" w:sz="8" w:color="0088A6"/>
            </w:tcBorders>
            <w:shd w:val="clear" w:color="auto" w:fill="0088A6"/>
          </w:tcPr>
          <w:p>
            <w:pPr>
              <w:spacing w:after="0"/>
              <w:rPr>
                <w:sz w:val="17"/>
                <w:szCs w:val="17"/>
                <w:color w:val="auto"/>
              </w:rPr>
            </w:pPr>
          </w:p>
        </w:tc>
        <w:tc>
          <w:tcPr>
            <w:tcW w:w="140" w:type="dxa"/>
            <w:vAlign w:val="bottom"/>
            <w:tcBorders>
              <w:bottom w:val="single" w:sz="8" w:color="0088A6"/>
            </w:tcBorders>
            <w:shd w:val="clear" w:color="auto" w:fill="0088A6"/>
          </w:tcPr>
          <w:p>
            <w:pPr>
              <w:spacing w:after="0"/>
              <w:rPr>
                <w:sz w:val="17"/>
                <w:szCs w:val="17"/>
                <w:color w:val="auto"/>
              </w:rPr>
            </w:pPr>
          </w:p>
        </w:tc>
        <w:tc>
          <w:tcPr>
            <w:tcW w:w="160" w:type="dxa"/>
            <w:vAlign w:val="bottom"/>
            <w:tcBorders>
              <w:bottom w:val="single" w:sz="8" w:color="auto"/>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1060" w:type="dxa"/>
            <w:vAlign w:val="bottom"/>
            <w:tcBorders>
              <w:bottom w:val="single" w:sz="8" w:color="auto"/>
            </w:tcBorders>
            <w:gridSpan w:val="2"/>
            <w:shd w:val="clear" w:color="auto" w:fill="0088A6"/>
          </w:tcPr>
          <w:p>
            <w:pPr>
              <w:jc w:val="center"/>
              <w:ind w:right="280"/>
              <w:spacing w:after="0"/>
              <w:rPr>
                <w:sz w:val="20"/>
                <w:szCs w:val="20"/>
                <w:color w:val="auto"/>
              </w:rPr>
            </w:pPr>
            <w:r>
              <w:rPr>
                <w:rFonts w:ascii="Arial" w:cs="Arial" w:eastAsia="Arial" w:hAnsi="Arial"/>
                <w:sz w:val="14"/>
                <w:szCs w:val="14"/>
                <w:b w:val="1"/>
                <w:bCs w:val="1"/>
                <w:color w:val="FFFFFF"/>
                <w:w w:val="98"/>
              </w:rPr>
              <w:t>Notice</w:t>
            </w:r>
          </w:p>
        </w:tc>
        <w:tc>
          <w:tcPr>
            <w:tcW w:w="300" w:type="dxa"/>
            <w:vAlign w:val="bottom"/>
            <w:tcBorders>
              <w:bottom w:val="single" w:sz="8" w:color="0088A6"/>
              <w:right w:val="single" w:sz="8" w:color="0088A6"/>
            </w:tcBorders>
            <w:shd w:val="clear" w:color="auto" w:fill="0088A6"/>
          </w:tcPr>
          <w:p>
            <w:pPr>
              <w:spacing w:after="0"/>
              <w:rPr>
                <w:sz w:val="17"/>
                <w:szCs w:val="17"/>
                <w:color w:val="auto"/>
              </w:rPr>
            </w:pPr>
          </w:p>
        </w:tc>
        <w:tc>
          <w:tcPr>
            <w:tcW w:w="260" w:type="dxa"/>
            <w:vAlign w:val="bottom"/>
            <w:tcBorders>
              <w:bottom w:val="single" w:sz="8" w:color="0088A6"/>
            </w:tcBorders>
            <w:shd w:val="clear" w:color="auto" w:fill="0088A6"/>
          </w:tcPr>
          <w:p>
            <w:pPr>
              <w:spacing w:after="0"/>
              <w:rPr>
                <w:sz w:val="17"/>
                <w:szCs w:val="17"/>
                <w:color w:val="auto"/>
              </w:rPr>
            </w:pPr>
          </w:p>
        </w:tc>
        <w:tc>
          <w:tcPr>
            <w:tcW w:w="20" w:type="dxa"/>
            <w:vAlign w:val="bottom"/>
            <w:tcBorders>
              <w:bottom w:val="single" w:sz="8" w:color="auto"/>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880" w:type="dxa"/>
            <w:vAlign w:val="bottom"/>
            <w:tcBorders>
              <w:bottom w:val="single" w:sz="8" w:color="auto"/>
            </w:tcBorders>
            <w:gridSpan w:val="2"/>
            <w:shd w:val="clear" w:color="auto" w:fill="0088A6"/>
          </w:tcPr>
          <w:p>
            <w:pPr>
              <w:jc w:val="center"/>
              <w:ind w:right="120"/>
              <w:spacing w:after="0"/>
              <w:rPr>
                <w:sz w:val="20"/>
                <w:szCs w:val="20"/>
                <w:color w:val="auto"/>
              </w:rPr>
            </w:pPr>
            <w:r>
              <w:rPr>
                <w:rFonts w:ascii="Arial" w:cs="Arial" w:eastAsia="Arial" w:hAnsi="Arial"/>
                <w:sz w:val="14"/>
                <w:szCs w:val="14"/>
                <w:b w:val="1"/>
                <w:bCs w:val="1"/>
                <w:color w:val="FFFFFF"/>
                <w:w w:val="93"/>
              </w:rPr>
              <w:t>Trigger”)</w:t>
            </w:r>
          </w:p>
        </w:tc>
        <w:tc>
          <w:tcPr>
            <w:tcW w:w="340" w:type="dxa"/>
            <w:vAlign w:val="bottom"/>
            <w:tcBorders>
              <w:bottom w:val="single" w:sz="8" w:color="0088A6"/>
              <w:right w:val="single" w:sz="8" w:color="BFBFBF"/>
            </w:tcBorders>
            <w:shd w:val="clear" w:color="auto" w:fill="0088A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BFBFBF"/>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Severance and Other</w:t>
            </w:r>
          </w:p>
        </w:tc>
        <w:tc>
          <w:tcPr>
            <w:tcW w:w="540" w:type="dxa"/>
            <w:vAlign w:val="bottom"/>
            <w:tcBorders>
              <w:top w:val="single" w:sz="8" w:color="BFBFBF"/>
              <w:bottom w:val="single" w:sz="8" w:color="BFBFBF"/>
            </w:tcBorders>
            <w:gridSpan w:val="3"/>
          </w:tcPr>
          <w:p>
            <w:pPr>
              <w:ind w:left="280"/>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BFBFBF"/>
              <w:bottom w:val="single" w:sz="8" w:color="BFBFBF"/>
            </w:tcBorders>
          </w:tcPr>
          <w:p>
            <w:pPr>
              <w:spacing w:after="0"/>
              <w:rPr>
                <w:sz w:val="11"/>
                <w:szCs w:val="11"/>
                <w:color w:val="auto"/>
              </w:rPr>
            </w:pPr>
          </w:p>
        </w:tc>
        <w:tc>
          <w:tcPr>
            <w:tcW w:w="500" w:type="dxa"/>
            <w:vAlign w:val="bottom"/>
            <w:tcBorders>
              <w:top w:val="single" w:sz="8" w:color="BFBFBF"/>
              <w:bottom w:val="single" w:sz="8" w:color="BFBFBF"/>
            </w:tcBorders>
          </w:tcPr>
          <w:p>
            <w:pPr>
              <w:jc w:val="right"/>
              <w:ind w:right="72"/>
              <w:spacing w:after="0" w:line="129" w:lineRule="exact"/>
              <w:rPr>
                <w:sz w:val="20"/>
                <w:szCs w:val="20"/>
                <w:color w:val="auto"/>
              </w:rPr>
            </w:pPr>
            <w:r>
              <w:rPr>
                <w:rFonts w:ascii="Arial" w:cs="Arial" w:eastAsia="Arial" w:hAnsi="Arial"/>
                <w:sz w:val="14"/>
                <w:szCs w:val="14"/>
                <w:color w:val="auto"/>
              </w:rPr>
              <w:t>0</w:t>
            </w:r>
          </w:p>
        </w:tc>
        <w:tc>
          <w:tcPr>
            <w:tcW w:w="300" w:type="dxa"/>
            <w:vAlign w:val="bottom"/>
            <w:tcBorders>
              <w:top w:val="single" w:sz="8" w:color="BFBFBF"/>
              <w:bottom w:val="single" w:sz="8" w:color="BFBFBF"/>
              <w:right w:val="single" w:sz="8" w:color="BFBFBF"/>
            </w:tcBorders>
          </w:tcPr>
          <w:p>
            <w:pPr>
              <w:spacing w:after="0"/>
              <w:rPr>
                <w:sz w:val="11"/>
                <w:szCs w:val="11"/>
                <w:color w:val="auto"/>
              </w:rPr>
            </w:pPr>
          </w:p>
        </w:tc>
        <w:tc>
          <w:tcPr>
            <w:tcW w:w="280" w:type="dxa"/>
            <w:vAlign w:val="bottom"/>
            <w:tcBorders>
              <w:top w:val="single" w:sz="8" w:color="BFBFBF"/>
              <w:bottom w:val="single" w:sz="8" w:color="BFBFBF"/>
            </w:tcBorders>
          </w:tcPr>
          <w:p>
            <w:pPr>
              <w:spacing w:after="0"/>
              <w:rPr>
                <w:sz w:val="11"/>
                <w:szCs w:val="11"/>
                <w:color w:val="auto"/>
              </w:rPr>
            </w:pPr>
          </w:p>
        </w:tc>
        <w:tc>
          <w:tcPr>
            <w:tcW w:w="380" w:type="dxa"/>
            <w:vAlign w:val="bottom"/>
            <w:tcBorders>
              <w:top w:val="single" w:sz="8" w:color="BFBFBF"/>
              <w:bottom w:val="single" w:sz="8" w:color="BFBFBF"/>
            </w:tcBorders>
            <w:gridSpan w:val="2"/>
          </w:tcPr>
          <w:p>
            <w:pPr>
              <w:jc w:val="right"/>
              <w:ind w:right="212"/>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BFBFBF"/>
              <w:bottom w:val="single" w:sz="8" w:color="BFBFBF"/>
            </w:tcBorders>
          </w:tcPr>
          <w:p>
            <w:pPr>
              <w:spacing w:after="0"/>
              <w:rPr>
                <w:sz w:val="11"/>
                <w:szCs w:val="11"/>
                <w:color w:val="auto"/>
              </w:rPr>
            </w:pPr>
          </w:p>
        </w:tc>
        <w:tc>
          <w:tcPr>
            <w:tcW w:w="820" w:type="dxa"/>
            <w:vAlign w:val="bottom"/>
            <w:tcBorders>
              <w:top w:val="single" w:sz="8" w:color="BFBFBF"/>
              <w:bottom w:val="single" w:sz="8" w:color="BFBFBF"/>
            </w:tcBorders>
          </w:tcPr>
          <w:p>
            <w:pPr>
              <w:jc w:val="right"/>
              <w:ind w:right="72"/>
              <w:spacing w:after="0" w:line="129" w:lineRule="exact"/>
              <w:rPr>
                <w:sz w:val="20"/>
                <w:szCs w:val="20"/>
                <w:color w:val="auto"/>
              </w:rPr>
            </w:pPr>
            <w:r>
              <w:rPr>
                <w:rFonts w:ascii="Arial" w:cs="Arial" w:eastAsia="Arial" w:hAnsi="Arial"/>
                <w:sz w:val="14"/>
                <w:szCs w:val="14"/>
                <w:color w:val="auto"/>
              </w:rPr>
              <w:t>6,100,000</w:t>
            </w:r>
          </w:p>
        </w:tc>
        <w:tc>
          <w:tcPr>
            <w:tcW w:w="80" w:type="dxa"/>
            <w:vAlign w:val="bottom"/>
            <w:tcBorders>
              <w:top w:val="single" w:sz="8" w:color="BFBFBF"/>
              <w:bottom w:val="single" w:sz="8" w:color="BFBFBF"/>
            </w:tcBorders>
          </w:tcPr>
          <w:p>
            <w:pPr>
              <w:spacing w:after="0"/>
              <w:rPr>
                <w:sz w:val="11"/>
                <w:szCs w:val="11"/>
                <w:color w:val="auto"/>
              </w:rPr>
            </w:pPr>
          </w:p>
        </w:tc>
        <w:tc>
          <w:tcPr>
            <w:tcW w:w="240" w:type="dxa"/>
            <w:vAlign w:val="bottom"/>
            <w:tcBorders>
              <w:top w:val="single" w:sz="8" w:color="BFBFBF"/>
              <w:bottom w:val="single" w:sz="8" w:color="BFBFBF"/>
              <w:right w:val="single" w:sz="8" w:color="BFBFBF"/>
            </w:tcBorders>
          </w:tcPr>
          <w:p>
            <w:pPr>
              <w:spacing w:after="0"/>
              <w:rPr>
                <w:sz w:val="11"/>
                <w:szCs w:val="11"/>
                <w:color w:val="auto"/>
              </w:rPr>
            </w:pPr>
          </w:p>
        </w:tc>
        <w:tc>
          <w:tcPr>
            <w:tcW w:w="520" w:type="dxa"/>
            <w:vAlign w:val="bottom"/>
            <w:tcBorders>
              <w:top w:val="single" w:sz="8" w:color="BFBFBF"/>
              <w:bottom w:val="single" w:sz="8" w:color="BFBFBF"/>
            </w:tcBorders>
            <w:gridSpan w:val="3"/>
          </w:tcPr>
          <w:p>
            <w:pPr>
              <w:jc w:val="right"/>
              <w:ind w:right="92"/>
              <w:spacing w:after="0" w:line="12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BFBFBF"/>
              <w:bottom w:val="single" w:sz="8" w:color="BFBFBF"/>
            </w:tcBorders>
          </w:tcPr>
          <w:p>
            <w:pPr>
              <w:spacing w:after="0"/>
              <w:rPr>
                <w:sz w:val="11"/>
                <w:szCs w:val="11"/>
                <w:color w:val="auto"/>
              </w:rPr>
            </w:pPr>
          </w:p>
        </w:tc>
        <w:tc>
          <w:tcPr>
            <w:tcW w:w="900" w:type="dxa"/>
            <w:vAlign w:val="bottom"/>
            <w:tcBorders>
              <w:top w:val="single" w:sz="8" w:color="BFBFBF"/>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2,100,000</w:t>
            </w:r>
          </w:p>
        </w:tc>
        <w:tc>
          <w:tcPr>
            <w:tcW w:w="20" w:type="dxa"/>
            <w:vAlign w:val="bottom"/>
            <w:tcBorders>
              <w:top w:val="single" w:sz="8" w:color="BFBFBF"/>
              <w:bottom w:val="single" w:sz="8" w:color="BFBFBF"/>
            </w:tcBorders>
          </w:tcPr>
          <w:p>
            <w:pPr>
              <w:spacing w:after="0"/>
              <w:rPr>
                <w:sz w:val="11"/>
                <w:szCs w:val="11"/>
                <w:color w:val="auto"/>
              </w:rPr>
            </w:pPr>
          </w:p>
        </w:tc>
        <w:tc>
          <w:tcPr>
            <w:tcW w:w="300" w:type="dxa"/>
            <w:vAlign w:val="bottom"/>
            <w:tcBorders>
              <w:top w:val="single" w:sz="8" w:color="BFBFBF"/>
              <w:bottom w:val="single" w:sz="8" w:color="BFBFBF"/>
              <w:right w:val="single" w:sz="8" w:color="BFBFBF"/>
            </w:tcBorders>
          </w:tcPr>
          <w:p>
            <w:pPr>
              <w:spacing w:after="0"/>
              <w:rPr>
                <w:sz w:val="11"/>
                <w:szCs w:val="11"/>
                <w:color w:val="auto"/>
              </w:rPr>
            </w:pPr>
          </w:p>
        </w:tc>
        <w:tc>
          <w:tcPr>
            <w:tcW w:w="420" w:type="dxa"/>
            <w:vAlign w:val="bottom"/>
            <w:tcBorders>
              <w:top w:val="single" w:sz="8" w:color="BFBFBF"/>
              <w:bottom w:val="single" w:sz="8" w:color="BFBFBF"/>
            </w:tcBorders>
            <w:gridSpan w:val="3"/>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BFBFBF"/>
              <w:bottom w:val="single" w:sz="8" w:color="BFBFBF"/>
            </w:tcBorders>
          </w:tcPr>
          <w:p>
            <w:pPr>
              <w:spacing w:after="0"/>
              <w:rPr>
                <w:sz w:val="11"/>
                <w:szCs w:val="11"/>
                <w:color w:val="auto"/>
              </w:rPr>
            </w:pPr>
          </w:p>
        </w:tc>
        <w:tc>
          <w:tcPr>
            <w:tcW w:w="900" w:type="dxa"/>
            <w:vAlign w:val="bottom"/>
            <w:tcBorders>
              <w:top w:val="single" w:sz="8" w:color="BFBFBF"/>
              <w:bottom w:val="single" w:sz="8" w:color="BFBFBF"/>
            </w:tcBorders>
          </w:tcPr>
          <w:p>
            <w:pPr>
              <w:jc w:val="right"/>
              <w:ind w:right="72"/>
              <w:spacing w:after="0" w:line="129" w:lineRule="exact"/>
              <w:rPr>
                <w:sz w:val="20"/>
                <w:szCs w:val="20"/>
                <w:color w:val="auto"/>
              </w:rPr>
            </w:pPr>
            <w:r>
              <w:rPr>
                <w:rFonts w:ascii="Arial" w:cs="Arial" w:eastAsia="Arial" w:hAnsi="Arial"/>
                <w:sz w:val="14"/>
                <w:szCs w:val="14"/>
                <w:color w:val="auto"/>
              </w:rPr>
              <w:t>2,100,000</w:t>
            </w:r>
          </w:p>
        </w:tc>
        <w:tc>
          <w:tcPr>
            <w:tcW w:w="160" w:type="dxa"/>
            <w:vAlign w:val="bottom"/>
            <w:tcBorders>
              <w:top w:val="single" w:sz="8" w:color="BFBFBF"/>
              <w:bottom w:val="single" w:sz="8" w:color="BFBFBF"/>
            </w:tcBorders>
          </w:tcPr>
          <w:p>
            <w:pPr>
              <w:spacing w:after="0"/>
              <w:rPr>
                <w:sz w:val="11"/>
                <w:szCs w:val="11"/>
                <w:color w:val="auto"/>
              </w:rPr>
            </w:pPr>
          </w:p>
        </w:tc>
        <w:tc>
          <w:tcPr>
            <w:tcW w:w="300" w:type="dxa"/>
            <w:vAlign w:val="bottom"/>
            <w:tcBorders>
              <w:top w:val="single" w:sz="8" w:color="BFBFBF"/>
              <w:bottom w:val="single" w:sz="8" w:color="BFBFBF"/>
              <w:right w:val="single" w:sz="8" w:color="BFBFBF"/>
            </w:tcBorders>
          </w:tcPr>
          <w:p>
            <w:pPr>
              <w:spacing w:after="0"/>
              <w:rPr>
                <w:sz w:val="11"/>
                <w:szCs w:val="11"/>
                <w:color w:val="auto"/>
              </w:rPr>
            </w:pPr>
          </w:p>
        </w:tc>
        <w:tc>
          <w:tcPr>
            <w:tcW w:w="400" w:type="dxa"/>
            <w:vAlign w:val="bottom"/>
            <w:tcBorders>
              <w:top w:val="single" w:sz="8" w:color="BFBFBF"/>
              <w:bottom w:val="single" w:sz="8" w:color="BFBFBF"/>
            </w:tcBorders>
            <w:gridSpan w:val="3"/>
          </w:tcPr>
          <w:p>
            <w:pPr>
              <w:jc w:val="right"/>
              <w:spacing w:after="0" w:line="12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BFBFBF"/>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6,100,000</w:t>
            </w:r>
          </w:p>
        </w:tc>
        <w:tc>
          <w:tcPr>
            <w:tcW w:w="120" w:type="dxa"/>
            <w:vAlign w:val="bottom"/>
            <w:tcBorders>
              <w:top w:val="single" w:sz="8" w:color="BFBFBF"/>
              <w:bottom w:val="single" w:sz="8" w:color="BFBFBF"/>
            </w:tcBorders>
          </w:tcPr>
          <w:p>
            <w:pPr>
              <w:spacing w:after="0"/>
              <w:rPr>
                <w:sz w:val="11"/>
                <w:szCs w:val="11"/>
                <w:color w:val="auto"/>
              </w:rPr>
            </w:pPr>
          </w:p>
        </w:tc>
        <w:tc>
          <w:tcPr>
            <w:tcW w:w="340" w:type="dxa"/>
            <w:vAlign w:val="bottom"/>
            <w:tcBorders>
              <w:top w:val="single" w:sz="8" w:color="BFBFBF"/>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6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Non-Equity Incentive Compensation</w:t>
            </w:r>
          </w:p>
        </w:tc>
        <w:tc>
          <w:tcPr>
            <w:tcW w:w="540" w:type="dxa"/>
            <w:vAlign w:val="bottom"/>
            <w:tcBorders>
              <w:bottom w:val="single" w:sz="8" w:color="BFBFBF"/>
            </w:tcBorders>
            <w:gridSpan w:val="3"/>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5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300" w:type="dxa"/>
            <w:vAlign w:val="bottom"/>
            <w:tcBorders>
              <w:bottom w:val="single" w:sz="8" w:color="BFBFBF"/>
              <w:right w:val="single" w:sz="8" w:color="BFBFBF"/>
            </w:tcBorders>
          </w:tcPr>
          <w:p>
            <w:pPr>
              <w:spacing w:after="0"/>
              <w:rPr>
                <w:sz w:val="12"/>
                <w:szCs w:val="12"/>
                <w:color w:val="auto"/>
              </w:rPr>
            </w:pPr>
          </w:p>
        </w:tc>
        <w:tc>
          <w:tcPr>
            <w:tcW w:w="280" w:type="dxa"/>
            <w:vAlign w:val="bottom"/>
            <w:tcBorders>
              <w:bottom w:val="single" w:sz="8" w:color="BFBFBF"/>
            </w:tcBorders>
          </w:tcPr>
          <w:p>
            <w:pPr>
              <w:spacing w:after="0"/>
              <w:rPr>
                <w:sz w:val="12"/>
                <w:szCs w:val="12"/>
                <w:color w:val="auto"/>
              </w:rPr>
            </w:pPr>
          </w:p>
        </w:tc>
        <w:tc>
          <w:tcPr>
            <w:tcW w:w="380" w:type="dxa"/>
            <w:vAlign w:val="bottom"/>
            <w:tcBorders>
              <w:bottom w:val="single" w:sz="8" w:color="BFBFBF"/>
            </w:tcBorders>
            <w:gridSpan w:val="2"/>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82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8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right w:val="single" w:sz="8" w:color="BFBFBF"/>
            </w:tcBorders>
          </w:tcPr>
          <w:p>
            <w:pPr>
              <w:spacing w:after="0"/>
              <w:rPr>
                <w:sz w:val="12"/>
                <w:szCs w:val="12"/>
                <w:color w:val="auto"/>
              </w:rPr>
            </w:pPr>
          </w:p>
        </w:tc>
        <w:tc>
          <w:tcPr>
            <w:tcW w:w="520" w:type="dxa"/>
            <w:vAlign w:val="bottom"/>
            <w:tcBorders>
              <w:bottom w:val="single" w:sz="8" w:color="BFBFBF"/>
            </w:tcBorders>
            <w:gridSpan w:val="3"/>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42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w:t>
            </w:r>
          </w:p>
        </w:tc>
        <w:tc>
          <w:tcPr>
            <w:tcW w:w="12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60" w:type="dxa"/>
            <w:vAlign w:val="bottom"/>
            <w:tcBorders>
              <w:left w:val="single" w:sz="8" w:color="BFBFBF"/>
              <w:right w:val="single" w:sz="8" w:color="BFBFBF"/>
            </w:tcBorders>
          </w:tcPr>
          <w:p>
            <w:pPr>
              <w:ind w:left="120"/>
              <w:spacing w:after="0" w:line="141" w:lineRule="exact"/>
              <w:rPr>
                <w:sz w:val="20"/>
                <w:szCs w:val="20"/>
                <w:color w:val="auto"/>
              </w:rPr>
            </w:pPr>
            <w:r>
              <w:rPr>
                <w:rFonts w:ascii="Arial" w:cs="Arial" w:eastAsia="Arial" w:hAnsi="Arial"/>
                <w:sz w:val="14"/>
                <w:szCs w:val="14"/>
                <w:color w:val="auto"/>
              </w:rPr>
              <w:t>Stock Option Vesting</w:t>
            </w:r>
          </w:p>
        </w:tc>
        <w:tc>
          <w:tcPr>
            <w:tcW w:w="540" w:type="dxa"/>
            <w:vAlign w:val="bottom"/>
            <w:gridSpan w:val="3"/>
          </w:tcPr>
          <w:p>
            <w:pPr>
              <w:ind w:left="28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0</w:t>
            </w:r>
          </w:p>
        </w:tc>
        <w:tc>
          <w:tcPr>
            <w:tcW w:w="300" w:type="dxa"/>
            <w:vAlign w:val="bottom"/>
            <w:tcBorders>
              <w:right w:val="single" w:sz="8" w:color="BFBFBF"/>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180"/>
              <w:spacing w:after="0" w:line="141" w:lineRule="exact"/>
              <w:rPr>
                <w:sz w:val="20"/>
                <w:szCs w:val="20"/>
                <w:color w:val="auto"/>
              </w:rPr>
            </w:pPr>
            <w:r>
              <w:rPr>
                <w:rFonts w:ascii="Arial" w:cs="Arial" w:eastAsia="Arial" w:hAnsi="Arial"/>
                <w:sz w:val="14"/>
                <w:szCs w:val="14"/>
                <w:color w:val="auto"/>
              </w:rPr>
              <w:t>Vested options</w:t>
            </w:r>
          </w:p>
        </w:tc>
        <w:tc>
          <w:tcPr>
            <w:tcW w:w="80" w:type="dxa"/>
            <w:vAlign w:val="bottom"/>
          </w:tcPr>
          <w:p>
            <w:pPr>
              <w:spacing w:after="0"/>
              <w:rPr>
                <w:sz w:val="12"/>
                <w:szCs w:val="12"/>
                <w:color w:val="auto"/>
              </w:rPr>
            </w:pPr>
          </w:p>
        </w:tc>
        <w:tc>
          <w:tcPr>
            <w:tcW w:w="240" w:type="dxa"/>
            <w:vAlign w:val="bottom"/>
            <w:tcBorders>
              <w:right w:val="single" w:sz="8" w:color="BFBFBF"/>
            </w:tcBorders>
          </w:tcPr>
          <w:p>
            <w:pPr>
              <w:spacing w:after="0"/>
              <w:rPr>
                <w:sz w:val="12"/>
                <w:szCs w:val="12"/>
                <w:color w:val="auto"/>
              </w:rPr>
            </w:pPr>
          </w:p>
        </w:tc>
        <w:tc>
          <w:tcPr>
            <w:tcW w:w="520" w:type="dxa"/>
            <w:vAlign w:val="bottom"/>
            <w:gridSpan w:val="3"/>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300" w:type="dxa"/>
            <w:vAlign w:val="bottom"/>
            <w:tcBorders>
              <w:right w:val="single" w:sz="8" w:color="BFBFBF"/>
            </w:tcBorders>
          </w:tcPr>
          <w:p>
            <w:pPr>
              <w:spacing w:after="0"/>
              <w:rPr>
                <w:sz w:val="12"/>
                <w:szCs w:val="12"/>
                <w:color w:val="auto"/>
              </w:rPr>
            </w:pPr>
          </w:p>
        </w:tc>
        <w:tc>
          <w:tcPr>
            <w:tcW w:w="4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300" w:type="dxa"/>
            <w:vAlign w:val="bottom"/>
            <w:tcBorders>
              <w:right w:val="single" w:sz="8" w:color="BFBFBF"/>
            </w:tcBorders>
          </w:tcPr>
          <w:p>
            <w:pPr>
              <w:spacing w:after="0"/>
              <w:rPr>
                <w:sz w:val="12"/>
                <w:szCs w:val="12"/>
                <w:color w:val="auto"/>
              </w:rPr>
            </w:pPr>
          </w:p>
        </w:tc>
        <w:tc>
          <w:tcPr>
            <w:tcW w:w="40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3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BFBFBF"/>
              <w:right w:val="single" w:sz="8" w:color="BFBFBF"/>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Borders>
              <w:right w:val="single" w:sz="8" w:color="BFBFBF"/>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right"/>
              <w:ind w:right="192"/>
              <w:spacing w:after="0" w:line="149" w:lineRule="exact"/>
              <w:rPr>
                <w:sz w:val="20"/>
                <w:szCs w:val="20"/>
                <w:color w:val="auto"/>
              </w:rPr>
            </w:pPr>
            <w:r>
              <w:rPr>
                <w:rFonts w:ascii="Arial" w:cs="Arial" w:eastAsia="Arial" w:hAnsi="Arial"/>
                <w:sz w:val="14"/>
                <w:szCs w:val="14"/>
                <w:color w:val="auto"/>
              </w:rPr>
              <w:t>exercisable</w:t>
            </w:r>
          </w:p>
        </w:tc>
        <w:tc>
          <w:tcPr>
            <w:tcW w:w="80" w:type="dxa"/>
            <w:vAlign w:val="bottom"/>
          </w:tcPr>
          <w:p>
            <w:pPr>
              <w:spacing w:after="0"/>
              <w:rPr>
                <w:sz w:val="12"/>
                <w:szCs w:val="12"/>
                <w:color w:val="auto"/>
              </w:rPr>
            </w:pPr>
          </w:p>
        </w:tc>
        <w:tc>
          <w:tcPr>
            <w:tcW w:w="240" w:type="dxa"/>
            <w:vAlign w:val="bottom"/>
            <w:tcBorders>
              <w:right w:val="single" w:sz="8" w:color="BFBFBF"/>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right w:val="single" w:sz="8" w:color="BFBFBF"/>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right w:val="single" w:sz="8" w:color="BFBFBF"/>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Borders>
              <w:left w:val="single" w:sz="8" w:color="BFBFBF"/>
              <w:bottom w:val="single" w:sz="8" w:color="BFBFBF"/>
              <w:right w:val="single" w:sz="8" w:color="BFBFBF"/>
            </w:tcBorders>
          </w:tcPr>
          <w:p>
            <w:pPr>
              <w:spacing w:after="0"/>
              <w:rPr>
                <w:sz w:val="14"/>
                <w:szCs w:val="14"/>
                <w:color w:val="auto"/>
              </w:rPr>
            </w:pPr>
          </w:p>
        </w:tc>
        <w:tc>
          <w:tcPr>
            <w:tcW w:w="240" w:type="dxa"/>
            <w:vAlign w:val="bottom"/>
            <w:tcBorders>
              <w:bottom w:val="single" w:sz="8" w:color="BFBFBF"/>
            </w:tcBorders>
          </w:tcPr>
          <w:p>
            <w:pPr>
              <w:spacing w:after="0"/>
              <w:rPr>
                <w:sz w:val="14"/>
                <w:szCs w:val="14"/>
                <w:color w:val="auto"/>
              </w:rPr>
            </w:pPr>
          </w:p>
        </w:tc>
        <w:tc>
          <w:tcPr>
            <w:tcW w:w="20" w:type="dxa"/>
            <w:vAlign w:val="bottom"/>
            <w:tcBorders>
              <w:bottom w:val="single" w:sz="8" w:color="BFBFBF"/>
            </w:tcBorders>
          </w:tcPr>
          <w:p>
            <w:pPr>
              <w:spacing w:after="0"/>
              <w:rPr>
                <w:sz w:val="14"/>
                <w:szCs w:val="14"/>
                <w:color w:val="auto"/>
              </w:rPr>
            </w:pPr>
          </w:p>
        </w:tc>
        <w:tc>
          <w:tcPr>
            <w:tcW w:w="28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tcBorders>
          </w:tcPr>
          <w:p>
            <w:pPr>
              <w:spacing w:after="0"/>
              <w:rPr>
                <w:sz w:val="14"/>
                <w:szCs w:val="14"/>
                <w:color w:val="auto"/>
              </w:rPr>
            </w:pPr>
          </w:p>
        </w:tc>
        <w:tc>
          <w:tcPr>
            <w:tcW w:w="500" w:type="dxa"/>
            <w:vAlign w:val="bottom"/>
            <w:tcBorders>
              <w:bottom w:val="single" w:sz="8" w:color="BFBFBF"/>
            </w:tcBorders>
          </w:tcPr>
          <w:p>
            <w:pPr>
              <w:spacing w:after="0"/>
              <w:rPr>
                <w:sz w:val="14"/>
                <w:szCs w:val="14"/>
                <w:color w:val="auto"/>
              </w:rPr>
            </w:pPr>
          </w:p>
        </w:tc>
        <w:tc>
          <w:tcPr>
            <w:tcW w:w="300" w:type="dxa"/>
            <w:vAlign w:val="bottom"/>
            <w:tcBorders>
              <w:bottom w:val="single" w:sz="8" w:color="BFBFBF"/>
              <w:right w:val="single" w:sz="8" w:color="BFBFBF"/>
            </w:tcBorders>
          </w:tcPr>
          <w:p>
            <w:pPr>
              <w:spacing w:after="0"/>
              <w:rPr>
                <w:sz w:val="14"/>
                <w:szCs w:val="14"/>
                <w:color w:val="auto"/>
              </w:rPr>
            </w:pPr>
          </w:p>
        </w:tc>
        <w:tc>
          <w:tcPr>
            <w:tcW w:w="28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tcBorders>
          </w:tcPr>
          <w:p>
            <w:pPr>
              <w:spacing w:after="0"/>
              <w:rPr>
                <w:sz w:val="14"/>
                <w:szCs w:val="14"/>
                <w:color w:val="auto"/>
              </w:rPr>
            </w:pPr>
          </w:p>
        </w:tc>
        <w:tc>
          <w:tcPr>
            <w:tcW w:w="1220" w:type="dxa"/>
            <w:vAlign w:val="bottom"/>
            <w:tcBorders>
              <w:bottom w:val="single" w:sz="8" w:color="BFBFBF"/>
            </w:tcBorders>
            <w:gridSpan w:val="3"/>
          </w:tcPr>
          <w:p>
            <w:pPr>
              <w:jc w:val="right"/>
              <w:ind w:right="112"/>
              <w:spacing w:after="0"/>
              <w:rPr>
                <w:sz w:val="20"/>
                <w:szCs w:val="20"/>
                <w:color w:val="auto"/>
              </w:rPr>
            </w:pPr>
            <w:r>
              <w:rPr>
                <w:rFonts w:ascii="Arial" w:cs="Arial" w:eastAsia="Arial" w:hAnsi="Arial"/>
                <w:sz w:val="14"/>
                <w:szCs w:val="14"/>
                <w:color w:val="auto"/>
              </w:rPr>
              <w:t>for 36 months</w:t>
            </w:r>
          </w:p>
        </w:tc>
        <w:tc>
          <w:tcPr>
            <w:tcW w:w="80" w:type="dxa"/>
            <w:vAlign w:val="bottom"/>
            <w:tcBorders>
              <w:bottom w:val="single" w:sz="8" w:color="BFBFBF"/>
            </w:tcBorders>
          </w:tcPr>
          <w:p>
            <w:pPr>
              <w:spacing w:after="0"/>
              <w:rPr>
                <w:sz w:val="14"/>
                <w:szCs w:val="14"/>
                <w:color w:val="auto"/>
              </w:rPr>
            </w:pPr>
          </w:p>
        </w:tc>
        <w:tc>
          <w:tcPr>
            <w:tcW w:w="240" w:type="dxa"/>
            <w:vAlign w:val="bottom"/>
            <w:tcBorders>
              <w:bottom w:val="single" w:sz="8" w:color="BFBFBF"/>
              <w:right w:val="single" w:sz="8" w:color="BFBFBF"/>
            </w:tcBorders>
          </w:tcPr>
          <w:p>
            <w:pPr>
              <w:spacing w:after="0"/>
              <w:rPr>
                <w:sz w:val="14"/>
                <w:szCs w:val="14"/>
                <w:color w:val="auto"/>
              </w:rPr>
            </w:pPr>
          </w:p>
        </w:tc>
        <w:tc>
          <w:tcPr>
            <w:tcW w:w="200" w:type="dxa"/>
            <w:vAlign w:val="bottom"/>
            <w:tcBorders>
              <w:bottom w:val="single" w:sz="8" w:color="BFBFBF"/>
            </w:tcBorders>
          </w:tcPr>
          <w:p>
            <w:pPr>
              <w:spacing w:after="0"/>
              <w:rPr>
                <w:sz w:val="14"/>
                <w:szCs w:val="14"/>
                <w:color w:val="auto"/>
              </w:rPr>
            </w:pPr>
          </w:p>
        </w:tc>
        <w:tc>
          <w:tcPr>
            <w:tcW w:w="60" w:type="dxa"/>
            <w:vAlign w:val="bottom"/>
            <w:tcBorders>
              <w:bottom w:val="single" w:sz="8" w:color="BFBFBF"/>
            </w:tcBorders>
          </w:tcPr>
          <w:p>
            <w:pPr>
              <w:spacing w:after="0"/>
              <w:rPr>
                <w:sz w:val="14"/>
                <w:szCs w:val="14"/>
                <w:color w:val="auto"/>
              </w:rPr>
            </w:pPr>
          </w:p>
        </w:tc>
        <w:tc>
          <w:tcPr>
            <w:tcW w:w="260" w:type="dxa"/>
            <w:vAlign w:val="bottom"/>
            <w:tcBorders>
              <w:bottom w:val="single" w:sz="8" w:color="BFBFBF"/>
            </w:tcBorders>
          </w:tcPr>
          <w:p>
            <w:pPr>
              <w:spacing w:after="0"/>
              <w:rPr>
                <w:sz w:val="14"/>
                <w:szCs w:val="14"/>
                <w:color w:val="auto"/>
              </w:rPr>
            </w:pPr>
          </w:p>
        </w:tc>
        <w:tc>
          <w:tcPr>
            <w:tcW w:w="160" w:type="dxa"/>
            <w:vAlign w:val="bottom"/>
            <w:tcBorders>
              <w:bottom w:val="single" w:sz="8" w:color="BFBFBF"/>
            </w:tcBorders>
          </w:tcPr>
          <w:p>
            <w:pPr>
              <w:spacing w:after="0"/>
              <w:rPr>
                <w:sz w:val="14"/>
                <w:szCs w:val="14"/>
                <w:color w:val="auto"/>
              </w:rPr>
            </w:pPr>
          </w:p>
        </w:tc>
        <w:tc>
          <w:tcPr>
            <w:tcW w:w="900" w:type="dxa"/>
            <w:vAlign w:val="bottom"/>
            <w:tcBorders>
              <w:bottom w:val="single" w:sz="8" w:color="BFBFBF"/>
            </w:tcBorders>
          </w:tcPr>
          <w:p>
            <w:pPr>
              <w:spacing w:after="0"/>
              <w:rPr>
                <w:sz w:val="14"/>
                <w:szCs w:val="14"/>
                <w:color w:val="auto"/>
              </w:rPr>
            </w:pPr>
          </w:p>
        </w:tc>
        <w:tc>
          <w:tcPr>
            <w:tcW w:w="20" w:type="dxa"/>
            <w:vAlign w:val="bottom"/>
            <w:tcBorders>
              <w:bottom w:val="single" w:sz="8" w:color="BFBFBF"/>
            </w:tcBorders>
          </w:tcPr>
          <w:p>
            <w:pPr>
              <w:spacing w:after="0"/>
              <w:rPr>
                <w:sz w:val="14"/>
                <w:szCs w:val="14"/>
                <w:color w:val="auto"/>
              </w:rPr>
            </w:pPr>
          </w:p>
        </w:tc>
        <w:tc>
          <w:tcPr>
            <w:tcW w:w="300" w:type="dxa"/>
            <w:vAlign w:val="bottom"/>
            <w:tcBorders>
              <w:bottom w:val="single" w:sz="8" w:color="BFBFBF"/>
              <w:right w:val="single" w:sz="8" w:color="BFBFBF"/>
            </w:tcBorders>
          </w:tcPr>
          <w:p>
            <w:pPr>
              <w:spacing w:after="0"/>
              <w:rPr>
                <w:sz w:val="14"/>
                <w:szCs w:val="14"/>
                <w:color w:val="auto"/>
              </w:rPr>
            </w:pPr>
          </w:p>
        </w:tc>
        <w:tc>
          <w:tcPr>
            <w:tcW w:w="120" w:type="dxa"/>
            <w:vAlign w:val="bottom"/>
            <w:tcBorders>
              <w:bottom w:val="single" w:sz="8" w:color="BFBFBF"/>
            </w:tcBorders>
          </w:tcPr>
          <w:p>
            <w:pPr>
              <w:spacing w:after="0"/>
              <w:rPr>
                <w:sz w:val="14"/>
                <w:szCs w:val="14"/>
                <w:color w:val="auto"/>
              </w:rPr>
            </w:pPr>
          </w:p>
        </w:tc>
        <w:tc>
          <w:tcPr>
            <w:tcW w:w="140" w:type="dxa"/>
            <w:vAlign w:val="bottom"/>
            <w:tcBorders>
              <w:bottom w:val="single" w:sz="8" w:color="BFBFBF"/>
            </w:tcBorders>
          </w:tcPr>
          <w:p>
            <w:pPr>
              <w:spacing w:after="0"/>
              <w:rPr>
                <w:sz w:val="14"/>
                <w:szCs w:val="14"/>
                <w:color w:val="auto"/>
              </w:rPr>
            </w:pPr>
          </w:p>
        </w:tc>
        <w:tc>
          <w:tcPr>
            <w:tcW w:w="16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tcBorders>
          </w:tcPr>
          <w:p>
            <w:pPr>
              <w:spacing w:after="0"/>
              <w:rPr>
                <w:sz w:val="14"/>
                <w:szCs w:val="14"/>
                <w:color w:val="auto"/>
              </w:rPr>
            </w:pPr>
          </w:p>
        </w:tc>
        <w:tc>
          <w:tcPr>
            <w:tcW w:w="900" w:type="dxa"/>
            <w:vAlign w:val="bottom"/>
            <w:tcBorders>
              <w:bottom w:val="single" w:sz="8" w:color="BFBFBF"/>
            </w:tcBorders>
          </w:tcPr>
          <w:p>
            <w:pPr>
              <w:spacing w:after="0"/>
              <w:rPr>
                <w:sz w:val="14"/>
                <w:szCs w:val="14"/>
                <w:color w:val="auto"/>
              </w:rPr>
            </w:pPr>
          </w:p>
        </w:tc>
        <w:tc>
          <w:tcPr>
            <w:tcW w:w="160" w:type="dxa"/>
            <w:vAlign w:val="bottom"/>
            <w:tcBorders>
              <w:bottom w:val="single" w:sz="8" w:color="BFBFBF"/>
            </w:tcBorders>
          </w:tcPr>
          <w:p>
            <w:pPr>
              <w:spacing w:after="0"/>
              <w:rPr>
                <w:sz w:val="14"/>
                <w:szCs w:val="14"/>
                <w:color w:val="auto"/>
              </w:rPr>
            </w:pPr>
          </w:p>
        </w:tc>
        <w:tc>
          <w:tcPr>
            <w:tcW w:w="300" w:type="dxa"/>
            <w:vAlign w:val="bottom"/>
            <w:tcBorders>
              <w:bottom w:val="single" w:sz="8" w:color="BFBFBF"/>
              <w:right w:val="single" w:sz="8" w:color="BFBFBF"/>
            </w:tcBorders>
          </w:tcPr>
          <w:p>
            <w:pPr>
              <w:spacing w:after="0"/>
              <w:rPr>
                <w:sz w:val="14"/>
                <w:szCs w:val="14"/>
                <w:color w:val="auto"/>
              </w:rPr>
            </w:pPr>
          </w:p>
        </w:tc>
        <w:tc>
          <w:tcPr>
            <w:tcW w:w="260" w:type="dxa"/>
            <w:vAlign w:val="bottom"/>
            <w:tcBorders>
              <w:bottom w:val="single" w:sz="8" w:color="BFBFBF"/>
            </w:tcBorders>
          </w:tcPr>
          <w:p>
            <w:pPr>
              <w:spacing w:after="0"/>
              <w:rPr>
                <w:sz w:val="14"/>
                <w:szCs w:val="14"/>
                <w:color w:val="auto"/>
              </w:rPr>
            </w:pPr>
          </w:p>
        </w:tc>
        <w:tc>
          <w:tcPr>
            <w:tcW w:w="2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tcBorders>
          </w:tcPr>
          <w:p>
            <w:pPr>
              <w:spacing w:after="0"/>
              <w:rPr>
                <w:sz w:val="14"/>
                <w:szCs w:val="14"/>
                <w:color w:val="auto"/>
              </w:rPr>
            </w:pPr>
          </w:p>
        </w:tc>
        <w:tc>
          <w:tcPr>
            <w:tcW w:w="76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tcBorders>
          </w:tcPr>
          <w:p>
            <w:pPr>
              <w:spacing w:after="0"/>
              <w:rPr>
                <w:sz w:val="14"/>
                <w:szCs w:val="14"/>
                <w:color w:val="auto"/>
              </w:rPr>
            </w:pPr>
          </w:p>
        </w:tc>
        <w:tc>
          <w:tcPr>
            <w:tcW w:w="34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Borders>
              <w:left w:val="single" w:sz="8" w:color="BFBFBF"/>
              <w:bottom w:val="single" w:sz="8" w:color="BFBFBF"/>
              <w:right w:val="single" w:sz="8" w:color="BFBFBF"/>
            </w:tcBorders>
          </w:tcPr>
          <w:p>
            <w:pPr>
              <w:ind w:left="120"/>
              <w:spacing w:after="0" w:line="143" w:lineRule="exact"/>
              <w:rPr>
                <w:sz w:val="20"/>
                <w:szCs w:val="20"/>
                <w:color w:val="auto"/>
              </w:rPr>
            </w:pPr>
            <w:r>
              <w:rPr>
                <w:rFonts w:ascii="Arial" w:cs="Arial" w:eastAsia="Arial" w:hAnsi="Arial"/>
                <w:sz w:val="14"/>
                <w:szCs w:val="14"/>
                <w:color w:val="auto"/>
              </w:rPr>
              <w:t>Restricted Stock Vesting</w:t>
            </w:r>
          </w:p>
        </w:tc>
        <w:tc>
          <w:tcPr>
            <w:tcW w:w="540" w:type="dxa"/>
            <w:vAlign w:val="bottom"/>
            <w:tcBorders>
              <w:bottom w:val="single" w:sz="8" w:color="BFBFBF"/>
            </w:tcBorders>
            <w:gridSpan w:val="3"/>
          </w:tcPr>
          <w:p>
            <w:pPr>
              <w:ind w:left="280"/>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500" w:type="dxa"/>
            <w:vAlign w:val="bottom"/>
            <w:tcBorders>
              <w:bottom w:val="single" w:sz="8" w:color="BFBFBF"/>
            </w:tcBorders>
          </w:tcPr>
          <w:p>
            <w:pPr>
              <w:jc w:val="right"/>
              <w:ind w:right="72"/>
              <w:spacing w:after="0" w:line="143" w:lineRule="exact"/>
              <w:rPr>
                <w:sz w:val="20"/>
                <w:szCs w:val="20"/>
                <w:color w:val="auto"/>
              </w:rPr>
            </w:pPr>
            <w:r>
              <w:rPr>
                <w:rFonts w:ascii="Arial" w:cs="Arial" w:eastAsia="Arial" w:hAnsi="Arial"/>
                <w:sz w:val="14"/>
                <w:szCs w:val="14"/>
                <w:color w:val="auto"/>
              </w:rPr>
              <w:t>0</w:t>
            </w:r>
          </w:p>
        </w:tc>
        <w:tc>
          <w:tcPr>
            <w:tcW w:w="300" w:type="dxa"/>
            <w:vAlign w:val="bottom"/>
            <w:tcBorders>
              <w:bottom w:val="single" w:sz="8" w:color="BFBFBF"/>
              <w:right w:val="single" w:sz="8" w:color="BFBFBF"/>
            </w:tcBorders>
          </w:tcPr>
          <w:p>
            <w:pPr>
              <w:spacing w:after="0"/>
              <w:rPr>
                <w:sz w:val="12"/>
                <w:szCs w:val="12"/>
                <w:color w:val="auto"/>
              </w:rPr>
            </w:pPr>
          </w:p>
        </w:tc>
        <w:tc>
          <w:tcPr>
            <w:tcW w:w="280" w:type="dxa"/>
            <w:vAlign w:val="bottom"/>
            <w:tcBorders>
              <w:bottom w:val="single" w:sz="8" w:color="BFBFBF"/>
            </w:tcBorders>
          </w:tcPr>
          <w:p>
            <w:pPr>
              <w:spacing w:after="0"/>
              <w:rPr>
                <w:sz w:val="12"/>
                <w:szCs w:val="12"/>
                <w:color w:val="auto"/>
              </w:rPr>
            </w:pPr>
          </w:p>
        </w:tc>
        <w:tc>
          <w:tcPr>
            <w:tcW w:w="380" w:type="dxa"/>
            <w:vAlign w:val="bottom"/>
            <w:tcBorders>
              <w:bottom w:val="single" w:sz="8" w:color="BFBFBF"/>
            </w:tcBorders>
            <w:gridSpan w:val="2"/>
          </w:tcPr>
          <w:p>
            <w:pPr>
              <w:jc w:val="right"/>
              <w:ind w:right="212"/>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820" w:type="dxa"/>
            <w:vAlign w:val="bottom"/>
            <w:tcBorders>
              <w:bottom w:val="single" w:sz="8" w:color="BFBFBF"/>
            </w:tcBorders>
          </w:tcPr>
          <w:p>
            <w:pPr>
              <w:jc w:val="right"/>
              <w:ind w:right="72"/>
              <w:spacing w:after="0" w:line="143" w:lineRule="exact"/>
              <w:rPr>
                <w:sz w:val="20"/>
                <w:szCs w:val="20"/>
                <w:color w:val="auto"/>
              </w:rPr>
            </w:pPr>
            <w:r>
              <w:rPr>
                <w:rFonts w:ascii="Arial" w:cs="Arial" w:eastAsia="Arial" w:hAnsi="Arial"/>
                <w:sz w:val="14"/>
                <w:szCs w:val="14"/>
                <w:color w:val="auto"/>
              </w:rPr>
              <w:t>0</w:t>
            </w:r>
          </w:p>
        </w:tc>
        <w:tc>
          <w:tcPr>
            <w:tcW w:w="8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right w:val="single" w:sz="8" w:color="BFBFBF"/>
            </w:tcBorders>
          </w:tcPr>
          <w:p>
            <w:pPr>
              <w:spacing w:after="0"/>
              <w:rPr>
                <w:sz w:val="12"/>
                <w:szCs w:val="12"/>
                <w:color w:val="auto"/>
              </w:rPr>
            </w:pPr>
          </w:p>
        </w:tc>
        <w:tc>
          <w:tcPr>
            <w:tcW w:w="520" w:type="dxa"/>
            <w:vAlign w:val="bottom"/>
            <w:tcBorders>
              <w:bottom w:val="single" w:sz="8" w:color="BFBFBF"/>
            </w:tcBorders>
            <w:gridSpan w:val="3"/>
          </w:tcPr>
          <w:p>
            <w:pPr>
              <w:jc w:val="right"/>
              <w:ind w:right="92"/>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tcBorders>
          </w:tcPr>
          <w:p>
            <w:pPr>
              <w:jc w:val="right"/>
              <w:spacing w:after="0" w:line="143"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420" w:type="dxa"/>
            <w:vAlign w:val="bottom"/>
            <w:tcBorders>
              <w:bottom w:val="single" w:sz="8" w:color="BFBFBF"/>
            </w:tcBorders>
            <w:gridSpan w:val="3"/>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tcBorders>
          </w:tcPr>
          <w:p>
            <w:pPr>
              <w:jc w:val="right"/>
              <w:ind w:right="72"/>
              <w:spacing w:after="0" w:line="143" w:lineRule="exact"/>
              <w:rPr>
                <w:sz w:val="20"/>
                <w:szCs w:val="20"/>
                <w:color w:val="auto"/>
              </w:rPr>
            </w:pPr>
            <w:r>
              <w:rPr>
                <w:rFonts w:ascii="Arial" w:cs="Arial" w:eastAsia="Arial" w:hAnsi="Arial"/>
                <w:sz w:val="14"/>
                <w:szCs w:val="14"/>
                <w:color w:val="auto"/>
              </w:rPr>
              <w:t>0</w:t>
            </w:r>
          </w:p>
        </w:tc>
        <w:tc>
          <w:tcPr>
            <w:tcW w:w="16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BFBFBF"/>
            </w:tcBorders>
          </w:tcPr>
          <w:p>
            <w:pPr>
              <w:jc w:val="right"/>
              <w:spacing w:after="0" w:line="143" w:lineRule="exact"/>
              <w:rPr>
                <w:sz w:val="20"/>
                <w:szCs w:val="20"/>
                <w:color w:val="auto"/>
              </w:rPr>
            </w:pPr>
            <w:r>
              <w:rPr>
                <w:rFonts w:ascii="Arial" w:cs="Arial" w:eastAsia="Arial" w:hAnsi="Arial"/>
                <w:sz w:val="14"/>
                <w:szCs w:val="14"/>
                <w:color w:val="auto"/>
              </w:rPr>
              <w:t>0</w:t>
            </w:r>
          </w:p>
        </w:tc>
        <w:tc>
          <w:tcPr>
            <w:tcW w:w="12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60" w:type="dxa"/>
            <w:vAlign w:val="bottom"/>
            <w:tcBorders>
              <w:left w:val="single" w:sz="8" w:color="BFBFBF"/>
              <w:right w:val="single" w:sz="8" w:color="BFBFBF"/>
            </w:tcBorders>
          </w:tcPr>
          <w:p>
            <w:pPr>
              <w:ind w:left="120"/>
              <w:spacing w:after="0" w:line="141" w:lineRule="exact"/>
              <w:rPr>
                <w:sz w:val="20"/>
                <w:szCs w:val="20"/>
                <w:color w:val="auto"/>
              </w:rPr>
            </w:pPr>
            <w:r>
              <w:rPr>
                <w:rFonts w:ascii="Arial" w:cs="Arial" w:eastAsia="Arial" w:hAnsi="Arial"/>
                <w:sz w:val="14"/>
                <w:szCs w:val="14"/>
                <w:color w:val="auto"/>
              </w:rPr>
              <w:t>Performance Share Unit Vesting</w:t>
            </w:r>
          </w:p>
        </w:tc>
        <w:tc>
          <w:tcPr>
            <w:tcW w:w="540" w:type="dxa"/>
            <w:vAlign w:val="bottom"/>
            <w:gridSpan w:val="3"/>
          </w:tcPr>
          <w:p>
            <w:pPr>
              <w:ind w:left="28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0</w:t>
            </w:r>
          </w:p>
        </w:tc>
        <w:tc>
          <w:tcPr>
            <w:tcW w:w="300" w:type="dxa"/>
            <w:vAlign w:val="bottom"/>
            <w:tcBorders>
              <w:right w:val="single" w:sz="8" w:color="BFBFBF"/>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160"/>
              <w:spacing w:after="0" w:line="141" w:lineRule="exact"/>
              <w:rPr>
                <w:sz w:val="20"/>
                <w:szCs w:val="20"/>
                <w:color w:val="auto"/>
              </w:rPr>
            </w:pPr>
            <w:r>
              <w:rPr>
                <w:rFonts w:ascii="Arial" w:cs="Arial" w:eastAsia="Arial" w:hAnsi="Arial"/>
                <w:sz w:val="14"/>
                <w:szCs w:val="14"/>
                <w:color w:val="auto"/>
                <w:w w:val="94"/>
              </w:rPr>
              <w:t>Vesting continues</w:t>
            </w:r>
          </w:p>
        </w:tc>
        <w:tc>
          <w:tcPr>
            <w:tcW w:w="80" w:type="dxa"/>
            <w:vAlign w:val="bottom"/>
          </w:tcPr>
          <w:p>
            <w:pPr>
              <w:spacing w:after="0"/>
              <w:rPr>
                <w:sz w:val="12"/>
                <w:szCs w:val="12"/>
                <w:color w:val="auto"/>
              </w:rPr>
            </w:pPr>
          </w:p>
        </w:tc>
        <w:tc>
          <w:tcPr>
            <w:tcW w:w="240" w:type="dxa"/>
            <w:vAlign w:val="bottom"/>
            <w:tcBorders>
              <w:right w:val="single" w:sz="8" w:color="BFBFBF"/>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20"/>
              <w:spacing w:after="0" w:line="141" w:lineRule="exact"/>
              <w:rPr>
                <w:sz w:val="20"/>
                <w:szCs w:val="20"/>
                <w:color w:val="auto"/>
              </w:rPr>
            </w:pPr>
            <w:r>
              <w:rPr>
                <w:rFonts w:ascii="Arial" w:cs="Arial" w:eastAsia="Arial" w:hAnsi="Arial"/>
                <w:sz w:val="14"/>
                <w:szCs w:val="14"/>
                <w:color w:val="auto"/>
                <w:w w:val="95"/>
              </w:rPr>
              <w:t>Vesting continues</w:t>
            </w:r>
          </w:p>
        </w:tc>
        <w:tc>
          <w:tcPr>
            <w:tcW w:w="300" w:type="dxa"/>
            <w:vAlign w:val="bottom"/>
            <w:tcBorders>
              <w:right w:val="single" w:sz="8" w:color="BFBFBF"/>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5"/>
              </w:rPr>
              <w:t>Vesting continues</w:t>
            </w:r>
          </w:p>
        </w:tc>
        <w:tc>
          <w:tcPr>
            <w:tcW w:w="300" w:type="dxa"/>
            <w:vAlign w:val="bottom"/>
            <w:tcBorders>
              <w:right w:val="single" w:sz="8" w:color="BFBFBF"/>
            </w:tcBorders>
          </w:tcPr>
          <w:p>
            <w:pPr>
              <w:spacing w:after="0"/>
              <w:rPr>
                <w:sz w:val="12"/>
                <w:szCs w:val="12"/>
                <w:color w:val="auto"/>
              </w:rPr>
            </w:pPr>
          </w:p>
        </w:tc>
        <w:tc>
          <w:tcPr>
            <w:tcW w:w="40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3,727,184</w:t>
            </w:r>
          </w:p>
        </w:tc>
        <w:tc>
          <w:tcPr>
            <w:tcW w:w="120" w:type="dxa"/>
            <w:vAlign w:val="bottom"/>
          </w:tcPr>
          <w:p>
            <w:pPr>
              <w:spacing w:after="0"/>
              <w:rPr>
                <w:sz w:val="12"/>
                <w:szCs w:val="12"/>
                <w:color w:val="auto"/>
              </w:rPr>
            </w:pPr>
          </w:p>
        </w:tc>
        <w:tc>
          <w:tcPr>
            <w:tcW w:w="3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BFBFBF"/>
              <w:right w:val="single" w:sz="8" w:color="BFBFBF"/>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Borders>
              <w:right w:val="single" w:sz="8" w:color="BFBFBF"/>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4"/>
              </w:rPr>
              <w:t>until performance</w:t>
            </w:r>
          </w:p>
        </w:tc>
        <w:tc>
          <w:tcPr>
            <w:tcW w:w="80" w:type="dxa"/>
            <w:vAlign w:val="bottom"/>
          </w:tcPr>
          <w:p>
            <w:pPr>
              <w:spacing w:after="0"/>
              <w:rPr>
                <w:sz w:val="12"/>
                <w:szCs w:val="12"/>
                <w:color w:val="auto"/>
              </w:rPr>
            </w:pPr>
          </w:p>
        </w:tc>
        <w:tc>
          <w:tcPr>
            <w:tcW w:w="240" w:type="dxa"/>
            <w:vAlign w:val="bottom"/>
            <w:tcBorders>
              <w:right w:val="single" w:sz="8" w:color="BFBFBF"/>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6"/>
              </w:rPr>
              <w:t>until performance</w:t>
            </w:r>
          </w:p>
        </w:tc>
        <w:tc>
          <w:tcPr>
            <w:tcW w:w="300" w:type="dxa"/>
            <w:vAlign w:val="bottom"/>
            <w:tcBorders>
              <w:right w:val="single" w:sz="8" w:color="BFBFBF"/>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6"/>
              </w:rPr>
              <w:t>until performance</w:t>
            </w:r>
          </w:p>
        </w:tc>
        <w:tc>
          <w:tcPr>
            <w:tcW w:w="300" w:type="dxa"/>
            <w:vAlign w:val="bottom"/>
            <w:tcBorders>
              <w:right w:val="single" w:sz="8" w:color="BFBFBF"/>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BFBFBF"/>
              <w:bottom w:val="single" w:sz="8" w:color="BFBFBF"/>
              <w:right w:val="single" w:sz="8" w:color="BFBFBF"/>
            </w:tcBorders>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2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50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2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280" w:type="dxa"/>
            <w:vAlign w:val="bottom"/>
            <w:tcBorders>
              <w:bottom w:val="single" w:sz="8" w:color="BFBFBF"/>
            </w:tcBorders>
          </w:tcPr>
          <w:p>
            <w:pPr>
              <w:spacing w:after="0"/>
              <w:rPr>
                <w:sz w:val="12"/>
                <w:szCs w:val="12"/>
                <w:color w:val="auto"/>
              </w:rPr>
            </w:pPr>
          </w:p>
        </w:tc>
        <w:tc>
          <w:tcPr>
            <w:tcW w:w="940" w:type="dxa"/>
            <w:vAlign w:val="bottom"/>
            <w:tcBorders>
              <w:bottom w:val="single" w:sz="8" w:color="BFBFBF"/>
            </w:tcBorders>
            <w:gridSpan w:val="2"/>
          </w:tcPr>
          <w:p>
            <w:pPr>
              <w:jc w:val="right"/>
              <w:ind w:right="132"/>
              <w:spacing w:after="0" w:line="149" w:lineRule="exact"/>
              <w:rPr>
                <w:sz w:val="20"/>
                <w:szCs w:val="20"/>
                <w:color w:val="auto"/>
              </w:rPr>
            </w:pPr>
            <w:r>
              <w:rPr>
                <w:rFonts w:ascii="Arial" w:cs="Arial" w:eastAsia="Arial" w:hAnsi="Arial"/>
                <w:sz w:val="14"/>
                <w:szCs w:val="14"/>
                <w:color w:val="auto"/>
              </w:rPr>
              <w:t>period end</w:t>
            </w:r>
          </w:p>
        </w:tc>
        <w:tc>
          <w:tcPr>
            <w:tcW w:w="8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tcPr>
          <w:p>
            <w:pPr>
              <w:spacing w:after="0"/>
              <w:rPr>
                <w:sz w:val="12"/>
                <w:szCs w:val="12"/>
                <w:color w:val="auto"/>
              </w:rPr>
            </w:pPr>
          </w:p>
        </w:tc>
        <w:tc>
          <w:tcPr>
            <w:tcW w:w="60" w:type="dxa"/>
            <w:vAlign w:val="bottom"/>
            <w:tcBorders>
              <w:bottom w:val="single" w:sz="8" w:color="BFBFBF"/>
            </w:tcBorders>
          </w:tcPr>
          <w:p>
            <w:pPr>
              <w:spacing w:after="0"/>
              <w:rPr>
                <w:sz w:val="12"/>
                <w:szCs w:val="12"/>
                <w:color w:val="auto"/>
              </w:rPr>
            </w:pPr>
          </w:p>
        </w:tc>
        <w:tc>
          <w:tcPr>
            <w:tcW w:w="260" w:type="dxa"/>
            <w:vAlign w:val="bottom"/>
            <w:tcBorders>
              <w:bottom w:val="single" w:sz="8" w:color="BFBFBF"/>
            </w:tcBorders>
          </w:tcPr>
          <w:p>
            <w:pPr>
              <w:spacing w:after="0"/>
              <w:rPr>
                <w:sz w:val="12"/>
                <w:szCs w:val="12"/>
                <w:color w:val="auto"/>
              </w:rPr>
            </w:pPr>
          </w:p>
        </w:tc>
        <w:tc>
          <w:tcPr>
            <w:tcW w:w="160" w:type="dxa"/>
            <w:vAlign w:val="bottom"/>
            <w:tcBorders>
              <w:bottom w:val="single" w:sz="8" w:color="BFBFBF"/>
            </w:tcBorders>
          </w:tcPr>
          <w:p>
            <w:pPr>
              <w:spacing w:after="0"/>
              <w:rPr>
                <w:sz w:val="12"/>
                <w:szCs w:val="12"/>
                <w:color w:val="auto"/>
              </w:rPr>
            </w:pPr>
          </w:p>
        </w:tc>
        <w:tc>
          <w:tcPr>
            <w:tcW w:w="920" w:type="dxa"/>
            <w:vAlign w:val="bottom"/>
            <w:tcBorders>
              <w:bottom w:val="single" w:sz="8" w:color="BFBFBF"/>
            </w:tcBorders>
            <w:gridSpan w:val="2"/>
          </w:tcPr>
          <w:p>
            <w:pPr>
              <w:jc w:val="center"/>
              <w:ind w:right="160"/>
              <w:spacing w:after="0" w:line="149" w:lineRule="exact"/>
              <w:rPr>
                <w:sz w:val="20"/>
                <w:szCs w:val="20"/>
                <w:color w:val="auto"/>
              </w:rPr>
            </w:pPr>
            <w:r>
              <w:rPr>
                <w:rFonts w:ascii="Arial" w:cs="Arial" w:eastAsia="Arial" w:hAnsi="Arial"/>
                <w:sz w:val="14"/>
                <w:szCs w:val="14"/>
                <w:color w:val="auto"/>
                <w:w w:val="96"/>
              </w:rPr>
              <w:t>period end</w:t>
            </w:r>
          </w:p>
        </w:tc>
        <w:tc>
          <w:tcPr>
            <w:tcW w:w="300" w:type="dxa"/>
            <w:vAlign w:val="bottom"/>
            <w:tcBorders>
              <w:bottom w:val="single" w:sz="8" w:color="BFBFBF"/>
              <w:right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16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tcBorders>
            <w:gridSpan w:val="2"/>
          </w:tcPr>
          <w:p>
            <w:pPr>
              <w:jc w:val="center"/>
              <w:ind w:right="20"/>
              <w:spacing w:after="0" w:line="149" w:lineRule="exact"/>
              <w:rPr>
                <w:sz w:val="20"/>
                <w:szCs w:val="20"/>
                <w:color w:val="auto"/>
              </w:rPr>
            </w:pPr>
            <w:r>
              <w:rPr>
                <w:rFonts w:ascii="Arial" w:cs="Arial" w:eastAsia="Arial" w:hAnsi="Arial"/>
                <w:sz w:val="14"/>
                <w:szCs w:val="14"/>
                <w:color w:val="auto"/>
                <w:w w:val="96"/>
              </w:rPr>
              <w:t>period end</w:t>
            </w:r>
          </w:p>
        </w:tc>
        <w:tc>
          <w:tcPr>
            <w:tcW w:w="300" w:type="dxa"/>
            <w:vAlign w:val="bottom"/>
            <w:tcBorders>
              <w:bottom w:val="single" w:sz="8" w:color="BFBFBF"/>
              <w:right w:val="single" w:sz="8" w:color="BFBFBF"/>
            </w:tcBorders>
          </w:tcPr>
          <w:p>
            <w:pPr>
              <w:spacing w:after="0"/>
              <w:rPr>
                <w:sz w:val="12"/>
                <w:szCs w:val="12"/>
                <w:color w:val="auto"/>
              </w:rPr>
            </w:pPr>
          </w:p>
        </w:tc>
        <w:tc>
          <w:tcPr>
            <w:tcW w:w="26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Retirement Plan Benefits</w:t>
            </w:r>
          </w:p>
        </w:tc>
        <w:tc>
          <w:tcPr>
            <w:tcW w:w="1140" w:type="dxa"/>
            <w:vAlign w:val="bottom"/>
            <w:tcBorders>
              <w:bottom w:val="single" w:sz="8" w:color="BFBFBF"/>
            </w:tcBorders>
            <w:gridSpan w:val="5"/>
          </w:tcPr>
          <w:p>
            <w:pPr>
              <w:jc w:val="right"/>
              <w:ind w:right="72"/>
              <w:spacing w:after="0" w:line="142" w:lineRule="exact"/>
              <w:rPr>
                <w:sz w:val="20"/>
                <w:szCs w:val="20"/>
                <w:color w:val="auto"/>
              </w:rPr>
            </w:pPr>
            <w:r>
              <w:rPr>
                <w:rFonts w:ascii="Arial" w:cs="Arial" w:eastAsia="Arial" w:hAnsi="Arial"/>
                <w:sz w:val="14"/>
                <w:szCs w:val="14"/>
                <w:color w:val="auto"/>
              </w:rPr>
              <w:t>$ 4,801,356</w:t>
            </w:r>
          </w:p>
        </w:tc>
        <w:tc>
          <w:tcPr>
            <w:tcW w:w="300" w:type="dxa"/>
            <w:vAlign w:val="bottom"/>
            <w:tcBorders>
              <w:bottom w:val="single" w:sz="8" w:color="BFBFBF"/>
              <w:right w:val="single" w:sz="8" w:color="BFBFBF"/>
            </w:tcBorders>
          </w:tcPr>
          <w:p>
            <w:pPr>
              <w:spacing w:after="0"/>
              <w:rPr>
                <w:sz w:val="12"/>
                <w:szCs w:val="12"/>
                <w:color w:val="auto"/>
              </w:rPr>
            </w:pPr>
          </w:p>
        </w:tc>
        <w:tc>
          <w:tcPr>
            <w:tcW w:w="280" w:type="dxa"/>
            <w:vAlign w:val="bottom"/>
            <w:tcBorders>
              <w:bottom w:val="single" w:sz="8" w:color="BFBFBF"/>
            </w:tcBorders>
          </w:tcPr>
          <w:p>
            <w:pPr>
              <w:spacing w:after="0"/>
              <w:rPr>
                <w:sz w:val="12"/>
                <w:szCs w:val="12"/>
                <w:color w:val="auto"/>
              </w:rPr>
            </w:pPr>
          </w:p>
        </w:tc>
        <w:tc>
          <w:tcPr>
            <w:tcW w:w="380" w:type="dxa"/>
            <w:vAlign w:val="bottom"/>
            <w:tcBorders>
              <w:bottom w:val="single" w:sz="8" w:color="BFBFBF"/>
            </w:tcBorders>
            <w:gridSpan w:val="2"/>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82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4,801,356</w:t>
            </w:r>
          </w:p>
        </w:tc>
        <w:tc>
          <w:tcPr>
            <w:tcW w:w="8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right w:val="single" w:sz="8" w:color="BFBFBF"/>
            </w:tcBorders>
          </w:tcPr>
          <w:p>
            <w:pPr>
              <w:spacing w:after="0"/>
              <w:rPr>
                <w:sz w:val="12"/>
                <w:szCs w:val="12"/>
                <w:color w:val="auto"/>
              </w:rPr>
            </w:pPr>
          </w:p>
        </w:tc>
        <w:tc>
          <w:tcPr>
            <w:tcW w:w="520" w:type="dxa"/>
            <w:vAlign w:val="bottom"/>
            <w:tcBorders>
              <w:bottom w:val="single" w:sz="8" w:color="BFBFBF"/>
            </w:tcBorders>
            <w:gridSpan w:val="3"/>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4,801,356</w:t>
            </w:r>
          </w:p>
        </w:tc>
        <w:tc>
          <w:tcPr>
            <w:tcW w:w="2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42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4,801,356</w:t>
            </w:r>
          </w:p>
        </w:tc>
        <w:tc>
          <w:tcPr>
            <w:tcW w:w="16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4,801,356</w:t>
            </w:r>
          </w:p>
        </w:tc>
        <w:tc>
          <w:tcPr>
            <w:tcW w:w="12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Health &amp; Welfare Benefits</w:t>
            </w:r>
          </w:p>
        </w:tc>
        <w:tc>
          <w:tcPr>
            <w:tcW w:w="540" w:type="dxa"/>
            <w:vAlign w:val="bottom"/>
            <w:tcBorders>
              <w:bottom w:val="single" w:sz="8" w:color="BFBFBF"/>
            </w:tcBorders>
            <w:gridSpan w:val="3"/>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5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300" w:type="dxa"/>
            <w:vAlign w:val="bottom"/>
            <w:tcBorders>
              <w:bottom w:val="single" w:sz="8" w:color="BFBFBF"/>
              <w:right w:val="single" w:sz="8" w:color="BFBFBF"/>
            </w:tcBorders>
          </w:tcPr>
          <w:p>
            <w:pPr>
              <w:spacing w:after="0"/>
              <w:rPr>
                <w:sz w:val="12"/>
                <w:szCs w:val="12"/>
                <w:color w:val="auto"/>
              </w:rPr>
            </w:pPr>
          </w:p>
        </w:tc>
        <w:tc>
          <w:tcPr>
            <w:tcW w:w="280" w:type="dxa"/>
            <w:vAlign w:val="bottom"/>
            <w:tcBorders>
              <w:bottom w:val="single" w:sz="8" w:color="BFBFBF"/>
            </w:tcBorders>
          </w:tcPr>
          <w:p>
            <w:pPr>
              <w:spacing w:after="0"/>
              <w:rPr>
                <w:sz w:val="12"/>
                <w:szCs w:val="12"/>
                <w:color w:val="auto"/>
              </w:rPr>
            </w:pPr>
          </w:p>
        </w:tc>
        <w:tc>
          <w:tcPr>
            <w:tcW w:w="380" w:type="dxa"/>
            <w:vAlign w:val="bottom"/>
            <w:tcBorders>
              <w:bottom w:val="single" w:sz="8" w:color="BFBFBF"/>
            </w:tcBorders>
            <w:gridSpan w:val="2"/>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82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47,458</w:t>
            </w:r>
          </w:p>
        </w:tc>
        <w:tc>
          <w:tcPr>
            <w:tcW w:w="80" w:type="dxa"/>
            <w:vAlign w:val="bottom"/>
            <w:tcBorders>
              <w:bottom w:val="single" w:sz="8" w:color="BFBFBF"/>
            </w:tcBorders>
          </w:tcPr>
          <w:p>
            <w:pPr>
              <w:spacing w:after="0"/>
              <w:rPr>
                <w:sz w:val="12"/>
                <w:szCs w:val="12"/>
                <w:color w:val="auto"/>
              </w:rPr>
            </w:pPr>
          </w:p>
        </w:tc>
        <w:tc>
          <w:tcPr>
            <w:tcW w:w="240" w:type="dxa"/>
            <w:vAlign w:val="bottom"/>
            <w:tcBorders>
              <w:bottom w:val="single" w:sz="8" w:color="BFBFBF"/>
              <w:right w:val="single" w:sz="8" w:color="BFBFBF"/>
            </w:tcBorders>
          </w:tcPr>
          <w:p>
            <w:pPr>
              <w:spacing w:after="0"/>
              <w:rPr>
                <w:sz w:val="12"/>
                <w:szCs w:val="12"/>
                <w:color w:val="auto"/>
              </w:rPr>
            </w:pPr>
          </w:p>
        </w:tc>
        <w:tc>
          <w:tcPr>
            <w:tcW w:w="520" w:type="dxa"/>
            <w:vAlign w:val="bottom"/>
            <w:tcBorders>
              <w:bottom w:val="single" w:sz="8" w:color="BFBFBF"/>
            </w:tcBorders>
            <w:gridSpan w:val="3"/>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42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2"/>
                <w:szCs w:val="12"/>
                <w:color w:val="auto"/>
              </w:rPr>
            </w:pP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52,354</w:t>
            </w:r>
          </w:p>
        </w:tc>
        <w:tc>
          <w:tcPr>
            <w:tcW w:w="12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Outplacement Services</w:t>
            </w:r>
          </w:p>
        </w:tc>
        <w:tc>
          <w:tcPr>
            <w:tcW w:w="260" w:type="dxa"/>
            <w:vAlign w:val="bottom"/>
            <w:tcBorders>
              <w:bottom w:val="single" w:sz="8" w:color="BFBFBF"/>
            </w:tcBorders>
            <w:gridSpan w:val="2"/>
          </w:tcPr>
          <w:p>
            <w:pPr>
              <w:spacing w:after="0"/>
              <w:rPr>
                <w:sz w:val="14"/>
                <w:szCs w:val="14"/>
                <w:color w:val="auto"/>
              </w:rPr>
            </w:pPr>
          </w:p>
        </w:tc>
        <w:tc>
          <w:tcPr>
            <w:tcW w:w="280" w:type="dxa"/>
            <w:vAlign w:val="bottom"/>
            <w:tcBorders>
              <w:bottom w:val="single" w:sz="8" w:color="BFBFBF"/>
            </w:tcBorders>
          </w:tcPr>
          <w:p>
            <w:pPr>
              <w:ind w:left="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4"/>
                <w:szCs w:val="14"/>
                <w:color w:val="auto"/>
              </w:rPr>
            </w:pPr>
          </w:p>
        </w:tc>
        <w:tc>
          <w:tcPr>
            <w:tcW w:w="5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300" w:type="dxa"/>
            <w:vAlign w:val="bottom"/>
            <w:tcBorders>
              <w:bottom w:val="single" w:sz="8" w:color="BFBFBF"/>
              <w:right w:val="single" w:sz="8" w:color="BFBFBF"/>
            </w:tcBorders>
          </w:tcPr>
          <w:p>
            <w:pPr>
              <w:spacing w:after="0"/>
              <w:rPr>
                <w:sz w:val="14"/>
                <w:szCs w:val="14"/>
                <w:color w:val="auto"/>
              </w:rPr>
            </w:pPr>
          </w:p>
        </w:tc>
        <w:tc>
          <w:tcPr>
            <w:tcW w:w="280" w:type="dxa"/>
            <w:vAlign w:val="bottom"/>
            <w:tcBorders>
              <w:bottom w:val="single" w:sz="8" w:color="BFBFBF"/>
            </w:tcBorders>
          </w:tcPr>
          <w:p>
            <w:pPr>
              <w:spacing w:after="0"/>
              <w:rPr>
                <w:sz w:val="14"/>
                <w:szCs w:val="14"/>
                <w:color w:val="auto"/>
              </w:rPr>
            </w:pPr>
          </w:p>
        </w:tc>
        <w:tc>
          <w:tcPr>
            <w:tcW w:w="380" w:type="dxa"/>
            <w:vAlign w:val="bottom"/>
            <w:tcBorders>
              <w:bottom w:val="single" w:sz="8" w:color="BFBFBF"/>
            </w:tcBorders>
            <w:gridSpan w:val="2"/>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4"/>
                <w:szCs w:val="14"/>
                <w:color w:val="auto"/>
              </w:rPr>
            </w:pPr>
          </w:p>
        </w:tc>
        <w:tc>
          <w:tcPr>
            <w:tcW w:w="82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80" w:type="dxa"/>
            <w:vAlign w:val="bottom"/>
            <w:tcBorders>
              <w:bottom w:val="single" w:sz="8" w:color="BFBFBF"/>
            </w:tcBorders>
          </w:tcPr>
          <w:p>
            <w:pPr>
              <w:spacing w:after="0"/>
              <w:rPr>
                <w:sz w:val="14"/>
                <w:szCs w:val="14"/>
                <w:color w:val="auto"/>
              </w:rPr>
            </w:pPr>
          </w:p>
        </w:tc>
        <w:tc>
          <w:tcPr>
            <w:tcW w:w="240" w:type="dxa"/>
            <w:vAlign w:val="bottom"/>
            <w:tcBorders>
              <w:bottom w:val="single" w:sz="8" w:color="BFBFBF"/>
              <w:right w:val="single" w:sz="8" w:color="BFBFBF"/>
            </w:tcBorders>
          </w:tcPr>
          <w:p>
            <w:pPr>
              <w:spacing w:after="0"/>
              <w:rPr>
                <w:sz w:val="14"/>
                <w:szCs w:val="14"/>
                <w:color w:val="auto"/>
              </w:rPr>
            </w:pPr>
          </w:p>
        </w:tc>
        <w:tc>
          <w:tcPr>
            <w:tcW w:w="520" w:type="dxa"/>
            <w:vAlign w:val="bottom"/>
            <w:tcBorders>
              <w:bottom w:val="single" w:sz="8" w:color="BFBFBF"/>
            </w:tcBorders>
            <w:gridSpan w:val="3"/>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BFBFBF"/>
            </w:tcBorders>
          </w:tcPr>
          <w:p>
            <w:pPr>
              <w:spacing w:after="0"/>
              <w:rPr>
                <w:sz w:val="14"/>
                <w:szCs w:val="14"/>
                <w:color w:val="auto"/>
              </w:rPr>
            </w:pPr>
          </w:p>
        </w:tc>
        <w:tc>
          <w:tcPr>
            <w:tcW w:w="90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BFBFBF"/>
            </w:tcBorders>
          </w:tcPr>
          <w:p>
            <w:pPr>
              <w:spacing w:after="0"/>
              <w:rPr>
                <w:sz w:val="14"/>
                <w:szCs w:val="14"/>
                <w:color w:val="auto"/>
              </w:rPr>
            </w:pPr>
          </w:p>
        </w:tc>
        <w:tc>
          <w:tcPr>
            <w:tcW w:w="300" w:type="dxa"/>
            <w:vAlign w:val="bottom"/>
            <w:tcBorders>
              <w:bottom w:val="single" w:sz="8" w:color="BFBFBF"/>
              <w:right w:val="single" w:sz="8" w:color="BFBFBF"/>
            </w:tcBorders>
          </w:tcPr>
          <w:p>
            <w:pPr>
              <w:spacing w:after="0"/>
              <w:rPr>
                <w:sz w:val="14"/>
                <w:szCs w:val="14"/>
                <w:color w:val="auto"/>
              </w:rPr>
            </w:pPr>
          </w:p>
        </w:tc>
        <w:tc>
          <w:tcPr>
            <w:tcW w:w="42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4"/>
                <w:szCs w:val="14"/>
                <w:color w:val="auto"/>
              </w:rPr>
            </w:pP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bottom w:val="single" w:sz="8" w:color="BFBFBF"/>
            </w:tcBorders>
          </w:tcPr>
          <w:p>
            <w:pPr>
              <w:spacing w:after="0"/>
              <w:rPr>
                <w:sz w:val="14"/>
                <w:szCs w:val="14"/>
                <w:color w:val="auto"/>
              </w:rPr>
            </w:pPr>
          </w:p>
        </w:tc>
        <w:tc>
          <w:tcPr>
            <w:tcW w:w="300" w:type="dxa"/>
            <w:vAlign w:val="bottom"/>
            <w:tcBorders>
              <w:bottom w:val="single" w:sz="8" w:color="BFBFBF"/>
              <w:right w:val="single" w:sz="8" w:color="BFBFBF"/>
            </w:tcBorders>
          </w:tcPr>
          <w:p>
            <w:pPr>
              <w:spacing w:after="0"/>
              <w:rPr>
                <w:sz w:val="14"/>
                <w:szCs w:val="14"/>
                <w:color w:val="auto"/>
              </w:rPr>
            </w:pPr>
          </w:p>
        </w:tc>
        <w:tc>
          <w:tcPr>
            <w:tcW w:w="40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w:t>
            </w:r>
          </w:p>
        </w:tc>
        <w:tc>
          <w:tcPr>
            <w:tcW w:w="120" w:type="dxa"/>
            <w:vAlign w:val="bottom"/>
            <w:tcBorders>
              <w:bottom w:val="single" w:sz="8" w:color="BFBFBF"/>
            </w:tcBorders>
          </w:tcPr>
          <w:p>
            <w:pPr>
              <w:spacing w:after="0"/>
              <w:rPr>
                <w:sz w:val="14"/>
                <w:szCs w:val="14"/>
                <w:color w:val="auto"/>
              </w:rPr>
            </w:pPr>
          </w:p>
        </w:tc>
        <w:tc>
          <w:tcPr>
            <w:tcW w:w="34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660" w:type="dxa"/>
            <w:vAlign w:val="bottom"/>
            <w:tcBorders>
              <w:left w:val="single" w:sz="8" w:color="BFBFBF"/>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20" w:type="dxa"/>
            <w:vAlign w:val="bottom"/>
            <w:tcBorders>
              <w:bottom w:val="single" w:sz="8" w:color="BFBFBF"/>
            </w:tcBorders>
          </w:tcPr>
          <w:p>
            <w:pPr>
              <w:spacing w:after="0"/>
              <w:rPr>
                <w:sz w:val="3"/>
                <w:szCs w:val="3"/>
                <w:color w:val="auto"/>
              </w:rPr>
            </w:pPr>
          </w:p>
        </w:tc>
        <w:tc>
          <w:tcPr>
            <w:tcW w:w="280" w:type="dxa"/>
            <w:vAlign w:val="bottom"/>
            <w:tcBorders>
              <w:top w:val="single" w:sz="8" w:color="auto"/>
              <w:bottom w:val="single" w:sz="8" w:color="BFBFBF"/>
            </w:tcBorders>
          </w:tcPr>
          <w:p>
            <w:pPr>
              <w:spacing w:after="0"/>
              <w:rPr>
                <w:sz w:val="3"/>
                <w:szCs w:val="3"/>
                <w:color w:val="auto"/>
              </w:rPr>
            </w:pPr>
          </w:p>
        </w:tc>
        <w:tc>
          <w:tcPr>
            <w:tcW w:w="600" w:type="dxa"/>
            <w:vAlign w:val="bottom"/>
            <w:tcBorders>
              <w:top w:val="single" w:sz="8" w:color="auto"/>
              <w:bottom w:val="single" w:sz="8" w:color="BFBFBF"/>
            </w:tcBorders>
            <w:gridSpan w:val="2"/>
          </w:tcPr>
          <w:p>
            <w:pPr>
              <w:spacing w:after="0"/>
              <w:rPr>
                <w:sz w:val="3"/>
                <w:szCs w:val="3"/>
                <w:color w:val="auto"/>
              </w:rPr>
            </w:pPr>
          </w:p>
        </w:tc>
        <w:tc>
          <w:tcPr>
            <w:tcW w:w="300" w:type="dxa"/>
            <w:vAlign w:val="bottom"/>
            <w:tcBorders>
              <w:bottom w:val="single" w:sz="8" w:color="BFBFBF"/>
            </w:tcBorders>
          </w:tcPr>
          <w:p>
            <w:pPr>
              <w:spacing w:after="0"/>
              <w:rPr>
                <w:sz w:val="3"/>
                <w:szCs w:val="3"/>
                <w:color w:val="auto"/>
              </w:rPr>
            </w:pPr>
          </w:p>
        </w:tc>
        <w:tc>
          <w:tcPr>
            <w:tcW w:w="280" w:type="dxa"/>
            <w:vAlign w:val="bottom"/>
            <w:tcBorders>
              <w:bottom w:val="single" w:sz="8" w:color="BFBFBF"/>
            </w:tcBorders>
          </w:tcPr>
          <w:p>
            <w:pPr>
              <w:spacing w:after="0"/>
              <w:rPr>
                <w:sz w:val="3"/>
                <w:szCs w:val="3"/>
                <w:color w:val="auto"/>
              </w:rPr>
            </w:pPr>
          </w:p>
        </w:tc>
        <w:tc>
          <w:tcPr>
            <w:tcW w:w="100" w:type="dxa"/>
            <w:vAlign w:val="bottom"/>
            <w:tcBorders>
              <w:top w:val="single" w:sz="8" w:color="auto"/>
              <w:bottom w:val="single" w:sz="8" w:color="BFBFBF"/>
            </w:tcBorders>
          </w:tcPr>
          <w:p>
            <w:pPr>
              <w:spacing w:after="0"/>
              <w:rPr>
                <w:sz w:val="3"/>
                <w:szCs w:val="3"/>
                <w:color w:val="auto"/>
              </w:rPr>
            </w:pPr>
          </w:p>
        </w:tc>
        <w:tc>
          <w:tcPr>
            <w:tcW w:w="280" w:type="dxa"/>
            <w:vAlign w:val="bottom"/>
            <w:tcBorders>
              <w:top w:val="single" w:sz="8" w:color="auto"/>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820" w:type="dxa"/>
            <w:vAlign w:val="bottom"/>
            <w:tcBorders>
              <w:top w:val="single" w:sz="8" w:color="auto"/>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60" w:type="dxa"/>
            <w:vAlign w:val="bottom"/>
            <w:tcBorders>
              <w:bottom w:val="single" w:sz="8" w:color="BFBFBF"/>
            </w:tcBorders>
          </w:tcPr>
          <w:p>
            <w:pPr>
              <w:spacing w:after="0"/>
              <w:rPr>
                <w:sz w:val="3"/>
                <w:szCs w:val="3"/>
                <w:color w:val="auto"/>
              </w:rPr>
            </w:pPr>
          </w:p>
        </w:tc>
        <w:tc>
          <w:tcPr>
            <w:tcW w:w="260" w:type="dxa"/>
            <w:vAlign w:val="bottom"/>
            <w:tcBorders>
              <w:top w:val="single" w:sz="8" w:color="auto"/>
              <w:bottom w:val="single" w:sz="8" w:color="BFBFBF"/>
            </w:tcBorders>
          </w:tcPr>
          <w:p>
            <w:pPr>
              <w:spacing w:after="0"/>
              <w:rPr>
                <w:sz w:val="3"/>
                <w:szCs w:val="3"/>
                <w:color w:val="auto"/>
              </w:rPr>
            </w:pPr>
          </w:p>
        </w:tc>
        <w:tc>
          <w:tcPr>
            <w:tcW w:w="160" w:type="dxa"/>
            <w:vAlign w:val="bottom"/>
            <w:tcBorders>
              <w:top w:val="single" w:sz="8" w:color="auto"/>
              <w:bottom w:val="single" w:sz="8" w:color="BFBFBF"/>
            </w:tcBorders>
          </w:tcPr>
          <w:p>
            <w:pPr>
              <w:spacing w:after="0"/>
              <w:rPr>
                <w:sz w:val="3"/>
                <w:szCs w:val="3"/>
                <w:color w:val="auto"/>
              </w:rPr>
            </w:pPr>
          </w:p>
        </w:tc>
        <w:tc>
          <w:tcPr>
            <w:tcW w:w="900" w:type="dxa"/>
            <w:vAlign w:val="bottom"/>
            <w:tcBorders>
              <w:top w:val="single" w:sz="8" w:color="auto"/>
              <w:bottom w:val="single" w:sz="8" w:color="BFBFBF"/>
            </w:tcBorders>
          </w:tcPr>
          <w:p>
            <w:pPr>
              <w:spacing w:after="0"/>
              <w:rPr>
                <w:sz w:val="3"/>
                <w:szCs w:val="3"/>
                <w:color w:val="auto"/>
              </w:rPr>
            </w:pPr>
          </w:p>
        </w:tc>
        <w:tc>
          <w:tcPr>
            <w:tcW w:w="20" w:type="dxa"/>
            <w:vAlign w:val="bottom"/>
            <w:tcBorders>
              <w:top w:val="single" w:sz="8" w:color="auto"/>
              <w:bottom w:val="single" w:sz="8" w:color="BFBFBF"/>
            </w:tcBorders>
          </w:tcPr>
          <w:p>
            <w:pPr>
              <w:spacing w:after="0"/>
              <w:rPr>
                <w:sz w:val="3"/>
                <w:szCs w:val="3"/>
                <w:color w:val="auto"/>
              </w:rPr>
            </w:pPr>
          </w:p>
        </w:tc>
        <w:tc>
          <w:tcPr>
            <w:tcW w:w="300" w:type="dxa"/>
            <w:vAlign w:val="bottom"/>
            <w:tcBorders>
              <w:bottom w:val="single" w:sz="8" w:color="BFBFBF"/>
            </w:tcBorders>
          </w:tcPr>
          <w:p>
            <w:pPr>
              <w:spacing w:after="0"/>
              <w:rPr>
                <w:sz w:val="3"/>
                <w:szCs w:val="3"/>
                <w:color w:val="auto"/>
              </w:rPr>
            </w:pPr>
          </w:p>
        </w:tc>
        <w:tc>
          <w:tcPr>
            <w:tcW w:w="120" w:type="dxa"/>
            <w:vAlign w:val="bottom"/>
            <w:tcBorders>
              <w:bottom w:val="single" w:sz="8" w:color="BFBFBF"/>
            </w:tcBorders>
          </w:tcPr>
          <w:p>
            <w:pPr>
              <w:spacing w:after="0"/>
              <w:rPr>
                <w:sz w:val="3"/>
                <w:szCs w:val="3"/>
                <w:color w:val="auto"/>
              </w:rPr>
            </w:pPr>
          </w:p>
        </w:tc>
        <w:tc>
          <w:tcPr>
            <w:tcW w:w="140" w:type="dxa"/>
            <w:vAlign w:val="bottom"/>
            <w:tcBorders>
              <w:bottom w:val="single" w:sz="8" w:color="BFBFBF"/>
            </w:tcBorders>
          </w:tcPr>
          <w:p>
            <w:pPr>
              <w:spacing w:after="0"/>
              <w:rPr>
                <w:sz w:val="3"/>
                <w:szCs w:val="3"/>
                <w:color w:val="auto"/>
              </w:rPr>
            </w:pPr>
          </w:p>
        </w:tc>
        <w:tc>
          <w:tcPr>
            <w:tcW w:w="160" w:type="dxa"/>
            <w:vAlign w:val="bottom"/>
            <w:tcBorders>
              <w:top w:val="single" w:sz="8" w:color="auto"/>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900" w:type="dxa"/>
            <w:vAlign w:val="bottom"/>
            <w:tcBorders>
              <w:top w:val="single" w:sz="8" w:color="auto"/>
              <w:bottom w:val="single" w:sz="8" w:color="BFBFBF"/>
            </w:tcBorders>
          </w:tcPr>
          <w:p>
            <w:pPr>
              <w:spacing w:after="0"/>
              <w:rPr>
                <w:sz w:val="3"/>
                <w:szCs w:val="3"/>
                <w:color w:val="auto"/>
              </w:rPr>
            </w:pPr>
          </w:p>
        </w:tc>
        <w:tc>
          <w:tcPr>
            <w:tcW w:w="160" w:type="dxa"/>
            <w:vAlign w:val="bottom"/>
            <w:tcBorders>
              <w:top w:val="single" w:sz="8" w:color="auto"/>
              <w:bottom w:val="single" w:sz="8" w:color="BFBFBF"/>
            </w:tcBorders>
          </w:tcPr>
          <w:p>
            <w:pPr>
              <w:spacing w:after="0"/>
              <w:rPr>
                <w:sz w:val="3"/>
                <w:szCs w:val="3"/>
                <w:color w:val="auto"/>
              </w:rPr>
            </w:pPr>
          </w:p>
        </w:tc>
        <w:tc>
          <w:tcPr>
            <w:tcW w:w="30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20" w:type="dxa"/>
            <w:vAlign w:val="bottom"/>
            <w:tcBorders>
              <w:top w:val="single" w:sz="8" w:color="auto"/>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760" w:type="dxa"/>
            <w:vAlign w:val="bottom"/>
            <w:tcBorders>
              <w:top w:val="single" w:sz="8" w:color="auto"/>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340" w:type="dxa"/>
            <w:vAlign w:val="bottom"/>
            <w:tcBorders>
              <w:bottom w:val="single" w:sz="8" w:color="BFBFBF"/>
              <w:right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660" w:type="dxa"/>
            <w:vAlign w:val="bottom"/>
            <w:tcBorders>
              <w:left w:val="single" w:sz="8" w:color="BFBFBF"/>
              <w:bottom w:val="single" w:sz="8" w:color="BFBFBF"/>
              <w:right w:val="single" w:sz="8" w:color="BFBFBF"/>
            </w:tcBorders>
          </w:tcPr>
          <w:p>
            <w:pPr>
              <w:ind w:left="120"/>
              <w:spacing w:after="0" w:line="130" w:lineRule="exact"/>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BFBFBF"/>
            </w:tcBorders>
          </w:tcPr>
          <w:p>
            <w:pPr>
              <w:spacing w:after="0"/>
              <w:rPr>
                <w:sz w:val="13"/>
                <w:szCs w:val="13"/>
                <w:color w:val="auto"/>
              </w:rPr>
            </w:pPr>
          </w:p>
        </w:tc>
        <w:tc>
          <w:tcPr>
            <w:tcW w:w="20" w:type="dxa"/>
            <w:vAlign w:val="bottom"/>
            <w:tcBorders>
              <w:bottom w:val="single" w:sz="8" w:color="BFBFBF"/>
            </w:tcBorders>
          </w:tcPr>
          <w:p>
            <w:pPr>
              <w:spacing w:after="0"/>
              <w:rPr>
                <w:sz w:val="13"/>
                <w:szCs w:val="13"/>
                <w:color w:val="auto"/>
              </w:rPr>
            </w:pPr>
          </w:p>
        </w:tc>
        <w:tc>
          <w:tcPr>
            <w:tcW w:w="880" w:type="dxa"/>
            <w:vAlign w:val="bottom"/>
            <w:tcBorders>
              <w:bottom w:val="single" w:sz="8" w:color="BFBFBF"/>
            </w:tcBorders>
            <w:gridSpan w:val="3"/>
          </w:tcPr>
          <w:p>
            <w:pPr>
              <w:jc w:val="right"/>
              <w:ind w:right="72"/>
              <w:spacing w:after="0" w:line="130" w:lineRule="exact"/>
              <w:rPr>
                <w:sz w:val="20"/>
                <w:szCs w:val="20"/>
                <w:color w:val="auto"/>
              </w:rPr>
            </w:pPr>
            <w:r>
              <w:rPr>
                <w:rFonts w:ascii="Arial" w:cs="Arial" w:eastAsia="Arial" w:hAnsi="Arial"/>
                <w:sz w:val="14"/>
                <w:szCs w:val="14"/>
                <w:color w:val="auto"/>
                <w:w w:val="97"/>
              </w:rPr>
              <w:t>$ 4,801,356</w:t>
            </w:r>
          </w:p>
        </w:tc>
        <w:tc>
          <w:tcPr>
            <w:tcW w:w="300" w:type="dxa"/>
            <w:vAlign w:val="bottom"/>
            <w:tcBorders>
              <w:bottom w:val="single" w:sz="8" w:color="BFBFBF"/>
              <w:right w:val="single" w:sz="8" w:color="BFBFBF"/>
            </w:tcBorders>
          </w:tcPr>
          <w:p>
            <w:pPr>
              <w:spacing w:after="0"/>
              <w:rPr>
                <w:sz w:val="13"/>
                <w:szCs w:val="13"/>
                <w:color w:val="auto"/>
              </w:rPr>
            </w:pPr>
          </w:p>
        </w:tc>
        <w:tc>
          <w:tcPr>
            <w:tcW w:w="280" w:type="dxa"/>
            <w:vAlign w:val="bottom"/>
            <w:tcBorders>
              <w:bottom w:val="single" w:sz="8" w:color="BFBFBF"/>
            </w:tcBorders>
          </w:tcPr>
          <w:p>
            <w:pPr>
              <w:spacing w:after="0"/>
              <w:rPr>
                <w:sz w:val="13"/>
                <w:szCs w:val="13"/>
                <w:color w:val="auto"/>
              </w:rPr>
            </w:pPr>
          </w:p>
        </w:tc>
        <w:tc>
          <w:tcPr>
            <w:tcW w:w="380" w:type="dxa"/>
            <w:vAlign w:val="bottom"/>
            <w:tcBorders>
              <w:bottom w:val="single" w:sz="8" w:color="BFBFBF"/>
            </w:tcBorders>
            <w:gridSpan w:val="2"/>
          </w:tcPr>
          <w:p>
            <w:pPr>
              <w:jc w:val="right"/>
              <w:ind w:right="212"/>
              <w:spacing w:after="0" w:line="130"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3"/>
                <w:szCs w:val="13"/>
                <w:color w:val="auto"/>
              </w:rPr>
            </w:pPr>
          </w:p>
        </w:tc>
        <w:tc>
          <w:tcPr>
            <w:tcW w:w="820" w:type="dxa"/>
            <w:vAlign w:val="bottom"/>
            <w:tcBorders>
              <w:bottom w:val="single" w:sz="8" w:color="BFBFBF"/>
            </w:tcBorders>
          </w:tcPr>
          <w:p>
            <w:pPr>
              <w:jc w:val="right"/>
              <w:ind w:right="72"/>
              <w:spacing w:after="0" w:line="130" w:lineRule="exact"/>
              <w:rPr>
                <w:sz w:val="20"/>
                <w:szCs w:val="20"/>
                <w:color w:val="auto"/>
              </w:rPr>
            </w:pPr>
            <w:r>
              <w:rPr>
                <w:rFonts w:ascii="Arial" w:cs="Arial" w:eastAsia="Arial" w:hAnsi="Arial"/>
                <w:sz w:val="14"/>
                <w:szCs w:val="14"/>
                <w:color w:val="auto"/>
                <w:w w:val="94"/>
              </w:rPr>
              <w:t>10,948,814</w:t>
            </w:r>
          </w:p>
        </w:tc>
        <w:tc>
          <w:tcPr>
            <w:tcW w:w="80" w:type="dxa"/>
            <w:vAlign w:val="bottom"/>
            <w:tcBorders>
              <w:bottom w:val="single" w:sz="8" w:color="BFBFBF"/>
            </w:tcBorders>
          </w:tcPr>
          <w:p>
            <w:pPr>
              <w:spacing w:after="0"/>
              <w:rPr>
                <w:sz w:val="13"/>
                <w:szCs w:val="13"/>
                <w:color w:val="auto"/>
              </w:rPr>
            </w:pPr>
          </w:p>
        </w:tc>
        <w:tc>
          <w:tcPr>
            <w:tcW w:w="240" w:type="dxa"/>
            <w:vAlign w:val="bottom"/>
            <w:tcBorders>
              <w:bottom w:val="single" w:sz="8" w:color="BFBFBF"/>
              <w:right w:val="single" w:sz="8" w:color="BFBFBF"/>
            </w:tcBorders>
          </w:tcPr>
          <w:p>
            <w:pPr>
              <w:spacing w:after="0"/>
              <w:rPr>
                <w:sz w:val="13"/>
                <w:szCs w:val="13"/>
                <w:color w:val="auto"/>
              </w:rPr>
            </w:pPr>
          </w:p>
        </w:tc>
        <w:tc>
          <w:tcPr>
            <w:tcW w:w="200" w:type="dxa"/>
            <w:vAlign w:val="bottom"/>
            <w:tcBorders>
              <w:bottom w:val="single" w:sz="8" w:color="BFBFBF"/>
            </w:tcBorders>
          </w:tcPr>
          <w:p>
            <w:pPr>
              <w:spacing w:after="0"/>
              <w:rPr>
                <w:sz w:val="13"/>
                <w:szCs w:val="13"/>
                <w:color w:val="auto"/>
              </w:rPr>
            </w:pPr>
          </w:p>
        </w:tc>
        <w:tc>
          <w:tcPr>
            <w:tcW w:w="60" w:type="dxa"/>
            <w:vAlign w:val="bottom"/>
            <w:tcBorders>
              <w:bottom w:val="single" w:sz="8" w:color="BFBFBF"/>
            </w:tcBorders>
          </w:tcPr>
          <w:p>
            <w:pPr>
              <w:spacing w:after="0"/>
              <w:rPr>
                <w:sz w:val="13"/>
                <w:szCs w:val="13"/>
                <w:color w:val="auto"/>
              </w:rPr>
            </w:pPr>
          </w:p>
        </w:tc>
        <w:tc>
          <w:tcPr>
            <w:tcW w:w="260" w:type="dxa"/>
            <w:vAlign w:val="bottom"/>
            <w:tcBorders>
              <w:bottom w:val="single" w:sz="8" w:color="BFBFBF"/>
            </w:tcBorders>
          </w:tcPr>
          <w:p>
            <w:pPr>
              <w:jc w:val="right"/>
              <w:ind w:right="92"/>
              <w:spacing w:after="0" w:line="130"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BFBFBF"/>
            </w:tcBorders>
          </w:tcPr>
          <w:p>
            <w:pPr>
              <w:spacing w:after="0"/>
              <w:rPr>
                <w:sz w:val="13"/>
                <w:szCs w:val="13"/>
                <w:color w:val="auto"/>
              </w:rPr>
            </w:pPr>
          </w:p>
        </w:tc>
        <w:tc>
          <w:tcPr>
            <w:tcW w:w="90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6,901,356</w:t>
            </w:r>
          </w:p>
        </w:tc>
        <w:tc>
          <w:tcPr>
            <w:tcW w:w="20" w:type="dxa"/>
            <w:vAlign w:val="bottom"/>
            <w:tcBorders>
              <w:bottom w:val="single" w:sz="8" w:color="BFBFBF"/>
            </w:tcBorders>
          </w:tcPr>
          <w:p>
            <w:pPr>
              <w:spacing w:after="0"/>
              <w:rPr>
                <w:sz w:val="13"/>
                <w:szCs w:val="13"/>
                <w:color w:val="auto"/>
              </w:rPr>
            </w:pPr>
          </w:p>
        </w:tc>
        <w:tc>
          <w:tcPr>
            <w:tcW w:w="300" w:type="dxa"/>
            <w:vAlign w:val="bottom"/>
            <w:tcBorders>
              <w:bottom w:val="single" w:sz="8" w:color="BFBFBF"/>
              <w:right w:val="single" w:sz="8" w:color="BFBFBF"/>
            </w:tcBorders>
          </w:tcPr>
          <w:p>
            <w:pPr>
              <w:spacing w:after="0"/>
              <w:rPr>
                <w:sz w:val="13"/>
                <w:szCs w:val="13"/>
                <w:color w:val="auto"/>
              </w:rPr>
            </w:pPr>
          </w:p>
        </w:tc>
        <w:tc>
          <w:tcPr>
            <w:tcW w:w="120" w:type="dxa"/>
            <w:vAlign w:val="bottom"/>
            <w:tcBorders>
              <w:bottom w:val="single" w:sz="8" w:color="BFBFBF"/>
            </w:tcBorders>
          </w:tcPr>
          <w:p>
            <w:pPr>
              <w:spacing w:after="0"/>
              <w:rPr>
                <w:sz w:val="13"/>
                <w:szCs w:val="13"/>
                <w:color w:val="auto"/>
              </w:rPr>
            </w:pPr>
          </w:p>
        </w:tc>
        <w:tc>
          <w:tcPr>
            <w:tcW w:w="140" w:type="dxa"/>
            <w:vAlign w:val="bottom"/>
            <w:tcBorders>
              <w:bottom w:val="single" w:sz="8" w:color="BFBFBF"/>
            </w:tcBorders>
          </w:tcPr>
          <w:p>
            <w:pPr>
              <w:spacing w:after="0"/>
              <w:rPr>
                <w:sz w:val="13"/>
                <w:szCs w:val="13"/>
                <w:color w:val="auto"/>
              </w:rPr>
            </w:pPr>
          </w:p>
        </w:tc>
        <w:tc>
          <w:tcPr>
            <w:tcW w:w="16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spacing w:after="0"/>
              <w:rPr>
                <w:sz w:val="13"/>
                <w:szCs w:val="13"/>
                <w:color w:val="auto"/>
              </w:rPr>
            </w:pPr>
          </w:p>
        </w:tc>
        <w:tc>
          <w:tcPr>
            <w:tcW w:w="900" w:type="dxa"/>
            <w:vAlign w:val="bottom"/>
            <w:tcBorders>
              <w:bottom w:val="single" w:sz="8" w:color="BFBFBF"/>
            </w:tcBorders>
          </w:tcPr>
          <w:p>
            <w:pPr>
              <w:jc w:val="right"/>
              <w:ind w:right="72"/>
              <w:spacing w:after="0" w:line="130" w:lineRule="exact"/>
              <w:rPr>
                <w:sz w:val="20"/>
                <w:szCs w:val="20"/>
                <w:color w:val="auto"/>
              </w:rPr>
            </w:pPr>
            <w:r>
              <w:rPr>
                <w:rFonts w:ascii="Arial" w:cs="Arial" w:eastAsia="Arial" w:hAnsi="Arial"/>
                <w:sz w:val="14"/>
                <w:szCs w:val="14"/>
                <w:color w:val="auto"/>
              </w:rPr>
              <w:t>6,901,356</w:t>
            </w:r>
          </w:p>
        </w:tc>
        <w:tc>
          <w:tcPr>
            <w:tcW w:w="160" w:type="dxa"/>
            <w:vAlign w:val="bottom"/>
            <w:tcBorders>
              <w:bottom w:val="single" w:sz="8" w:color="BFBFBF"/>
            </w:tcBorders>
          </w:tcPr>
          <w:p>
            <w:pPr>
              <w:spacing w:after="0"/>
              <w:rPr>
                <w:sz w:val="13"/>
                <w:szCs w:val="13"/>
                <w:color w:val="auto"/>
              </w:rPr>
            </w:pPr>
          </w:p>
        </w:tc>
        <w:tc>
          <w:tcPr>
            <w:tcW w:w="300" w:type="dxa"/>
            <w:vAlign w:val="bottom"/>
            <w:tcBorders>
              <w:bottom w:val="single" w:sz="8" w:color="BFBFBF"/>
              <w:right w:val="single" w:sz="8" w:color="BFBFBF"/>
            </w:tcBorders>
          </w:tcPr>
          <w:p>
            <w:pPr>
              <w:spacing w:after="0"/>
              <w:rPr>
                <w:sz w:val="13"/>
                <w:szCs w:val="13"/>
                <w:color w:val="auto"/>
              </w:rPr>
            </w:pPr>
          </w:p>
        </w:tc>
        <w:tc>
          <w:tcPr>
            <w:tcW w:w="260" w:type="dxa"/>
            <w:vAlign w:val="bottom"/>
            <w:tcBorders>
              <w:bottom w:val="single" w:sz="8" w:color="BFBFBF"/>
            </w:tcBorders>
          </w:tcPr>
          <w:p>
            <w:pPr>
              <w:spacing w:after="0"/>
              <w:rPr>
                <w:sz w:val="13"/>
                <w:szCs w:val="13"/>
                <w:color w:val="auto"/>
              </w:rPr>
            </w:pPr>
          </w:p>
        </w:tc>
        <w:tc>
          <w:tcPr>
            <w:tcW w:w="140" w:type="dxa"/>
            <w:vAlign w:val="bottom"/>
            <w:tcBorders>
              <w:bottom w:val="single" w:sz="8" w:color="BFBFBF"/>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14,680,894</w:t>
            </w:r>
          </w:p>
        </w:tc>
        <w:tc>
          <w:tcPr>
            <w:tcW w:w="120" w:type="dxa"/>
            <w:vAlign w:val="bottom"/>
            <w:tcBorders>
              <w:bottom w:val="single" w:sz="8" w:color="BFBFBF"/>
            </w:tcBorders>
          </w:tcPr>
          <w:p>
            <w:pPr>
              <w:spacing w:after="0"/>
              <w:rPr>
                <w:sz w:val="13"/>
                <w:szCs w:val="13"/>
                <w:color w:val="auto"/>
              </w:rPr>
            </w:pPr>
          </w:p>
        </w:tc>
        <w:tc>
          <w:tcPr>
            <w:tcW w:w="340" w:type="dxa"/>
            <w:vAlign w:val="bottom"/>
            <w:tcBorders>
              <w:bottom w:val="single" w:sz="8" w:color="BFBFBF"/>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Borders>
              <w:left w:val="single" w:sz="8" w:color="BFBFB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60" w:type="dxa"/>
            <w:vAlign w:val="bottom"/>
            <w:tcBorders>
              <w:left w:val="single" w:sz="8" w:color="BFBFBF"/>
              <w:bottom w:val="single" w:sz="8" w:color="BFBFBF"/>
            </w:tcBorders>
          </w:tcPr>
          <w:p>
            <w:pPr>
              <w:spacing w:after="0" w:line="20" w:lineRule="exact"/>
              <w:rPr>
                <w:sz w:val="1"/>
                <w:szCs w:val="1"/>
                <w:color w:val="auto"/>
              </w:rPr>
            </w:pPr>
          </w:p>
        </w:tc>
        <w:tc>
          <w:tcPr>
            <w:tcW w:w="24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2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500" w:type="dxa"/>
            <w:vAlign w:val="bottom"/>
            <w:tcBorders>
              <w:bottom w:val="single" w:sz="8" w:color="BFBFBF"/>
            </w:tcBorders>
          </w:tcPr>
          <w:p>
            <w:pPr>
              <w:spacing w:after="0" w:line="20" w:lineRule="exact"/>
              <w:rPr>
                <w:sz w:val="1"/>
                <w:szCs w:val="1"/>
                <w:color w:val="auto"/>
              </w:rPr>
            </w:pPr>
          </w:p>
        </w:tc>
        <w:tc>
          <w:tcPr>
            <w:tcW w:w="300" w:type="dxa"/>
            <w:vAlign w:val="bottom"/>
            <w:tcBorders>
              <w:bottom w:val="single" w:sz="8" w:color="BFBFBF"/>
            </w:tcBorders>
          </w:tcPr>
          <w:p>
            <w:pPr>
              <w:spacing w:after="0" w:line="20" w:lineRule="exact"/>
              <w:rPr>
                <w:sz w:val="1"/>
                <w:szCs w:val="1"/>
                <w:color w:val="auto"/>
              </w:rPr>
            </w:pPr>
          </w:p>
        </w:tc>
        <w:tc>
          <w:tcPr>
            <w:tcW w:w="2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28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8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240" w:type="dxa"/>
            <w:vAlign w:val="bottom"/>
            <w:tcBorders>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6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160" w:type="dxa"/>
            <w:vAlign w:val="bottom"/>
            <w:tcBorders>
              <w:bottom w:val="single" w:sz="8" w:color="BFBFBF"/>
            </w:tcBorders>
          </w:tcPr>
          <w:p>
            <w:pPr>
              <w:spacing w:after="0" w:line="20" w:lineRule="exact"/>
              <w:rPr>
                <w:sz w:val="1"/>
                <w:szCs w:val="1"/>
                <w:color w:val="auto"/>
              </w:rPr>
            </w:pPr>
          </w:p>
        </w:tc>
        <w:tc>
          <w:tcPr>
            <w:tcW w:w="90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30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140" w:type="dxa"/>
            <w:vAlign w:val="bottom"/>
            <w:tcBorders>
              <w:bottom w:val="single" w:sz="8" w:color="BFBFBF"/>
            </w:tcBorders>
          </w:tcPr>
          <w:p>
            <w:pPr>
              <w:spacing w:after="0" w:line="20" w:lineRule="exact"/>
              <w:rPr>
                <w:sz w:val="1"/>
                <w:szCs w:val="1"/>
                <w:color w:val="auto"/>
              </w:rPr>
            </w:pPr>
          </w:p>
        </w:tc>
        <w:tc>
          <w:tcPr>
            <w:tcW w:w="16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900" w:type="dxa"/>
            <w:vAlign w:val="bottom"/>
            <w:tcBorders>
              <w:bottom w:val="single" w:sz="8" w:color="BFBFBF"/>
            </w:tcBorders>
          </w:tcPr>
          <w:p>
            <w:pPr>
              <w:spacing w:after="0" w:line="20" w:lineRule="exact"/>
              <w:rPr>
                <w:sz w:val="1"/>
                <w:szCs w:val="1"/>
                <w:color w:val="auto"/>
              </w:rPr>
            </w:pPr>
          </w:p>
        </w:tc>
        <w:tc>
          <w:tcPr>
            <w:tcW w:w="160" w:type="dxa"/>
            <w:vAlign w:val="bottom"/>
            <w:tcBorders>
              <w:bottom w:val="single" w:sz="8" w:color="BFBFBF"/>
            </w:tcBorders>
          </w:tcPr>
          <w:p>
            <w:pPr>
              <w:spacing w:after="0" w:line="20" w:lineRule="exact"/>
              <w:rPr>
                <w:sz w:val="1"/>
                <w:szCs w:val="1"/>
                <w:color w:val="auto"/>
              </w:rPr>
            </w:pPr>
          </w:p>
        </w:tc>
        <w:tc>
          <w:tcPr>
            <w:tcW w:w="30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80" w:type="dxa"/>
            <w:vAlign w:val="bottom"/>
            <w:tcBorders>
              <w:bottom w:val="single" w:sz="8" w:color="BFBFBF"/>
            </w:tcBorders>
            <w:gridSpan w:val="2"/>
          </w:tcPr>
          <w:p>
            <w:pPr>
              <w:spacing w:after="0" w:line="20" w:lineRule="exact"/>
              <w:rPr>
                <w:sz w:val="1"/>
                <w:szCs w:val="1"/>
                <w:color w:val="auto"/>
              </w:rPr>
            </w:pPr>
          </w:p>
        </w:tc>
        <w:tc>
          <w:tcPr>
            <w:tcW w:w="460" w:type="dxa"/>
            <w:vAlign w:val="bottom"/>
            <w:tcBorders>
              <w:bottom w:val="single" w:sz="8" w:color="BFBFBF"/>
              <w:right w:val="single" w:sz="8" w:color="BFBFB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660" w:type="dxa"/>
            <w:vAlign w:val="bottom"/>
            <w:tcBorders>
              <w:left w:val="single" w:sz="8" w:color="BFBFBF"/>
              <w:right w:val="single" w:sz="8" w:color="0088A6"/>
            </w:tcBorders>
            <w:shd w:val="clear" w:color="auto" w:fill="0088A6"/>
          </w:tcPr>
          <w:p>
            <w:pPr>
              <w:spacing w:after="0"/>
              <w:rPr>
                <w:sz w:val="12"/>
                <w:szCs w:val="12"/>
                <w:color w:val="auto"/>
              </w:rPr>
            </w:pPr>
          </w:p>
        </w:tc>
        <w:tc>
          <w:tcPr>
            <w:tcW w:w="240" w:type="dxa"/>
            <w:vAlign w:val="bottom"/>
            <w:tcBorders>
              <w:right w:val="single" w:sz="8" w:color="BFBFBF"/>
            </w:tcBorders>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50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82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240" w:type="dxa"/>
            <w:vAlign w:val="bottom"/>
            <w:tcBorders>
              <w:right w:val="single" w:sz="8" w:color="0088A6"/>
            </w:tcBorders>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340" w:type="dxa"/>
            <w:vAlign w:val="bottom"/>
            <w:tcBorders>
              <w:right w:val="single" w:sz="8" w:color="BFBFBF"/>
            </w:tcBorders>
            <w:gridSpan w:val="4"/>
            <w:shd w:val="clear" w:color="auto" w:fill="0088A6"/>
          </w:tcPr>
          <w:p>
            <w:pPr>
              <w:jc w:val="center"/>
              <w:ind w:right="440"/>
              <w:spacing w:after="0" w:line="145" w:lineRule="exact"/>
              <w:rPr>
                <w:sz w:val="20"/>
                <w:szCs w:val="20"/>
                <w:color w:val="auto"/>
              </w:rPr>
            </w:pPr>
            <w:r>
              <w:rPr>
                <w:rFonts w:ascii="Arial" w:cs="Arial" w:eastAsia="Arial" w:hAnsi="Arial"/>
                <w:sz w:val="14"/>
                <w:szCs w:val="14"/>
                <w:b w:val="1"/>
                <w:bCs w:val="1"/>
                <w:color w:val="FFFFFF"/>
                <w:w w:val="97"/>
              </w:rPr>
              <w:t>Termination</w:t>
            </w:r>
          </w:p>
        </w:tc>
        <w:tc>
          <w:tcPr>
            <w:tcW w:w="0" w:type="dxa"/>
            <w:vAlign w:val="bottom"/>
          </w:tcPr>
          <w:p>
            <w:pPr>
              <w:spacing w:after="0"/>
              <w:rPr>
                <w:sz w:val="1"/>
                <w:szCs w:val="1"/>
                <w:color w:val="auto"/>
              </w:rPr>
            </w:pPr>
          </w:p>
        </w:tc>
      </w:tr>
      <w:tr>
        <w:trPr>
          <w:trHeight w:val="149"/>
        </w:trPr>
        <w:tc>
          <w:tcPr>
            <w:tcW w:w="2660" w:type="dxa"/>
            <w:vAlign w:val="bottom"/>
            <w:tcBorders>
              <w:left w:val="single" w:sz="8" w:color="BFBFBF"/>
              <w:right w:val="single" w:sz="8" w:color="0088A6"/>
            </w:tcBorders>
            <w:shd w:val="clear" w:color="auto" w:fill="0088A6"/>
          </w:tcPr>
          <w:p>
            <w:pPr>
              <w:spacing w:after="0"/>
              <w:rPr>
                <w:sz w:val="12"/>
                <w:szCs w:val="12"/>
                <w:color w:val="auto"/>
              </w:rPr>
            </w:pPr>
          </w:p>
        </w:tc>
        <w:tc>
          <w:tcPr>
            <w:tcW w:w="240" w:type="dxa"/>
            <w:vAlign w:val="bottom"/>
            <w:tcBorders>
              <w:right w:val="single" w:sz="8" w:color="BFBFBF"/>
            </w:tcBorders>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50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82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240" w:type="dxa"/>
            <w:vAlign w:val="bottom"/>
            <w:tcBorders>
              <w:right w:val="single" w:sz="8" w:color="0088A6"/>
            </w:tcBorders>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220" w:type="dxa"/>
            <w:vAlign w:val="bottom"/>
            <w:tcBorders>
              <w:right w:val="single" w:sz="8" w:color="BFBFBF"/>
            </w:tcBorders>
            <w:gridSpan w:val="3"/>
            <w:shd w:val="clear" w:color="auto" w:fill="0088A6"/>
          </w:tcPr>
          <w:p>
            <w:pPr>
              <w:jc w:val="center"/>
              <w:ind w:right="560"/>
              <w:spacing w:after="0" w:line="149" w:lineRule="exact"/>
              <w:rPr>
                <w:sz w:val="20"/>
                <w:szCs w:val="20"/>
                <w:color w:val="auto"/>
              </w:rPr>
            </w:pPr>
            <w:r>
              <w:rPr>
                <w:rFonts w:ascii="Arial" w:cs="Arial" w:eastAsia="Arial" w:hAnsi="Arial"/>
                <w:sz w:val="14"/>
                <w:szCs w:val="14"/>
                <w:b w:val="1"/>
                <w:bCs w:val="1"/>
                <w:color w:val="FFFFFF"/>
                <w:w w:val="96"/>
              </w:rPr>
              <w:t>Due To</w:t>
            </w:r>
          </w:p>
        </w:tc>
        <w:tc>
          <w:tcPr>
            <w:tcW w:w="0" w:type="dxa"/>
            <w:vAlign w:val="bottom"/>
          </w:tcPr>
          <w:p>
            <w:pPr>
              <w:spacing w:after="0"/>
              <w:rPr>
                <w:sz w:val="1"/>
                <w:szCs w:val="1"/>
                <w:color w:val="auto"/>
              </w:rPr>
            </w:pPr>
          </w:p>
        </w:tc>
      </w:tr>
      <w:tr>
        <w:trPr>
          <w:trHeight w:val="149"/>
        </w:trPr>
        <w:tc>
          <w:tcPr>
            <w:tcW w:w="2660" w:type="dxa"/>
            <w:vAlign w:val="bottom"/>
            <w:tcBorders>
              <w:left w:val="single" w:sz="8" w:color="BFBFBF"/>
              <w:right w:val="single" w:sz="8" w:color="0088A6"/>
            </w:tcBorders>
            <w:shd w:val="clear" w:color="auto" w:fill="0088A6"/>
          </w:tcPr>
          <w:p>
            <w:pPr>
              <w:spacing w:after="0"/>
              <w:rPr>
                <w:sz w:val="12"/>
                <w:szCs w:val="12"/>
                <w:color w:val="auto"/>
              </w:rPr>
            </w:pPr>
          </w:p>
        </w:tc>
        <w:tc>
          <w:tcPr>
            <w:tcW w:w="240" w:type="dxa"/>
            <w:vAlign w:val="bottom"/>
            <w:tcBorders>
              <w:right w:val="single" w:sz="8" w:color="BFBFBF"/>
            </w:tcBorders>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50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00" w:type="dxa"/>
            <w:vAlign w:val="bottom"/>
            <w:tcBorders>
              <w:right w:val="single" w:sz="8" w:color="BFBFBF"/>
            </w:tcBorders>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820" w:type="dxa"/>
            <w:vAlign w:val="bottom"/>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240" w:type="dxa"/>
            <w:vAlign w:val="bottom"/>
            <w:tcBorders>
              <w:right w:val="single" w:sz="8" w:color="0088A6"/>
            </w:tcBorders>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220" w:type="dxa"/>
            <w:vAlign w:val="bottom"/>
            <w:tcBorders>
              <w:right w:val="single" w:sz="8" w:color="BFBFBF"/>
            </w:tcBorders>
            <w:gridSpan w:val="3"/>
            <w:shd w:val="clear" w:color="auto" w:fill="0088A6"/>
          </w:tcPr>
          <w:p>
            <w:pPr>
              <w:jc w:val="center"/>
              <w:ind w:right="560"/>
              <w:spacing w:after="0" w:line="149" w:lineRule="exact"/>
              <w:rPr>
                <w:sz w:val="20"/>
                <w:szCs w:val="20"/>
                <w:color w:val="auto"/>
              </w:rPr>
            </w:pPr>
            <w:r>
              <w:rPr>
                <w:rFonts w:ascii="Arial" w:cs="Arial" w:eastAsia="Arial" w:hAnsi="Arial"/>
                <w:sz w:val="14"/>
                <w:szCs w:val="14"/>
                <w:b w:val="1"/>
                <w:bCs w:val="1"/>
                <w:color w:val="FFFFFF"/>
                <w:w w:val="97"/>
              </w:rPr>
              <w:t>Change in</w:t>
            </w:r>
          </w:p>
        </w:tc>
        <w:tc>
          <w:tcPr>
            <w:tcW w:w="0" w:type="dxa"/>
            <w:vAlign w:val="bottom"/>
          </w:tcPr>
          <w:p>
            <w:pPr>
              <w:spacing w:after="0"/>
              <w:rPr>
                <w:sz w:val="1"/>
                <w:szCs w:val="1"/>
                <w:color w:val="auto"/>
              </w:rPr>
            </w:pPr>
          </w:p>
        </w:tc>
      </w:tr>
      <w:tr>
        <w:trPr>
          <w:trHeight w:val="149"/>
        </w:trPr>
        <w:tc>
          <w:tcPr>
            <w:tcW w:w="2660" w:type="dxa"/>
            <w:vAlign w:val="bottom"/>
            <w:tcBorders>
              <w:left w:val="single" w:sz="8" w:color="BFBFBF"/>
              <w:right w:val="single" w:sz="8" w:color="0088A6"/>
            </w:tcBorders>
            <w:shd w:val="clear" w:color="auto" w:fill="0088A6"/>
          </w:tcPr>
          <w:p>
            <w:pPr>
              <w:spacing w:after="0"/>
              <w:rPr>
                <w:sz w:val="12"/>
                <w:szCs w:val="12"/>
                <w:color w:val="auto"/>
              </w:rPr>
            </w:pPr>
          </w:p>
        </w:tc>
        <w:tc>
          <w:tcPr>
            <w:tcW w:w="240" w:type="dxa"/>
            <w:vAlign w:val="bottom"/>
            <w:tcBorders>
              <w:right w:val="single" w:sz="8" w:color="BFBFBF"/>
            </w:tcBorders>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180" w:type="dxa"/>
            <w:vAlign w:val="bottom"/>
            <w:gridSpan w:val="4"/>
            <w:shd w:val="clear" w:color="auto" w:fill="0088A6"/>
          </w:tcPr>
          <w:p>
            <w:pPr>
              <w:ind w:left="60"/>
              <w:spacing w:after="0" w:line="149" w:lineRule="exact"/>
              <w:rPr>
                <w:sz w:val="20"/>
                <w:szCs w:val="20"/>
                <w:color w:val="auto"/>
              </w:rPr>
            </w:pPr>
            <w:r>
              <w:rPr>
                <w:rFonts w:ascii="Arial" w:cs="Arial" w:eastAsia="Arial" w:hAnsi="Arial"/>
                <w:sz w:val="14"/>
                <w:szCs w:val="14"/>
                <w:b w:val="1"/>
                <w:bCs w:val="1"/>
                <w:color w:val="FFFFFF"/>
              </w:rPr>
              <w:t>Involuntary</w:t>
            </w:r>
          </w:p>
        </w:tc>
        <w:tc>
          <w:tcPr>
            <w:tcW w:w="100" w:type="dxa"/>
            <w:vAlign w:val="bottom"/>
            <w:tcBorders>
              <w:right w:val="single" w:sz="8" w:color="BFBFBF"/>
            </w:tcBorders>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820" w:type="dxa"/>
            <w:vAlign w:val="bottom"/>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5"/>
              </w:rPr>
              <w:t>Involuntary</w:t>
            </w:r>
          </w:p>
        </w:tc>
        <w:tc>
          <w:tcPr>
            <w:tcW w:w="80" w:type="dxa"/>
            <w:vAlign w:val="bottom"/>
            <w:shd w:val="clear" w:color="auto" w:fill="0088A6"/>
          </w:tcPr>
          <w:p>
            <w:pPr>
              <w:spacing w:after="0"/>
              <w:rPr>
                <w:sz w:val="12"/>
                <w:szCs w:val="12"/>
                <w:color w:val="auto"/>
              </w:rPr>
            </w:pPr>
          </w:p>
        </w:tc>
        <w:tc>
          <w:tcPr>
            <w:tcW w:w="240" w:type="dxa"/>
            <w:vAlign w:val="bottom"/>
            <w:tcBorders>
              <w:right w:val="single" w:sz="8" w:color="0088A6"/>
            </w:tcBorders>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220" w:type="dxa"/>
            <w:vAlign w:val="bottom"/>
            <w:tcBorders>
              <w:right w:val="single" w:sz="8" w:color="BFBFBF"/>
            </w:tcBorders>
            <w:gridSpan w:val="3"/>
            <w:shd w:val="clear" w:color="auto" w:fill="0088A6"/>
          </w:tcPr>
          <w:p>
            <w:pPr>
              <w:jc w:val="center"/>
              <w:ind w:right="580"/>
              <w:spacing w:after="0" w:line="149" w:lineRule="exact"/>
              <w:rPr>
                <w:sz w:val="20"/>
                <w:szCs w:val="20"/>
                <w:color w:val="auto"/>
              </w:rPr>
            </w:pPr>
            <w:r>
              <w:rPr>
                <w:rFonts w:ascii="Arial" w:cs="Arial" w:eastAsia="Arial" w:hAnsi="Arial"/>
                <w:sz w:val="14"/>
                <w:szCs w:val="14"/>
                <w:b w:val="1"/>
                <w:bCs w:val="1"/>
                <w:color w:val="FFFFFF"/>
                <w:w w:val="96"/>
              </w:rPr>
              <w:t>Control</w:t>
            </w:r>
          </w:p>
        </w:tc>
        <w:tc>
          <w:tcPr>
            <w:tcW w:w="0" w:type="dxa"/>
            <w:vAlign w:val="bottom"/>
          </w:tcPr>
          <w:p>
            <w:pPr>
              <w:spacing w:after="0"/>
              <w:rPr>
                <w:sz w:val="1"/>
                <w:szCs w:val="1"/>
                <w:color w:val="auto"/>
              </w:rPr>
            </w:pPr>
          </w:p>
        </w:tc>
      </w:tr>
      <w:tr>
        <w:trPr>
          <w:trHeight w:val="149"/>
        </w:trPr>
        <w:tc>
          <w:tcPr>
            <w:tcW w:w="2660" w:type="dxa"/>
            <w:vAlign w:val="bottom"/>
            <w:tcBorders>
              <w:left w:val="single" w:sz="8" w:color="BFBFBF"/>
              <w:right w:val="single" w:sz="8" w:color="0088A6"/>
            </w:tcBorders>
            <w:vMerge w:val="restart"/>
            <w:shd w:val="clear" w:color="auto" w:fill="0088A6"/>
          </w:tcPr>
          <w:p>
            <w:pPr>
              <w:ind w:left="120"/>
              <w:spacing w:after="0"/>
              <w:rPr>
                <w:sz w:val="20"/>
                <w:szCs w:val="20"/>
                <w:color w:val="auto"/>
              </w:rPr>
            </w:pPr>
            <w:r>
              <w:rPr>
                <w:rFonts w:ascii="Arial" w:cs="Arial" w:eastAsia="Arial" w:hAnsi="Arial"/>
                <w:sz w:val="14"/>
                <w:szCs w:val="14"/>
                <w:b w:val="1"/>
                <w:bCs w:val="1"/>
                <w:color w:val="FFFFFF"/>
              </w:rPr>
              <w:t>Lee Shavel</w:t>
            </w:r>
          </w:p>
        </w:tc>
        <w:tc>
          <w:tcPr>
            <w:tcW w:w="240" w:type="dxa"/>
            <w:vAlign w:val="bottom"/>
            <w:tcBorders>
              <w:right w:val="single" w:sz="8" w:color="BFBFBF"/>
            </w:tcBorders>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180" w:type="dxa"/>
            <w:vAlign w:val="bottom"/>
            <w:gridSpan w:val="4"/>
            <w:shd w:val="clear" w:color="auto" w:fill="0088A6"/>
          </w:tcPr>
          <w:p>
            <w:pPr>
              <w:spacing w:after="0" w:line="149" w:lineRule="exact"/>
              <w:rPr>
                <w:sz w:val="20"/>
                <w:szCs w:val="20"/>
                <w:color w:val="auto"/>
              </w:rPr>
            </w:pPr>
            <w:r>
              <w:rPr>
                <w:rFonts w:ascii="Arial" w:cs="Arial" w:eastAsia="Arial" w:hAnsi="Arial"/>
                <w:sz w:val="14"/>
                <w:szCs w:val="14"/>
                <w:b w:val="1"/>
                <w:bCs w:val="1"/>
                <w:color w:val="FFFFFF"/>
              </w:rPr>
              <w:t>For Cause or</w:t>
            </w:r>
          </w:p>
        </w:tc>
        <w:tc>
          <w:tcPr>
            <w:tcW w:w="100" w:type="dxa"/>
            <w:vAlign w:val="bottom"/>
            <w:tcBorders>
              <w:right w:val="single" w:sz="8" w:color="BFBFBF"/>
            </w:tcBorders>
            <w:shd w:val="clear" w:color="auto" w:fill="0088A6"/>
          </w:tcPr>
          <w:p>
            <w:pPr>
              <w:spacing w:after="0"/>
              <w:rPr>
                <w:sz w:val="12"/>
                <w:szCs w:val="12"/>
                <w:color w:val="auto"/>
              </w:rPr>
            </w:pPr>
          </w:p>
        </w:tc>
        <w:tc>
          <w:tcPr>
            <w:tcW w:w="2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820" w:type="dxa"/>
            <w:vAlign w:val="bottom"/>
            <w:shd w:val="clear" w:color="auto" w:fill="0088A6"/>
          </w:tcPr>
          <w:p>
            <w:pPr>
              <w:jc w:val="center"/>
              <w:spacing w:after="0" w:line="149" w:lineRule="exact"/>
              <w:rPr>
                <w:sz w:val="20"/>
                <w:szCs w:val="20"/>
                <w:color w:val="auto"/>
              </w:rPr>
            </w:pPr>
            <w:r>
              <w:rPr>
                <w:rFonts w:ascii="Arial" w:cs="Arial" w:eastAsia="Arial" w:hAnsi="Arial"/>
                <w:sz w:val="14"/>
                <w:szCs w:val="14"/>
                <w:b w:val="1"/>
                <w:bCs w:val="1"/>
                <w:color w:val="FFFFFF"/>
                <w:w w:val="96"/>
              </w:rPr>
              <w:t>Not For</w:t>
            </w:r>
          </w:p>
        </w:tc>
        <w:tc>
          <w:tcPr>
            <w:tcW w:w="80" w:type="dxa"/>
            <w:vAlign w:val="bottom"/>
            <w:shd w:val="clear" w:color="auto" w:fill="0088A6"/>
          </w:tcPr>
          <w:p>
            <w:pPr>
              <w:spacing w:after="0"/>
              <w:rPr>
                <w:sz w:val="12"/>
                <w:szCs w:val="12"/>
                <w:color w:val="auto"/>
              </w:rPr>
            </w:pPr>
          </w:p>
        </w:tc>
        <w:tc>
          <w:tcPr>
            <w:tcW w:w="240" w:type="dxa"/>
            <w:vAlign w:val="bottom"/>
            <w:tcBorders>
              <w:right w:val="single" w:sz="8" w:color="0088A6"/>
            </w:tcBorders>
            <w:shd w:val="clear" w:color="auto" w:fill="0088A6"/>
          </w:tcPr>
          <w:p>
            <w:pPr>
              <w:spacing w:after="0"/>
              <w:rPr>
                <w:sz w:val="12"/>
                <w:szCs w:val="12"/>
                <w:color w:val="auto"/>
              </w:rPr>
            </w:pPr>
          </w:p>
        </w:tc>
        <w:tc>
          <w:tcPr>
            <w:tcW w:w="200" w:type="dxa"/>
            <w:vAlign w:val="bottom"/>
            <w:tcBorders>
              <w:right w:val="single" w:sz="8" w:color="BFBFBF"/>
            </w:tcBorders>
            <w:shd w:val="clear" w:color="auto" w:fill="0088A6"/>
          </w:tcPr>
          <w:p>
            <w:pPr>
              <w:spacing w:after="0"/>
              <w:rPr>
                <w:sz w:val="12"/>
                <w:szCs w:val="12"/>
                <w:color w:val="auto"/>
              </w:rPr>
            </w:pPr>
          </w:p>
        </w:tc>
        <w:tc>
          <w:tcPr>
            <w:tcW w:w="60" w:type="dxa"/>
            <w:vAlign w:val="bottom"/>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120" w:type="dxa"/>
            <w:vAlign w:val="bottom"/>
            <w:tcBorders>
              <w:right w:val="single" w:sz="8" w:color="BFBFBF"/>
            </w:tcBorders>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300" w:type="dxa"/>
            <w:vAlign w:val="bottom"/>
            <w:tcBorders>
              <w:right w:val="single" w:sz="8" w:color="0088A6"/>
            </w:tcBorders>
            <w:shd w:val="clear" w:color="auto" w:fill="0088A6"/>
          </w:tcPr>
          <w:p>
            <w:pPr>
              <w:spacing w:after="0"/>
              <w:rPr>
                <w:sz w:val="12"/>
                <w:szCs w:val="12"/>
                <w:color w:val="auto"/>
              </w:rPr>
            </w:pPr>
          </w:p>
        </w:tc>
        <w:tc>
          <w:tcPr>
            <w:tcW w:w="260" w:type="dxa"/>
            <w:vAlign w:val="bottom"/>
            <w:shd w:val="clear" w:color="auto" w:fill="0088A6"/>
          </w:tcPr>
          <w:p>
            <w:pPr>
              <w:spacing w:after="0"/>
              <w:rPr>
                <w:sz w:val="12"/>
                <w:szCs w:val="12"/>
                <w:color w:val="auto"/>
              </w:rPr>
            </w:pPr>
          </w:p>
        </w:tc>
        <w:tc>
          <w:tcPr>
            <w:tcW w:w="2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220" w:type="dxa"/>
            <w:vAlign w:val="bottom"/>
            <w:tcBorders>
              <w:right w:val="single" w:sz="8" w:color="BFBFBF"/>
            </w:tcBorders>
            <w:gridSpan w:val="3"/>
            <w:shd w:val="clear" w:color="auto" w:fill="0088A6"/>
          </w:tcPr>
          <w:p>
            <w:pPr>
              <w:jc w:val="center"/>
              <w:ind w:right="560"/>
              <w:spacing w:after="0" w:line="149" w:lineRule="exact"/>
              <w:rPr>
                <w:sz w:val="20"/>
                <w:szCs w:val="20"/>
                <w:color w:val="auto"/>
              </w:rPr>
            </w:pPr>
            <w:r>
              <w:rPr>
                <w:rFonts w:ascii="Arial" w:cs="Arial" w:eastAsia="Arial" w:hAnsi="Arial"/>
                <w:sz w:val="14"/>
                <w:szCs w:val="14"/>
                <w:b w:val="1"/>
                <w:bCs w:val="1"/>
                <w:color w:val="FFFFFF"/>
                <w:w w:val="98"/>
              </w:rPr>
              <w:t>(“Double</w:t>
            </w:r>
          </w:p>
        </w:tc>
        <w:tc>
          <w:tcPr>
            <w:tcW w:w="0" w:type="dxa"/>
            <w:vAlign w:val="bottom"/>
          </w:tcPr>
          <w:p>
            <w:pPr>
              <w:spacing w:after="0"/>
              <w:rPr>
                <w:sz w:val="1"/>
                <w:szCs w:val="1"/>
                <w:color w:val="auto"/>
              </w:rPr>
            </w:pPr>
          </w:p>
        </w:tc>
      </w:tr>
      <w:tr>
        <w:trPr>
          <w:trHeight w:val="205"/>
        </w:trPr>
        <w:tc>
          <w:tcPr>
            <w:tcW w:w="2660" w:type="dxa"/>
            <w:vAlign w:val="bottom"/>
            <w:tcBorders>
              <w:left w:val="single" w:sz="8" w:color="BFBFBF"/>
              <w:bottom w:val="single" w:sz="8" w:color="auto"/>
              <w:right w:val="single" w:sz="8" w:color="0088A6"/>
            </w:tcBorders>
            <w:vMerge w:val="continue"/>
            <w:shd w:val="clear" w:color="auto" w:fill="0088A6"/>
          </w:tcPr>
          <w:p>
            <w:pPr>
              <w:spacing w:after="0"/>
              <w:rPr>
                <w:sz w:val="17"/>
                <w:szCs w:val="17"/>
                <w:color w:val="auto"/>
              </w:rPr>
            </w:pPr>
          </w:p>
        </w:tc>
        <w:tc>
          <w:tcPr>
            <w:tcW w:w="240" w:type="dxa"/>
            <w:vAlign w:val="bottom"/>
            <w:tcBorders>
              <w:bottom w:val="single" w:sz="8" w:color="auto"/>
              <w:right w:val="single" w:sz="8" w:color="BFBFBF"/>
            </w:tcBorders>
            <w:shd w:val="clear" w:color="auto" w:fill="0088A6"/>
          </w:tcPr>
          <w:p>
            <w:pPr>
              <w:spacing w:after="0"/>
              <w:rPr>
                <w:sz w:val="17"/>
                <w:szCs w:val="17"/>
                <w:color w:val="auto"/>
              </w:rPr>
            </w:pPr>
          </w:p>
        </w:tc>
        <w:tc>
          <w:tcPr>
            <w:tcW w:w="20" w:type="dxa"/>
            <w:vAlign w:val="bottom"/>
            <w:tcBorders>
              <w:bottom w:val="single" w:sz="8" w:color="0088A6"/>
            </w:tcBorders>
            <w:shd w:val="clear" w:color="auto" w:fill="0088A6"/>
          </w:tcPr>
          <w:p>
            <w:pPr>
              <w:spacing w:after="0"/>
              <w:rPr>
                <w:sz w:val="17"/>
                <w:szCs w:val="17"/>
                <w:color w:val="auto"/>
              </w:rPr>
            </w:pPr>
          </w:p>
        </w:tc>
        <w:tc>
          <w:tcPr>
            <w:tcW w:w="280" w:type="dxa"/>
            <w:vAlign w:val="bottom"/>
            <w:tcBorders>
              <w:bottom w:val="single" w:sz="8" w:color="0088A6"/>
            </w:tcBorders>
            <w:shd w:val="clear" w:color="auto" w:fill="0088A6"/>
          </w:tcPr>
          <w:p>
            <w:pPr>
              <w:spacing w:after="0"/>
              <w:rPr>
                <w:sz w:val="17"/>
                <w:szCs w:val="17"/>
                <w:color w:val="auto"/>
              </w:rPr>
            </w:pPr>
          </w:p>
        </w:tc>
        <w:tc>
          <w:tcPr>
            <w:tcW w:w="100" w:type="dxa"/>
            <w:vAlign w:val="bottom"/>
            <w:tcBorders>
              <w:bottom w:val="single" w:sz="8" w:color="auto"/>
            </w:tcBorders>
            <w:shd w:val="clear" w:color="auto" w:fill="0088A6"/>
          </w:tcPr>
          <w:p>
            <w:pPr>
              <w:spacing w:after="0"/>
              <w:rPr>
                <w:sz w:val="17"/>
                <w:szCs w:val="17"/>
                <w:color w:val="auto"/>
              </w:rPr>
            </w:pPr>
          </w:p>
        </w:tc>
        <w:tc>
          <w:tcPr>
            <w:tcW w:w="800" w:type="dxa"/>
            <w:vAlign w:val="bottom"/>
            <w:tcBorders>
              <w:bottom w:val="single" w:sz="8" w:color="auto"/>
              <w:right w:val="single" w:sz="8" w:color="0088A6"/>
            </w:tcBorders>
            <w:gridSpan w:val="2"/>
            <w:shd w:val="clear" w:color="auto" w:fill="0088A6"/>
          </w:tcPr>
          <w:p>
            <w:pPr>
              <w:jc w:val="right"/>
              <w:ind w:right="180"/>
              <w:spacing w:after="0"/>
              <w:rPr>
                <w:sz w:val="20"/>
                <w:szCs w:val="20"/>
                <w:color w:val="auto"/>
              </w:rPr>
            </w:pPr>
            <w:r>
              <w:rPr>
                <w:rFonts w:ascii="Arial" w:cs="Arial" w:eastAsia="Arial" w:hAnsi="Arial"/>
                <w:sz w:val="14"/>
                <w:szCs w:val="14"/>
                <w:b w:val="1"/>
                <w:bCs w:val="1"/>
                <w:color w:val="FFFFFF"/>
                <w:w w:val="92"/>
              </w:rPr>
              <w:t>Voluntary</w:t>
            </w:r>
          </w:p>
        </w:tc>
        <w:tc>
          <w:tcPr>
            <w:tcW w:w="280" w:type="dxa"/>
            <w:vAlign w:val="bottom"/>
            <w:tcBorders>
              <w:bottom w:val="single" w:sz="8" w:color="0088A6"/>
            </w:tcBorders>
            <w:shd w:val="clear" w:color="auto" w:fill="0088A6"/>
          </w:tcPr>
          <w:p>
            <w:pPr>
              <w:spacing w:after="0"/>
              <w:rPr>
                <w:sz w:val="17"/>
                <w:szCs w:val="17"/>
                <w:color w:val="auto"/>
              </w:rPr>
            </w:pPr>
          </w:p>
        </w:tc>
        <w:tc>
          <w:tcPr>
            <w:tcW w:w="100" w:type="dxa"/>
            <w:vAlign w:val="bottom"/>
            <w:tcBorders>
              <w:bottom w:val="single" w:sz="8" w:color="0088A6"/>
              <w:right w:val="single" w:sz="8" w:color="BFBFBF"/>
            </w:tcBorders>
            <w:shd w:val="clear" w:color="auto" w:fill="0088A6"/>
          </w:tcPr>
          <w:p>
            <w:pPr>
              <w:spacing w:after="0"/>
              <w:rPr>
                <w:sz w:val="17"/>
                <w:szCs w:val="17"/>
                <w:color w:val="auto"/>
              </w:rPr>
            </w:pPr>
          </w:p>
        </w:tc>
        <w:tc>
          <w:tcPr>
            <w:tcW w:w="280" w:type="dxa"/>
            <w:vAlign w:val="bottom"/>
            <w:tcBorders>
              <w:bottom w:val="single" w:sz="8" w:color="0088A6"/>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820" w:type="dxa"/>
            <w:vAlign w:val="bottom"/>
            <w:tcBorders>
              <w:bottom w:val="single" w:sz="8" w:color="auto"/>
            </w:tcBorders>
            <w:shd w:val="clear" w:color="auto" w:fill="0088A6"/>
          </w:tcPr>
          <w:p>
            <w:pPr>
              <w:jc w:val="center"/>
              <w:spacing w:after="0"/>
              <w:rPr>
                <w:sz w:val="20"/>
                <w:szCs w:val="20"/>
                <w:color w:val="auto"/>
              </w:rPr>
            </w:pPr>
            <w:r>
              <w:rPr>
                <w:rFonts w:ascii="Arial" w:cs="Arial" w:eastAsia="Arial" w:hAnsi="Arial"/>
                <w:sz w:val="14"/>
                <w:szCs w:val="14"/>
                <w:b w:val="1"/>
                <w:bCs w:val="1"/>
                <w:color w:val="FFFFFF"/>
                <w:w w:val="95"/>
              </w:rPr>
              <w:t>Cause</w:t>
            </w:r>
          </w:p>
        </w:tc>
        <w:tc>
          <w:tcPr>
            <w:tcW w:w="80" w:type="dxa"/>
            <w:vAlign w:val="bottom"/>
            <w:tcBorders>
              <w:bottom w:val="single" w:sz="8" w:color="auto"/>
            </w:tcBorders>
            <w:shd w:val="clear" w:color="auto" w:fill="0088A6"/>
          </w:tcPr>
          <w:p>
            <w:pPr>
              <w:spacing w:after="0"/>
              <w:rPr>
                <w:sz w:val="17"/>
                <w:szCs w:val="17"/>
                <w:color w:val="auto"/>
              </w:rPr>
            </w:pPr>
          </w:p>
        </w:tc>
        <w:tc>
          <w:tcPr>
            <w:tcW w:w="240" w:type="dxa"/>
            <w:vAlign w:val="bottom"/>
            <w:tcBorders>
              <w:bottom w:val="single" w:sz="8" w:color="0088A6"/>
              <w:right w:val="single" w:sz="8" w:color="0088A6"/>
            </w:tcBorders>
            <w:shd w:val="clear" w:color="auto" w:fill="0088A6"/>
          </w:tcPr>
          <w:p>
            <w:pPr>
              <w:spacing w:after="0"/>
              <w:rPr>
                <w:sz w:val="17"/>
                <w:szCs w:val="17"/>
                <w:color w:val="auto"/>
              </w:rPr>
            </w:pPr>
          </w:p>
        </w:tc>
        <w:tc>
          <w:tcPr>
            <w:tcW w:w="200" w:type="dxa"/>
            <w:vAlign w:val="bottom"/>
            <w:tcBorders>
              <w:bottom w:val="single" w:sz="8" w:color="0088A6"/>
              <w:right w:val="single" w:sz="8" w:color="BFBFBF"/>
            </w:tcBorders>
            <w:shd w:val="clear" w:color="auto" w:fill="0088A6"/>
          </w:tcPr>
          <w:p>
            <w:pPr>
              <w:spacing w:after="0"/>
              <w:rPr>
                <w:sz w:val="17"/>
                <w:szCs w:val="17"/>
                <w:color w:val="auto"/>
              </w:rPr>
            </w:pPr>
          </w:p>
        </w:tc>
        <w:tc>
          <w:tcPr>
            <w:tcW w:w="60" w:type="dxa"/>
            <w:vAlign w:val="bottom"/>
            <w:tcBorders>
              <w:bottom w:val="single" w:sz="8" w:color="0088A6"/>
            </w:tcBorders>
            <w:shd w:val="clear" w:color="auto" w:fill="0088A6"/>
          </w:tcPr>
          <w:p>
            <w:pPr>
              <w:spacing w:after="0"/>
              <w:rPr>
                <w:sz w:val="17"/>
                <w:szCs w:val="17"/>
                <w:color w:val="auto"/>
              </w:rPr>
            </w:pPr>
          </w:p>
        </w:tc>
        <w:tc>
          <w:tcPr>
            <w:tcW w:w="260" w:type="dxa"/>
            <w:vAlign w:val="bottom"/>
            <w:tcBorders>
              <w:bottom w:val="single" w:sz="8" w:color="0088A6"/>
            </w:tcBorders>
            <w:shd w:val="clear" w:color="auto" w:fill="0088A6"/>
          </w:tcPr>
          <w:p>
            <w:pPr>
              <w:spacing w:after="0"/>
              <w:rPr>
                <w:sz w:val="17"/>
                <w:szCs w:val="17"/>
                <w:color w:val="auto"/>
              </w:rPr>
            </w:pPr>
          </w:p>
        </w:tc>
        <w:tc>
          <w:tcPr>
            <w:tcW w:w="160" w:type="dxa"/>
            <w:vAlign w:val="bottom"/>
            <w:tcBorders>
              <w:bottom w:val="single" w:sz="8" w:color="auto"/>
            </w:tcBorders>
            <w:shd w:val="clear" w:color="auto" w:fill="0088A6"/>
          </w:tcPr>
          <w:p>
            <w:pPr>
              <w:spacing w:after="0"/>
              <w:rPr>
                <w:sz w:val="17"/>
                <w:szCs w:val="17"/>
                <w:color w:val="auto"/>
              </w:rPr>
            </w:pPr>
          </w:p>
        </w:tc>
        <w:tc>
          <w:tcPr>
            <w:tcW w:w="900" w:type="dxa"/>
            <w:vAlign w:val="bottom"/>
            <w:tcBorders>
              <w:bottom w:val="single" w:sz="8" w:color="auto"/>
            </w:tcBorders>
            <w:shd w:val="clear" w:color="auto" w:fill="0088A6"/>
          </w:tcPr>
          <w:p>
            <w:pPr>
              <w:jc w:val="center"/>
              <w:ind w:right="92"/>
              <w:spacing w:after="0"/>
              <w:rPr>
                <w:sz w:val="20"/>
                <w:szCs w:val="20"/>
                <w:color w:val="auto"/>
              </w:rPr>
            </w:pPr>
            <w:r>
              <w:rPr>
                <w:rFonts w:ascii="Arial" w:cs="Arial" w:eastAsia="Arial" w:hAnsi="Arial"/>
                <w:sz w:val="14"/>
                <w:szCs w:val="14"/>
                <w:b w:val="1"/>
                <w:bCs w:val="1"/>
                <w:color w:val="FFFFFF"/>
                <w:w w:val="97"/>
              </w:rPr>
              <w:t>Death</w:t>
            </w:r>
          </w:p>
        </w:tc>
        <w:tc>
          <w:tcPr>
            <w:tcW w:w="20" w:type="dxa"/>
            <w:vAlign w:val="bottom"/>
            <w:tcBorders>
              <w:bottom w:val="single" w:sz="8" w:color="0088A6"/>
            </w:tcBorders>
            <w:shd w:val="clear" w:color="auto" w:fill="0088A6"/>
          </w:tcPr>
          <w:p>
            <w:pPr>
              <w:spacing w:after="0"/>
              <w:rPr>
                <w:sz w:val="17"/>
                <w:szCs w:val="17"/>
                <w:color w:val="auto"/>
              </w:rPr>
            </w:pPr>
          </w:p>
        </w:tc>
        <w:tc>
          <w:tcPr>
            <w:tcW w:w="300" w:type="dxa"/>
            <w:vAlign w:val="bottom"/>
            <w:tcBorders>
              <w:bottom w:val="single" w:sz="8" w:color="0088A6"/>
              <w:right w:val="single" w:sz="8" w:color="0088A6"/>
            </w:tcBorders>
            <w:shd w:val="clear" w:color="auto" w:fill="0088A6"/>
          </w:tcPr>
          <w:p>
            <w:pPr>
              <w:spacing w:after="0"/>
              <w:rPr>
                <w:sz w:val="17"/>
                <w:szCs w:val="17"/>
                <w:color w:val="auto"/>
              </w:rPr>
            </w:pPr>
          </w:p>
        </w:tc>
        <w:tc>
          <w:tcPr>
            <w:tcW w:w="120" w:type="dxa"/>
            <w:vAlign w:val="bottom"/>
            <w:tcBorders>
              <w:bottom w:val="single" w:sz="8" w:color="0088A6"/>
              <w:right w:val="single" w:sz="8" w:color="BFBFBF"/>
            </w:tcBorders>
            <w:shd w:val="clear" w:color="auto" w:fill="0088A6"/>
          </w:tcPr>
          <w:p>
            <w:pPr>
              <w:spacing w:after="0"/>
              <w:rPr>
                <w:sz w:val="17"/>
                <w:szCs w:val="17"/>
                <w:color w:val="auto"/>
              </w:rPr>
            </w:pPr>
          </w:p>
        </w:tc>
        <w:tc>
          <w:tcPr>
            <w:tcW w:w="140" w:type="dxa"/>
            <w:vAlign w:val="bottom"/>
            <w:tcBorders>
              <w:bottom w:val="single" w:sz="8" w:color="0088A6"/>
            </w:tcBorders>
            <w:shd w:val="clear" w:color="auto" w:fill="0088A6"/>
          </w:tcPr>
          <w:p>
            <w:pPr>
              <w:spacing w:after="0"/>
              <w:rPr>
                <w:sz w:val="17"/>
                <w:szCs w:val="17"/>
                <w:color w:val="auto"/>
              </w:rPr>
            </w:pPr>
          </w:p>
        </w:tc>
        <w:tc>
          <w:tcPr>
            <w:tcW w:w="160" w:type="dxa"/>
            <w:vAlign w:val="bottom"/>
            <w:tcBorders>
              <w:bottom w:val="single" w:sz="8" w:color="0088A6"/>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900" w:type="dxa"/>
            <w:vAlign w:val="bottom"/>
            <w:tcBorders>
              <w:bottom w:val="single" w:sz="8" w:color="auto"/>
            </w:tcBorders>
            <w:shd w:val="clear" w:color="auto" w:fill="0088A6"/>
          </w:tcPr>
          <w:p>
            <w:pPr>
              <w:jc w:val="center"/>
              <w:ind w:right="32"/>
              <w:spacing w:after="0"/>
              <w:rPr>
                <w:sz w:val="20"/>
                <w:szCs w:val="20"/>
                <w:color w:val="auto"/>
              </w:rPr>
            </w:pPr>
            <w:r>
              <w:rPr>
                <w:rFonts w:ascii="Arial" w:cs="Arial" w:eastAsia="Arial" w:hAnsi="Arial"/>
                <w:sz w:val="14"/>
                <w:szCs w:val="14"/>
                <w:b w:val="1"/>
                <w:bCs w:val="1"/>
                <w:color w:val="FFFFFF"/>
                <w:w w:val="96"/>
              </w:rPr>
              <w:t>Disability</w:t>
            </w:r>
          </w:p>
        </w:tc>
        <w:tc>
          <w:tcPr>
            <w:tcW w:w="160" w:type="dxa"/>
            <w:vAlign w:val="bottom"/>
            <w:tcBorders>
              <w:bottom w:val="single" w:sz="8" w:color="0088A6"/>
            </w:tcBorders>
            <w:shd w:val="clear" w:color="auto" w:fill="0088A6"/>
          </w:tcPr>
          <w:p>
            <w:pPr>
              <w:spacing w:after="0"/>
              <w:rPr>
                <w:sz w:val="17"/>
                <w:szCs w:val="17"/>
                <w:color w:val="auto"/>
              </w:rPr>
            </w:pPr>
          </w:p>
        </w:tc>
        <w:tc>
          <w:tcPr>
            <w:tcW w:w="300" w:type="dxa"/>
            <w:vAlign w:val="bottom"/>
            <w:tcBorders>
              <w:bottom w:val="single" w:sz="8" w:color="0088A6"/>
              <w:right w:val="single" w:sz="8" w:color="0088A6"/>
            </w:tcBorders>
            <w:shd w:val="clear" w:color="auto" w:fill="0088A6"/>
          </w:tcPr>
          <w:p>
            <w:pPr>
              <w:spacing w:after="0"/>
              <w:rPr>
                <w:sz w:val="17"/>
                <w:szCs w:val="17"/>
                <w:color w:val="auto"/>
              </w:rPr>
            </w:pPr>
          </w:p>
        </w:tc>
        <w:tc>
          <w:tcPr>
            <w:tcW w:w="260" w:type="dxa"/>
            <w:vAlign w:val="bottom"/>
            <w:tcBorders>
              <w:bottom w:val="single" w:sz="8" w:color="0088A6"/>
            </w:tcBorders>
            <w:shd w:val="clear" w:color="auto" w:fill="0088A6"/>
          </w:tcPr>
          <w:p>
            <w:pPr>
              <w:spacing w:after="0"/>
              <w:rPr>
                <w:sz w:val="17"/>
                <w:szCs w:val="17"/>
                <w:color w:val="auto"/>
              </w:rPr>
            </w:pPr>
          </w:p>
        </w:tc>
        <w:tc>
          <w:tcPr>
            <w:tcW w:w="20" w:type="dxa"/>
            <w:vAlign w:val="bottom"/>
            <w:tcBorders>
              <w:bottom w:val="single" w:sz="8" w:color="0088A6"/>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760" w:type="dxa"/>
            <w:vAlign w:val="bottom"/>
            <w:tcBorders>
              <w:bottom w:val="single" w:sz="8" w:color="auto"/>
            </w:tcBorders>
            <w:shd w:val="clear" w:color="auto" w:fill="0088A6"/>
          </w:tcPr>
          <w:p>
            <w:pPr>
              <w:jc w:val="center"/>
              <w:ind w:right="32"/>
              <w:spacing w:after="0"/>
              <w:rPr>
                <w:sz w:val="20"/>
                <w:szCs w:val="20"/>
                <w:color w:val="auto"/>
              </w:rPr>
            </w:pPr>
            <w:r>
              <w:rPr>
                <w:rFonts w:ascii="Arial" w:cs="Arial" w:eastAsia="Arial" w:hAnsi="Arial"/>
                <w:sz w:val="14"/>
                <w:szCs w:val="14"/>
                <w:b w:val="1"/>
                <w:bCs w:val="1"/>
                <w:color w:val="FFFFFF"/>
                <w:w w:val="96"/>
              </w:rPr>
              <w:t>Trigger”)</w:t>
            </w:r>
          </w:p>
        </w:tc>
        <w:tc>
          <w:tcPr>
            <w:tcW w:w="460" w:type="dxa"/>
            <w:vAlign w:val="bottom"/>
            <w:tcBorders>
              <w:bottom w:val="single" w:sz="8" w:color="0088A6"/>
              <w:right w:val="single" w:sz="8" w:color="BFBFBF"/>
            </w:tcBorders>
            <w:gridSpan w:val="2"/>
            <w:shd w:val="clear" w:color="auto" w:fill="0088A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BFBFBF"/>
              <w:left w:val="single" w:sz="8" w:color="BFBFBF"/>
              <w:bottom w:val="single" w:sz="8" w:color="BFBFBF"/>
            </w:tcBorders>
          </w:tcPr>
          <w:p>
            <w:pPr>
              <w:ind w:left="120"/>
              <w:spacing w:after="0" w:line="129" w:lineRule="exact"/>
              <w:rPr>
                <w:sz w:val="20"/>
                <w:szCs w:val="20"/>
                <w:color w:val="auto"/>
              </w:rPr>
            </w:pPr>
            <w:r>
              <w:rPr>
                <w:rFonts w:ascii="Arial" w:cs="Arial" w:eastAsia="Arial" w:hAnsi="Arial"/>
                <w:sz w:val="14"/>
                <w:szCs w:val="14"/>
                <w:color w:val="auto"/>
              </w:rPr>
              <w:t>Severance</w:t>
            </w:r>
          </w:p>
        </w:tc>
        <w:tc>
          <w:tcPr>
            <w:tcW w:w="240" w:type="dxa"/>
            <w:vAlign w:val="bottom"/>
            <w:tcBorders>
              <w:top w:val="single" w:sz="8" w:color="BFBFBF"/>
              <w:bottom w:val="single" w:sz="8" w:color="BFBFBF"/>
              <w:right w:val="single" w:sz="8" w:color="BFBFBF"/>
            </w:tcBorders>
          </w:tcPr>
          <w:p>
            <w:pPr>
              <w:spacing w:after="0"/>
              <w:rPr>
                <w:sz w:val="11"/>
                <w:szCs w:val="11"/>
                <w:color w:val="auto"/>
              </w:rPr>
            </w:pPr>
          </w:p>
        </w:tc>
        <w:tc>
          <w:tcPr>
            <w:tcW w:w="400" w:type="dxa"/>
            <w:vAlign w:val="bottom"/>
            <w:tcBorders>
              <w:top w:val="single" w:sz="8" w:color="BFBFBF"/>
              <w:bottom w:val="single" w:sz="8" w:color="BFBFBF"/>
            </w:tcBorders>
            <w:gridSpan w:val="3"/>
          </w:tcPr>
          <w:p>
            <w:pPr>
              <w:ind w:left="34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BFBFBF"/>
              <w:bottom w:val="single" w:sz="8" w:color="BFBFBF"/>
            </w:tcBorders>
            <w:gridSpan w:val="2"/>
          </w:tcPr>
          <w:p>
            <w:pPr>
              <w:jc w:val="right"/>
              <w:ind w:right="220"/>
              <w:spacing w:after="0" w:line="129" w:lineRule="exact"/>
              <w:rPr>
                <w:sz w:val="20"/>
                <w:szCs w:val="20"/>
                <w:color w:val="auto"/>
              </w:rPr>
            </w:pPr>
            <w:r>
              <w:rPr>
                <w:rFonts w:ascii="Arial" w:cs="Arial" w:eastAsia="Arial" w:hAnsi="Arial"/>
                <w:sz w:val="14"/>
                <w:szCs w:val="14"/>
                <w:color w:val="auto"/>
              </w:rPr>
              <w:t>0</w:t>
            </w:r>
          </w:p>
        </w:tc>
        <w:tc>
          <w:tcPr>
            <w:tcW w:w="280" w:type="dxa"/>
            <w:vAlign w:val="bottom"/>
            <w:tcBorders>
              <w:top w:val="single" w:sz="8" w:color="BFBFBF"/>
              <w:bottom w:val="single" w:sz="8" w:color="BFBFBF"/>
            </w:tcBorders>
          </w:tcPr>
          <w:p>
            <w:pPr>
              <w:spacing w:after="0"/>
              <w:rPr>
                <w:sz w:val="11"/>
                <w:szCs w:val="11"/>
                <w:color w:val="auto"/>
              </w:rPr>
            </w:pPr>
          </w:p>
        </w:tc>
        <w:tc>
          <w:tcPr>
            <w:tcW w:w="100" w:type="dxa"/>
            <w:vAlign w:val="bottom"/>
            <w:tcBorders>
              <w:top w:val="single" w:sz="8" w:color="BFBFBF"/>
              <w:bottom w:val="single" w:sz="8" w:color="BFBFBF"/>
              <w:right w:val="single" w:sz="8" w:color="BFBFBF"/>
            </w:tcBorders>
          </w:tcPr>
          <w:p>
            <w:pPr>
              <w:spacing w:after="0"/>
              <w:rPr>
                <w:sz w:val="11"/>
                <w:szCs w:val="11"/>
                <w:color w:val="auto"/>
              </w:rPr>
            </w:pPr>
          </w:p>
        </w:tc>
        <w:tc>
          <w:tcPr>
            <w:tcW w:w="40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BFBFBF"/>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625,000</w:t>
            </w:r>
          </w:p>
        </w:tc>
        <w:tc>
          <w:tcPr>
            <w:tcW w:w="520" w:type="dxa"/>
            <w:vAlign w:val="bottom"/>
            <w:tcBorders>
              <w:top w:val="single" w:sz="8" w:color="BFBFBF"/>
              <w:bottom w:val="single" w:sz="8" w:color="BFBFBF"/>
              <w:right w:val="single" w:sz="8" w:color="BFBFBF"/>
            </w:tcBorders>
            <w:gridSpan w:val="3"/>
          </w:tcPr>
          <w:p>
            <w:pPr>
              <w:spacing w:after="0"/>
              <w:rPr>
                <w:sz w:val="11"/>
                <w:szCs w:val="11"/>
                <w:color w:val="auto"/>
              </w:rPr>
            </w:pPr>
          </w:p>
        </w:tc>
        <w:tc>
          <w:tcPr>
            <w:tcW w:w="480" w:type="dxa"/>
            <w:vAlign w:val="bottom"/>
            <w:tcBorders>
              <w:top w:val="single" w:sz="8" w:color="BFBFBF"/>
              <w:bottom w:val="single" w:sz="8" w:color="BFBFBF"/>
            </w:tcBorders>
            <w:gridSpan w:val="3"/>
          </w:tcPr>
          <w:p>
            <w:pPr>
              <w:ind w:left="340"/>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BFBFBF"/>
              <w:bottom w:val="single" w:sz="8" w:color="BFBFBF"/>
            </w:tcBorders>
          </w:tcPr>
          <w:p>
            <w:pPr>
              <w:jc w:val="right"/>
              <w:ind w:right="112"/>
              <w:spacing w:after="0" w:line="129" w:lineRule="exact"/>
              <w:rPr>
                <w:sz w:val="20"/>
                <w:szCs w:val="20"/>
                <w:color w:val="auto"/>
              </w:rPr>
            </w:pPr>
            <w:r>
              <w:rPr>
                <w:rFonts w:ascii="Arial" w:cs="Arial" w:eastAsia="Arial" w:hAnsi="Arial"/>
                <w:sz w:val="14"/>
                <w:szCs w:val="14"/>
                <w:color w:val="auto"/>
              </w:rPr>
              <w:t>0</w:t>
            </w:r>
          </w:p>
        </w:tc>
        <w:tc>
          <w:tcPr>
            <w:tcW w:w="20" w:type="dxa"/>
            <w:vAlign w:val="bottom"/>
            <w:tcBorders>
              <w:top w:val="single" w:sz="8" w:color="BFBFBF"/>
              <w:bottom w:val="single" w:sz="8" w:color="BFBFBF"/>
            </w:tcBorders>
          </w:tcPr>
          <w:p>
            <w:pPr>
              <w:spacing w:after="0"/>
              <w:rPr>
                <w:sz w:val="11"/>
                <w:szCs w:val="11"/>
                <w:color w:val="auto"/>
              </w:rPr>
            </w:pPr>
          </w:p>
        </w:tc>
        <w:tc>
          <w:tcPr>
            <w:tcW w:w="420" w:type="dxa"/>
            <w:vAlign w:val="bottom"/>
            <w:tcBorders>
              <w:top w:val="single" w:sz="8" w:color="BFBFBF"/>
              <w:bottom w:val="single" w:sz="8" w:color="BFBFBF"/>
              <w:right w:val="single" w:sz="8" w:color="BFBFBF"/>
            </w:tcBorders>
            <w:gridSpan w:val="2"/>
          </w:tcPr>
          <w:p>
            <w:pPr>
              <w:spacing w:after="0"/>
              <w:rPr>
                <w:sz w:val="11"/>
                <w:szCs w:val="11"/>
                <w:color w:val="auto"/>
              </w:rPr>
            </w:pPr>
          </w:p>
        </w:tc>
        <w:tc>
          <w:tcPr>
            <w:tcW w:w="420" w:type="dxa"/>
            <w:vAlign w:val="bottom"/>
            <w:tcBorders>
              <w:top w:val="single" w:sz="8" w:color="BFBFBF"/>
              <w:bottom w:val="single" w:sz="8" w:color="BFBFBF"/>
            </w:tcBorders>
            <w:gridSpan w:val="3"/>
          </w:tcPr>
          <w:p>
            <w:pPr>
              <w:jc w:val="right"/>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BFBFBF"/>
              <w:bottom w:val="single" w:sz="8" w:color="BFBFBF"/>
            </w:tcBorders>
          </w:tcPr>
          <w:p>
            <w:pPr>
              <w:jc w:val="right"/>
              <w:ind w:right="72"/>
              <w:spacing w:after="0" w:line="129" w:lineRule="exact"/>
              <w:rPr>
                <w:sz w:val="20"/>
                <w:szCs w:val="20"/>
                <w:color w:val="auto"/>
              </w:rPr>
            </w:pPr>
            <w:r>
              <w:rPr>
                <w:rFonts w:ascii="Arial" w:cs="Arial" w:eastAsia="Arial" w:hAnsi="Arial"/>
                <w:sz w:val="14"/>
                <w:szCs w:val="14"/>
                <w:color w:val="auto"/>
              </w:rPr>
              <w:t>0</w:t>
            </w:r>
          </w:p>
        </w:tc>
        <w:tc>
          <w:tcPr>
            <w:tcW w:w="160" w:type="dxa"/>
            <w:vAlign w:val="bottom"/>
            <w:tcBorders>
              <w:top w:val="single" w:sz="8" w:color="BFBFBF"/>
              <w:bottom w:val="single" w:sz="8" w:color="BFBFBF"/>
            </w:tcBorders>
          </w:tcPr>
          <w:p>
            <w:pPr>
              <w:spacing w:after="0"/>
              <w:rPr>
                <w:sz w:val="11"/>
                <w:szCs w:val="11"/>
                <w:color w:val="auto"/>
              </w:rPr>
            </w:pPr>
          </w:p>
        </w:tc>
        <w:tc>
          <w:tcPr>
            <w:tcW w:w="300" w:type="dxa"/>
            <w:vAlign w:val="bottom"/>
            <w:tcBorders>
              <w:top w:val="single" w:sz="8" w:color="BFBFBF"/>
              <w:bottom w:val="single" w:sz="8" w:color="BFBFBF"/>
              <w:right w:val="single" w:sz="8" w:color="BFBFBF"/>
            </w:tcBorders>
          </w:tcPr>
          <w:p>
            <w:pPr>
              <w:spacing w:after="0"/>
              <w:rPr>
                <w:sz w:val="11"/>
                <w:szCs w:val="11"/>
                <w:color w:val="auto"/>
              </w:rPr>
            </w:pPr>
          </w:p>
        </w:tc>
        <w:tc>
          <w:tcPr>
            <w:tcW w:w="1160" w:type="dxa"/>
            <w:vAlign w:val="bottom"/>
            <w:tcBorders>
              <w:top w:val="single" w:sz="8" w:color="BFBFBF"/>
              <w:bottom w:val="single" w:sz="8" w:color="BFBFBF"/>
            </w:tcBorders>
            <w:gridSpan w:val="4"/>
          </w:tcPr>
          <w:p>
            <w:pPr>
              <w:jc w:val="right"/>
              <w:ind w:right="72"/>
              <w:spacing w:after="0" w:line="129" w:lineRule="exact"/>
              <w:rPr>
                <w:sz w:val="20"/>
                <w:szCs w:val="20"/>
                <w:color w:val="auto"/>
              </w:rPr>
            </w:pPr>
            <w:r>
              <w:rPr>
                <w:rFonts w:ascii="Arial" w:cs="Arial" w:eastAsia="Arial" w:hAnsi="Arial"/>
                <w:sz w:val="14"/>
                <w:szCs w:val="14"/>
                <w:color w:val="auto"/>
              </w:rPr>
              <w:t>$1,000,000</w:t>
            </w:r>
          </w:p>
        </w:tc>
        <w:tc>
          <w:tcPr>
            <w:tcW w:w="120" w:type="dxa"/>
            <w:vAlign w:val="bottom"/>
            <w:tcBorders>
              <w:top w:val="single" w:sz="8" w:color="BFBFBF"/>
              <w:bottom w:val="single" w:sz="8" w:color="BFBFBF"/>
            </w:tcBorders>
          </w:tcPr>
          <w:p>
            <w:pPr>
              <w:spacing w:after="0"/>
              <w:rPr>
                <w:sz w:val="11"/>
                <w:szCs w:val="11"/>
                <w:color w:val="auto"/>
              </w:rPr>
            </w:pPr>
          </w:p>
        </w:tc>
        <w:tc>
          <w:tcPr>
            <w:tcW w:w="340" w:type="dxa"/>
            <w:vAlign w:val="bottom"/>
            <w:tcBorders>
              <w:top w:val="single" w:sz="8" w:color="BFBFBF"/>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60" w:type="dxa"/>
            <w:vAlign w:val="bottom"/>
            <w:tcBorders>
              <w:left w:val="single" w:sz="8" w:color="BFBFBF"/>
              <w:bottom w:val="single" w:sz="8" w:color="BFBFBF"/>
            </w:tcBorders>
          </w:tcPr>
          <w:p>
            <w:pPr>
              <w:ind w:left="120"/>
              <w:spacing w:after="0" w:line="142" w:lineRule="exact"/>
              <w:rPr>
                <w:sz w:val="20"/>
                <w:szCs w:val="20"/>
                <w:color w:val="auto"/>
              </w:rPr>
            </w:pPr>
            <w:r>
              <w:rPr>
                <w:rFonts w:ascii="Arial" w:cs="Arial" w:eastAsia="Arial" w:hAnsi="Arial"/>
                <w:sz w:val="14"/>
                <w:szCs w:val="14"/>
                <w:color w:val="auto"/>
              </w:rPr>
              <w:t>Non-Equity Incentive Compensation</w:t>
            </w:r>
          </w:p>
        </w:tc>
        <w:tc>
          <w:tcPr>
            <w:tcW w:w="24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ind w:left="34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BFBFBF"/>
            </w:tcBorders>
            <w:gridSpan w:val="2"/>
          </w:tcPr>
          <w:p>
            <w:pPr>
              <w:jc w:val="right"/>
              <w:ind w:right="220"/>
              <w:spacing w:after="0" w:line="142"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878,625</w:t>
            </w:r>
          </w:p>
        </w:tc>
        <w:tc>
          <w:tcPr>
            <w:tcW w:w="520" w:type="dxa"/>
            <w:vAlign w:val="bottom"/>
            <w:tcBorders>
              <w:bottom w:val="single" w:sz="8" w:color="BFBFBF"/>
              <w:right w:val="single" w:sz="8" w:color="BFBFBF"/>
            </w:tcBorders>
            <w:gridSpan w:val="3"/>
          </w:tcPr>
          <w:p>
            <w:pPr>
              <w:spacing w:after="0"/>
              <w:rPr>
                <w:sz w:val="12"/>
                <w:szCs w:val="12"/>
                <w:color w:val="auto"/>
              </w:rPr>
            </w:pPr>
          </w:p>
        </w:tc>
        <w:tc>
          <w:tcPr>
            <w:tcW w:w="480" w:type="dxa"/>
            <w:vAlign w:val="bottom"/>
            <w:tcBorders>
              <w:bottom w:val="single" w:sz="8" w:color="BFBFBF"/>
            </w:tcBorders>
            <w:gridSpan w:val="3"/>
          </w:tcPr>
          <w:p>
            <w:pPr>
              <w:ind w:left="34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112"/>
              <w:spacing w:after="0" w:line="142" w:lineRule="exact"/>
              <w:rPr>
                <w:sz w:val="20"/>
                <w:szCs w:val="20"/>
                <w:color w:val="auto"/>
              </w:rPr>
            </w:pPr>
            <w:r>
              <w:rPr>
                <w:rFonts w:ascii="Arial" w:cs="Arial" w:eastAsia="Arial" w:hAnsi="Arial"/>
                <w:sz w:val="14"/>
                <w:szCs w:val="14"/>
                <w:color w:val="auto"/>
              </w:rPr>
              <w:t>878,625</w:t>
            </w:r>
          </w:p>
        </w:tc>
        <w:tc>
          <w:tcPr>
            <w:tcW w:w="2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right w:val="single" w:sz="8" w:color="BFBFBF"/>
            </w:tcBorders>
            <w:gridSpan w:val="2"/>
          </w:tcPr>
          <w:p>
            <w:pPr>
              <w:spacing w:after="0"/>
              <w:rPr>
                <w:sz w:val="12"/>
                <w:szCs w:val="12"/>
                <w:color w:val="auto"/>
              </w:rPr>
            </w:pPr>
          </w:p>
        </w:tc>
        <w:tc>
          <w:tcPr>
            <w:tcW w:w="42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878,625</w:t>
            </w:r>
          </w:p>
        </w:tc>
        <w:tc>
          <w:tcPr>
            <w:tcW w:w="16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1160" w:type="dxa"/>
            <w:vAlign w:val="bottom"/>
            <w:tcBorders>
              <w:bottom w:val="single" w:sz="8" w:color="BFBFBF"/>
            </w:tcBorders>
            <w:gridSpan w:val="4"/>
          </w:tcPr>
          <w:p>
            <w:pPr>
              <w:jc w:val="right"/>
              <w:ind w:right="72"/>
              <w:spacing w:after="0" w:line="142" w:lineRule="exact"/>
              <w:rPr>
                <w:sz w:val="20"/>
                <w:szCs w:val="20"/>
                <w:color w:val="auto"/>
              </w:rPr>
            </w:pPr>
            <w:r>
              <w:rPr>
                <w:rFonts w:ascii="Arial" w:cs="Arial" w:eastAsia="Arial" w:hAnsi="Arial"/>
                <w:sz w:val="14"/>
                <w:szCs w:val="14"/>
                <w:color w:val="auto"/>
              </w:rPr>
              <w:t>$1,628,625</w:t>
            </w:r>
          </w:p>
        </w:tc>
        <w:tc>
          <w:tcPr>
            <w:tcW w:w="12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left w:val="single" w:sz="8" w:color="BFBFBF"/>
              <w:bottom w:val="single" w:sz="8" w:color="BFBFBF"/>
            </w:tcBorders>
          </w:tcPr>
          <w:p>
            <w:pPr>
              <w:ind w:left="120"/>
              <w:spacing w:after="0" w:line="142" w:lineRule="exact"/>
              <w:rPr>
                <w:sz w:val="20"/>
                <w:szCs w:val="20"/>
                <w:color w:val="auto"/>
              </w:rPr>
            </w:pPr>
            <w:r>
              <w:rPr>
                <w:rFonts w:ascii="Arial" w:cs="Arial" w:eastAsia="Arial" w:hAnsi="Arial"/>
                <w:sz w:val="14"/>
                <w:szCs w:val="14"/>
                <w:color w:val="auto"/>
              </w:rPr>
              <w:t>Stock Option Vesting</w:t>
            </w:r>
          </w:p>
        </w:tc>
        <w:tc>
          <w:tcPr>
            <w:tcW w:w="24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ind w:left="34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BFBFBF"/>
            </w:tcBorders>
            <w:gridSpan w:val="2"/>
          </w:tcPr>
          <w:p>
            <w:pPr>
              <w:jc w:val="right"/>
              <w:ind w:right="220"/>
              <w:spacing w:after="0" w:line="142"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w:t>
            </w:r>
          </w:p>
        </w:tc>
        <w:tc>
          <w:tcPr>
            <w:tcW w:w="520" w:type="dxa"/>
            <w:vAlign w:val="bottom"/>
            <w:tcBorders>
              <w:bottom w:val="single" w:sz="8" w:color="BFBFBF"/>
              <w:right w:val="single" w:sz="8" w:color="BFBFBF"/>
            </w:tcBorders>
            <w:gridSpan w:val="3"/>
          </w:tcPr>
          <w:p>
            <w:pPr>
              <w:spacing w:after="0"/>
              <w:rPr>
                <w:sz w:val="12"/>
                <w:szCs w:val="12"/>
                <w:color w:val="auto"/>
              </w:rPr>
            </w:pPr>
          </w:p>
        </w:tc>
        <w:tc>
          <w:tcPr>
            <w:tcW w:w="480" w:type="dxa"/>
            <w:vAlign w:val="bottom"/>
            <w:tcBorders>
              <w:bottom w:val="single" w:sz="8" w:color="BFBFBF"/>
            </w:tcBorders>
            <w:gridSpan w:val="3"/>
          </w:tcPr>
          <w:p>
            <w:pPr>
              <w:ind w:left="34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112"/>
              <w:spacing w:after="0" w:line="142"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right w:val="single" w:sz="8" w:color="BFBFBF"/>
            </w:tcBorders>
            <w:gridSpan w:val="2"/>
          </w:tcPr>
          <w:p>
            <w:pPr>
              <w:spacing w:after="0"/>
              <w:rPr>
                <w:sz w:val="12"/>
                <w:szCs w:val="12"/>
                <w:color w:val="auto"/>
              </w:rPr>
            </w:pPr>
          </w:p>
        </w:tc>
        <w:tc>
          <w:tcPr>
            <w:tcW w:w="42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2,063</w:t>
            </w:r>
          </w:p>
        </w:tc>
        <w:tc>
          <w:tcPr>
            <w:tcW w:w="12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left w:val="single" w:sz="8" w:color="BFBFBF"/>
              <w:bottom w:val="single" w:sz="8" w:color="BFBFBF"/>
            </w:tcBorders>
          </w:tcPr>
          <w:p>
            <w:pPr>
              <w:ind w:left="120"/>
              <w:spacing w:after="0" w:line="142" w:lineRule="exact"/>
              <w:rPr>
                <w:sz w:val="20"/>
                <w:szCs w:val="20"/>
                <w:color w:val="auto"/>
              </w:rPr>
            </w:pPr>
            <w:r>
              <w:rPr>
                <w:rFonts w:ascii="Arial" w:cs="Arial" w:eastAsia="Arial" w:hAnsi="Arial"/>
                <w:sz w:val="14"/>
                <w:szCs w:val="14"/>
                <w:color w:val="auto"/>
              </w:rPr>
              <w:t>Restricted Stock Vesting</w:t>
            </w:r>
          </w:p>
        </w:tc>
        <w:tc>
          <w:tcPr>
            <w:tcW w:w="24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ind w:left="34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BFBFBF"/>
            </w:tcBorders>
            <w:gridSpan w:val="2"/>
          </w:tcPr>
          <w:p>
            <w:pPr>
              <w:jc w:val="right"/>
              <w:ind w:right="220"/>
              <w:spacing w:after="0" w:line="142"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w:t>
            </w:r>
          </w:p>
        </w:tc>
        <w:tc>
          <w:tcPr>
            <w:tcW w:w="520" w:type="dxa"/>
            <w:vAlign w:val="bottom"/>
            <w:tcBorders>
              <w:bottom w:val="single" w:sz="8" w:color="BFBFBF"/>
              <w:right w:val="single" w:sz="8" w:color="BFBFBF"/>
            </w:tcBorders>
            <w:gridSpan w:val="3"/>
          </w:tcPr>
          <w:p>
            <w:pPr>
              <w:spacing w:after="0"/>
              <w:rPr>
                <w:sz w:val="12"/>
                <w:szCs w:val="12"/>
                <w:color w:val="auto"/>
              </w:rPr>
            </w:pPr>
          </w:p>
        </w:tc>
        <w:tc>
          <w:tcPr>
            <w:tcW w:w="480" w:type="dxa"/>
            <w:vAlign w:val="bottom"/>
            <w:tcBorders>
              <w:bottom w:val="single" w:sz="8" w:color="BFBFBF"/>
            </w:tcBorders>
            <w:gridSpan w:val="3"/>
          </w:tcPr>
          <w:p>
            <w:pPr>
              <w:ind w:left="34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112"/>
              <w:spacing w:after="0" w:line="142" w:lineRule="exact"/>
              <w:rPr>
                <w:sz w:val="20"/>
                <w:szCs w:val="20"/>
                <w:color w:val="auto"/>
              </w:rPr>
            </w:pPr>
            <w:r>
              <w:rPr>
                <w:rFonts w:ascii="Arial" w:cs="Arial" w:eastAsia="Arial" w:hAnsi="Arial"/>
                <w:sz w:val="14"/>
                <w:szCs w:val="14"/>
                <w:color w:val="auto"/>
              </w:rPr>
              <w:t>1,252,524</w:t>
            </w:r>
          </w:p>
        </w:tc>
        <w:tc>
          <w:tcPr>
            <w:tcW w:w="2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right w:val="single" w:sz="8" w:color="BFBFBF"/>
            </w:tcBorders>
            <w:gridSpan w:val="2"/>
          </w:tcPr>
          <w:p>
            <w:pPr>
              <w:spacing w:after="0"/>
              <w:rPr>
                <w:sz w:val="12"/>
                <w:szCs w:val="12"/>
                <w:color w:val="auto"/>
              </w:rPr>
            </w:pPr>
          </w:p>
        </w:tc>
        <w:tc>
          <w:tcPr>
            <w:tcW w:w="42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1,252,524</w:t>
            </w:r>
          </w:p>
        </w:tc>
        <w:tc>
          <w:tcPr>
            <w:tcW w:w="16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1160" w:type="dxa"/>
            <w:vAlign w:val="bottom"/>
            <w:tcBorders>
              <w:bottom w:val="single" w:sz="8" w:color="BFBFBF"/>
            </w:tcBorders>
            <w:gridSpan w:val="4"/>
          </w:tcPr>
          <w:p>
            <w:pPr>
              <w:jc w:val="right"/>
              <w:ind w:right="72"/>
              <w:spacing w:after="0" w:line="142" w:lineRule="exact"/>
              <w:rPr>
                <w:sz w:val="20"/>
                <w:szCs w:val="20"/>
                <w:color w:val="auto"/>
              </w:rPr>
            </w:pPr>
            <w:r>
              <w:rPr>
                <w:rFonts w:ascii="Arial" w:cs="Arial" w:eastAsia="Arial" w:hAnsi="Arial"/>
                <w:sz w:val="14"/>
                <w:szCs w:val="14"/>
                <w:color w:val="auto"/>
              </w:rPr>
              <w:t>$3,757,521</w:t>
            </w:r>
          </w:p>
        </w:tc>
        <w:tc>
          <w:tcPr>
            <w:tcW w:w="12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left w:val="single" w:sz="8" w:color="BFBFBF"/>
              <w:bottom w:val="single" w:sz="8" w:color="BFBFBF"/>
            </w:tcBorders>
          </w:tcPr>
          <w:p>
            <w:pPr>
              <w:ind w:left="120"/>
              <w:spacing w:after="0" w:line="142" w:lineRule="exact"/>
              <w:rPr>
                <w:sz w:val="20"/>
                <w:szCs w:val="20"/>
                <w:color w:val="auto"/>
              </w:rPr>
            </w:pPr>
            <w:r>
              <w:rPr>
                <w:rFonts w:ascii="Arial" w:cs="Arial" w:eastAsia="Arial" w:hAnsi="Arial"/>
                <w:sz w:val="14"/>
                <w:szCs w:val="14"/>
                <w:color w:val="auto"/>
              </w:rPr>
              <w:t>Performance Share Unit Vesting</w:t>
            </w:r>
          </w:p>
        </w:tc>
        <w:tc>
          <w:tcPr>
            <w:tcW w:w="24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ind w:left="34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BFBFBF"/>
            </w:tcBorders>
            <w:gridSpan w:val="2"/>
          </w:tcPr>
          <w:p>
            <w:pPr>
              <w:jc w:val="right"/>
              <w:ind w:right="220"/>
              <w:spacing w:after="0" w:line="142"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w:t>
            </w:r>
          </w:p>
        </w:tc>
        <w:tc>
          <w:tcPr>
            <w:tcW w:w="520" w:type="dxa"/>
            <w:vAlign w:val="bottom"/>
            <w:tcBorders>
              <w:bottom w:val="single" w:sz="8" w:color="BFBFBF"/>
              <w:right w:val="single" w:sz="8" w:color="BFBFBF"/>
            </w:tcBorders>
            <w:gridSpan w:val="3"/>
          </w:tcPr>
          <w:p>
            <w:pPr>
              <w:spacing w:after="0"/>
              <w:rPr>
                <w:sz w:val="12"/>
                <w:szCs w:val="12"/>
                <w:color w:val="auto"/>
              </w:rPr>
            </w:pPr>
          </w:p>
        </w:tc>
        <w:tc>
          <w:tcPr>
            <w:tcW w:w="480" w:type="dxa"/>
            <w:vAlign w:val="bottom"/>
            <w:tcBorders>
              <w:bottom w:val="single" w:sz="8" w:color="BFBFBF"/>
            </w:tcBorders>
            <w:gridSpan w:val="3"/>
          </w:tcPr>
          <w:p>
            <w:pPr>
              <w:ind w:left="340"/>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BFBFBF"/>
            </w:tcBorders>
            <w:gridSpan w:val="2"/>
          </w:tcPr>
          <w:p>
            <w:pPr>
              <w:jc w:val="right"/>
              <w:ind w:right="20"/>
              <w:spacing w:after="0" w:line="142" w:lineRule="exact"/>
              <w:rPr>
                <w:sz w:val="20"/>
                <w:szCs w:val="20"/>
                <w:color w:val="auto"/>
              </w:rPr>
            </w:pPr>
            <w:r>
              <w:rPr>
                <w:rFonts w:ascii="Arial" w:cs="Arial" w:eastAsia="Arial" w:hAnsi="Arial"/>
                <w:sz w:val="14"/>
                <w:szCs w:val="14"/>
                <w:color w:val="auto"/>
              </w:rPr>
              <w:t>1,122,251(1)</w:t>
            </w:r>
          </w:p>
        </w:tc>
        <w:tc>
          <w:tcPr>
            <w:tcW w:w="420" w:type="dxa"/>
            <w:vAlign w:val="bottom"/>
            <w:tcBorders>
              <w:bottom w:val="single" w:sz="8" w:color="BFBFBF"/>
              <w:right w:val="single" w:sz="8" w:color="BFBFBF"/>
            </w:tcBorders>
            <w:gridSpan w:val="2"/>
          </w:tcPr>
          <w:p>
            <w:pPr>
              <w:spacing w:after="0"/>
              <w:rPr>
                <w:sz w:val="12"/>
                <w:szCs w:val="12"/>
                <w:color w:val="auto"/>
              </w:rPr>
            </w:pPr>
          </w:p>
        </w:tc>
        <w:tc>
          <w:tcPr>
            <w:tcW w:w="42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1160" w:type="dxa"/>
            <w:vAlign w:val="bottom"/>
            <w:tcBorders>
              <w:bottom w:val="single" w:sz="8" w:color="BFBFBF"/>
            </w:tcBorders>
            <w:gridSpan w:val="4"/>
          </w:tcPr>
          <w:p>
            <w:pPr>
              <w:jc w:val="right"/>
              <w:ind w:right="72"/>
              <w:spacing w:after="0" w:line="142" w:lineRule="exact"/>
              <w:rPr>
                <w:sz w:val="20"/>
                <w:szCs w:val="20"/>
                <w:color w:val="auto"/>
              </w:rPr>
            </w:pPr>
            <w:r>
              <w:rPr>
                <w:rFonts w:ascii="Arial" w:cs="Arial" w:eastAsia="Arial" w:hAnsi="Arial"/>
                <w:sz w:val="14"/>
                <w:szCs w:val="14"/>
                <w:color w:val="auto"/>
              </w:rPr>
              <w:t>$1,619,777</w:t>
            </w:r>
          </w:p>
        </w:tc>
        <w:tc>
          <w:tcPr>
            <w:tcW w:w="12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left w:val="single" w:sz="8" w:color="BFBFBF"/>
              <w:bottom w:val="single" w:sz="8" w:color="BFBFBF"/>
            </w:tcBorders>
          </w:tcPr>
          <w:p>
            <w:pPr>
              <w:ind w:left="120"/>
              <w:spacing w:after="0" w:line="142" w:lineRule="exact"/>
              <w:rPr>
                <w:sz w:val="20"/>
                <w:szCs w:val="20"/>
                <w:color w:val="auto"/>
              </w:rPr>
            </w:pPr>
            <w:r>
              <w:rPr>
                <w:rFonts w:ascii="Arial" w:cs="Arial" w:eastAsia="Arial" w:hAnsi="Arial"/>
                <w:sz w:val="14"/>
                <w:szCs w:val="14"/>
                <w:color w:val="auto"/>
              </w:rPr>
              <w:t>Retirement Plan Benefits</w:t>
            </w:r>
          </w:p>
        </w:tc>
        <w:tc>
          <w:tcPr>
            <w:tcW w:w="24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ind w:left="34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BFBFBF"/>
            </w:tcBorders>
            <w:gridSpan w:val="2"/>
          </w:tcPr>
          <w:p>
            <w:pPr>
              <w:jc w:val="right"/>
              <w:ind w:right="220"/>
              <w:spacing w:after="0" w:line="142"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w:t>
            </w:r>
          </w:p>
        </w:tc>
        <w:tc>
          <w:tcPr>
            <w:tcW w:w="520" w:type="dxa"/>
            <w:vAlign w:val="bottom"/>
            <w:tcBorders>
              <w:bottom w:val="single" w:sz="8" w:color="BFBFBF"/>
              <w:right w:val="single" w:sz="8" w:color="BFBFBF"/>
            </w:tcBorders>
            <w:gridSpan w:val="3"/>
          </w:tcPr>
          <w:p>
            <w:pPr>
              <w:spacing w:after="0"/>
              <w:rPr>
                <w:sz w:val="12"/>
                <w:szCs w:val="12"/>
                <w:color w:val="auto"/>
              </w:rPr>
            </w:pPr>
          </w:p>
        </w:tc>
        <w:tc>
          <w:tcPr>
            <w:tcW w:w="480" w:type="dxa"/>
            <w:vAlign w:val="bottom"/>
            <w:tcBorders>
              <w:bottom w:val="single" w:sz="8" w:color="BFBFBF"/>
            </w:tcBorders>
            <w:gridSpan w:val="3"/>
          </w:tcPr>
          <w:p>
            <w:pPr>
              <w:ind w:left="34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112"/>
              <w:spacing w:after="0" w:line="142"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right w:val="single" w:sz="8" w:color="BFBFBF"/>
            </w:tcBorders>
            <w:gridSpan w:val="2"/>
          </w:tcPr>
          <w:p>
            <w:pPr>
              <w:spacing w:after="0"/>
              <w:rPr>
                <w:sz w:val="12"/>
                <w:szCs w:val="12"/>
                <w:color w:val="auto"/>
              </w:rPr>
            </w:pPr>
          </w:p>
        </w:tc>
        <w:tc>
          <w:tcPr>
            <w:tcW w:w="42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12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left w:val="single" w:sz="8" w:color="BFBFBF"/>
              <w:bottom w:val="single" w:sz="8" w:color="BFBFBF"/>
            </w:tcBorders>
          </w:tcPr>
          <w:p>
            <w:pPr>
              <w:ind w:left="120"/>
              <w:spacing w:after="0" w:line="142" w:lineRule="exact"/>
              <w:rPr>
                <w:sz w:val="20"/>
                <w:szCs w:val="20"/>
                <w:color w:val="auto"/>
              </w:rPr>
            </w:pPr>
            <w:r>
              <w:rPr>
                <w:rFonts w:ascii="Arial" w:cs="Arial" w:eastAsia="Arial" w:hAnsi="Arial"/>
                <w:sz w:val="14"/>
                <w:szCs w:val="14"/>
                <w:color w:val="auto"/>
              </w:rPr>
              <w:t>Health &amp; Welfare Benefits</w:t>
            </w:r>
          </w:p>
        </w:tc>
        <w:tc>
          <w:tcPr>
            <w:tcW w:w="24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ind w:left="34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BFBFBF"/>
            </w:tcBorders>
            <w:gridSpan w:val="2"/>
          </w:tcPr>
          <w:p>
            <w:pPr>
              <w:jc w:val="right"/>
              <w:ind w:right="220"/>
              <w:spacing w:after="0" w:line="142"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0</w:t>
            </w:r>
          </w:p>
        </w:tc>
        <w:tc>
          <w:tcPr>
            <w:tcW w:w="520" w:type="dxa"/>
            <w:vAlign w:val="bottom"/>
            <w:tcBorders>
              <w:bottom w:val="single" w:sz="8" w:color="BFBFBF"/>
              <w:right w:val="single" w:sz="8" w:color="BFBFBF"/>
            </w:tcBorders>
            <w:gridSpan w:val="3"/>
          </w:tcPr>
          <w:p>
            <w:pPr>
              <w:spacing w:after="0"/>
              <w:rPr>
                <w:sz w:val="12"/>
                <w:szCs w:val="12"/>
                <w:color w:val="auto"/>
              </w:rPr>
            </w:pPr>
          </w:p>
        </w:tc>
        <w:tc>
          <w:tcPr>
            <w:tcW w:w="480" w:type="dxa"/>
            <w:vAlign w:val="bottom"/>
            <w:tcBorders>
              <w:bottom w:val="single" w:sz="8" w:color="BFBFBF"/>
            </w:tcBorders>
            <w:gridSpan w:val="3"/>
          </w:tcPr>
          <w:p>
            <w:pPr>
              <w:ind w:left="34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112"/>
              <w:spacing w:after="0" w:line="142"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BFBFBF"/>
            </w:tcBorders>
          </w:tcPr>
          <w:p>
            <w:pPr>
              <w:spacing w:after="0"/>
              <w:rPr>
                <w:sz w:val="12"/>
                <w:szCs w:val="12"/>
                <w:color w:val="auto"/>
              </w:rPr>
            </w:pPr>
          </w:p>
        </w:tc>
        <w:tc>
          <w:tcPr>
            <w:tcW w:w="420" w:type="dxa"/>
            <w:vAlign w:val="bottom"/>
            <w:tcBorders>
              <w:bottom w:val="single" w:sz="8" w:color="BFBFBF"/>
              <w:right w:val="single" w:sz="8" w:color="BFBFBF"/>
            </w:tcBorders>
            <w:gridSpan w:val="2"/>
          </w:tcPr>
          <w:p>
            <w:pPr>
              <w:spacing w:after="0"/>
              <w:rPr>
                <w:sz w:val="12"/>
                <w:szCs w:val="12"/>
                <w:color w:val="auto"/>
              </w:rPr>
            </w:pPr>
          </w:p>
        </w:tc>
        <w:tc>
          <w:tcPr>
            <w:tcW w:w="42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bottom w:val="single" w:sz="8" w:color="BFBFBF"/>
            </w:tcBorders>
          </w:tcPr>
          <w:p>
            <w:pPr>
              <w:spacing w:after="0"/>
              <w:rPr>
                <w:sz w:val="12"/>
                <w:szCs w:val="12"/>
                <w:color w:val="auto"/>
              </w:rPr>
            </w:pPr>
          </w:p>
        </w:tc>
        <w:tc>
          <w:tcPr>
            <w:tcW w:w="300" w:type="dxa"/>
            <w:vAlign w:val="bottom"/>
            <w:tcBorders>
              <w:bottom w:val="single" w:sz="8" w:color="BFBFBF"/>
              <w:right w:val="single" w:sz="8" w:color="BFBFBF"/>
            </w:tcBorders>
          </w:tcPr>
          <w:p>
            <w:pPr>
              <w:spacing w:after="0"/>
              <w:rPr>
                <w:sz w:val="12"/>
                <w:szCs w:val="12"/>
                <w:color w:val="auto"/>
              </w:rPr>
            </w:pPr>
          </w:p>
        </w:tc>
        <w:tc>
          <w:tcPr>
            <w:tcW w:w="40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50,410</w:t>
            </w:r>
          </w:p>
        </w:tc>
        <w:tc>
          <w:tcPr>
            <w:tcW w:w="12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Borders>
              <w:left w:val="single" w:sz="8" w:color="BFBFBF"/>
              <w:bottom w:val="single" w:sz="8" w:color="BFBFBF"/>
            </w:tcBorders>
          </w:tcPr>
          <w:p>
            <w:pPr>
              <w:ind w:left="120"/>
              <w:spacing w:after="0" w:line="142" w:lineRule="exact"/>
              <w:rPr>
                <w:sz w:val="20"/>
                <w:szCs w:val="20"/>
                <w:color w:val="auto"/>
              </w:rPr>
            </w:pPr>
            <w:r>
              <w:rPr>
                <w:rFonts w:ascii="Arial" w:cs="Arial" w:eastAsia="Arial" w:hAnsi="Arial"/>
                <w:sz w:val="14"/>
                <w:szCs w:val="14"/>
                <w:color w:val="auto"/>
              </w:rPr>
              <w:t>Outplacement Services</w:t>
            </w:r>
          </w:p>
        </w:tc>
        <w:tc>
          <w:tcPr>
            <w:tcW w:w="240" w:type="dxa"/>
            <w:vAlign w:val="bottom"/>
            <w:tcBorders>
              <w:bottom w:val="single" w:sz="8" w:color="BFBFBF"/>
              <w:right w:val="single" w:sz="8" w:color="BFBFBF"/>
            </w:tcBorders>
          </w:tcPr>
          <w:p>
            <w:pPr>
              <w:spacing w:after="0"/>
              <w:rPr>
                <w:sz w:val="14"/>
                <w:szCs w:val="14"/>
                <w:color w:val="auto"/>
              </w:rPr>
            </w:pPr>
          </w:p>
        </w:tc>
        <w:tc>
          <w:tcPr>
            <w:tcW w:w="300" w:type="dxa"/>
            <w:vAlign w:val="bottom"/>
            <w:tcBorders>
              <w:bottom w:val="single" w:sz="8" w:color="BFBFBF"/>
            </w:tcBorders>
            <w:gridSpan w:val="2"/>
          </w:tcPr>
          <w:p>
            <w:pPr>
              <w:spacing w:after="0"/>
              <w:rPr>
                <w:sz w:val="14"/>
                <w:szCs w:val="14"/>
                <w:color w:val="auto"/>
              </w:rPr>
            </w:pPr>
          </w:p>
        </w:tc>
        <w:tc>
          <w:tcPr>
            <w:tcW w:w="100" w:type="dxa"/>
            <w:vAlign w:val="bottom"/>
            <w:tcBorders>
              <w:bottom w:val="single" w:sz="8" w:color="BFBFBF"/>
            </w:tcBorders>
          </w:tcPr>
          <w:p>
            <w:pPr>
              <w:ind w:left="4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BFBFBF"/>
            </w:tcBorders>
            <w:gridSpan w:val="2"/>
          </w:tcPr>
          <w:p>
            <w:pPr>
              <w:jc w:val="right"/>
              <w:ind w:right="220"/>
              <w:spacing w:after="0" w:line="142"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BFBFBF"/>
            </w:tcBorders>
          </w:tcPr>
          <w:p>
            <w:pPr>
              <w:spacing w:after="0"/>
              <w:rPr>
                <w:sz w:val="14"/>
                <w:szCs w:val="14"/>
                <w:color w:val="auto"/>
              </w:rPr>
            </w:pPr>
          </w:p>
        </w:tc>
        <w:tc>
          <w:tcPr>
            <w:tcW w:w="100" w:type="dxa"/>
            <w:vAlign w:val="bottom"/>
            <w:tcBorders>
              <w:bottom w:val="single" w:sz="8" w:color="BFBFBF"/>
              <w:right w:val="single" w:sz="8" w:color="BFBFBF"/>
            </w:tcBorders>
          </w:tcPr>
          <w:p>
            <w:pPr>
              <w:spacing w:after="0"/>
              <w:rPr>
                <w:sz w:val="14"/>
                <w:szCs w:val="14"/>
                <w:color w:val="auto"/>
              </w:rPr>
            </w:pPr>
          </w:p>
        </w:tc>
        <w:tc>
          <w:tcPr>
            <w:tcW w:w="4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22,500</w:t>
            </w:r>
          </w:p>
        </w:tc>
        <w:tc>
          <w:tcPr>
            <w:tcW w:w="520" w:type="dxa"/>
            <w:vAlign w:val="bottom"/>
            <w:tcBorders>
              <w:bottom w:val="single" w:sz="8" w:color="BFBFBF"/>
              <w:right w:val="single" w:sz="8" w:color="BFBFBF"/>
            </w:tcBorders>
            <w:gridSpan w:val="3"/>
          </w:tcPr>
          <w:p>
            <w:pPr>
              <w:spacing w:after="0"/>
              <w:rPr>
                <w:sz w:val="14"/>
                <w:szCs w:val="14"/>
                <w:color w:val="auto"/>
              </w:rPr>
            </w:pPr>
          </w:p>
        </w:tc>
        <w:tc>
          <w:tcPr>
            <w:tcW w:w="480" w:type="dxa"/>
            <w:vAlign w:val="bottom"/>
            <w:tcBorders>
              <w:bottom w:val="single" w:sz="8" w:color="BFBFBF"/>
            </w:tcBorders>
            <w:gridSpan w:val="3"/>
          </w:tcPr>
          <w:p>
            <w:pPr>
              <w:ind w:left="34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112"/>
              <w:spacing w:after="0" w:line="142"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BFBFBF"/>
            </w:tcBorders>
          </w:tcPr>
          <w:p>
            <w:pPr>
              <w:spacing w:after="0"/>
              <w:rPr>
                <w:sz w:val="14"/>
                <w:szCs w:val="14"/>
                <w:color w:val="auto"/>
              </w:rPr>
            </w:pPr>
          </w:p>
        </w:tc>
        <w:tc>
          <w:tcPr>
            <w:tcW w:w="420" w:type="dxa"/>
            <w:vAlign w:val="bottom"/>
            <w:tcBorders>
              <w:bottom w:val="single" w:sz="8" w:color="BFBFBF"/>
              <w:right w:val="single" w:sz="8" w:color="BFBFBF"/>
            </w:tcBorders>
            <w:gridSpan w:val="2"/>
          </w:tcPr>
          <w:p>
            <w:pPr>
              <w:spacing w:after="0"/>
              <w:rPr>
                <w:sz w:val="14"/>
                <w:szCs w:val="14"/>
                <w:color w:val="auto"/>
              </w:rPr>
            </w:pPr>
          </w:p>
        </w:tc>
        <w:tc>
          <w:tcPr>
            <w:tcW w:w="42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bottom w:val="single" w:sz="8" w:color="BFBFBF"/>
            </w:tcBorders>
          </w:tcPr>
          <w:p>
            <w:pPr>
              <w:spacing w:after="0"/>
              <w:rPr>
                <w:sz w:val="14"/>
                <w:szCs w:val="14"/>
                <w:color w:val="auto"/>
              </w:rPr>
            </w:pPr>
          </w:p>
        </w:tc>
        <w:tc>
          <w:tcPr>
            <w:tcW w:w="300" w:type="dxa"/>
            <w:vAlign w:val="bottom"/>
            <w:tcBorders>
              <w:bottom w:val="single" w:sz="8" w:color="BFBFBF"/>
              <w:right w:val="single" w:sz="8" w:color="BFBFBF"/>
            </w:tcBorders>
          </w:tcPr>
          <w:p>
            <w:pPr>
              <w:spacing w:after="0"/>
              <w:rPr>
                <w:sz w:val="14"/>
                <w:szCs w:val="14"/>
                <w:color w:val="auto"/>
              </w:rPr>
            </w:pPr>
          </w:p>
        </w:tc>
        <w:tc>
          <w:tcPr>
            <w:tcW w:w="400" w:type="dxa"/>
            <w:vAlign w:val="bottom"/>
            <w:tcBorders>
              <w:bottom w:val="single" w:sz="8" w:color="BFBFBF"/>
            </w:tcBorders>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30,000</w:t>
            </w:r>
          </w:p>
        </w:tc>
        <w:tc>
          <w:tcPr>
            <w:tcW w:w="120" w:type="dxa"/>
            <w:vAlign w:val="bottom"/>
            <w:tcBorders>
              <w:bottom w:val="single" w:sz="8" w:color="BFBFBF"/>
            </w:tcBorders>
          </w:tcPr>
          <w:p>
            <w:pPr>
              <w:spacing w:after="0"/>
              <w:rPr>
                <w:sz w:val="14"/>
                <w:szCs w:val="14"/>
                <w:color w:val="auto"/>
              </w:rPr>
            </w:pPr>
          </w:p>
        </w:tc>
        <w:tc>
          <w:tcPr>
            <w:tcW w:w="34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660" w:type="dxa"/>
            <w:vAlign w:val="bottom"/>
            <w:tcBorders>
              <w:left w:val="single" w:sz="8" w:color="BFBFBF"/>
              <w:bottom w:val="single" w:sz="8" w:color="BFBFBF"/>
            </w:tcBorders>
          </w:tcPr>
          <w:p>
            <w:pPr>
              <w:spacing w:after="0"/>
              <w:rPr>
                <w:sz w:val="3"/>
                <w:szCs w:val="3"/>
                <w:color w:val="auto"/>
              </w:rPr>
            </w:pPr>
          </w:p>
        </w:tc>
        <w:tc>
          <w:tcPr>
            <w:tcW w:w="540" w:type="dxa"/>
            <w:vAlign w:val="bottom"/>
            <w:tcBorders>
              <w:bottom w:val="single" w:sz="8" w:color="BFBFBF"/>
            </w:tcBorders>
            <w:gridSpan w:val="3"/>
          </w:tcPr>
          <w:p>
            <w:pPr>
              <w:spacing w:after="0"/>
              <w:rPr>
                <w:sz w:val="3"/>
                <w:szCs w:val="3"/>
                <w:color w:val="auto"/>
              </w:rPr>
            </w:pPr>
          </w:p>
        </w:tc>
        <w:tc>
          <w:tcPr>
            <w:tcW w:w="100" w:type="dxa"/>
            <w:vAlign w:val="bottom"/>
            <w:tcBorders>
              <w:top w:val="single" w:sz="8" w:color="auto"/>
              <w:bottom w:val="single" w:sz="8" w:color="BFBFBF"/>
            </w:tcBorders>
          </w:tcPr>
          <w:p>
            <w:pPr>
              <w:spacing w:after="0"/>
              <w:rPr>
                <w:sz w:val="3"/>
                <w:szCs w:val="3"/>
                <w:color w:val="auto"/>
              </w:rPr>
            </w:pPr>
          </w:p>
        </w:tc>
        <w:tc>
          <w:tcPr>
            <w:tcW w:w="800" w:type="dxa"/>
            <w:vAlign w:val="bottom"/>
            <w:tcBorders>
              <w:top w:val="single" w:sz="8" w:color="auto"/>
              <w:bottom w:val="single" w:sz="8" w:color="BFBFBF"/>
            </w:tcBorders>
            <w:gridSpan w:val="2"/>
          </w:tcPr>
          <w:p>
            <w:pPr>
              <w:spacing w:after="0"/>
              <w:rPr>
                <w:sz w:val="3"/>
                <w:szCs w:val="3"/>
                <w:color w:val="auto"/>
              </w:rPr>
            </w:pPr>
          </w:p>
        </w:tc>
        <w:tc>
          <w:tcPr>
            <w:tcW w:w="28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tcPr>
          <w:p>
            <w:pPr>
              <w:spacing w:after="0"/>
              <w:rPr>
                <w:sz w:val="3"/>
                <w:szCs w:val="3"/>
                <w:color w:val="auto"/>
              </w:rPr>
            </w:pPr>
          </w:p>
        </w:tc>
        <w:tc>
          <w:tcPr>
            <w:tcW w:w="280" w:type="dxa"/>
            <w:vAlign w:val="bottom"/>
            <w:tcBorders>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820" w:type="dxa"/>
            <w:vAlign w:val="bottom"/>
            <w:tcBorders>
              <w:top w:val="single" w:sz="8" w:color="auto"/>
              <w:bottom w:val="single" w:sz="8" w:color="BFBFBF"/>
            </w:tcBorders>
          </w:tcPr>
          <w:p>
            <w:pPr>
              <w:spacing w:after="0"/>
              <w:rPr>
                <w:sz w:val="3"/>
                <w:szCs w:val="3"/>
                <w:color w:val="auto"/>
              </w:rPr>
            </w:pPr>
          </w:p>
        </w:tc>
        <w:tc>
          <w:tcPr>
            <w:tcW w:w="80" w:type="dxa"/>
            <w:vAlign w:val="bottom"/>
            <w:tcBorders>
              <w:top w:val="single" w:sz="8" w:color="auto"/>
              <w:bottom w:val="single" w:sz="8" w:color="BFBFBF"/>
            </w:tcBorders>
          </w:tcPr>
          <w:p>
            <w:pPr>
              <w:spacing w:after="0"/>
              <w:rPr>
                <w:sz w:val="3"/>
                <w:szCs w:val="3"/>
                <w:color w:val="auto"/>
              </w:rPr>
            </w:pPr>
          </w:p>
        </w:tc>
        <w:tc>
          <w:tcPr>
            <w:tcW w:w="440" w:type="dxa"/>
            <w:vAlign w:val="bottom"/>
            <w:tcBorders>
              <w:bottom w:val="single" w:sz="8" w:color="BFBFBF"/>
            </w:tcBorders>
            <w:gridSpan w:val="2"/>
          </w:tcPr>
          <w:p>
            <w:pPr>
              <w:spacing w:after="0"/>
              <w:rPr>
                <w:sz w:val="3"/>
                <w:szCs w:val="3"/>
                <w:color w:val="auto"/>
              </w:rPr>
            </w:pPr>
          </w:p>
        </w:tc>
        <w:tc>
          <w:tcPr>
            <w:tcW w:w="320" w:type="dxa"/>
            <w:vAlign w:val="bottom"/>
            <w:tcBorders>
              <w:bottom w:val="single" w:sz="8" w:color="BFBFBF"/>
            </w:tcBorders>
            <w:gridSpan w:val="2"/>
          </w:tcPr>
          <w:p>
            <w:pPr>
              <w:spacing w:after="0"/>
              <w:rPr>
                <w:sz w:val="3"/>
                <w:szCs w:val="3"/>
                <w:color w:val="auto"/>
              </w:rPr>
            </w:pPr>
          </w:p>
        </w:tc>
        <w:tc>
          <w:tcPr>
            <w:tcW w:w="160" w:type="dxa"/>
            <w:vAlign w:val="bottom"/>
            <w:tcBorders>
              <w:top w:val="single" w:sz="8" w:color="auto"/>
              <w:bottom w:val="single" w:sz="8" w:color="BFBFBF"/>
            </w:tcBorders>
          </w:tcPr>
          <w:p>
            <w:pPr>
              <w:spacing w:after="0"/>
              <w:rPr>
                <w:sz w:val="3"/>
                <w:szCs w:val="3"/>
                <w:color w:val="auto"/>
              </w:rPr>
            </w:pPr>
          </w:p>
        </w:tc>
        <w:tc>
          <w:tcPr>
            <w:tcW w:w="900" w:type="dxa"/>
            <w:vAlign w:val="bottom"/>
            <w:tcBorders>
              <w:top w:val="single" w:sz="8" w:color="auto"/>
              <w:bottom w:val="single" w:sz="8" w:color="BFBFBF"/>
            </w:tcBorders>
          </w:tcPr>
          <w:p>
            <w:pPr>
              <w:spacing w:after="0"/>
              <w:rPr>
                <w:sz w:val="3"/>
                <w:szCs w:val="3"/>
                <w:color w:val="auto"/>
              </w:rPr>
            </w:pPr>
          </w:p>
        </w:tc>
        <w:tc>
          <w:tcPr>
            <w:tcW w:w="20" w:type="dxa"/>
            <w:vAlign w:val="bottom"/>
            <w:tcBorders>
              <w:bottom w:val="single" w:sz="8" w:color="BFBFBF"/>
            </w:tcBorders>
          </w:tcPr>
          <w:p>
            <w:pPr>
              <w:spacing w:after="0"/>
              <w:rPr>
                <w:sz w:val="3"/>
                <w:szCs w:val="3"/>
                <w:color w:val="auto"/>
              </w:rPr>
            </w:pPr>
          </w:p>
        </w:tc>
        <w:tc>
          <w:tcPr>
            <w:tcW w:w="420" w:type="dxa"/>
            <w:vAlign w:val="bottom"/>
            <w:tcBorders>
              <w:bottom w:val="single" w:sz="8" w:color="BFBFBF"/>
            </w:tcBorders>
            <w:gridSpan w:val="2"/>
          </w:tcPr>
          <w:p>
            <w:pPr>
              <w:spacing w:after="0"/>
              <w:rPr>
                <w:sz w:val="3"/>
                <w:szCs w:val="3"/>
                <w:color w:val="auto"/>
              </w:rPr>
            </w:pPr>
          </w:p>
        </w:tc>
        <w:tc>
          <w:tcPr>
            <w:tcW w:w="300" w:type="dxa"/>
            <w:vAlign w:val="bottom"/>
            <w:tcBorders>
              <w:bottom w:val="single" w:sz="8" w:color="BFBFBF"/>
            </w:tcBorders>
            <w:gridSpan w:val="2"/>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900" w:type="dxa"/>
            <w:vAlign w:val="bottom"/>
            <w:tcBorders>
              <w:top w:val="single" w:sz="8" w:color="auto"/>
              <w:bottom w:val="single" w:sz="8" w:color="BFBFBF"/>
            </w:tcBorders>
          </w:tcPr>
          <w:p>
            <w:pPr>
              <w:spacing w:after="0"/>
              <w:rPr>
                <w:sz w:val="3"/>
                <w:szCs w:val="3"/>
                <w:color w:val="auto"/>
              </w:rPr>
            </w:pPr>
          </w:p>
        </w:tc>
        <w:tc>
          <w:tcPr>
            <w:tcW w:w="160" w:type="dxa"/>
            <w:vAlign w:val="bottom"/>
            <w:tcBorders>
              <w:bottom w:val="single" w:sz="8" w:color="BFBFBF"/>
            </w:tcBorders>
          </w:tcPr>
          <w:p>
            <w:pPr>
              <w:spacing w:after="0"/>
              <w:rPr>
                <w:sz w:val="3"/>
                <w:szCs w:val="3"/>
                <w:color w:val="auto"/>
              </w:rPr>
            </w:pPr>
          </w:p>
        </w:tc>
        <w:tc>
          <w:tcPr>
            <w:tcW w:w="300" w:type="dxa"/>
            <w:vAlign w:val="bottom"/>
            <w:tcBorders>
              <w:bottom w:val="single" w:sz="8" w:color="BFBFBF"/>
            </w:tcBorders>
          </w:tcPr>
          <w:p>
            <w:pPr>
              <w:spacing w:after="0"/>
              <w:rPr>
                <w:sz w:val="3"/>
                <w:szCs w:val="3"/>
                <w:color w:val="auto"/>
              </w:rPr>
            </w:pPr>
          </w:p>
        </w:tc>
        <w:tc>
          <w:tcPr>
            <w:tcW w:w="280" w:type="dxa"/>
            <w:vAlign w:val="bottom"/>
            <w:tcBorders>
              <w:bottom w:val="single" w:sz="8" w:color="BFBFBF"/>
            </w:tcBorders>
            <w:gridSpan w:val="2"/>
          </w:tcPr>
          <w:p>
            <w:pPr>
              <w:spacing w:after="0"/>
              <w:rPr>
                <w:sz w:val="3"/>
                <w:szCs w:val="3"/>
                <w:color w:val="auto"/>
              </w:rPr>
            </w:pPr>
          </w:p>
        </w:tc>
        <w:tc>
          <w:tcPr>
            <w:tcW w:w="880" w:type="dxa"/>
            <w:vAlign w:val="bottom"/>
            <w:tcBorders>
              <w:top w:val="single" w:sz="8" w:color="auto"/>
              <w:bottom w:val="single" w:sz="8" w:color="BFBFBF"/>
            </w:tcBorders>
            <w:gridSpan w:val="2"/>
          </w:tcPr>
          <w:p>
            <w:pPr>
              <w:spacing w:after="0"/>
              <w:rPr>
                <w:sz w:val="3"/>
                <w:szCs w:val="3"/>
                <w:color w:val="auto"/>
              </w:rPr>
            </w:pPr>
          </w:p>
        </w:tc>
        <w:tc>
          <w:tcPr>
            <w:tcW w:w="120" w:type="dxa"/>
            <w:vAlign w:val="bottom"/>
            <w:tcBorders>
              <w:bottom w:val="single" w:sz="8" w:color="BFBFBF"/>
            </w:tcBorders>
          </w:tcPr>
          <w:p>
            <w:pPr>
              <w:spacing w:after="0"/>
              <w:rPr>
                <w:sz w:val="3"/>
                <w:szCs w:val="3"/>
                <w:color w:val="auto"/>
              </w:rPr>
            </w:pPr>
          </w:p>
        </w:tc>
        <w:tc>
          <w:tcPr>
            <w:tcW w:w="340" w:type="dxa"/>
            <w:vAlign w:val="bottom"/>
            <w:tcBorders>
              <w:bottom w:val="single" w:sz="8" w:color="BFBFBF"/>
              <w:right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660" w:type="dxa"/>
            <w:vAlign w:val="bottom"/>
            <w:tcBorders>
              <w:left w:val="single" w:sz="8" w:color="BFBFBF"/>
              <w:bottom w:val="single" w:sz="8" w:color="BFBFBF"/>
            </w:tcBorders>
          </w:tcPr>
          <w:p>
            <w:pPr>
              <w:ind w:left="120"/>
              <w:spacing w:after="0" w:line="130" w:lineRule="exact"/>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BFBFBF"/>
              <w:right w:val="single" w:sz="8" w:color="BFBFBF"/>
            </w:tcBorders>
          </w:tcPr>
          <w:p>
            <w:pPr>
              <w:spacing w:after="0"/>
              <w:rPr>
                <w:sz w:val="13"/>
                <w:szCs w:val="13"/>
                <w:color w:val="auto"/>
              </w:rPr>
            </w:pPr>
          </w:p>
        </w:tc>
        <w:tc>
          <w:tcPr>
            <w:tcW w:w="300" w:type="dxa"/>
            <w:vAlign w:val="bottom"/>
            <w:tcBorders>
              <w:bottom w:val="single" w:sz="8" w:color="BFBFBF"/>
            </w:tcBorders>
            <w:gridSpan w:val="2"/>
          </w:tcPr>
          <w:p>
            <w:pPr>
              <w:spacing w:after="0"/>
              <w:rPr>
                <w:sz w:val="13"/>
                <w:szCs w:val="13"/>
                <w:color w:val="auto"/>
              </w:rPr>
            </w:pPr>
          </w:p>
        </w:tc>
        <w:tc>
          <w:tcPr>
            <w:tcW w:w="100" w:type="dxa"/>
            <w:vAlign w:val="bottom"/>
            <w:tcBorders>
              <w:bottom w:val="single" w:sz="8" w:color="BFBFBF"/>
            </w:tcBorders>
          </w:tcPr>
          <w:p>
            <w:pPr>
              <w:ind w:left="4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BFBFBF"/>
            </w:tcBorders>
            <w:gridSpan w:val="2"/>
          </w:tcPr>
          <w:p>
            <w:pPr>
              <w:jc w:val="right"/>
              <w:ind w:right="220"/>
              <w:spacing w:after="0" w:line="130"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BFBFBF"/>
            </w:tcBorders>
          </w:tcPr>
          <w:p>
            <w:pPr>
              <w:spacing w:after="0"/>
              <w:rPr>
                <w:sz w:val="13"/>
                <w:szCs w:val="13"/>
                <w:color w:val="auto"/>
              </w:rPr>
            </w:pPr>
          </w:p>
        </w:tc>
        <w:tc>
          <w:tcPr>
            <w:tcW w:w="100" w:type="dxa"/>
            <w:vAlign w:val="bottom"/>
            <w:tcBorders>
              <w:bottom w:val="single" w:sz="8" w:color="BFBFBF"/>
              <w:right w:val="single" w:sz="8" w:color="BFBFBF"/>
            </w:tcBorders>
          </w:tcPr>
          <w:p>
            <w:pPr>
              <w:spacing w:after="0"/>
              <w:rPr>
                <w:sz w:val="13"/>
                <w:szCs w:val="13"/>
                <w:color w:val="auto"/>
              </w:rPr>
            </w:pPr>
          </w:p>
        </w:tc>
        <w:tc>
          <w:tcPr>
            <w:tcW w:w="280" w:type="dxa"/>
            <w:vAlign w:val="bottom"/>
            <w:tcBorders>
              <w:bottom w:val="single" w:sz="8" w:color="BFBFBF"/>
            </w:tcBorders>
          </w:tcPr>
          <w:p>
            <w:pPr>
              <w:spacing w:after="0"/>
              <w:rPr>
                <w:sz w:val="13"/>
                <w:szCs w:val="13"/>
                <w:color w:val="auto"/>
              </w:rPr>
            </w:pPr>
          </w:p>
        </w:tc>
        <w:tc>
          <w:tcPr>
            <w:tcW w:w="12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1,526,125</w:t>
            </w:r>
          </w:p>
        </w:tc>
        <w:tc>
          <w:tcPr>
            <w:tcW w:w="80" w:type="dxa"/>
            <w:vAlign w:val="bottom"/>
            <w:tcBorders>
              <w:bottom w:val="single" w:sz="8" w:color="BFBFBF"/>
            </w:tcBorders>
          </w:tcPr>
          <w:p>
            <w:pPr>
              <w:spacing w:after="0"/>
              <w:rPr>
                <w:sz w:val="13"/>
                <w:szCs w:val="13"/>
                <w:color w:val="auto"/>
              </w:rPr>
            </w:pPr>
          </w:p>
        </w:tc>
        <w:tc>
          <w:tcPr>
            <w:tcW w:w="240" w:type="dxa"/>
            <w:vAlign w:val="bottom"/>
            <w:tcBorders>
              <w:bottom w:val="single" w:sz="8" w:color="BFBFBF"/>
            </w:tcBorders>
          </w:tcPr>
          <w:p>
            <w:pPr>
              <w:spacing w:after="0"/>
              <w:rPr>
                <w:sz w:val="13"/>
                <w:szCs w:val="13"/>
                <w:color w:val="auto"/>
              </w:rPr>
            </w:pPr>
          </w:p>
        </w:tc>
        <w:tc>
          <w:tcPr>
            <w:tcW w:w="200" w:type="dxa"/>
            <w:vAlign w:val="bottom"/>
            <w:tcBorders>
              <w:bottom w:val="single" w:sz="8" w:color="BFBFBF"/>
              <w:right w:val="single" w:sz="8" w:color="BFBFBF"/>
            </w:tcBorders>
          </w:tcPr>
          <w:p>
            <w:pPr>
              <w:spacing w:after="0"/>
              <w:rPr>
                <w:sz w:val="13"/>
                <w:szCs w:val="13"/>
                <w:color w:val="auto"/>
              </w:rPr>
            </w:pPr>
          </w:p>
        </w:tc>
        <w:tc>
          <w:tcPr>
            <w:tcW w:w="320" w:type="dxa"/>
            <w:vAlign w:val="bottom"/>
            <w:tcBorders>
              <w:bottom w:val="single" w:sz="8" w:color="BFBFBF"/>
            </w:tcBorders>
            <w:gridSpan w:val="2"/>
          </w:tcPr>
          <w:p>
            <w:pPr>
              <w:spacing w:after="0"/>
              <w:rPr>
                <w:sz w:val="13"/>
                <w:szCs w:val="13"/>
                <w:color w:val="auto"/>
              </w:rPr>
            </w:pPr>
          </w:p>
        </w:tc>
        <w:tc>
          <w:tcPr>
            <w:tcW w:w="160" w:type="dxa"/>
            <w:vAlign w:val="bottom"/>
            <w:tcBorders>
              <w:bottom w:val="single" w:sz="8" w:color="BFBFBF"/>
            </w:tcBorders>
          </w:tcPr>
          <w:p>
            <w:pPr>
              <w:ind w:left="20"/>
              <w:spacing w:after="0" w:line="130"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112"/>
              <w:spacing w:after="0" w:line="130" w:lineRule="exact"/>
              <w:rPr>
                <w:sz w:val="20"/>
                <w:szCs w:val="20"/>
                <w:color w:val="auto"/>
              </w:rPr>
            </w:pPr>
            <w:r>
              <w:rPr>
                <w:rFonts w:ascii="Arial" w:cs="Arial" w:eastAsia="Arial" w:hAnsi="Arial"/>
                <w:sz w:val="14"/>
                <w:szCs w:val="14"/>
                <w:color w:val="auto"/>
              </w:rPr>
              <w:t>3,253,400</w:t>
            </w:r>
          </w:p>
        </w:tc>
        <w:tc>
          <w:tcPr>
            <w:tcW w:w="20" w:type="dxa"/>
            <w:vAlign w:val="bottom"/>
            <w:tcBorders>
              <w:bottom w:val="single" w:sz="8" w:color="BFBFBF"/>
            </w:tcBorders>
          </w:tcPr>
          <w:p>
            <w:pPr>
              <w:spacing w:after="0"/>
              <w:rPr>
                <w:sz w:val="13"/>
                <w:szCs w:val="13"/>
                <w:color w:val="auto"/>
              </w:rPr>
            </w:pPr>
          </w:p>
        </w:tc>
        <w:tc>
          <w:tcPr>
            <w:tcW w:w="300" w:type="dxa"/>
            <w:vAlign w:val="bottom"/>
            <w:tcBorders>
              <w:bottom w:val="single" w:sz="8" w:color="BFBFBF"/>
            </w:tcBorders>
          </w:tcPr>
          <w:p>
            <w:pPr>
              <w:spacing w:after="0"/>
              <w:rPr>
                <w:sz w:val="13"/>
                <w:szCs w:val="13"/>
                <w:color w:val="auto"/>
              </w:rPr>
            </w:pPr>
          </w:p>
        </w:tc>
        <w:tc>
          <w:tcPr>
            <w:tcW w:w="120" w:type="dxa"/>
            <w:vAlign w:val="bottom"/>
            <w:tcBorders>
              <w:bottom w:val="single" w:sz="8" w:color="BFBFBF"/>
              <w:right w:val="single" w:sz="8" w:color="BFBFBF"/>
            </w:tcBorders>
          </w:tcPr>
          <w:p>
            <w:pPr>
              <w:spacing w:after="0"/>
              <w:rPr>
                <w:sz w:val="13"/>
                <w:szCs w:val="13"/>
                <w:color w:val="auto"/>
              </w:rPr>
            </w:pPr>
          </w:p>
        </w:tc>
        <w:tc>
          <w:tcPr>
            <w:tcW w:w="300" w:type="dxa"/>
            <w:vAlign w:val="bottom"/>
            <w:tcBorders>
              <w:bottom w:val="single" w:sz="8" w:color="BFBFBF"/>
            </w:tcBorders>
            <w:gridSpan w:val="2"/>
          </w:tcPr>
          <w:p>
            <w:pPr>
              <w:spacing w:after="0"/>
              <w:rPr>
                <w:sz w:val="13"/>
                <w:szCs w:val="13"/>
                <w:color w:val="auto"/>
              </w:rPr>
            </w:pPr>
          </w:p>
        </w:tc>
        <w:tc>
          <w:tcPr>
            <w:tcW w:w="12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30" w:lineRule="exact"/>
              <w:rPr>
                <w:sz w:val="20"/>
                <w:szCs w:val="20"/>
                <w:color w:val="auto"/>
              </w:rPr>
            </w:pPr>
            <w:r>
              <w:rPr>
                <w:rFonts w:ascii="Arial" w:cs="Arial" w:eastAsia="Arial" w:hAnsi="Arial"/>
                <w:sz w:val="14"/>
                <w:szCs w:val="14"/>
                <w:color w:val="auto"/>
              </w:rPr>
              <w:t>2,131,149</w:t>
            </w:r>
          </w:p>
        </w:tc>
        <w:tc>
          <w:tcPr>
            <w:tcW w:w="160" w:type="dxa"/>
            <w:vAlign w:val="bottom"/>
            <w:tcBorders>
              <w:bottom w:val="single" w:sz="8" w:color="BFBFBF"/>
            </w:tcBorders>
          </w:tcPr>
          <w:p>
            <w:pPr>
              <w:spacing w:after="0"/>
              <w:rPr>
                <w:sz w:val="13"/>
                <w:szCs w:val="13"/>
                <w:color w:val="auto"/>
              </w:rPr>
            </w:pPr>
          </w:p>
        </w:tc>
        <w:tc>
          <w:tcPr>
            <w:tcW w:w="300" w:type="dxa"/>
            <w:vAlign w:val="bottom"/>
            <w:tcBorders>
              <w:bottom w:val="single" w:sz="8" w:color="BFBFBF"/>
              <w:right w:val="single" w:sz="8" w:color="BFBFBF"/>
            </w:tcBorders>
          </w:tcPr>
          <w:p>
            <w:pPr>
              <w:spacing w:after="0"/>
              <w:rPr>
                <w:sz w:val="13"/>
                <w:szCs w:val="13"/>
                <w:color w:val="auto"/>
              </w:rPr>
            </w:pPr>
          </w:p>
        </w:tc>
        <w:tc>
          <w:tcPr>
            <w:tcW w:w="280" w:type="dxa"/>
            <w:vAlign w:val="bottom"/>
            <w:tcBorders>
              <w:bottom w:val="single" w:sz="8" w:color="BFBFBF"/>
            </w:tcBorders>
            <w:gridSpan w:val="2"/>
          </w:tcPr>
          <w:p>
            <w:pPr>
              <w:spacing w:after="0"/>
              <w:rPr>
                <w:sz w:val="13"/>
                <w:szCs w:val="13"/>
                <w:color w:val="auto"/>
              </w:rPr>
            </w:pPr>
          </w:p>
        </w:tc>
        <w:tc>
          <w:tcPr>
            <w:tcW w:w="880" w:type="dxa"/>
            <w:vAlign w:val="bottom"/>
            <w:tcBorders>
              <w:bottom w:val="single" w:sz="8" w:color="BFBFBF"/>
            </w:tcBorders>
            <w:gridSpan w:val="2"/>
          </w:tcPr>
          <w:p>
            <w:pPr>
              <w:jc w:val="right"/>
              <w:ind w:right="72"/>
              <w:spacing w:after="0" w:line="130" w:lineRule="exact"/>
              <w:rPr>
                <w:sz w:val="20"/>
                <w:szCs w:val="20"/>
                <w:color w:val="auto"/>
              </w:rPr>
            </w:pPr>
            <w:r>
              <w:rPr>
                <w:rFonts w:ascii="Arial" w:cs="Arial" w:eastAsia="Arial" w:hAnsi="Arial"/>
                <w:sz w:val="14"/>
                <w:szCs w:val="14"/>
                <w:color w:val="auto"/>
              </w:rPr>
              <w:t>$8,088,396</w:t>
            </w:r>
          </w:p>
        </w:tc>
        <w:tc>
          <w:tcPr>
            <w:tcW w:w="120" w:type="dxa"/>
            <w:vAlign w:val="bottom"/>
            <w:tcBorders>
              <w:bottom w:val="single" w:sz="8" w:color="BFBFBF"/>
            </w:tcBorders>
          </w:tcPr>
          <w:p>
            <w:pPr>
              <w:spacing w:after="0"/>
              <w:rPr>
                <w:sz w:val="13"/>
                <w:szCs w:val="13"/>
                <w:color w:val="auto"/>
              </w:rPr>
            </w:pPr>
          </w:p>
        </w:tc>
        <w:tc>
          <w:tcPr>
            <w:tcW w:w="340" w:type="dxa"/>
            <w:vAlign w:val="bottom"/>
            <w:tcBorders>
              <w:bottom w:val="single" w:sz="8" w:color="BFBFBF"/>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Borders>
              <w:left w:val="single" w:sz="8" w:color="BFBFB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60" w:type="dxa"/>
            <w:vAlign w:val="bottom"/>
            <w:tcBorders>
              <w:left w:val="single" w:sz="8" w:color="BFBFBF"/>
              <w:bottom w:val="single" w:sz="8" w:color="BFBFBF"/>
            </w:tcBorders>
          </w:tcPr>
          <w:p>
            <w:pPr>
              <w:spacing w:after="0" w:line="20" w:lineRule="exact"/>
              <w:rPr>
                <w:sz w:val="1"/>
                <w:szCs w:val="1"/>
                <w:color w:val="auto"/>
              </w:rPr>
            </w:pPr>
          </w:p>
        </w:tc>
        <w:tc>
          <w:tcPr>
            <w:tcW w:w="24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2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500" w:type="dxa"/>
            <w:vAlign w:val="bottom"/>
            <w:tcBorders>
              <w:bottom w:val="single" w:sz="8" w:color="BFBFBF"/>
            </w:tcBorders>
          </w:tcPr>
          <w:p>
            <w:pPr>
              <w:spacing w:after="0" w:line="20" w:lineRule="exact"/>
              <w:rPr>
                <w:sz w:val="1"/>
                <w:szCs w:val="1"/>
                <w:color w:val="auto"/>
              </w:rPr>
            </w:pPr>
          </w:p>
        </w:tc>
        <w:tc>
          <w:tcPr>
            <w:tcW w:w="300" w:type="dxa"/>
            <w:vAlign w:val="bottom"/>
            <w:tcBorders>
              <w:bottom w:val="single" w:sz="8" w:color="BFBFBF"/>
            </w:tcBorders>
          </w:tcPr>
          <w:p>
            <w:pPr>
              <w:spacing w:after="0" w:line="20" w:lineRule="exact"/>
              <w:rPr>
                <w:sz w:val="1"/>
                <w:szCs w:val="1"/>
                <w:color w:val="auto"/>
              </w:rPr>
            </w:pPr>
          </w:p>
        </w:tc>
        <w:tc>
          <w:tcPr>
            <w:tcW w:w="2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28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8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240" w:type="dxa"/>
            <w:vAlign w:val="bottom"/>
            <w:tcBorders>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6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160" w:type="dxa"/>
            <w:vAlign w:val="bottom"/>
            <w:tcBorders>
              <w:bottom w:val="single" w:sz="8" w:color="BFBFBF"/>
            </w:tcBorders>
          </w:tcPr>
          <w:p>
            <w:pPr>
              <w:spacing w:after="0" w:line="20" w:lineRule="exact"/>
              <w:rPr>
                <w:sz w:val="1"/>
                <w:szCs w:val="1"/>
                <w:color w:val="auto"/>
              </w:rPr>
            </w:pPr>
          </w:p>
        </w:tc>
        <w:tc>
          <w:tcPr>
            <w:tcW w:w="90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30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140" w:type="dxa"/>
            <w:vAlign w:val="bottom"/>
            <w:tcBorders>
              <w:bottom w:val="single" w:sz="8" w:color="BFBFBF"/>
            </w:tcBorders>
          </w:tcPr>
          <w:p>
            <w:pPr>
              <w:spacing w:after="0" w:line="20" w:lineRule="exact"/>
              <w:rPr>
                <w:sz w:val="1"/>
                <w:szCs w:val="1"/>
                <w:color w:val="auto"/>
              </w:rPr>
            </w:pPr>
          </w:p>
        </w:tc>
        <w:tc>
          <w:tcPr>
            <w:tcW w:w="16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900" w:type="dxa"/>
            <w:vAlign w:val="bottom"/>
            <w:tcBorders>
              <w:bottom w:val="single" w:sz="8" w:color="BFBFBF"/>
            </w:tcBorders>
          </w:tcPr>
          <w:p>
            <w:pPr>
              <w:spacing w:after="0" w:line="20" w:lineRule="exact"/>
              <w:rPr>
                <w:sz w:val="1"/>
                <w:szCs w:val="1"/>
                <w:color w:val="auto"/>
              </w:rPr>
            </w:pPr>
          </w:p>
        </w:tc>
        <w:tc>
          <w:tcPr>
            <w:tcW w:w="160" w:type="dxa"/>
            <w:vAlign w:val="bottom"/>
            <w:tcBorders>
              <w:bottom w:val="single" w:sz="8" w:color="BFBFBF"/>
            </w:tcBorders>
          </w:tcPr>
          <w:p>
            <w:pPr>
              <w:spacing w:after="0" w:line="20" w:lineRule="exact"/>
              <w:rPr>
                <w:sz w:val="1"/>
                <w:szCs w:val="1"/>
                <w:color w:val="auto"/>
              </w:rPr>
            </w:pPr>
          </w:p>
        </w:tc>
        <w:tc>
          <w:tcPr>
            <w:tcW w:w="30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76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340" w:type="dxa"/>
            <w:vAlign w:val="bottom"/>
            <w:tcBorders>
              <w:bottom w:val="single" w:sz="8" w:color="BFBFBF"/>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-3429635</wp:posOffset>
            </wp:positionV>
            <wp:extent cx="889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-3429635</wp:posOffset>
            </wp:positionV>
            <wp:extent cx="889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889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-1054100</wp:posOffset>
            </wp:positionV>
            <wp:extent cx="889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86" w:lineRule="exact"/>
        <w:rPr>
          <w:sz w:val="20"/>
          <w:szCs w:val="20"/>
          <w:color w:val="auto"/>
        </w:rPr>
      </w:pPr>
    </w:p>
    <w:p>
      <w:pPr>
        <w:ind w:left="220" w:right="340" w:hanging="215"/>
        <w:spacing w:after="0" w:line="238" w:lineRule="auto"/>
        <w:rPr>
          <w:sz w:val="20"/>
          <w:szCs w:val="20"/>
          <w:color w:val="auto"/>
        </w:rPr>
      </w:pPr>
      <w:r>
        <w:rPr>
          <w:rFonts w:ascii="Arial" w:cs="Arial" w:eastAsia="Arial" w:hAnsi="Arial"/>
          <w:sz w:val="18"/>
          <w:szCs w:val="18"/>
          <w:color w:val="auto"/>
        </w:rPr>
        <w:t>(1)In the event of death, unvested PSU awards will vest at the later of the date of death or the completion of the performance period(s) for such awards. The value of Mr. Shavel’s 2012 PSU award is not included in this calculation since the performance period for this grant will not conclude until December 31, 2014.</w:t>
      </w:r>
    </w:p>
    <w:p>
      <w:pPr>
        <w:spacing w:after="0" w:line="141"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74</w:t>
      </w:r>
    </w:p>
    <w:p>
      <w:pPr>
        <w:sectPr>
          <w:pgSz w:w="11900" w:h="16838" w:orient="portrait"/>
          <w:cols w:equalWidth="0" w:num="1">
            <w:col w:w="11440"/>
          </w:cols>
          <w:pgMar w:left="240" w:top="459" w:right="2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680" w:type="dxa"/>
            <w:vAlign w:val="bottom"/>
            <w:tcBorders>
              <w:left w:val="single" w:sz="8" w:color="BFBFBF"/>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20" w:type="dxa"/>
            <w:vAlign w:val="bottom"/>
            <w:shd w:val="clear" w:color="auto" w:fill="0088A6"/>
          </w:tcPr>
          <w:p>
            <w:pPr>
              <w:spacing w:after="0"/>
              <w:rPr>
                <w:sz w:val="14"/>
                <w:szCs w:val="14"/>
                <w:color w:val="auto"/>
              </w:rPr>
            </w:pPr>
          </w:p>
        </w:tc>
        <w:tc>
          <w:tcPr>
            <w:tcW w:w="780" w:type="dxa"/>
            <w:vAlign w:val="bottom"/>
            <w:shd w:val="clear" w:color="auto" w:fill="0088A6"/>
          </w:tcPr>
          <w:p>
            <w:pPr>
              <w:spacing w:after="0"/>
              <w:rPr>
                <w:sz w:val="14"/>
                <w:szCs w:val="14"/>
                <w:color w:val="auto"/>
              </w:rPr>
            </w:pPr>
          </w:p>
        </w:tc>
        <w:tc>
          <w:tcPr>
            <w:tcW w:w="36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40" w:type="dxa"/>
            <w:vAlign w:val="bottom"/>
            <w:shd w:val="clear" w:color="auto" w:fill="0088A6"/>
          </w:tcPr>
          <w:p>
            <w:pPr>
              <w:spacing w:after="0"/>
              <w:rPr>
                <w:sz w:val="14"/>
                <w:szCs w:val="14"/>
                <w:color w:val="auto"/>
              </w:rPr>
            </w:pPr>
          </w:p>
        </w:tc>
        <w:tc>
          <w:tcPr>
            <w:tcW w:w="960" w:type="dxa"/>
            <w:vAlign w:val="bottom"/>
            <w:shd w:val="clear" w:color="auto" w:fill="0088A6"/>
          </w:tcPr>
          <w:p>
            <w:pPr>
              <w:spacing w:after="0"/>
              <w:rPr>
                <w:sz w:val="14"/>
                <w:szCs w:val="14"/>
                <w:color w:val="auto"/>
              </w:rPr>
            </w:pPr>
          </w:p>
        </w:tc>
        <w:tc>
          <w:tcPr>
            <w:tcW w:w="46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240" w:type="dxa"/>
            <w:vAlign w:val="bottom"/>
            <w:shd w:val="clear" w:color="auto" w:fill="0088A6"/>
          </w:tcPr>
          <w:p>
            <w:pPr>
              <w:spacing w:after="0"/>
              <w:rPr>
                <w:sz w:val="14"/>
                <w:szCs w:val="14"/>
                <w:color w:val="auto"/>
              </w:rPr>
            </w:pPr>
          </w:p>
        </w:tc>
        <w:tc>
          <w:tcPr>
            <w:tcW w:w="920" w:type="dxa"/>
            <w:vAlign w:val="bottom"/>
            <w:shd w:val="clear" w:color="auto" w:fill="0088A6"/>
          </w:tcPr>
          <w:p>
            <w:pPr>
              <w:spacing w:after="0"/>
              <w:rPr>
                <w:sz w:val="14"/>
                <w:szCs w:val="14"/>
                <w:color w:val="auto"/>
              </w:rPr>
            </w:pPr>
          </w:p>
        </w:tc>
        <w:tc>
          <w:tcPr>
            <w:tcW w:w="46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40" w:type="dxa"/>
            <w:vAlign w:val="bottom"/>
            <w:shd w:val="clear" w:color="auto" w:fill="0088A6"/>
          </w:tcPr>
          <w:p>
            <w:pPr>
              <w:spacing w:after="0"/>
              <w:rPr>
                <w:sz w:val="14"/>
                <w:szCs w:val="14"/>
                <w:color w:val="auto"/>
              </w:rPr>
            </w:pPr>
          </w:p>
        </w:tc>
        <w:tc>
          <w:tcPr>
            <w:tcW w:w="780" w:type="dxa"/>
            <w:vAlign w:val="bottom"/>
            <w:shd w:val="clear" w:color="auto" w:fill="0088A6"/>
          </w:tcPr>
          <w:p>
            <w:pPr>
              <w:spacing w:after="0"/>
              <w:rPr>
                <w:sz w:val="14"/>
                <w:szCs w:val="14"/>
                <w:color w:val="auto"/>
              </w:rPr>
            </w:pPr>
          </w:p>
        </w:tc>
        <w:tc>
          <w:tcPr>
            <w:tcW w:w="46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40" w:type="dxa"/>
            <w:vAlign w:val="bottom"/>
            <w:shd w:val="clear" w:color="auto" w:fill="0088A6"/>
          </w:tcPr>
          <w:p>
            <w:pPr>
              <w:spacing w:after="0"/>
              <w:rPr>
                <w:sz w:val="14"/>
                <w:szCs w:val="14"/>
                <w:color w:val="auto"/>
              </w:rPr>
            </w:pPr>
          </w:p>
        </w:tc>
        <w:tc>
          <w:tcPr>
            <w:tcW w:w="1400" w:type="dxa"/>
            <w:vAlign w:val="bottom"/>
            <w:tcBorders>
              <w:right w:val="single" w:sz="8" w:color="BFBFBF"/>
            </w:tcBorders>
            <w:gridSpan w:val="2"/>
            <w:shd w:val="clear" w:color="auto" w:fill="0088A6"/>
          </w:tcPr>
          <w:p>
            <w:pPr>
              <w:jc w:val="center"/>
              <w:ind w:right="600"/>
              <w:spacing w:after="0"/>
              <w:rPr>
                <w:sz w:val="20"/>
                <w:szCs w:val="20"/>
                <w:color w:val="auto"/>
              </w:rPr>
            </w:pPr>
            <w:r>
              <w:rPr>
                <w:rFonts w:ascii="Arial" w:cs="Arial" w:eastAsia="Arial" w:hAnsi="Arial"/>
                <w:sz w:val="14"/>
                <w:szCs w:val="14"/>
                <w:b w:val="1"/>
                <w:bCs w:val="1"/>
                <w:color w:val="FFFFFF"/>
                <w:w w:val="94"/>
              </w:rPr>
              <w:t>Termination</w:t>
            </w:r>
          </w:p>
        </w:tc>
        <w:tc>
          <w:tcPr>
            <w:tcW w:w="0" w:type="dxa"/>
            <w:vAlign w:val="bottom"/>
          </w:tcPr>
          <w:p>
            <w:pPr>
              <w:spacing w:after="0"/>
              <w:rPr>
                <w:sz w:val="1"/>
                <w:szCs w:val="1"/>
                <w:color w:val="auto"/>
              </w:rPr>
            </w:pPr>
          </w:p>
        </w:tc>
      </w:tr>
      <w:tr>
        <w:trPr>
          <w:trHeight w:val="149"/>
        </w:trPr>
        <w:tc>
          <w:tcPr>
            <w:tcW w:w="368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780" w:type="dxa"/>
            <w:vAlign w:val="bottom"/>
            <w:shd w:val="clear" w:color="auto" w:fill="0088A6"/>
          </w:tcPr>
          <w:p>
            <w:pPr>
              <w:spacing w:after="0"/>
              <w:rPr>
                <w:sz w:val="12"/>
                <w:szCs w:val="12"/>
                <w:color w:val="auto"/>
              </w:rPr>
            </w:pPr>
          </w:p>
        </w:tc>
        <w:tc>
          <w:tcPr>
            <w:tcW w:w="3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960" w:type="dxa"/>
            <w:vAlign w:val="bottom"/>
            <w:shd w:val="clear" w:color="auto" w:fill="0088A6"/>
          </w:tcPr>
          <w:p>
            <w:pPr>
              <w:spacing w:after="0"/>
              <w:rPr>
                <w:sz w:val="12"/>
                <w:szCs w:val="12"/>
                <w:color w:val="auto"/>
              </w:rPr>
            </w:pP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240" w:type="dxa"/>
            <w:vAlign w:val="bottom"/>
            <w:shd w:val="clear" w:color="auto" w:fill="0088A6"/>
          </w:tcPr>
          <w:p>
            <w:pPr>
              <w:spacing w:after="0"/>
              <w:rPr>
                <w:sz w:val="12"/>
                <w:szCs w:val="12"/>
                <w:color w:val="auto"/>
              </w:rPr>
            </w:pPr>
          </w:p>
        </w:tc>
        <w:tc>
          <w:tcPr>
            <w:tcW w:w="920" w:type="dxa"/>
            <w:vAlign w:val="bottom"/>
            <w:shd w:val="clear" w:color="auto" w:fill="0088A6"/>
          </w:tcPr>
          <w:p>
            <w:pPr>
              <w:spacing w:after="0"/>
              <w:rPr>
                <w:sz w:val="12"/>
                <w:szCs w:val="12"/>
                <w:color w:val="auto"/>
              </w:rPr>
            </w:pP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780" w:type="dxa"/>
            <w:vAlign w:val="bottom"/>
            <w:shd w:val="clear" w:color="auto" w:fill="0088A6"/>
          </w:tcPr>
          <w:p>
            <w:pPr>
              <w:spacing w:after="0"/>
              <w:rPr>
                <w:sz w:val="12"/>
                <w:szCs w:val="12"/>
                <w:color w:val="auto"/>
              </w:rPr>
            </w:pP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400" w:type="dxa"/>
            <w:vAlign w:val="bottom"/>
            <w:tcBorders>
              <w:right w:val="single" w:sz="8" w:color="BFBFBF"/>
            </w:tcBorders>
            <w:gridSpan w:val="2"/>
            <w:shd w:val="clear" w:color="auto" w:fill="0088A6"/>
          </w:tcPr>
          <w:p>
            <w:pPr>
              <w:jc w:val="center"/>
              <w:ind w:right="600"/>
              <w:spacing w:after="0" w:line="149" w:lineRule="exact"/>
              <w:rPr>
                <w:sz w:val="20"/>
                <w:szCs w:val="20"/>
                <w:color w:val="auto"/>
              </w:rPr>
            </w:pPr>
            <w:r>
              <w:rPr>
                <w:rFonts w:ascii="Arial" w:cs="Arial" w:eastAsia="Arial" w:hAnsi="Arial"/>
                <w:sz w:val="14"/>
                <w:szCs w:val="14"/>
                <w:b w:val="1"/>
                <w:bCs w:val="1"/>
                <w:color w:val="FFFFFF"/>
                <w:w w:val="92"/>
              </w:rPr>
              <w:t>Due To</w:t>
            </w:r>
          </w:p>
        </w:tc>
        <w:tc>
          <w:tcPr>
            <w:tcW w:w="0" w:type="dxa"/>
            <w:vAlign w:val="bottom"/>
          </w:tcPr>
          <w:p>
            <w:pPr>
              <w:spacing w:after="0"/>
              <w:rPr>
                <w:sz w:val="1"/>
                <w:szCs w:val="1"/>
                <w:color w:val="auto"/>
              </w:rPr>
            </w:pPr>
          </w:p>
        </w:tc>
      </w:tr>
      <w:tr>
        <w:trPr>
          <w:trHeight w:val="149"/>
        </w:trPr>
        <w:tc>
          <w:tcPr>
            <w:tcW w:w="368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780" w:type="dxa"/>
            <w:vAlign w:val="bottom"/>
            <w:shd w:val="clear" w:color="auto" w:fill="0088A6"/>
          </w:tcPr>
          <w:p>
            <w:pPr>
              <w:spacing w:after="0"/>
              <w:rPr>
                <w:sz w:val="12"/>
                <w:szCs w:val="12"/>
                <w:color w:val="auto"/>
              </w:rPr>
            </w:pPr>
          </w:p>
        </w:tc>
        <w:tc>
          <w:tcPr>
            <w:tcW w:w="3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960" w:type="dxa"/>
            <w:vAlign w:val="bottom"/>
            <w:shd w:val="clear" w:color="auto" w:fill="0088A6"/>
          </w:tcPr>
          <w:p>
            <w:pPr>
              <w:spacing w:after="0"/>
              <w:rPr>
                <w:sz w:val="12"/>
                <w:szCs w:val="12"/>
                <w:color w:val="auto"/>
              </w:rPr>
            </w:pP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240" w:type="dxa"/>
            <w:vAlign w:val="bottom"/>
            <w:shd w:val="clear" w:color="auto" w:fill="0088A6"/>
          </w:tcPr>
          <w:p>
            <w:pPr>
              <w:spacing w:after="0"/>
              <w:rPr>
                <w:sz w:val="12"/>
                <w:szCs w:val="12"/>
                <w:color w:val="auto"/>
              </w:rPr>
            </w:pPr>
          </w:p>
        </w:tc>
        <w:tc>
          <w:tcPr>
            <w:tcW w:w="920" w:type="dxa"/>
            <w:vAlign w:val="bottom"/>
            <w:shd w:val="clear" w:color="auto" w:fill="0088A6"/>
          </w:tcPr>
          <w:p>
            <w:pPr>
              <w:spacing w:after="0"/>
              <w:rPr>
                <w:sz w:val="12"/>
                <w:szCs w:val="12"/>
                <w:color w:val="auto"/>
              </w:rPr>
            </w:pP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780" w:type="dxa"/>
            <w:vAlign w:val="bottom"/>
            <w:shd w:val="clear" w:color="auto" w:fill="0088A6"/>
          </w:tcPr>
          <w:p>
            <w:pPr>
              <w:spacing w:after="0"/>
              <w:rPr>
                <w:sz w:val="12"/>
                <w:szCs w:val="12"/>
                <w:color w:val="auto"/>
              </w:rPr>
            </w:pP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400" w:type="dxa"/>
            <w:vAlign w:val="bottom"/>
            <w:tcBorders>
              <w:right w:val="single" w:sz="8" w:color="BFBFBF"/>
            </w:tcBorders>
            <w:gridSpan w:val="2"/>
            <w:shd w:val="clear" w:color="auto" w:fill="0088A6"/>
          </w:tcPr>
          <w:p>
            <w:pPr>
              <w:jc w:val="center"/>
              <w:ind w:right="600"/>
              <w:spacing w:after="0" w:line="149" w:lineRule="exact"/>
              <w:rPr>
                <w:sz w:val="20"/>
                <w:szCs w:val="20"/>
                <w:color w:val="auto"/>
              </w:rPr>
            </w:pPr>
            <w:r>
              <w:rPr>
                <w:rFonts w:ascii="Arial" w:cs="Arial" w:eastAsia="Arial" w:hAnsi="Arial"/>
                <w:sz w:val="14"/>
                <w:szCs w:val="14"/>
                <w:b w:val="1"/>
                <w:bCs w:val="1"/>
                <w:color w:val="FFFFFF"/>
                <w:w w:val="94"/>
              </w:rPr>
              <w:t>Change in</w:t>
            </w:r>
          </w:p>
        </w:tc>
        <w:tc>
          <w:tcPr>
            <w:tcW w:w="0" w:type="dxa"/>
            <w:vAlign w:val="bottom"/>
          </w:tcPr>
          <w:p>
            <w:pPr>
              <w:spacing w:after="0"/>
              <w:rPr>
                <w:sz w:val="1"/>
                <w:szCs w:val="1"/>
                <w:color w:val="auto"/>
              </w:rPr>
            </w:pPr>
          </w:p>
        </w:tc>
      </w:tr>
      <w:tr>
        <w:trPr>
          <w:trHeight w:val="149"/>
        </w:trPr>
        <w:tc>
          <w:tcPr>
            <w:tcW w:w="368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60" w:type="dxa"/>
            <w:vAlign w:val="bottom"/>
            <w:tcBorders>
              <w:right w:val="single" w:sz="8" w:color="BFBFBF"/>
            </w:tcBorders>
            <w:gridSpan w:val="3"/>
            <w:shd w:val="clear" w:color="auto" w:fill="0088A6"/>
          </w:tcPr>
          <w:p>
            <w:pPr>
              <w:ind w:left="80"/>
              <w:spacing w:after="0" w:line="149" w:lineRule="exact"/>
              <w:rPr>
                <w:sz w:val="20"/>
                <w:szCs w:val="20"/>
                <w:color w:val="auto"/>
              </w:rPr>
            </w:pPr>
            <w:r>
              <w:rPr>
                <w:rFonts w:ascii="Arial" w:cs="Arial" w:eastAsia="Arial" w:hAnsi="Arial"/>
                <w:sz w:val="14"/>
                <w:szCs w:val="14"/>
                <w:b w:val="1"/>
                <w:bCs w:val="1"/>
                <w:color w:val="FFFFFF"/>
              </w:rPr>
              <w:t>Involuntary</w:t>
            </w: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960" w:type="dxa"/>
            <w:vAlign w:val="bottom"/>
            <w:shd w:val="clear" w:color="auto" w:fill="0088A6"/>
          </w:tcPr>
          <w:p>
            <w:pPr>
              <w:jc w:val="center"/>
              <w:ind w:right="72"/>
              <w:spacing w:after="0" w:line="149" w:lineRule="exact"/>
              <w:rPr>
                <w:sz w:val="20"/>
                <w:szCs w:val="20"/>
                <w:color w:val="auto"/>
              </w:rPr>
            </w:pPr>
            <w:r>
              <w:rPr>
                <w:rFonts w:ascii="Arial" w:cs="Arial" w:eastAsia="Arial" w:hAnsi="Arial"/>
                <w:sz w:val="14"/>
                <w:szCs w:val="14"/>
                <w:b w:val="1"/>
                <w:bCs w:val="1"/>
                <w:color w:val="FFFFFF"/>
                <w:w w:val="98"/>
              </w:rPr>
              <w:t>Involuntary</w:t>
            </w: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240" w:type="dxa"/>
            <w:vAlign w:val="bottom"/>
            <w:shd w:val="clear" w:color="auto" w:fill="0088A6"/>
          </w:tcPr>
          <w:p>
            <w:pPr>
              <w:spacing w:after="0"/>
              <w:rPr>
                <w:sz w:val="12"/>
                <w:szCs w:val="12"/>
                <w:color w:val="auto"/>
              </w:rPr>
            </w:pPr>
          </w:p>
        </w:tc>
        <w:tc>
          <w:tcPr>
            <w:tcW w:w="920" w:type="dxa"/>
            <w:vAlign w:val="bottom"/>
            <w:shd w:val="clear" w:color="auto" w:fill="0088A6"/>
          </w:tcPr>
          <w:p>
            <w:pPr>
              <w:spacing w:after="0"/>
              <w:rPr>
                <w:sz w:val="12"/>
                <w:szCs w:val="12"/>
                <w:color w:val="auto"/>
              </w:rPr>
            </w:pP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780" w:type="dxa"/>
            <w:vAlign w:val="bottom"/>
            <w:shd w:val="clear" w:color="auto" w:fill="0088A6"/>
          </w:tcPr>
          <w:p>
            <w:pPr>
              <w:spacing w:after="0"/>
              <w:rPr>
                <w:sz w:val="12"/>
                <w:szCs w:val="12"/>
                <w:color w:val="auto"/>
              </w:rPr>
            </w:pP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400" w:type="dxa"/>
            <w:vAlign w:val="bottom"/>
            <w:tcBorders>
              <w:right w:val="single" w:sz="8" w:color="BFBFBF"/>
            </w:tcBorders>
            <w:gridSpan w:val="2"/>
            <w:shd w:val="clear" w:color="auto" w:fill="0088A6"/>
          </w:tcPr>
          <w:p>
            <w:pPr>
              <w:jc w:val="center"/>
              <w:ind w:right="600"/>
              <w:spacing w:after="0" w:line="149" w:lineRule="exact"/>
              <w:rPr>
                <w:sz w:val="20"/>
                <w:szCs w:val="20"/>
                <w:color w:val="auto"/>
              </w:rPr>
            </w:pPr>
            <w:r>
              <w:rPr>
                <w:rFonts w:ascii="Arial" w:cs="Arial" w:eastAsia="Arial" w:hAnsi="Arial"/>
                <w:sz w:val="14"/>
                <w:szCs w:val="14"/>
                <w:b w:val="1"/>
                <w:bCs w:val="1"/>
                <w:color w:val="FFFFFF"/>
                <w:w w:val="96"/>
              </w:rPr>
              <w:t>Control</w:t>
            </w:r>
          </w:p>
        </w:tc>
        <w:tc>
          <w:tcPr>
            <w:tcW w:w="0" w:type="dxa"/>
            <w:vAlign w:val="bottom"/>
          </w:tcPr>
          <w:p>
            <w:pPr>
              <w:spacing w:after="0"/>
              <w:rPr>
                <w:sz w:val="1"/>
                <w:szCs w:val="1"/>
                <w:color w:val="auto"/>
              </w:rPr>
            </w:pPr>
          </w:p>
        </w:tc>
      </w:tr>
      <w:tr>
        <w:trPr>
          <w:trHeight w:val="149"/>
        </w:trPr>
        <w:tc>
          <w:tcPr>
            <w:tcW w:w="3680" w:type="dxa"/>
            <w:vAlign w:val="bottom"/>
            <w:tcBorders>
              <w:left w:val="single" w:sz="8" w:color="BFBFBF"/>
              <w:right w:val="single" w:sz="8" w:color="BFBFBF"/>
            </w:tcBorders>
            <w:vMerge w:val="restart"/>
            <w:shd w:val="clear" w:color="auto" w:fill="0088A6"/>
          </w:tcPr>
          <w:p>
            <w:pPr>
              <w:ind w:left="160"/>
              <w:spacing w:after="0"/>
              <w:rPr>
                <w:sz w:val="20"/>
                <w:szCs w:val="20"/>
                <w:color w:val="auto"/>
              </w:rPr>
            </w:pPr>
            <w:r>
              <w:rPr>
                <w:rFonts w:ascii="Arial" w:cs="Arial" w:eastAsia="Arial" w:hAnsi="Arial"/>
                <w:sz w:val="14"/>
                <w:szCs w:val="14"/>
                <w:b w:val="1"/>
                <w:bCs w:val="1"/>
                <w:color w:val="FFFFFF"/>
              </w:rPr>
              <w:t>Anna M. Ewing</w:t>
            </w:r>
          </w:p>
        </w:tc>
        <w:tc>
          <w:tcPr>
            <w:tcW w:w="80" w:type="dxa"/>
            <w:vAlign w:val="bottom"/>
            <w:shd w:val="clear" w:color="auto" w:fill="0088A6"/>
          </w:tcPr>
          <w:p>
            <w:pPr>
              <w:spacing w:after="0"/>
              <w:rPr>
                <w:sz w:val="12"/>
                <w:szCs w:val="12"/>
                <w:color w:val="auto"/>
              </w:rPr>
            </w:pPr>
          </w:p>
        </w:tc>
        <w:tc>
          <w:tcPr>
            <w:tcW w:w="1260" w:type="dxa"/>
            <w:vAlign w:val="bottom"/>
            <w:tcBorders>
              <w:right w:val="single" w:sz="8" w:color="BFBFBF"/>
            </w:tcBorders>
            <w:gridSpan w:val="3"/>
            <w:shd w:val="clear" w:color="auto" w:fill="0088A6"/>
          </w:tcPr>
          <w:p>
            <w:pPr>
              <w:ind w:left="40"/>
              <w:spacing w:after="0" w:line="149" w:lineRule="exact"/>
              <w:rPr>
                <w:sz w:val="20"/>
                <w:szCs w:val="20"/>
                <w:color w:val="auto"/>
              </w:rPr>
            </w:pPr>
            <w:r>
              <w:rPr>
                <w:rFonts w:ascii="Arial" w:cs="Arial" w:eastAsia="Arial" w:hAnsi="Arial"/>
                <w:sz w:val="14"/>
                <w:szCs w:val="14"/>
                <w:b w:val="1"/>
                <w:bCs w:val="1"/>
                <w:color w:val="FFFFFF"/>
              </w:rPr>
              <w:t>For Cause or</w:t>
            </w: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960" w:type="dxa"/>
            <w:vAlign w:val="bottom"/>
            <w:shd w:val="clear" w:color="auto" w:fill="0088A6"/>
          </w:tcPr>
          <w:p>
            <w:pPr>
              <w:jc w:val="center"/>
              <w:ind w:right="92"/>
              <w:spacing w:after="0" w:line="149" w:lineRule="exact"/>
              <w:rPr>
                <w:sz w:val="20"/>
                <w:szCs w:val="20"/>
                <w:color w:val="auto"/>
              </w:rPr>
            </w:pPr>
            <w:r>
              <w:rPr>
                <w:rFonts w:ascii="Arial" w:cs="Arial" w:eastAsia="Arial" w:hAnsi="Arial"/>
                <w:sz w:val="14"/>
                <w:szCs w:val="14"/>
                <w:b w:val="1"/>
                <w:bCs w:val="1"/>
                <w:color w:val="FFFFFF"/>
                <w:w w:val="96"/>
              </w:rPr>
              <w:t>Not For</w:t>
            </w: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240" w:type="dxa"/>
            <w:vAlign w:val="bottom"/>
            <w:shd w:val="clear" w:color="auto" w:fill="0088A6"/>
          </w:tcPr>
          <w:p>
            <w:pPr>
              <w:spacing w:after="0"/>
              <w:rPr>
                <w:sz w:val="12"/>
                <w:szCs w:val="12"/>
                <w:color w:val="auto"/>
              </w:rPr>
            </w:pPr>
          </w:p>
        </w:tc>
        <w:tc>
          <w:tcPr>
            <w:tcW w:w="920" w:type="dxa"/>
            <w:vAlign w:val="bottom"/>
            <w:shd w:val="clear" w:color="auto" w:fill="0088A6"/>
          </w:tcPr>
          <w:p>
            <w:pPr>
              <w:spacing w:after="0"/>
              <w:rPr>
                <w:sz w:val="12"/>
                <w:szCs w:val="12"/>
                <w:color w:val="auto"/>
              </w:rPr>
            </w:pP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780" w:type="dxa"/>
            <w:vAlign w:val="bottom"/>
            <w:shd w:val="clear" w:color="auto" w:fill="0088A6"/>
          </w:tcPr>
          <w:p>
            <w:pPr>
              <w:spacing w:after="0"/>
              <w:rPr>
                <w:sz w:val="12"/>
                <w:szCs w:val="12"/>
                <w:color w:val="auto"/>
              </w:rPr>
            </w:pPr>
          </w:p>
        </w:tc>
        <w:tc>
          <w:tcPr>
            <w:tcW w:w="46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1400" w:type="dxa"/>
            <w:vAlign w:val="bottom"/>
            <w:tcBorders>
              <w:right w:val="single" w:sz="8" w:color="BFBFBF"/>
            </w:tcBorders>
            <w:gridSpan w:val="2"/>
            <w:shd w:val="clear" w:color="auto" w:fill="0088A6"/>
          </w:tcPr>
          <w:p>
            <w:pPr>
              <w:jc w:val="center"/>
              <w:ind w:right="600"/>
              <w:spacing w:after="0" w:line="149" w:lineRule="exact"/>
              <w:rPr>
                <w:sz w:val="20"/>
                <w:szCs w:val="20"/>
                <w:color w:val="auto"/>
              </w:rPr>
            </w:pPr>
            <w:r>
              <w:rPr>
                <w:rFonts w:ascii="Arial" w:cs="Arial" w:eastAsia="Arial" w:hAnsi="Arial"/>
                <w:sz w:val="14"/>
                <w:szCs w:val="14"/>
                <w:b w:val="1"/>
                <w:bCs w:val="1"/>
                <w:color w:val="FFFFFF"/>
                <w:w w:val="94"/>
              </w:rPr>
              <w:t>(“Double</w:t>
            </w:r>
          </w:p>
        </w:tc>
        <w:tc>
          <w:tcPr>
            <w:tcW w:w="0" w:type="dxa"/>
            <w:vAlign w:val="bottom"/>
          </w:tcPr>
          <w:p>
            <w:pPr>
              <w:spacing w:after="0"/>
              <w:rPr>
                <w:sz w:val="1"/>
                <w:szCs w:val="1"/>
                <w:color w:val="auto"/>
              </w:rPr>
            </w:pPr>
          </w:p>
        </w:tc>
      </w:tr>
      <w:tr>
        <w:trPr>
          <w:trHeight w:val="205"/>
        </w:trPr>
        <w:tc>
          <w:tcPr>
            <w:tcW w:w="3680" w:type="dxa"/>
            <w:vAlign w:val="bottom"/>
            <w:tcBorders>
              <w:left w:val="single" w:sz="8" w:color="BFBFBF"/>
              <w:bottom w:val="single" w:sz="8" w:color="auto"/>
              <w:right w:val="single" w:sz="8" w:color="BFBFBF"/>
            </w:tcBorders>
            <w:vMerge w:val="continue"/>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780" w:type="dxa"/>
            <w:vAlign w:val="bottom"/>
            <w:tcBorders>
              <w:bottom w:val="single" w:sz="8" w:color="auto"/>
            </w:tcBorders>
            <w:shd w:val="clear" w:color="auto" w:fill="0088A6"/>
          </w:tcPr>
          <w:p>
            <w:pPr>
              <w:jc w:val="right"/>
              <w:ind w:right="72"/>
              <w:spacing w:after="0"/>
              <w:rPr>
                <w:sz w:val="20"/>
                <w:szCs w:val="20"/>
                <w:color w:val="auto"/>
              </w:rPr>
            </w:pPr>
            <w:r>
              <w:rPr>
                <w:rFonts w:ascii="Arial" w:cs="Arial" w:eastAsia="Arial" w:hAnsi="Arial"/>
                <w:sz w:val="14"/>
                <w:szCs w:val="14"/>
                <w:b w:val="1"/>
                <w:bCs w:val="1"/>
                <w:color w:val="FFFFFF"/>
                <w:w w:val="95"/>
              </w:rPr>
              <w:t>Voluntary</w:t>
            </w:r>
          </w:p>
        </w:tc>
        <w:tc>
          <w:tcPr>
            <w:tcW w:w="36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140" w:type="dxa"/>
            <w:vAlign w:val="bottom"/>
            <w:tcBorders>
              <w:bottom w:val="single" w:sz="8" w:color="auto"/>
            </w:tcBorders>
            <w:shd w:val="clear" w:color="auto" w:fill="0088A6"/>
          </w:tcPr>
          <w:p>
            <w:pPr>
              <w:spacing w:after="0"/>
              <w:rPr>
                <w:sz w:val="17"/>
                <w:szCs w:val="17"/>
                <w:color w:val="auto"/>
              </w:rPr>
            </w:pPr>
          </w:p>
        </w:tc>
        <w:tc>
          <w:tcPr>
            <w:tcW w:w="960" w:type="dxa"/>
            <w:vAlign w:val="bottom"/>
            <w:tcBorders>
              <w:bottom w:val="single" w:sz="8" w:color="auto"/>
            </w:tcBorders>
            <w:shd w:val="clear" w:color="auto" w:fill="0088A6"/>
          </w:tcPr>
          <w:p>
            <w:pPr>
              <w:jc w:val="center"/>
              <w:ind w:right="92"/>
              <w:spacing w:after="0"/>
              <w:rPr>
                <w:sz w:val="20"/>
                <w:szCs w:val="20"/>
                <w:color w:val="auto"/>
              </w:rPr>
            </w:pPr>
            <w:r>
              <w:rPr>
                <w:rFonts w:ascii="Arial" w:cs="Arial" w:eastAsia="Arial" w:hAnsi="Arial"/>
                <w:sz w:val="14"/>
                <w:szCs w:val="14"/>
                <w:b w:val="1"/>
                <w:bCs w:val="1"/>
                <w:color w:val="FFFFFF"/>
                <w:w w:val="95"/>
              </w:rPr>
              <w:t>Cause</w:t>
            </w:r>
          </w:p>
        </w:tc>
        <w:tc>
          <w:tcPr>
            <w:tcW w:w="46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240" w:type="dxa"/>
            <w:vAlign w:val="bottom"/>
            <w:tcBorders>
              <w:bottom w:val="single" w:sz="8" w:color="auto"/>
            </w:tcBorders>
            <w:shd w:val="clear" w:color="auto" w:fill="0088A6"/>
          </w:tcPr>
          <w:p>
            <w:pPr>
              <w:spacing w:after="0"/>
              <w:rPr>
                <w:sz w:val="17"/>
                <w:szCs w:val="17"/>
                <w:color w:val="auto"/>
              </w:rPr>
            </w:pPr>
          </w:p>
        </w:tc>
        <w:tc>
          <w:tcPr>
            <w:tcW w:w="920" w:type="dxa"/>
            <w:vAlign w:val="bottom"/>
            <w:tcBorders>
              <w:bottom w:val="single" w:sz="8" w:color="auto"/>
            </w:tcBorders>
            <w:shd w:val="clear" w:color="auto" w:fill="0088A6"/>
          </w:tcPr>
          <w:p>
            <w:pPr>
              <w:ind w:left="160"/>
              <w:spacing w:after="0"/>
              <w:rPr>
                <w:sz w:val="20"/>
                <w:szCs w:val="20"/>
                <w:color w:val="auto"/>
              </w:rPr>
            </w:pPr>
            <w:r>
              <w:rPr>
                <w:rFonts w:ascii="Arial" w:cs="Arial" w:eastAsia="Arial" w:hAnsi="Arial"/>
                <w:sz w:val="14"/>
                <w:szCs w:val="14"/>
                <w:b w:val="1"/>
                <w:bCs w:val="1"/>
                <w:color w:val="FFFFFF"/>
              </w:rPr>
              <w:t>Death</w:t>
            </w:r>
          </w:p>
        </w:tc>
        <w:tc>
          <w:tcPr>
            <w:tcW w:w="46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140" w:type="dxa"/>
            <w:vAlign w:val="bottom"/>
            <w:tcBorders>
              <w:bottom w:val="single" w:sz="8" w:color="auto"/>
            </w:tcBorders>
            <w:shd w:val="clear" w:color="auto" w:fill="0088A6"/>
          </w:tcPr>
          <w:p>
            <w:pPr>
              <w:spacing w:after="0"/>
              <w:rPr>
                <w:sz w:val="17"/>
                <w:szCs w:val="17"/>
                <w:color w:val="auto"/>
              </w:rPr>
            </w:pPr>
          </w:p>
        </w:tc>
        <w:tc>
          <w:tcPr>
            <w:tcW w:w="780" w:type="dxa"/>
            <w:vAlign w:val="bottom"/>
            <w:tcBorders>
              <w:bottom w:val="single" w:sz="8" w:color="auto"/>
            </w:tcBorders>
            <w:shd w:val="clear" w:color="auto" w:fill="0088A6"/>
          </w:tcPr>
          <w:p>
            <w:pPr>
              <w:jc w:val="right"/>
              <w:ind w:right="92"/>
              <w:spacing w:after="0"/>
              <w:rPr>
                <w:sz w:val="20"/>
                <w:szCs w:val="20"/>
                <w:color w:val="auto"/>
              </w:rPr>
            </w:pPr>
            <w:r>
              <w:rPr>
                <w:rFonts w:ascii="Arial" w:cs="Arial" w:eastAsia="Arial" w:hAnsi="Arial"/>
                <w:sz w:val="14"/>
                <w:szCs w:val="14"/>
                <w:b w:val="1"/>
                <w:bCs w:val="1"/>
                <w:color w:val="FFFFFF"/>
                <w:w w:val="96"/>
              </w:rPr>
              <w:t>Disability</w:t>
            </w:r>
          </w:p>
        </w:tc>
        <w:tc>
          <w:tcPr>
            <w:tcW w:w="46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140" w:type="dxa"/>
            <w:vAlign w:val="bottom"/>
            <w:tcBorders>
              <w:bottom w:val="single" w:sz="8" w:color="auto"/>
            </w:tcBorders>
            <w:shd w:val="clear" w:color="auto" w:fill="0088A6"/>
          </w:tcPr>
          <w:p>
            <w:pPr>
              <w:spacing w:after="0"/>
              <w:rPr>
                <w:sz w:val="17"/>
                <w:szCs w:val="17"/>
                <w:color w:val="auto"/>
              </w:rPr>
            </w:pPr>
          </w:p>
        </w:tc>
        <w:tc>
          <w:tcPr>
            <w:tcW w:w="940" w:type="dxa"/>
            <w:vAlign w:val="bottom"/>
            <w:tcBorders>
              <w:bottom w:val="single" w:sz="8" w:color="auto"/>
            </w:tcBorders>
            <w:shd w:val="clear" w:color="auto" w:fill="0088A6"/>
          </w:tcPr>
          <w:p>
            <w:pPr>
              <w:jc w:val="center"/>
              <w:ind w:right="72"/>
              <w:spacing w:after="0"/>
              <w:rPr>
                <w:sz w:val="20"/>
                <w:szCs w:val="20"/>
                <w:color w:val="auto"/>
              </w:rPr>
            </w:pPr>
            <w:r>
              <w:rPr>
                <w:rFonts w:ascii="Arial" w:cs="Arial" w:eastAsia="Arial" w:hAnsi="Arial"/>
                <w:sz w:val="14"/>
                <w:szCs w:val="14"/>
                <w:b w:val="1"/>
                <w:bCs w:val="1"/>
                <w:color w:val="FFFFFF"/>
                <w:w w:val="93"/>
              </w:rPr>
              <w:t>Trigger”)</w:t>
            </w:r>
          </w:p>
        </w:tc>
        <w:tc>
          <w:tcPr>
            <w:tcW w:w="460" w:type="dxa"/>
            <w:vAlign w:val="bottom"/>
            <w:tcBorders>
              <w:bottom w:val="single" w:sz="8" w:color="0088A6"/>
              <w:right w:val="single" w:sz="8" w:color="BFBFBF"/>
            </w:tcBorders>
            <w:shd w:val="clear" w:color="auto" w:fill="0088A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680" w:type="dxa"/>
            <w:vAlign w:val="bottom"/>
            <w:tcBorders>
              <w:top w:val="single" w:sz="8" w:color="BFBFBF"/>
              <w:left w:val="single" w:sz="8" w:color="BFBFBF"/>
              <w:bottom w:val="single" w:sz="8" w:color="BFBFBF"/>
              <w:right w:val="single" w:sz="8" w:color="BFBFBF"/>
            </w:tcBorders>
          </w:tcPr>
          <w:p>
            <w:pPr>
              <w:ind w:left="160"/>
              <w:spacing w:after="0" w:line="129" w:lineRule="exact"/>
              <w:rPr>
                <w:sz w:val="20"/>
                <w:szCs w:val="20"/>
                <w:color w:val="auto"/>
              </w:rPr>
            </w:pPr>
            <w:r>
              <w:rPr>
                <w:rFonts w:ascii="Arial" w:cs="Arial" w:eastAsia="Arial" w:hAnsi="Arial"/>
                <w:sz w:val="14"/>
                <w:szCs w:val="14"/>
                <w:color w:val="auto"/>
              </w:rPr>
              <w:t>Severance</w:t>
            </w:r>
          </w:p>
        </w:tc>
        <w:tc>
          <w:tcPr>
            <w:tcW w:w="200" w:type="dxa"/>
            <w:vAlign w:val="bottom"/>
            <w:tcBorders>
              <w:top w:val="single" w:sz="8" w:color="BFBFBF"/>
              <w:bottom w:val="single" w:sz="8" w:color="BFBFBF"/>
            </w:tcBorders>
            <w:gridSpan w:val="2"/>
          </w:tcPr>
          <w:p>
            <w:pPr>
              <w:ind w:left="120"/>
              <w:spacing w:after="0" w:line="129"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BFBFBF"/>
              <w:bottom w:val="single" w:sz="8" w:color="BFBFBF"/>
              <w:right w:val="single" w:sz="8" w:color="BFBFBF"/>
            </w:tcBorders>
            <w:gridSpan w:val="2"/>
          </w:tcPr>
          <w:p>
            <w:pPr>
              <w:jc w:val="right"/>
              <w:ind w:right="360"/>
              <w:spacing w:after="0" w:line="129" w:lineRule="exact"/>
              <w:rPr>
                <w:sz w:val="20"/>
                <w:szCs w:val="20"/>
                <w:color w:val="auto"/>
              </w:rPr>
            </w:pPr>
            <w:r>
              <w:rPr>
                <w:rFonts w:ascii="Arial" w:cs="Arial" w:eastAsia="Arial" w:hAnsi="Arial"/>
                <w:sz w:val="14"/>
                <w:szCs w:val="14"/>
                <w:color w:val="auto"/>
              </w:rPr>
              <w:t>0</w:t>
            </w:r>
          </w:p>
        </w:tc>
        <w:tc>
          <w:tcPr>
            <w:tcW w:w="80" w:type="dxa"/>
            <w:vAlign w:val="bottom"/>
            <w:tcBorders>
              <w:top w:val="single" w:sz="8" w:color="BFBFBF"/>
              <w:bottom w:val="single" w:sz="8" w:color="BFBFBF"/>
            </w:tcBorders>
          </w:tcPr>
          <w:p>
            <w:pPr>
              <w:spacing w:after="0"/>
              <w:rPr>
                <w:sz w:val="11"/>
                <w:szCs w:val="11"/>
                <w:color w:val="auto"/>
              </w:rPr>
            </w:pPr>
          </w:p>
        </w:tc>
        <w:tc>
          <w:tcPr>
            <w:tcW w:w="140" w:type="dxa"/>
            <w:vAlign w:val="bottom"/>
            <w:tcBorders>
              <w:top w:val="single" w:sz="8" w:color="BFBFBF"/>
              <w:bottom w:val="single" w:sz="8" w:color="BFBFBF"/>
            </w:tcBorders>
          </w:tcPr>
          <w:p>
            <w:pPr>
              <w:jc w:val="right"/>
              <w:spacing w:after="0" w:line="129"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BFBFBF"/>
              <w:bottom w:val="single" w:sz="8" w:color="BFBFBF"/>
            </w:tcBorders>
          </w:tcPr>
          <w:p>
            <w:pPr>
              <w:jc w:val="right"/>
              <w:ind w:right="92"/>
              <w:spacing w:after="0" w:line="129" w:lineRule="exact"/>
              <w:rPr>
                <w:sz w:val="20"/>
                <w:szCs w:val="20"/>
                <w:color w:val="auto"/>
              </w:rPr>
            </w:pPr>
            <w:r>
              <w:rPr>
                <w:rFonts w:ascii="Arial" w:cs="Arial" w:eastAsia="Arial" w:hAnsi="Arial"/>
                <w:sz w:val="14"/>
                <w:szCs w:val="14"/>
                <w:color w:val="auto"/>
              </w:rPr>
              <w:t>625,000</w:t>
            </w:r>
          </w:p>
        </w:tc>
        <w:tc>
          <w:tcPr>
            <w:tcW w:w="460" w:type="dxa"/>
            <w:vAlign w:val="bottom"/>
            <w:tcBorders>
              <w:top w:val="single" w:sz="8" w:color="BFBFBF"/>
              <w:bottom w:val="single" w:sz="8" w:color="BFBFBF"/>
              <w:right w:val="single" w:sz="8" w:color="BFBFBF"/>
            </w:tcBorders>
          </w:tcPr>
          <w:p>
            <w:pPr>
              <w:spacing w:after="0"/>
              <w:rPr>
                <w:sz w:val="11"/>
                <w:szCs w:val="11"/>
                <w:color w:val="auto"/>
              </w:rPr>
            </w:pPr>
          </w:p>
        </w:tc>
        <w:tc>
          <w:tcPr>
            <w:tcW w:w="320" w:type="dxa"/>
            <w:vAlign w:val="bottom"/>
            <w:tcBorders>
              <w:top w:val="single" w:sz="8" w:color="BFBFBF"/>
              <w:bottom w:val="single" w:sz="8" w:color="BFBFBF"/>
            </w:tcBorders>
            <w:gridSpan w:val="2"/>
          </w:tcPr>
          <w:p>
            <w:pPr>
              <w:jc w:val="right"/>
              <w:ind w:right="52"/>
              <w:spacing w:after="0" w:line="129"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BFBFBF"/>
              <w:bottom w:val="single" w:sz="8" w:color="BFBFBF"/>
            </w:tcBorders>
          </w:tcPr>
          <w:p>
            <w:pPr>
              <w:jc w:val="right"/>
              <w:ind w:right="132"/>
              <w:spacing w:after="0" w:line="129" w:lineRule="exact"/>
              <w:rPr>
                <w:sz w:val="20"/>
                <w:szCs w:val="20"/>
                <w:color w:val="auto"/>
              </w:rPr>
            </w:pPr>
            <w:r>
              <w:rPr>
                <w:rFonts w:ascii="Arial" w:cs="Arial" w:eastAsia="Arial" w:hAnsi="Arial"/>
                <w:sz w:val="14"/>
                <w:szCs w:val="14"/>
                <w:color w:val="auto"/>
              </w:rPr>
              <w:t>0</w:t>
            </w:r>
          </w:p>
        </w:tc>
        <w:tc>
          <w:tcPr>
            <w:tcW w:w="460" w:type="dxa"/>
            <w:vAlign w:val="bottom"/>
            <w:tcBorders>
              <w:top w:val="single" w:sz="8" w:color="BFBFBF"/>
              <w:bottom w:val="single" w:sz="8" w:color="BFBFBF"/>
              <w:right w:val="single" w:sz="8" w:color="BFBFBF"/>
            </w:tcBorders>
          </w:tcPr>
          <w:p>
            <w:pPr>
              <w:spacing w:after="0"/>
              <w:rPr>
                <w:sz w:val="11"/>
                <w:szCs w:val="11"/>
                <w:color w:val="auto"/>
              </w:rPr>
            </w:pPr>
          </w:p>
        </w:tc>
        <w:tc>
          <w:tcPr>
            <w:tcW w:w="22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BFBFBF"/>
              <w:bottom w:val="single" w:sz="8" w:color="BFBFBF"/>
            </w:tcBorders>
          </w:tcPr>
          <w:p>
            <w:pPr>
              <w:jc w:val="right"/>
              <w:ind w:right="12"/>
              <w:spacing w:after="0" w:line="129" w:lineRule="exact"/>
              <w:rPr>
                <w:sz w:val="20"/>
                <w:szCs w:val="20"/>
                <w:color w:val="auto"/>
              </w:rPr>
            </w:pPr>
            <w:r>
              <w:rPr>
                <w:rFonts w:ascii="Arial" w:cs="Arial" w:eastAsia="Arial" w:hAnsi="Arial"/>
                <w:sz w:val="14"/>
                <w:szCs w:val="14"/>
                <w:color w:val="auto"/>
              </w:rPr>
              <w:t>0</w:t>
            </w:r>
          </w:p>
        </w:tc>
        <w:tc>
          <w:tcPr>
            <w:tcW w:w="460" w:type="dxa"/>
            <w:vAlign w:val="bottom"/>
            <w:tcBorders>
              <w:top w:val="single" w:sz="8" w:color="BFBFBF"/>
              <w:bottom w:val="single" w:sz="8" w:color="BFBFBF"/>
              <w:right w:val="single" w:sz="8" w:color="BFBFBF"/>
            </w:tcBorders>
          </w:tcPr>
          <w:p>
            <w:pPr>
              <w:spacing w:after="0"/>
              <w:rPr>
                <w:sz w:val="11"/>
                <w:szCs w:val="11"/>
                <w:color w:val="auto"/>
              </w:rPr>
            </w:pPr>
          </w:p>
        </w:tc>
        <w:tc>
          <w:tcPr>
            <w:tcW w:w="22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BFBFBF"/>
              <w:bottom w:val="single" w:sz="8" w:color="BFBFBF"/>
            </w:tcBorders>
          </w:tcPr>
          <w:p>
            <w:pPr>
              <w:jc w:val="right"/>
              <w:ind w:right="12"/>
              <w:spacing w:after="0" w:line="129" w:lineRule="exact"/>
              <w:rPr>
                <w:sz w:val="20"/>
                <w:szCs w:val="20"/>
                <w:color w:val="auto"/>
              </w:rPr>
            </w:pPr>
            <w:r>
              <w:rPr>
                <w:rFonts w:ascii="Arial" w:cs="Arial" w:eastAsia="Arial" w:hAnsi="Arial"/>
                <w:sz w:val="14"/>
                <w:szCs w:val="14"/>
                <w:color w:val="auto"/>
              </w:rPr>
              <w:t>1,000,000</w:t>
            </w:r>
          </w:p>
        </w:tc>
        <w:tc>
          <w:tcPr>
            <w:tcW w:w="460" w:type="dxa"/>
            <w:vAlign w:val="bottom"/>
            <w:tcBorders>
              <w:top w:val="single" w:sz="8" w:color="BFBFBF"/>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8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Non-Equity Incentive  Compensation</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BFBFBF"/>
              <w:right w:val="single" w:sz="8" w:color="BFBFBF"/>
            </w:tcBorders>
            <w:gridSpan w:val="2"/>
          </w:tcPr>
          <w:p>
            <w:pPr>
              <w:jc w:val="right"/>
              <w:ind w:right="360"/>
              <w:spacing w:after="0" w:line="142" w:lineRule="exact"/>
              <w:rPr>
                <w:sz w:val="20"/>
                <w:szCs w:val="20"/>
                <w:color w:val="auto"/>
              </w:rPr>
            </w:pPr>
            <w:r>
              <w:rPr>
                <w:rFonts w:ascii="Arial" w:cs="Arial" w:eastAsia="Arial" w:hAnsi="Arial"/>
                <w:sz w:val="14"/>
                <w:szCs w:val="14"/>
                <w:color w:val="auto"/>
              </w:rPr>
              <w:t>0</w:t>
            </w:r>
          </w:p>
        </w:tc>
        <w:tc>
          <w:tcPr>
            <w:tcW w:w="8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574,125</w:t>
            </w:r>
          </w:p>
        </w:tc>
        <w:tc>
          <w:tcPr>
            <w:tcW w:w="46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BFBFBF"/>
            </w:tcBorders>
          </w:tcPr>
          <w:p>
            <w:pPr>
              <w:jc w:val="right"/>
              <w:ind w:right="132"/>
              <w:spacing w:after="0" w:line="142" w:lineRule="exact"/>
              <w:rPr>
                <w:sz w:val="20"/>
                <w:szCs w:val="20"/>
                <w:color w:val="auto"/>
              </w:rPr>
            </w:pPr>
            <w:r>
              <w:rPr>
                <w:rFonts w:ascii="Arial" w:cs="Arial" w:eastAsia="Arial" w:hAnsi="Arial"/>
                <w:sz w:val="14"/>
                <w:szCs w:val="14"/>
                <w:color w:val="auto"/>
              </w:rPr>
              <w:t>574,125</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574,125</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1,324,125</w:t>
            </w:r>
          </w:p>
        </w:tc>
        <w:tc>
          <w:tcPr>
            <w:tcW w:w="4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Stock Option Vesting</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BFBFBF"/>
              <w:right w:val="single" w:sz="8" w:color="BFBFBF"/>
            </w:tcBorders>
            <w:gridSpan w:val="2"/>
          </w:tcPr>
          <w:p>
            <w:pPr>
              <w:jc w:val="right"/>
              <w:ind w:right="360"/>
              <w:spacing w:after="0" w:line="142" w:lineRule="exact"/>
              <w:rPr>
                <w:sz w:val="20"/>
                <w:szCs w:val="20"/>
                <w:color w:val="auto"/>
              </w:rPr>
            </w:pPr>
            <w:r>
              <w:rPr>
                <w:rFonts w:ascii="Arial" w:cs="Arial" w:eastAsia="Arial" w:hAnsi="Arial"/>
                <w:sz w:val="14"/>
                <w:szCs w:val="14"/>
                <w:color w:val="auto"/>
              </w:rPr>
              <w:t>0</w:t>
            </w:r>
          </w:p>
        </w:tc>
        <w:tc>
          <w:tcPr>
            <w:tcW w:w="8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BFBFBF"/>
            </w:tcBorders>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181,639</w:t>
            </w:r>
          </w:p>
        </w:tc>
        <w:tc>
          <w:tcPr>
            <w:tcW w:w="4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Restricted Stock Vesting</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BFBFBF"/>
              <w:right w:val="single" w:sz="8" w:color="BFBFBF"/>
            </w:tcBorders>
            <w:gridSpan w:val="2"/>
          </w:tcPr>
          <w:p>
            <w:pPr>
              <w:jc w:val="right"/>
              <w:ind w:right="360"/>
              <w:spacing w:after="0" w:line="142" w:lineRule="exact"/>
              <w:rPr>
                <w:sz w:val="20"/>
                <w:szCs w:val="20"/>
                <w:color w:val="auto"/>
              </w:rPr>
            </w:pPr>
            <w:r>
              <w:rPr>
                <w:rFonts w:ascii="Arial" w:cs="Arial" w:eastAsia="Arial" w:hAnsi="Arial"/>
                <w:sz w:val="14"/>
                <w:szCs w:val="14"/>
                <w:color w:val="auto"/>
              </w:rPr>
              <w:t>0</w:t>
            </w:r>
          </w:p>
        </w:tc>
        <w:tc>
          <w:tcPr>
            <w:tcW w:w="8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BFBFBF"/>
            </w:tcBorders>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Performance Share Unit Vesting</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BFBFBF"/>
              <w:right w:val="single" w:sz="8" w:color="BFBFBF"/>
            </w:tcBorders>
            <w:gridSpan w:val="2"/>
          </w:tcPr>
          <w:p>
            <w:pPr>
              <w:jc w:val="right"/>
              <w:ind w:right="360"/>
              <w:spacing w:after="0" w:line="142" w:lineRule="exact"/>
              <w:rPr>
                <w:sz w:val="20"/>
                <w:szCs w:val="20"/>
                <w:color w:val="auto"/>
              </w:rPr>
            </w:pPr>
            <w:r>
              <w:rPr>
                <w:rFonts w:ascii="Arial" w:cs="Arial" w:eastAsia="Arial" w:hAnsi="Arial"/>
                <w:sz w:val="14"/>
                <w:szCs w:val="14"/>
                <w:color w:val="auto"/>
              </w:rPr>
              <w:t>0</w:t>
            </w:r>
          </w:p>
        </w:tc>
        <w:tc>
          <w:tcPr>
            <w:tcW w:w="8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BFBFBF"/>
            </w:tcBorders>
          </w:tcPr>
          <w:p>
            <w:pPr>
              <w:ind w:left="140"/>
              <w:spacing w:after="0" w:line="142" w:lineRule="exact"/>
              <w:rPr>
                <w:sz w:val="20"/>
                <w:szCs w:val="20"/>
                <w:color w:val="auto"/>
              </w:rPr>
            </w:pPr>
            <w:r>
              <w:rPr>
                <w:rFonts w:ascii="Arial" w:cs="Arial" w:eastAsia="Arial" w:hAnsi="Arial"/>
                <w:sz w:val="14"/>
                <w:szCs w:val="14"/>
                <w:color w:val="auto"/>
                <w:w w:val="95"/>
              </w:rPr>
              <w:t>1,478,333(1)</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1,975,859</w:t>
            </w:r>
          </w:p>
        </w:tc>
        <w:tc>
          <w:tcPr>
            <w:tcW w:w="4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Retirement Plan Benefits</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199,346</w:t>
            </w:r>
          </w:p>
        </w:tc>
        <w:tc>
          <w:tcPr>
            <w:tcW w:w="360" w:type="dxa"/>
            <w:vAlign w:val="bottom"/>
            <w:tcBorders>
              <w:bottom w:val="single" w:sz="8" w:color="BFBFBF"/>
              <w:right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199,346</w:t>
            </w:r>
          </w:p>
        </w:tc>
        <w:tc>
          <w:tcPr>
            <w:tcW w:w="46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BFBFBF"/>
            </w:tcBorders>
          </w:tcPr>
          <w:p>
            <w:pPr>
              <w:jc w:val="right"/>
              <w:ind w:right="132"/>
              <w:spacing w:after="0" w:line="142" w:lineRule="exact"/>
              <w:rPr>
                <w:sz w:val="20"/>
                <w:szCs w:val="20"/>
                <w:color w:val="auto"/>
              </w:rPr>
            </w:pPr>
            <w:r>
              <w:rPr>
                <w:rFonts w:ascii="Arial" w:cs="Arial" w:eastAsia="Arial" w:hAnsi="Arial"/>
                <w:sz w:val="14"/>
                <w:szCs w:val="14"/>
                <w:color w:val="auto"/>
              </w:rPr>
              <w:t>199,346</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199,346</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199,346</w:t>
            </w:r>
          </w:p>
        </w:tc>
        <w:tc>
          <w:tcPr>
            <w:tcW w:w="4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Health &amp; Welfare Benefits</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BFBFBF"/>
              <w:right w:val="single" w:sz="8" w:color="BFBFBF"/>
            </w:tcBorders>
            <w:gridSpan w:val="2"/>
          </w:tcPr>
          <w:p>
            <w:pPr>
              <w:jc w:val="right"/>
              <w:ind w:right="360"/>
              <w:spacing w:after="0" w:line="142" w:lineRule="exact"/>
              <w:rPr>
                <w:sz w:val="20"/>
                <w:szCs w:val="20"/>
                <w:color w:val="auto"/>
              </w:rPr>
            </w:pPr>
            <w:r>
              <w:rPr>
                <w:rFonts w:ascii="Arial" w:cs="Arial" w:eastAsia="Arial" w:hAnsi="Arial"/>
                <w:sz w:val="14"/>
                <w:szCs w:val="14"/>
                <w:color w:val="auto"/>
              </w:rPr>
              <w:t>0</w:t>
            </w:r>
          </w:p>
        </w:tc>
        <w:tc>
          <w:tcPr>
            <w:tcW w:w="8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BFBFBF"/>
            </w:tcBorders>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35,583</w:t>
            </w:r>
          </w:p>
        </w:tc>
        <w:tc>
          <w:tcPr>
            <w:tcW w:w="4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Outplacement Services</w:t>
            </w:r>
          </w:p>
        </w:tc>
        <w:tc>
          <w:tcPr>
            <w:tcW w:w="8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tcBorders>
          </w:tcPr>
          <w:p>
            <w:pPr>
              <w:ind w:left="40"/>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BFBFBF"/>
              <w:right w:val="single" w:sz="8" w:color="BFBFBF"/>
            </w:tcBorders>
            <w:gridSpan w:val="2"/>
          </w:tcPr>
          <w:p>
            <w:pPr>
              <w:jc w:val="right"/>
              <w:ind w:right="360"/>
              <w:spacing w:after="0" w:line="142" w:lineRule="exact"/>
              <w:rPr>
                <w:sz w:val="20"/>
                <w:szCs w:val="20"/>
                <w:color w:val="auto"/>
              </w:rPr>
            </w:pPr>
            <w:r>
              <w:rPr>
                <w:rFonts w:ascii="Arial" w:cs="Arial" w:eastAsia="Arial" w:hAnsi="Arial"/>
                <w:sz w:val="14"/>
                <w:szCs w:val="14"/>
                <w:color w:val="auto"/>
              </w:rPr>
              <w:t>0</w:t>
            </w:r>
          </w:p>
        </w:tc>
        <w:tc>
          <w:tcPr>
            <w:tcW w:w="80" w:type="dxa"/>
            <w:vAlign w:val="bottom"/>
            <w:tcBorders>
              <w:bottom w:val="single" w:sz="8" w:color="BFBFBF"/>
            </w:tcBorders>
          </w:tcPr>
          <w:p>
            <w:pPr>
              <w:spacing w:after="0"/>
              <w:rPr>
                <w:sz w:val="14"/>
                <w:szCs w:val="14"/>
                <w:color w:val="auto"/>
              </w:rPr>
            </w:pPr>
          </w:p>
        </w:tc>
        <w:tc>
          <w:tcPr>
            <w:tcW w:w="1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22,500</w:t>
            </w:r>
          </w:p>
        </w:tc>
        <w:tc>
          <w:tcPr>
            <w:tcW w:w="460" w:type="dxa"/>
            <w:vAlign w:val="bottom"/>
            <w:tcBorders>
              <w:bottom w:val="single" w:sz="8" w:color="BFBFBF"/>
              <w:right w:val="single" w:sz="8" w:color="BFBFBF"/>
            </w:tcBorders>
          </w:tcPr>
          <w:p>
            <w:pPr>
              <w:spacing w:after="0"/>
              <w:rPr>
                <w:sz w:val="14"/>
                <w:szCs w:val="14"/>
                <w:color w:val="auto"/>
              </w:rPr>
            </w:pPr>
          </w:p>
        </w:tc>
        <w:tc>
          <w:tcPr>
            <w:tcW w:w="320" w:type="dxa"/>
            <w:vAlign w:val="bottom"/>
            <w:tcBorders>
              <w:bottom w:val="single" w:sz="8" w:color="BFBFBF"/>
            </w:tcBorders>
            <w:gridSpan w:val="2"/>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BFBFBF"/>
            </w:tcBorders>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4"/>
                <w:szCs w:val="14"/>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BFBFBF"/>
              <w:right w:val="single" w:sz="8" w:color="BFBFBF"/>
            </w:tcBorders>
          </w:tcPr>
          <w:p>
            <w:pPr>
              <w:spacing w:after="0"/>
              <w:rPr>
                <w:sz w:val="14"/>
                <w:szCs w:val="14"/>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30,000</w:t>
            </w:r>
          </w:p>
        </w:tc>
        <w:tc>
          <w:tcPr>
            <w:tcW w:w="46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680" w:type="dxa"/>
            <w:vAlign w:val="bottom"/>
            <w:tcBorders>
              <w:left w:val="single" w:sz="8" w:color="BFBFBF"/>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780" w:type="dxa"/>
            <w:vAlign w:val="bottom"/>
            <w:tcBorders>
              <w:top w:val="single" w:sz="8" w:color="auto"/>
              <w:bottom w:val="single" w:sz="8" w:color="BFBFBF"/>
            </w:tcBorders>
          </w:tcPr>
          <w:p>
            <w:pPr>
              <w:spacing w:after="0"/>
              <w:rPr>
                <w:sz w:val="3"/>
                <w:szCs w:val="3"/>
                <w:color w:val="auto"/>
              </w:rPr>
            </w:pPr>
          </w:p>
        </w:tc>
        <w:tc>
          <w:tcPr>
            <w:tcW w:w="360" w:type="dxa"/>
            <w:vAlign w:val="bottom"/>
            <w:tcBorders>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140" w:type="dxa"/>
            <w:vAlign w:val="bottom"/>
            <w:tcBorders>
              <w:top w:val="single" w:sz="8" w:color="auto"/>
              <w:bottom w:val="single" w:sz="8" w:color="BFBFBF"/>
            </w:tcBorders>
          </w:tcPr>
          <w:p>
            <w:pPr>
              <w:spacing w:after="0"/>
              <w:rPr>
                <w:sz w:val="3"/>
                <w:szCs w:val="3"/>
                <w:color w:val="auto"/>
              </w:rPr>
            </w:pPr>
          </w:p>
        </w:tc>
        <w:tc>
          <w:tcPr>
            <w:tcW w:w="960" w:type="dxa"/>
            <w:vAlign w:val="bottom"/>
            <w:tcBorders>
              <w:top w:val="single" w:sz="8" w:color="auto"/>
              <w:bottom w:val="single" w:sz="8" w:color="BFBFBF"/>
            </w:tcBorders>
          </w:tcPr>
          <w:p>
            <w:pPr>
              <w:spacing w:after="0"/>
              <w:rPr>
                <w:sz w:val="3"/>
                <w:szCs w:val="3"/>
                <w:color w:val="auto"/>
              </w:rPr>
            </w:pPr>
          </w:p>
        </w:tc>
        <w:tc>
          <w:tcPr>
            <w:tcW w:w="460" w:type="dxa"/>
            <w:vAlign w:val="bottom"/>
            <w:tcBorders>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240" w:type="dxa"/>
            <w:vAlign w:val="bottom"/>
            <w:tcBorders>
              <w:top w:val="single" w:sz="8" w:color="auto"/>
              <w:bottom w:val="single" w:sz="8" w:color="BFBFBF"/>
            </w:tcBorders>
          </w:tcPr>
          <w:p>
            <w:pPr>
              <w:spacing w:after="0"/>
              <w:rPr>
                <w:sz w:val="3"/>
                <w:szCs w:val="3"/>
                <w:color w:val="auto"/>
              </w:rPr>
            </w:pPr>
          </w:p>
        </w:tc>
        <w:tc>
          <w:tcPr>
            <w:tcW w:w="920" w:type="dxa"/>
            <w:vAlign w:val="bottom"/>
            <w:tcBorders>
              <w:top w:val="single" w:sz="8" w:color="auto"/>
              <w:bottom w:val="single" w:sz="8" w:color="BFBFBF"/>
            </w:tcBorders>
          </w:tcPr>
          <w:p>
            <w:pPr>
              <w:spacing w:after="0"/>
              <w:rPr>
                <w:sz w:val="3"/>
                <w:szCs w:val="3"/>
                <w:color w:val="auto"/>
              </w:rPr>
            </w:pPr>
          </w:p>
        </w:tc>
        <w:tc>
          <w:tcPr>
            <w:tcW w:w="460" w:type="dxa"/>
            <w:vAlign w:val="bottom"/>
            <w:tcBorders>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140" w:type="dxa"/>
            <w:vAlign w:val="bottom"/>
            <w:tcBorders>
              <w:top w:val="single" w:sz="8" w:color="auto"/>
              <w:bottom w:val="single" w:sz="8" w:color="BFBFBF"/>
            </w:tcBorders>
          </w:tcPr>
          <w:p>
            <w:pPr>
              <w:spacing w:after="0"/>
              <w:rPr>
                <w:sz w:val="3"/>
                <w:szCs w:val="3"/>
                <w:color w:val="auto"/>
              </w:rPr>
            </w:pPr>
          </w:p>
        </w:tc>
        <w:tc>
          <w:tcPr>
            <w:tcW w:w="780" w:type="dxa"/>
            <w:vAlign w:val="bottom"/>
            <w:tcBorders>
              <w:top w:val="single" w:sz="8" w:color="auto"/>
              <w:bottom w:val="single" w:sz="8" w:color="BFBFBF"/>
            </w:tcBorders>
          </w:tcPr>
          <w:p>
            <w:pPr>
              <w:spacing w:after="0"/>
              <w:rPr>
                <w:sz w:val="3"/>
                <w:szCs w:val="3"/>
                <w:color w:val="auto"/>
              </w:rPr>
            </w:pPr>
          </w:p>
        </w:tc>
        <w:tc>
          <w:tcPr>
            <w:tcW w:w="460" w:type="dxa"/>
            <w:vAlign w:val="bottom"/>
            <w:tcBorders>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140" w:type="dxa"/>
            <w:vAlign w:val="bottom"/>
            <w:tcBorders>
              <w:top w:val="single" w:sz="8" w:color="auto"/>
              <w:bottom w:val="single" w:sz="8" w:color="BFBFBF"/>
            </w:tcBorders>
          </w:tcPr>
          <w:p>
            <w:pPr>
              <w:spacing w:after="0"/>
              <w:rPr>
                <w:sz w:val="3"/>
                <w:szCs w:val="3"/>
                <w:color w:val="auto"/>
              </w:rPr>
            </w:pPr>
          </w:p>
        </w:tc>
        <w:tc>
          <w:tcPr>
            <w:tcW w:w="940" w:type="dxa"/>
            <w:vAlign w:val="bottom"/>
            <w:tcBorders>
              <w:top w:val="single" w:sz="8" w:color="auto"/>
              <w:bottom w:val="single" w:sz="8" w:color="BFBFBF"/>
            </w:tcBorders>
          </w:tcPr>
          <w:p>
            <w:pPr>
              <w:spacing w:after="0"/>
              <w:rPr>
                <w:sz w:val="3"/>
                <w:szCs w:val="3"/>
                <w:color w:val="auto"/>
              </w:rPr>
            </w:pPr>
          </w:p>
        </w:tc>
        <w:tc>
          <w:tcPr>
            <w:tcW w:w="460" w:type="dxa"/>
            <w:vAlign w:val="bottom"/>
            <w:tcBorders>
              <w:bottom w:val="single" w:sz="8" w:color="BFBFBF"/>
              <w:right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3680" w:type="dxa"/>
            <w:vAlign w:val="bottom"/>
            <w:tcBorders>
              <w:left w:val="single" w:sz="8" w:color="BFBFBF"/>
              <w:bottom w:val="single" w:sz="8" w:color="BFBFBF"/>
              <w:right w:val="single" w:sz="8" w:color="BFBFBF"/>
            </w:tcBorders>
          </w:tcPr>
          <w:p>
            <w:pPr>
              <w:ind w:left="160"/>
              <w:spacing w:after="0" w:line="130"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BFBFBF"/>
            </w:tcBorders>
          </w:tcPr>
          <w:p>
            <w:pPr>
              <w:spacing w:after="0"/>
              <w:rPr>
                <w:sz w:val="13"/>
                <w:szCs w:val="13"/>
                <w:color w:val="auto"/>
              </w:rPr>
            </w:pPr>
          </w:p>
        </w:tc>
        <w:tc>
          <w:tcPr>
            <w:tcW w:w="120" w:type="dxa"/>
            <w:vAlign w:val="bottom"/>
            <w:tcBorders>
              <w:bottom w:val="single" w:sz="8" w:color="BFBFBF"/>
            </w:tcBorders>
          </w:tcPr>
          <w:p>
            <w:pPr>
              <w:ind w:left="40"/>
              <w:spacing w:after="0" w:line="130"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199,346</w:t>
            </w:r>
          </w:p>
        </w:tc>
        <w:tc>
          <w:tcPr>
            <w:tcW w:w="360" w:type="dxa"/>
            <w:vAlign w:val="bottom"/>
            <w:tcBorders>
              <w:bottom w:val="single" w:sz="8" w:color="BFBFBF"/>
              <w:right w:val="single" w:sz="8" w:color="BFBFBF"/>
            </w:tcBorders>
          </w:tcPr>
          <w:p>
            <w:pPr>
              <w:spacing w:after="0"/>
              <w:rPr>
                <w:sz w:val="13"/>
                <w:szCs w:val="13"/>
                <w:color w:val="auto"/>
              </w:rPr>
            </w:pPr>
          </w:p>
        </w:tc>
        <w:tc>
          <w:tcPr>
            <w:tcW w:w="80" w:type="dxa"/>
            <w:vAlign w:val="bottom"/>
            <w:tcBorders>
              <w:bottom w:val="single" w:sz="8" w:color="BFBFBF"/>
            </w:tcBorders>
          </w:tcPr>
          <w:p>
            <w:pPr>
              <w:spacing w:after="0"/>
              <w:rPr>
                <w:sz w:val="13"/>
                <w:szCs w:val="13"/>
                <w:color w:val="auto"/>
              </w:rPr>
            </w:pPr>
          </w:p>
        </w:tc>
        <w:tc>
          <w:tcPr>
            <w:tcW w:w="14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92"/>
              <w:spacing w:after="0" w:line="130" w:lineRule="exact"/>
              <w:rPr>
                <w:sz w:val="20"/>
                <w:szCs w:val="20"/>
                <w:color w:val="auto"/>
              </w:rPr>
            </w:pPr>
            <w:r>
              <w:rPr>
                <w:rFonts w:ascii="Arial" w:cs="Arial" w:eastAsia="Arial" w:hAnsi="Arial"/>
                <w:sz w:val="14"/>
                <w:szCs w:val="14"/>
                <w:color w:val="auto"/>
              </w:rPr>
              <w:t>1,420,971</w:t>
            </w:r>
          </w:p>
        </w:tc>
        <w:tc>
          <w:tcPr>
            <w:tcW w:w="460" w:type="dxa"/>
            <w:vAlign w:val="bottom"/>
            <w:tcBorders>
              <w:bottom w:val="single" w:sz="8" w:color="BFBFBF"/>
              <w:right w:val="single" w:sz="8" w:color="BFBFBF"/>
            </w:tcBorders>
          </w:tcPr>
          <w:p>
            <w:pPr>
              <w:spacing w:after="0"/>
              <w:rPr>
                <w:sz w:val="13"/>
                <w:szCs w:val="13"/>
                <w:color w:val="auto"/>
              </w:rPr>
            </w:pPr>
          </w:p>
        </w:tc>
        <w:tc>
          <w:tcPr>
            <w:tcW w:w="80" w:type="dxa"/>
            <w:vAlign w:val="bottom"/>
            <w:tcBorders>
              <w:bottom w:val="single" w:sz="8" w:color="BFBFBF"/>
            </w:tcBorders>
          </w:tcPr>
          <w:p>
            <w:pPr>
              <w:spacing w:after="0"/>
              <w:rPr>
                <w:sz w:val="13"/>
                <w:szCs w:val="13"/>
                <w:color w:val="auto"/>
              </w:rPr>
            </w:pPr>
          </w:p>
        </w:tc>
        <w:tc>
          <w:tcPr>
            <w:tcW w:w="240" w:type="dxa"/>
            <w:vAlign w:val="bottom"/>
            <w:tcBorders>
              <w:bottom w:val="single" w:sz="8" w:color="BFBFBF"/>
            </w:tcBorders>
          </w:tcPr>
          <w:p>
            <w:pPr>
              <w:jc w:val="right"/>
              <w:ind w:right="52"/>
              <w:spacing w:after="0" w:line="130"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BFBFBF"/>
            </w:tcBorders>
          </w:tcPr>
          <w:p>
            <w:pPr>
              <w:jc w:val="right"/>
              <w:ind w:right="132"/>
              <w:spacing w:after="0" w:line="130" w:lineRule="exact"/>
              <w:rPr>
                <w:sz w:val="20"/>
                <w:szCs w:val="20"/>
                <w:color w:val="auto"/>
              </w:rPr>
            </w:pPr>
            <w:r>
              <w:rPr>
                <w:rFonts w:ascii="Arial" w:cs="Arial" w:eastAsia="Arial" w:hAnsi="Arial"/>
                <w:sz w:val="14"/>
                <w:szCs w:val="14"/>
                <w:color w:val="auto"/>
              </w:rPr>
              <w:t>2,251,804</w:t>
            </w:r>
          </w:p>
        </w:tc>
        <w:tc>
          <w:tcPr>
            <w:tcW w:w="460" w:type="dxa"/>
            <w:vAlign w:val="bottom"/>
            <w:tcBorders>
              <w:bottom w:val="single" w:sz="8" w:color="BFBFBF"/>
              <w:right w:val="single" w:sz="8" w:color="BFBFBF"/>
            </w:tcBorders>
          </w:tcPr>
          <w:p>
            <w:pPr>
              <w:spacing w:after="0"/>
              <w:rPr>
                <w:sz w:val="13"/>
                <w:szCs w:val="13"/>
                <w:color w:val="auto"/>
              </w:rPr>
            </w:pPr>
          </w:p>
        </w:tc>
        <w:tc>
          <w:tcPr>
            <w:tcW w:w="80" w:type="dxa"/>
            <w:vAlign w:val="bottom"/>
            <w:tcBorders>
              <w:bottom w:val="single" w:sz="8" w:color="BFBFBF"/>
            </w:tcBorders>
          </w:tcPr>
          <w:p>
            <w:pPr>
              <w:spacing w:after="0"/>
              <w:rPr>
                <w:sz w:val="13"/>
                <w:szCs w:val="13"/>
                <w:color w:val="auto"/>
              </w:rPr>
            </w:pPr>
          </w:p>
        </w:tc>
        <w:tc>
          <w:tcPr>
            <w:tcW w:w="14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BFBFBF"/>
            </w:tcBorders>
          </w:tcPr>
          <w:p>
            <w:pPr>
              <w:jc w:val="right"/>
              <w:ind w:right="12"/>
              <w:spacing w:after="0" w:line="130" w:lineRule="exact"/>
              <w:rPr>
                <w:sz w:val="20"/>
                <w:szCs w:val="20"/>
                <w:color w:val="auto"/>
              </w:rPr>
            </w:pPr>
            <w:r>
              <w:rPr>
                <w:rFonts w:ascii="Arial" w:cs="Arial" w:eastAsia="Arial" w:hAnsi="Arial"/>
                <w:sz w:val="14"/>
                <w:szCs w:val="14"/>
                <w:color w:val="auto"/>
              </w:rPr>
              <w:t>773,471</w:t>
            </w:r>
          </w:p>
        </w:tc>
        <w:tc>
          <w:tcPr>
            <w:tcW w:w="460" w:type="dxa"/>
            <w:vAlign w:val="bottom"/>
            <w:tcBorders>
              <w:bottom w:val="single" w:sz="8" w:color="BFBFBF"/>
              <w:right w:val="single" w:sz="8" w:color="BFBFBF"/>
            </w:tcBorders>
          </w:tcPr>
          <w:p>
            <w:pPr>
              <w:spacing w:after="0"/>
              <w:rPr>
                <w:sz w:val="13"/>
                <w:szCs w:val="13"/>
                <w:color w:val="auto"/>
              </w:rPr>
            </w:pPr>
          </w:p>
        </w:tc>
        <w:tc>
          <w:tcPr>
            <w:tcW w:w="80" w:type="dxa"/>
            <w:vAlign w:val="bottom"/>
            <w:tcBorders>
              <w:bottom w:val="single" w:sz="8" w:color="BFBFBF"/>
            </w:tcBorders>
          </w:tcPr>
          <w:p>
            <w:pPr>
              <w:spacing w:after="0"/>
              <w:rPr>
                <w:sz w:val="13"/>
                <w:szCs w:val="13"/>
                <w:color w:val="auto"/>
              </w:rPr>
            </w:pPr>
          </w:p>
        </w:tc>
        <w:tc>
          <w:tcPr>
            <w:tcW w:w="14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BFBFBF"/>
            </w:tcBorders>
          </w:tcPr>
          <w:p>
            <w:pPr>
              <w:jc w:val="right"/>
              <w:ind w:right="12"/>
              <w:spacing w:after="0" w:line="130" w:lineRule="exact"/>
              <w:rPr>
                <w:sz w:val="20"/>
                <w:szCs w:val="20"/>
                <w:color w:val="auto"/>
              </w:rPr>
            </w:pPr>
            <w:r>
              <w:rPr>
                <w:rFonts w:ascii="Arial" w:cs="Arial" w:eastAsia="Arial" w:hAnsi="Arial"/>
                <w:sz w:val="14"/>
                <w:szCs w:val="14"/>
                <w:color w:val="auto"/>
              </w:rPr>
              <w:t>4,746,552</w:t>
            </w:r>
          </w:p>
        </w:tc>
        <w:tc>
          <w:tcPr>
            <w:tcW w:w="460" w:type="dxa"/>
            <w:vAlign w:val="bottom"/>
            <w:tcBorders>
              <w:bottom w:val="single" w:sz="8" w:color="BFBFBF"/>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Borders>
              <w:left w:val="single" w:sz="8" w:color="BFBFB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80" w:type="dxa"/>
            <w:vAlign w:val="bottom"/>
            <w:tcBorders>
              <w:left w:val="single" w:sz="8" w:color="BFBFBF"/>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780" w:type="dxa"/>
            <w:vAlign w:val="bottom"/>
            <w:tcBorders>
              <w:bottom w:val="single" w:sz="8" w:color="BFBFBF"/>
            </w:tcBorders>
          </w:tcPr>
          <w:p>
            <w:pPr>
              <w:spacing w:after="0" w:line="20" w:lineRule="exact"/>
              <w:rPr>
                <w:sz w:val="1"/>
                <w:szCs w:val="1"/>
                <w:color w:val="auto"/>
              </w:rPr>
            </w:pPr>
          </w:p>
        </w:tc>
        <w:tc>
          <w:tcPr>
            <w:tcW w:w="36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40" w:type="dxa"/>
            <w:vAlign w:val="bottom"/>
            <w:tcBorders>
              <w:bottom w:val="single" w:sz="8" w:color="BFBFBF"/>
            </w:tcBorders>
          </w:tcPr>
          <w:p>
            <w:pPr>
              <w:spacing w:after="0" w:line="20" w:lineRule="exact"/>
              <w:rPr>
                <w:sz w:val="1"/>
                <w:szCs w:val="1"/>
                <w:color w:val="auto"/>
              </w:rPr>
            </w:pPr>
          </w:p>
        </w:tc>
        <w:tc>
          <w:tcPr>
            <w:tcW w:w="960" w:type="dxa"/>
            <w:vAlign w:val="bottom"/>
            <w:tcBorders>
              <w:bottom w:val="single" w:sz="8" w:color="BFBFBF"/>
            </w:tcBorders>
          </w:tcPr>
          <w:p>
            <w:pPr>
              <w:spacing w:after="0" w:line="20" w:lineRule="exact"/>
              <w:rPr>
                <w:sz w:val="1"/>
                <w:szCs w:val="1"/>
                <w:color w:val="auto"/>
              </w:rPr>
            </w:pPr>
          </w:p>
        </w:tc>
        <w:tc>
          <w:tcPr>
            <w:tcW w:w="46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240" w:type="dxa"/>
            <w:vAlign w:val="bottom"/>
            <w:tcBorders>
              <w:bottom w:val="single" w:sz="8" w:color="BFBFBF"/>
            </w:tcBorders>
          </w:tcPr>
          <w:p>
            <w:pPr>
              <w:spacing w:after="0" w:line="20" w:lineRule="exact"/>
              <w:rPr>
                <w:sz w:val="1"/>
                <w:szCs w:val="1"/>
                <w:color w:val="auto"/>
              </w:rPr>
            </w:pPr>
          </w:p>
        </w:tc>
        <w:tc>
          <w:tcPr>
            <w:tcW w:w="920" w:type="dxa"/>
            <w:vAlign w:val="bottom"/>
            <w:tcBorders>
              <w:bottom w:val="single" w:sz="8" w:color="BFBFBF"/>
            </w:tcBorders>
          </w:tcPr>
          <w:p>
            <w:pPr>
              <w:spacing w:after="0" w:line="20" w:lineRule="exact"/>
              <w:rPr>
                <w:sz w:val="1"/>
                <w:szCs w:val="1"/>
                <w:color w:val="auto"/>
              </w:rPr>
            </w:pPr>
          </w:p>
        </w:tc>
        <w:tc>
          <w:tcPr>
            <w:tcW w:w="46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40" w:type="dxa"/>
            <w:vAlign w:val="bottom"/>
            <w:tcBorders>
              <w:bottom w:val="single" w:sz="8" w:color="BFBFBF"/>
            </w:tcBorders>
          </w:tcPr>
          <w:p>
            <w:pPr>
              <w:spacing w:after="0" w:line="20" w:lineRule="exact"/>
              <w:rPr>
                <w:sz w:val="1"/>
                <w:szCs w:val="1"/>
                <w:color w:val="auto"/>
              </w:rPr>
            </w:pPr>
          </w:p>
        </w:tc>
        <w:tc>
          <w:tcPr>
            <w:tcW w:w="780" w:type="dxa"/>
            <w:vAlign w:val="bottom"/>
            <w:tcBorders>
              <w:bottom w:val="single" w:sz="8" w:color="BFBFBF"/>
            </w:tcBorders>
          </w:tcPr>
          <w:p>
            <w:pPr>
              <w:spacing w:after="0" w:line="20" w:lineRule="exact"/>
              <w:rPr>
                <w:sz w:val="1"/>
                <w:szCs w:val="1"/>
                <w:color w:val="auto"/>
              </w:rPr>
            </w:pPr>
          </w:p>
        </w:tc>
        <w:tc>
          <w:tcPr>
            <w:tcW w:w="46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40" w:type="dxa"/>
            <w:vAlign w:val="bottom"/>
            <w:tcBorders>
              <w:bottom w:val="single" w:sz="8" w:color="BFBFBF"/>
            </w:tcBorders>
          </w:tcPr>
          <w:p>
            <w:pPr>
              <w:spacing w:after="0" w:line="20" w:lineRule="exact"/>
              <w:rPr>
                <w:sz w:val="1"/>
                <w:szCs w:val="1"/>
                <w:color w:val="auto"/>
              </w:rPr>
            </w:pPr>
          </w:p>
        </w:tc>
        <w:tc>
          <w:tcPr>
            <w:tcW w:w="940" w:type="dxa"/>
            <w:vAlign w:val="bottom"/>
            <w:tcBorders>
              <w:bottom w:val="single" w:sz="8" w:color="BFBFBF"/>
            </w:tcBorders>
          </w:tcPr>
          <w:p>
            <w:pPr>
              <w:spacing w:after="0" w:line="20" w:lineRule="exact"/>
              <w:rPr>
                <w:sz w:val="1"/>
                <w:szCs w:val="1"/>
                <w:color w:val="auto"/>
              </w:rPr>
            </w:pPr>
          </w:p>
        </w:tc>
        <w:tc>
          <w:tcPr>
            <w:tcW w:w="460" w:type="dxa"/>
            <w:vAlign w:val="bottom"/>
            <w:tcBorders>
              <w:bottom w:val="single" w:sz="8" w:color="BFBFBF"/>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-1054100</wp:posOffset>
            </wp:positionV>
            <wp:extent cx="889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-1054100</wp:posOffset>
            </wp:positionV>
            <wp:extent cx="889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64" w:lineRule="exact"/>
        <w:rPr>
          <w:sz w:val="20"/>
          <w:szCs w:val="20"/>
          <w:color w:val="auto"/>
        </w:rPr>
      </w:pPr>
    </w:p>
    <w:p>
      <w:pPr>
        <w:ind w:left="340" w:right="220" w:hanging="332"/>
        <w:spacing w:after="0" w:line="238"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event of death, unvested PSU awards will vest at the later of the date of death or the completion of the performance period(s) for such awards. The value of Ms. Ewing’s 2012 PSU award is not included in this calculation since the performance period for this grant will not conclude until December 31, 2014.</w:t>
      </w:r>
    </w:p>
    <w:p>
      <w:pPr>
        <w:spacing w:after="0" w:line="200" w:lineRule="exact"/>
        <w:rPr>
          <w:sz w:val="20"/>
          <w:szCs w:val="20"/>
          <w:color w:val="auto"/>
        </w:rPr>
      </w:pP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500" w:type="dxa"/>
            <w:vAlign w:val="bottom"/>
            <w:tcBorders>
              <w:left w:val="single" w:sz="8" w:color="BFBFBF"/>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20" w:type="dxa"/>
            <w:vAlign w:val="bottom"/>
            <w:shd w:val="clear" w:color="auto" w:fill="0088A6"/>
          </w:tcPr>
          <w:p>
            <w:pPr>
              <w:spacing w:after="0"/>
              <w:rPr>
                <w:sz w:val="14"/>
                <w:szCs w:val="14"/>
                <w:color w:val="auto"/>
              </w:rPr>
            </w:pPr>
          </w:p>
        </w:tc>
        <w:tc>
          <w:tcPr>
            <w:tcW w:w="720" w:type="dxa"/>
            <w:vAlign w:val="bottom"/>
            <w:shd w:val="clear" w:color="auto" w:fill="0088A6"/>
          </w:tcPr>
          <w:p>
            <w:pPr>
              <w:spacing w:after="0"/>
              <w:rPr>
                <w:sz w:val="14"/>
                <w:szCs w:val="14"/>
                <w:color w:val="auto"/>
              </w:rPr>
            </w:pPr>
          </w:p>
        </w:tc>
        <w:tc>
          <w:tcPr>
            <w:tcW w:w="480" w:type="dxa"/>
            <w:vAlign w:val="bottom"/>
            <w:tcBorders>
              <w:right w:val="single" w:sz="8" w:color="0088A6"/>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20" w:type="dxa"/>
            <w:vAlign w:val="bottom"/>
            <w:shd w:val="clear" w:color="auto" w:fill="0088A6"/>
          </w:tcPr>
          <w:p>
            <w:pPr>
              <w:spacing w:after="0"/>
              <w:rPr>
                <w:sz w:val="14"/>
                <w:szCs w:val="14"/>
                <w:color w:val="auto"/>
              </w:rPr>
            </w:pPr>
          </w:p>
        </w:tc>
        <w:tc>
          <w:tcPr>
            <w:tcW w:w="900" w:type="dxa"/>
            <w:vAlign w:val="bottom"/>
            <w:shd w:val="clear" w:color="auto" w:fill="0088A6"/>
          </w:tcPr>
          <w:p>
            <w:pPr>
              <w:spacing w:after="0"/>
              <w:rPr>
                <w:sz w:val="14"/>
                <w:szCs w:val="14"/>
                <w:color w:val="auto"/>
              </w:rPr>
            </w:pPr>
          </w:p>
        </w:tc>
        <w:tc>
          <w:tcPr>
            <w:tcW w:w="60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80" w:type="dxa"/>
            <w:vAlign w:val="bottom"/>
            <w:shd w:val="clear" w:color="auto" w:fill="0088A6"/>
          </w:tcPr>
          <w:p>
            <w:pPr>
              <w:spacing w:after="0"/>
              <w:rPr>
                <w:sz w:val="14"/>
                <w:szCs w:val="14"/>
                <w:color w:val="auto"/>
              </w:rPr>
            </w:pPr>
          </w:p>
        </w:tc>
        <w:tc>
          <w:tcPr>
            <w:tcW w:w="840" w:type="dxa"/>
            <w:vAlign w:val="bottom"/>
            <w:shd w:val="clear" w:color="auto" w:fill="0088A6"/>
          </w:tcPr>
          <w:p>
            <w:pPr>
              <w:spacing w:after="0"/>
              <w:rPr>
                <w:sz w:val="14"/>
                <w:szCs w:val="14"/>
                <w:color w:val="auto"/>
              </w:rPr>
            </w:pPr>
          </w:p>
        </w:tc>
        <w:tc>
          <w:tcPr>
            <w:tcW w:w="600" w:type="dxa"/>
            <w:vAlign w:val="bottom"/>
            <w:tcBorders>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20" w:type="dxa"/>
            <w:vAlign w:val="bottom"/>
            <w:shd w:val="clear" w:color="auto" w:fill="0088A6"/>
          </w:tcPr>
          <w:p>
            <w:pPr>
              <w:spacing w:after="0"/>
              <w:rPr>
                <w:sz w:val="14"/>
                <w:szCs w:val="14"/>
                <w:color w:val="auto"/>
              </w:rPr>
            </w:pPr>
          </w:p>
        </w:tc>
        <w:tc>
          <w:tcPr>
            <w:tcW w:w="720" w:type="dxa"/>
            <w:vAlign w:val="bottom"/>
            <w:shd w:val="clear" w:color="auto" w:fill="0088A6"/>
          </w:tcPr>
          <w:p>
            <w:pPr>
              <w:spacing w:after="0"/>
              <w:rPr>
                <w:sz w:val="14"/>
                <w:szCs w:val="14"/>
                <w:color w:val="auto"/>
              </w:rPr>
            </w:pPr>
          </w:p>
        </w:tc>
        <w:tc>
          <w:tcPr>
            <w:tcW w:w="580" w:type="dxa"/>
            <w:vAlign w:val="bottom"/>
            <w:tcBorders>
              <w:right w:val="single" w:sz="8" w:color="BFBFBF"/>
            </w:tcBorders>
            <w:shd w:val="clear" w:color="auto" w:fill="0088A6"/>
          </w:tcPr>
          <w:p>
            <w:pPr>
              <w:spacing w:after="0"/>
              <w:rPr>
                <w:sz w:val="14"/>
                <w:szCs w:val="14"/>
                <w:color w:val="auto"/>
              </w:rPr>
            </w:pPr>
          </w:p>
        </w:tc>
        <w:tc>
          <w:tcPr>
            <w:tcW w:w="100" w:type="dxa"/>
            <w:vAlign w:val="bottom"/>
            <w:shd w:val="clear" w:color="auto" w:fill="0088A6"/>
          </w:tcPr>
          <w:p>
            <w:pPr>
              <w:spacing w:after="0"/>
              <w:rPr>
                <w:sz w:val="14"/>
                <w:szCs w:val="14"/>
                <w:color w:val="auto"/>
              </w:rPr>
            </w:pPr>
          </w:p>
        </w:tc>
        <w:tc>
          <w:tcPr>
            <w:tcW w:w="1540" w:type="dxa"/>
            <w:vAlign w:val="bottom"/>
            <w:tcBorders>
              <w:right w:val="single" w:sz="8" w:color="BFBFBF"/>
            </w:tcBorders>
            <w:gridSpan w:val="3"/>
            <w:shd w:val="clear" w:color="auto" w:fill="0088A6"/>
          </w:tcPr>
          <w:p>
            <w:pPr>
              <w:jc w:val="center"/>
              <w:ind w:right="580"/>
              <w:spacing w:after="0"/>
              <w:rPr>
                <w:sz w:val="20"/>
                <w:szCs w:val="20"/>
                <w:color w:val="auto"/>
              </w:rPr>
            </w:pPr>
            <w:r>
              <w:rPr>
                <w:rFonts w:ascii="Arial" w:cs="Arial" w:eastAsia="Arial" w:hAnsi="Arial"/>
                <w:sz w:val="14"/>
                <w:szCs w:val="14"/>
                <w:b w:val="1"/>
                <w:bCs w:val="1"/>
                <w:color w:val="FFFFFF"/>
                <w:w w:val="94"/>
              </w:rPr>
              <w:t>Termination</w:t>
            </w:r>
          </w:p>
        </w:tc>
        <w:tc>
          <w:tcPr>
            <w:tcW w:w="0" w:type="dxa"/>
            <w:vAlign w:val="bottom"/>
          </w:tcPr>
          <w:p>
            <w:pPr>
              <w:spacing w:after="0"/>
              <w:rPr>
                <w:sz w:val="1"/>
                <w:szCs w:val="1"/>
                <w:color w:val="auto"/>
              </w:rPr>
            </w:pPr>
          </w:p>
        </w:tc>
      </w:tr>
      <w:tr>
        <w:trPr>
          <w:trHeight w:val="149"/>
        </w:trPr>
        <w:tc>
          <w:tcPr>
            <w:tcW w:w="350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480" w:type="dxa"/>
            <w:vAlign w:val="bottom"/>
            <w:tcBorders>
              <w:right w:val="single" w:sz="8" w:color="0088A6"/>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84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58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20" w:type="dxa"/>
            <w:vAlign w:val="bottom"/>
            <w:tcBorders>
              <w:right w:val="single" w:sz="8" w:color="BFBFBF"/>
            </w:tcBorders>
            <w:gridSpan w:val="2"/>
            <w:shd w:val="clear" w:color="auto" w:fill="0088A6"/>
          </w:tcPr>
          <w:p>
            <w:pPr>
              <w:jc w:val="center"/>
              <w:ind w:right="720"/>
              <w:spacing w:after="0" w:line="149" w:lineRule="exact"/>
              <w:rPr>
                <w:sz w:val="20"/>
                <w:szCs w:val="20"/>
                <w:color w:val="auto"/>
              </w:rPr>
            </w:pPr>
            <w:r>
              <w:rPr>
                <w:rFonts w:ascii="Arial" w:cs="Arial" w:eastAsia="Arial" w:hAnsi="Arial"/>
                <w:sz w:val="14"/>
                <w:szCs w:val="14"/>
                <w:b w:val="1"/>
                <w:bCs w:val="1"/>
                <w:color w:val="FFFFFF"/>
                <w:w w:val="96"/>
              </w:rPr>
              <w:t>Due To</w:t>
            </w:r>
          </w:p>
        </w:tc>
        <w:tc>
          <w:tcPr>
            <w:tcW w:w="0" w:type="dxa"/>
            <w:vAlign w:val="bottom"/>
          </w:tcPr>
          <w:p>
            <w:pPr>
              <w:spacing w:after="0"/>
              <w:rPr>
                <w:sz w:val="1"/>
                <w:szCs w:val="1"/>
                <w:color w:val="auto"/>
              </w:rPr>
            </w:pPr>
          </w:p>
        </w:tc>
      </w:tr>
      <w:tr>
        <w:trPr>
          <w:trHeight w:val="149"/>
        </w:trPr>
        <w:tc>
          <w:tcPr>
            <w:tcW w:w="350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480" w:type="dxa"/>
            <w:vAlign w:val="bottom"/>
            <w:tcBorders>
              <w:right w:val="single" w:sz="8" w:color="0088A6"/>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84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58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20" w:type="dxa"/>
            <w:vAlign w:val="bottom"/>
            <w:tcBorders>
              <w:right w:val="single" w:sz="8" w:color="BFBFBF"/>
            </w:tcBorders>
            <w:gridSpan w:val="2"/>
            <w:shd w:val="clear" w:color="auto" w:fill="0088A6"/>
          </w:tcPr>
          <w:p>
            <w:pPr>
              <w:jc w:val="center"/>
              <w:ind w:right="720"/>
              <w:spacing w:after="0" w:line="149" w:lineRule="exact"/>
              <w:rPr>
                <w:sz w:val="20"/>
                <w:szCs w:val="20"/>
                <w:color w:val="auto"/>
              </w:rPr>
            </w:pPr>
            <w:r>
              <w:rPr>
                <w:rFonts w:ascii="Arial" w:cs="Arial" w:eastAsia="Arial" w:hAnsi="Arial"/>
                <w:sz w:val="14"/>
                <w:szCs w:val="14"/>
                <w:b w:val="1"/>
                <w:bCs w:val="1"/>
                <w:color w:val="FFFFFF"/>
                <w:w w:val="97"/>
              </w:rPr>
              <w:t>Change in</w:t>
            </w:r>
          </w:p>
        </w:tc>
        <w:tc>
          <w:tcPr>
            <w:tcW w:w="0" w:type="dxa"/>
            <w:vAlign w:val="bottom"/>
          </w:tcPr>
          <w:p>
            <w:pPr>
              <w:spacing w:after="0"/>
              <w:rPr>
                <w:sz w:val="1"/>
                <w:szCs w:val="1"/>
                <w:color w:val="auto"/>
              </w:rPr>
            </w:pPr>
          </w:p>
        </w:tc>
      </w:tr>
      <w:tr>
        <w:trPr>
          <w:trHeight w:val="149"/>
        </w:trPr>
        <w:tc>
          <w:tcPr>
            <w:tcW w:w="350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840" w:type="dxa"/>
            <w:vAlign w:val="bottom"/>
            <w:gridSpan w:val="2"/>
            <w:shd w:val="clear" w:color="auto" w:fill="0088A6"/>
          </w:tcPr>
          <w:p>
            <w:pPr>
              <w:ind w:left="60"/>
              <w:spacing w:after="0" w:line="149" w:lineRule="exact"/>
              <w:rPr>
                <w:sz w:val="20"/>
                <w:szCs w:val="20"/>
                <w:color w:val="auto"/>
              </w:rPr>
            </w:pPr>
            <w:r>
              <w:rPr>
                <w:rFonts w:ascii="Arial" w:cs="Arial" w:eastAsia="Arial" w:hAnsi="Arial"/>
                <w:sz w:val="14"/>
                <w:szCs w:val="14"/>
                <w:b w:val="1"/>
                <w:bCs w:val="1"/>
                <w:color w:val="FFFFFF"/>
              </w:rPr>
              <w:t>Involuntary</w:t>
            </w:r>
          </w:p>
        </w:tc>
        <w:tc>
          <w:tcPr>
            <w:tcW w:w="480" w:type="dxa"/>
            <w:vAlign w:val="bottom"/>
            <w:tcBorders>
              <w:right w:val="single" w:sz="8" w:color="0088A6"/>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jc w:val="center"/>
              <w:ind w:right="52"/>
              <w:spacing w:after="0" w:line="149" w:lineRule="exact"/>
              <w:rPr>
                <w:sz w:val="20"/>
                <w:szCs w:val="20"/>
                <w:color w:val="auto"/>
              </w:rPr>
            </w:pPr>
            <w:r>
              <w:rPr>
                <w:rFonts w:ascii="Arial" w:cs="Arial" w:eastAsia="Arial" w:hAnsi="Arial"/>
                <w:sz w:val="14"/>
                <w:szCs w:val="14"/>
                <w:b w:val="1"/>
                <w:bCs w:val="1"/>
                <w:color w:val="FFFFFF"/>
                <w:w w:val="98"/>
              </w:rPr>
              <w:t>Involuntary</w:t>
            </w:r>
          </w:p>
        </w:tc>
        <w:tc>
          <w:tcPr>
            <w:tcW w:w="6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84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58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20" w:type="dxa"/>
            <w:vAlign w:val="bottom"/>
            <w:tcBorders>
              <w:right w:val="single" w:sz="8" w:color="BFBFBF"/>
            </w:tcBorders>
            <w:gridSpan w:val="2"/>
            <w:shd w:val="clear" w:color="auto" w:fill="0088A6"/>
          </w:tcPr>
          <w:p>
            <w:pPr>
              <w:jc w:val="center"/>
              <w:ind w:right="700"/>
              <w:spacing w:after="0" w:line="149" w:lineRule="exact"/>
              <w:rPr>
                <w:sz w:val="20"/>
                <w:szCs w:val="20"/>
                <w:color w:val="auto"/>
              </w:rPr>
            </w:pPr>
            <w:r>
              <w:rPr>
                <w:rFonts w:ascii="Arial" w:cs="Arial" w:eastAsia="Arial" w:hAnsi="Arial"/>
                <w:sz w:val="14"/>
                <w:szCs w:val="14"/>
                <w:b w:val="1"/>
                <w:bCs w:val="1"/>
                <w:color w:val="FFFFFF"/>
                <w:w w:val="96"/>
              </w:rPr>
              <w:t>Control</w:t>
            </w:r>
          </w:p>
        </w:tc>
        <w:tc>
          <w:tcPr>
            <w:tcW w:w="0" w:type="dxa"/>
            <w:vAlign w:val="bottom"/>
          </w:tcPr>
          <w:p>
            <w:pPr>
              <w:spacing w:after="0"/>
              <w:rPr>
                <w:sz w:val="1"/>
                <w:szCs w:val="1"/>
                <w:color w:val="auto"/>
              </w:rPr>
            </w:pPr>
          </w:p>
        </w:tc>
      </w:tr>
      <w:tr>
        <w:trPr>
          <w:trHeight w:val="149"/>
        </w:trPr>
        <w:tc>
          <w:tcPr>
            <w:tcW w:w="3500" w:type="dxa"/>
            <w:vAlign w:val="bottom"/>
            <w:tcBorders>
              <w:left w:val="single" w:sz="8" w:color="BFBFBF"/>
              <w:right w:val="single" w:sz="8" w:color="BFBFBF"/>
            </w:tcBorders>
            <w:vMerge w:val="restart"/>
            <w:shd w:val="clear" w:color="auto" w:fill="0088A6"/>
          </w:tcPr>
          <w:p>
            <w:pPr>
              <w:ind w:left="160"/>
              <w:spacing w:after="0"/>
              <w:rPr>
                <w:sz w:val="20"/>
                <w:szCs w:val="20"/>
                <w:color w:val="auto"/>
              </w:rPr>
            </w:pPr>
            <w:r>
              <w:rPr>
                <w:rFonts w:ascii="Arial" w:cs="Arial" w:eastAsia="Arial" w:hAnsi="Arial"/>
                <w:sz w:val="14"/>
                <w:szCs w:val="14"/>
                <w:b w:val="1"/>
                <w:bCs w:val="1"/>
                <w:color w:val="FFFFFF"/>
              </w:rPr>
              <w:t>Hans-Ole Jochumsen(1)</w:t>
            </w:r>
          </w:p>
        </w:tc>
        <w:tc>
          <w:tcPr>
            <w:tcW w:w="80" w:type="dxa"/>
            <w:vAlign w:val="bottom"/>
            <w:shd w:val="clear" w:color="auto" w:fill="0088A6"/>
          </w:tcPr>
          <w:p>
            <w:pPr>
              <w:spacing w:after="0"/>
              <w:rPr>
                <w:sz w:val="12"/>
                <w:szCs w:val="12"/>
                <w:color w:val="auto"/>
              </w:rPr>
            </w:pPr>
          </w:p>
        </w:tc>
        <w:tc>
          <w:tcPr>
            <w:tcW w:w="840" w:type="dxa"/>
            <w:vAlign w:val="bottom"/>
            <w:gridSpan w:val="2"/>
            <w:shd w:val="clear" w:color="auto" w:fill="0088A6"/>
          </w:tcPr>
          <w:p>
            <w:pPr>
              <w:jc w:val="right"/>
              <w:spacing w:after="0" w:line="149" w:lineRule="exact"/>
              <w:rPr>
                <w:sz w:val="20"/>
                <w:szCs w:val="20"/>
                <w:color w:val="auto"/>
              </w:rPr>
            </w:pPr>
            <w:r>
              <w:rPr>
                <w:rFonts w:ascii="Arial" w:cs="Arial" w:eastAsia="Arial" w:hAnsi="Arial"/>
                <w:sz w:val="14"/>
                <w:szCs w:val="14"/>
                <w:b w:val="1"/>
                <w:bCs w:val="1"/>
                <w:color w:val="FFFFFF"/>
                <w:w w:val="94"/>
              </w:rPr>
              <w:t>For Cause or</w:t>
            </w:r>
          </w:p>
        </w:tc>
        <w:tc>
          <w:tcPr>
            <w:tcW w:w="480" w:type="dxa"/>
            <w:vAlign w:val="bottom"/>
            <w:tcBorders>
              <w:right w:val="single" w:sz="8" w:color="0088A6"/>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00" w:type="dxa"/>
            <w:vAlign w:val="bottom"/>
            <w:shd w:val="clear" w:color="auto" w:fill="0088A6"/>
          </w:tcPr>
          <w:p>
            <w:pPr>
              <w:jc w:val="center"/>
              <w:ind w:right="32"/>
              <w:spacing w:after="0" w:line="149" w:lineRule="exact"/>
              <w:rPr>
                <w:sz w:val="20"/>
                <w:szCs w:val="20"/>
                <w:color w:val="auto"/>
              </w:rPr>
            </w:pPr>
            <w:r>
              <w:rPr>
                <w:rFonts w:ascii="Arial" w:cs="Arial" w:eastAsia="Arial" w:hAnsi="Arial"/>
                <w:sz w:val="14"/>
                <w:szCs w:val="14"/>
                <w:b w:val="1"/>
                <w:bCs w:val="1"/>
                <w:color w:val="FFFFFF"/>
                <w:w w:val="96"/>
              </w:rPr>
              <w:t>Not For</w:t>
            </w:r>
          </w:p>
        </w:tc>
        <w:tc>
          <w:tcPr>
            <w:tcW w:w="6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840" w:type="dxa"/>
            <w:vAlign w:val="bottom"/>
            <w:shd w:val="clear" w:color="auto" w:fill="0088A6"/>
          </w:tcPr>
          <w:p>
            <w:pPr>
              <w:spacing w:after="0"/>
              <w:rPr>
                <w:sz w:val="12"/>
                <w:szCs w:val="12"/>
                <w:color w:val="auto"/>
              </w:rPr>
            </w:pPr>
          </w:p>
        </w:tc>
        <w:tc>
          <w:tcPr>
            <w:tcW w:w="600" w:type="dxa"/>
            <w:vAlign w:val="bottom"/>
            <w:tcBorders>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720" w:type="dxa"/>
            <w:vAlign w:val="bottom"/>
            <w:shd w:val="clear" w:color="auto" w:fill="0088A6"/>
          </w:tcPr>
          <w:p>
            <w:pPr>
              <w:spacing w:after="0"/>
              <w:rPr>
                <w:sz w:val="12"/>
                <w:szCs w:val="12"/>
                <w:color w:val="auto"/>
              </w:rPr>
            </w:pPr>
          </w:p>
        </w:tc>
        <w:tc>
          <w:tcPr>
            <w:tcW w:w="580" w:type="dxa"/>
            <w:vAlign w:val="bottom"/>
            <w:tcBorders>
              <w:right w:val="single" w:sz="8" w:color="BFBFBF"/>
            </w:tcBorders>
            <w:shd w:val="clear" w:color="auto" w:fill="0088A6"/>
          </w:tcPr>
          <w:p>
            <w:pPr>
              <w:spacing w:after="0"/>
              <w:rPr>
                <w:sz w:val="12"/>
                <w:szCs w:val="12"/>
                <w:color w:val="auto"/>
              </w:rPr>
            </w:pPr>
          </w:p>
        </w:tc>
        <w:tc>
          <w:tcPr>
            <w:tcW w:w="10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20" w:type="dxa"/>
            <w:vAlign w:val="bottom"/>
            <w:tcBorders>
              <w:right w:val="single" w:sz="8" w:color="BFBFBF"/>
            </w:tcBorders>
            <w:gridSpan w:val="2"/>
            <w:shd w:val="clear" w:color="auto" w:fill="0088A6"/>
          </w:tcPr>
          <w:p>
            <w:pPr>
              <w:jc w:val="center"/>
              <w:ind w:right="720"/>
              <w:spacing w:after="0" w:line="149" w:lineRule="exact"/>
              <w:rPr>
                <w:sz w:val="20"/>
                <w:szCs w:val="20"/>
                <w:color w:val="auto"/>
              </w:rPr>
            </w:pPr>
            <w:r>
              <w:rPr>
                <w:rFonts w:ascii="Arial" w:cs="Arial" w:eastAsia="Arial" w:hAnsi="Arial"/>
                <w:sz w:val="14"/>
                <w:szCs w:val="14"/>
                <w:b w:val="1"/>
                <w:bCs w:val="1"/>
                <w:color w:val="FFFFFF"/>
                <w:w w:val="98"/>
              </w:rPr>
              <w:t>(“Double</w:t>
            </w:r>
          </w:p>
        </w:tc>
        <w:tc>
          <w:tcPr>
            <w:tcW w:w="0" w:type="dxa"/>
            <w:vAlign w:val="bottom"/>
          </w:tcPr>
          <w:p>
            <w:pPr>
              <w:spacing w:after="0"/>
              <w:rPr>
                <w:sz w:val="1"/>
                <w:szCs w:val="1"/>
                <w:color w:val="auto"/>
              </w:rPr>
            </w:pPr>
          </w:p>
        </w:tc>
      </w:tr>
      <w:tr>
        <w:trPr>
          <w:trHeight w:val="205"/>
        </w:trPr>
        <w:tc>
          <w:tcPr>
            <w:tcW w:w="3500" w:type="dxa"/>
            <w:vAlign w:val="bottom"/>
            <w:tcBorders>
              <w:left w:val="single" w:sz="8" w:color="BFBFBF"/>
              <w:bottom w:val="single" w:sz="8" w:color="auto"/>
              <w:right w:val="single" w:sz="8" w:color="BFBFBF"/>
            </w:tcBorders>
            <w:vMerge w:val="continue"/>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720" w:type="dxa"/>
            <w:vAlign w:val="bottom"/>
            <w:tcBorders>
              <w:bottom w:val="single" w:sz="8" w:color="auto"/>
            </w:tcBorders>
            <w:shd w:val="clear" w:color="auto" w:fill="0088A6"/>
          </w:tcPr>
          <w:p>
            <w:pPr>
              <w:jc w:val="right"/>
              <w:ind w:right="32"/>
              <w:spacing w:after="0"/>
              <w:rPr>
                <w:sz w:val="20"/>
                <w:szCs w:val="20"/>
                <w:color w:val="auto"/>
              </w:rPr>
            </w:pPr>
            <w:r>
              <w:rPr>
                <w:rFonts w:ascii="Arial" w:cs="Arial" w:eastAsia="Arial" w:hAnsi="Arial"/>
                <w:sz w:val="14"/>
                <w:szCs w:val="14"/>
                <w:b w:val="1"/>
                <w:bCs w:val="1"/>
                <w:color w:val="FFFFFF"/>
                <w:w w:val="92"/>
              </w:rPr>
              <w:t>Voluntary</w:t>
            </w:r>
          </w:p>
        </w:tc>
        <w:tc>
          <w:tcPr>
            <w:tcW w:w="480" w:type="dxa"/>
            <w:vAlign w:val="bottom"/>
            <w:tcBorders>
              <w:bottom w:val="single" w:sz="8" w:color="0088A6"/>
              <w:right w:val="single" w:sz="8" w:color="0088A6"/>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900" w:type="dxa"/>
            <w:vAlign w:val="bottom"/>
            <w:tcBorders>
              <w:bottom w:val="single" w:sz="8" w:color="auto"/>
            </w:tcBorders>
            <w:shd w:val="clear" w:color="auto" w:fill="0088A6"/>
          </w:tcPr>
          <w:p>
            <w:pPr>
              <w:jc w:val="center"/>
              <w:ind w:right="52"/>
              <w:spacing w:after="0"/>
              <w:rPr>
                <w:sz w:val="20"/>
                <w:szCs w:val="20"/>
                <w:color w:val="auto"/>
              </w:rPr>
            </w:pPr>
            <w:r>
              <w:rPr>
                <w:rFonts w:ascii="Arial" w:cs="Arial" w:eastAsia="Arial" w:hAnsi="Arial"/>
                <w:sz w:val="14"/>
                <w:szCs w:val="14"/>
                <w:b w:val="1"/>
                <w:bCs w:val="1"/>
                <w:color w:val="FFFFFF"/>
                <w:w w:val="99"/>
              </w:rPr>
              <w:t>Cause</w:t>
            </w:r>
          </w:p>
        </w:tc>
        <w:tc>
          <w:tcPr>
            <w:tcW w:w="60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180" w:type="dxa"/>
            <w:vAlign w:val="bottom"/>
            <w:tcBorders>
              <w:bottom w:val="single" w:sz="8" w:color="auto"/>
            </w:tcBorders>
            <w:shd w:val="clear" w:color="auto" w:fill="0088A6"/>
          </w:tcPr>
          <w:p>
            <w:pPr>
              <w:spacing w:after="0"/>
              <w:rPr>
                <w:sz w:val="17"/>
                <w:szCs w:val="17"/>
                <w:color w:val="auto"/>
              </w:rPr>
            </w:pPr>
          </w:p>
        </w:tc>
        <w:tc>
          <w:tcPr>
            <w:tcW w:w="840" w:type="dxa"/>
            <w:vAlign w:val="bottom"/>
            <w:tcBorders>
              <w:bottom w:val="single" w:sz="8" w:color="auto"/>
            </w:tcBorders>
            <w:shd w:val="clear" w:color="auto" w:fill="0088A6"/>
          </w:tcPr>
          <w:p>
            <w:pPr>
              <w:jc w:val="right"/>
              <w:ind w:right="252"/>
              <w:spacing w:after="0"/>
              <w:rPr>
                <w:sz w:val="20"/>
                <w:szCs w:val="20"/>
                <w:color w:val="auto"/>
              </w:rPr>
            </w:pPr>
            <w:r>
              <w:rPr>
                <w:rFonts w:ascii="Arial" w:cs="Arial" w:eastAsia="Arial" w:hAnsi="Arial"/>
                <w:sz w:val="14"/>
                <w:szCs w:val="14"/>
                <w:b w:val="1"/>
                <w:bCs w:val="1"/>
                <w:color w:val="FFFFFF"/>
              </w:rPr>
              <w:t>Death</w:t>
            </w:r>
          </w:p>
        </w:tc>
        <w:tc>
          <w:tcPr>
            <w:tcW w:w="600" w:type="dxa"/>
            <w:vAlign w:val="bottom"/>
            <w:tcBorders>
              <w:bottom w:val="single" w:sz="8" w:color="0088A6"/>
              <w:right w:val="single" w:sz="8" w:color="BFBFBF"/>
            </w:tcBorders>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720" w:type="dxa"/>
            <w:vAlign w:val="bottom"/>
            <w:tcBorders>
              <w:bottom w:val="single" w:sz="8" w:color="auto"/>
            </w:tcBorders>
            <w:shd w:val="clear" w:color="auto" w:fill="0088A6"/>
          </w:tcPr>
          <w:p>
            <w:pPr>
              <w:jc w:val="right"/>
              <w:ind w:right="52"/>
              <w:spacing w:after="0"/>
              <w:rPr>
                <w:sz w:val="20"/>
                <w:szCs w:val="20"/>
                <w:color w:val="auto"/>
              </w:rPr>
            </w:pPr>
            <w:r>
              <w:rPr>
                <w:rFonts w:ascii="Arial" w:cs="Arial" w:eastAsia="Arial" w:hAnsi="Arial"/>
                <w:sz w:val="14"/>
                <w:szCs w:val="14"/>
                <w:b w:val="1"/>
                <w:bCs w:val="1"/>
                <w:color w:val="FFFFFF"/>
                <w:w w:val="93"/>
              </w:rPr>
              <w:t>Disability</w:t>
            </w:r>
          </w:p>
        </w:tc>
        <w:tc>
          <w:tcPr>
            <w:tcW w:w="580" w:type="dxa"/>
            <w:vAlign w:val="bottom"/>
            <w:tcBorders>
              <w:bottom w:val="single" w:sz="8" w:color="0088A6"/>
              <w:right w:val="single" w:sz="8" w:color="BFBFBF"/>
            </w:tcBorders>
            <w:shd w:val="clear" w:color="auto" w:fill="0088A6"/>
          </w:tcPr>
          <w:p>
            <w:pPr>
              <w:spacing w:after="0"/>
              <w:rPr>
                <w:sz w:val="17"/>
                <w:szCs w:val="17"/>
                <w:color w:val="auto"/>
              </w:rPr>
            </w:pPr>
          </w:p>
        </w:tc>
        <w:tc>
          <w:tcPr>
            <w:tcW w:w="100" w:type="dxa"/>
            <w:vAlign w:val="bottom"/>
            <w:tcBorders>
              <w:bottom w:val="single" w:sz="8" w:color="0088A6"/>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840" w:type="dxa"/>
            <w:vAlign w:val="bottom"/>
            <w:tcBorders>
              <w:bottom w:val="single" w:sz="8" w:color="auto"/>
            </w:tcBorders>
            <w:shd w:val="clear" w:color="auto" w:fill="0088A6"/>
          </w:tcPr>
          <w:p>
            <w:pPr>
              <w:jc w:val="center"/>
              <w:ind w:right="72"/>
              <w:spacing w:after="0"/>
              <w:rPr>
                <w:sz w:val="20"/>
                <w:szCs w:val="20"/>
                <w:color w:val="auto"/>
              </w:rPr>
            </w:pPr>
            <w:r>
              <w:rPr>
                <w:rFonts w:ascii="Arial" w:cs="Arial" w:eastAsia="Arial" w:hAnsi="Arial"/>
                <w:sz w:val="14"/>
                <w:szCs w:val="14"/>
                <w:b w:val="1"/>
                <w:bCs w:val="1"/>
                <w:color w:val="FFFFFF"/>
                <w:w w:val="96"/>
              </w:rPr>
              <w:t>Trigger”)</w:t>
            </w:r>
          </w:p>
        </w:tc>
        <w:tc>
          <w:tcPr>
            <w:tcW w:w="580" w:type="dxa"/>
            <w:vAlign w:val="bottom"/>
            <w:tcBorders>
              <w:bottom w:val="single" w:sz="8" w:color="0088A6"/>
              <w:right w:val="single" w:sz="8" w:color="BFBFBF"/>
            </w:tcBorders>
            <w:shd w:val="clear" w:color="auto" w:fill="0088A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500" w:type="dxa"/>
            <w:vAlign w:val="bottom"/>
            <w:tcBorders>
              <w:top w:val="single" w:sz="8" w:color="BFBFBF"/>
              <w:left w:val="single" w:sz="8" w:color="BFBFBF"/>
              <w:bottom w:val="single" w:sz="8" w:color="BFBFBF"/>
              <w:right w:val="single" w:sz="8" w:color="BFBFBF"/>
            </w:tcBorders>
          </w:tcPr>
          <w:p>
            <w:pPr>
              <w:ind w:left="160"/>
              <w:spacing w:after="0" w:line="129" w:lineRule="exact"/>
              <w:rPr>
                <w:sz w:val="20"/>
                <w:szCs w:val="20"/>
                <w:color w:val="auto"/>
              </w:rPr>
            </w:pPr>
            <w:r>
              <w:rPr>
                <w:rFonts w:ascii="Arial" w:cs="Arial" w:eastAsia="Arial" w:hAnsi="Arial"/>
                <w:sz w:val="14"/>
                <w:szCs w:val="14"/>
                <w:color w:val="auto"/>
              </w:rPr>
              <w:t>Severance</w:t>
            </w:r>
          </w:p>
        </w:tc>
        <w:tc>
          <w:tcPr>
            <w:tcW w:w="200" w:type="dxa"/>
            <w:vAlign w:val="bottom"/>
            <w:tcBorders>
              <w:top w:val="single" w:sz="8" w:color="BFBFBF"/>
              <w:bottom w:val="single" w:sz="8" w:color="BFBFBF"/>
            </w:tcBorders>
            <w:gridSpan w:val="2"/>
          </w:tcPr>
          <w:p>
            <w:pPr>
              <w:ind w:left="120"/>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BFBFBF"/>
              <w:bottom w:val="single" w:sz="8" w:color="BFBFBF"/>
            </w:tcBorders>
          </w:tcPr>
          <w:p>
            <w:pPr>
              <w:jc w:val="right"/>
              <w:ind w:right="72"/>
              <w:spacing w:after="0" w:line="129" w:lineRule="exact"/>
              <w:rPr>
                <w:sz w:val="20"/>
                <w:szCs w:val="20"/>
                <w:color w:val="auto"/>
              </w:rPr>
            </w:pPr>
            <w:r>
              <w:rPr>
                <w:rFonts w:ascii="Arial" w:cs="Arial" w:eastAsia="Arial" w:hAnsi="Arial"/>
                <w:sz w:val="14"/>
                <w:szCs w:val="14"/>
                <w:color w:val="auto"/>
              </w:rPr>
              <w:t>0</w:t>
            </w:r>
          </w:p>
        </w:tc>
        <w:tc>
          <w:tcPr>
            <w:tcW w:w="480" w:type="dxa"/>
            <w:vAlign w:val="bottom"/>
            <w:tcBorders>
              <w:top w:val="single" w:sz="8" w:color="BFBFBF"/>
              <w:bottom w:val="single" w:sz="8" w:color="BFBFBF"/>
              <w:right w:val="single" w:sz="8" w:color="BFBFBF"/>
            </w:tcBorders>
          </w:tcPr>
          <w:p>
            <w:pPr>
              <w:spacing w:after="0"/>
              <w:rPr>
                <w:sz w:val="11"/>
                <w:szCs w:val="11"/>
                <w:color w:val="auto"/>
              </w:rPr>
            </w:pPr>
          </w:p>
        </w:tc>
        <w:tc>
          <w:tcPr>
            <w:tcW w:w="20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BFBFBF"/>
              <w:bottom w:val="single" w:sz="8" w:color="BFBFBF"/>
            </w:tcBorders>
          </w:tcPr>
          <w:p>
            <w:pPr>
              <w:jc w:val="right"/>
              <w:ind w:right="72"/>
              <w:spacing w:after="0" w:line="129" w:lineRule="exact"/>
              <w:rPr>
                <w:sz w:val="20"/>
                <w:szCs w:val="20"/>
                <w:color w:val="auto"/>
              </w:rPr>
            </w:pPr>
            <w:r>
              <w:rPr>
                <w:rFonts w:ascii="Arial" w:cs="Arial" w:eastAsia="Arial" w:hAnsi="Arial"/>
                <w:sz w:val="14"/>
                <w:szCs w:val="14"/>
                <w:color w:val="auto"/>
              </w:rPr>
              <w:t>248,304</w:t>
            </w:r>
          </w:p>
        </w:tc>
        <w:tc>
          <w:tcPr>
            <w:tcW w:w="600" w:type="dxa"/>
            <w:vAlign w:val="bottom"/>
            <w:tcBorders>
              <w:top w:val="single" w:sz="8" w:color="BFBFBF"/>
              <w:bottom w:val="single" w:sz="8" w:color="BFBFBF"/>
              <w:right w:val="single" w:sz="8" w:color="BFBFBF"/>
            </w:tcBorders>
          </w:tcPr>
          <w:p>
            <w:pPr>
              <w:spacing w:after="0"/>
              <w:rPr>
                <w:sz w:val="11"/>
                <w:szCs w:val="11"/>
                <w:color w:val="auto"/>
              </w:rPr>
            </w:pPr>
          </w:p>
        </w:tc>
        <w:tc>
          <w:tcPr>
            <w:tcW w:w="26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BFBFBF"/>
              <w:bottom w:val="single" w:sz="8" w:color="BFBFBF"/>
            </w:tcBorders>
          </w:tcPr>
          <w:p>
            <w:pPr>
              <w:jc w:val="right"/>
              <w:ind w:right="72"/>
              <w:spacing w:after="0" w:line="129" w:lineRule="exact"/>
              <w:rPr>
                <w:sz w:val="20"/>
                <w:szCs w:val="20"/>
                <w:color w:val="auto"/>
              </w:rPr>
            </w:pPr>
            <w:r>
              <w:rPr>
                <w:rFonts w:ascii="Arial" w:cs="Arial" w:eastAsia="Arial" w:hAnsi="Arial"/>
                <w:sz w:val="14"/>
                <w:szCs w:val="14"/>
                <w:color w:val="auto"/>
              </w:rPr>
              <w:t>0</w:t>
            </w:r>
          </w:p>
        </w:tc>
        <w:tc>
          <w:tcPr>
            <w:tcW w:w="600" w:type="dxa"/>
            <w:vAlign w:val="bottom"/>
            <w:tcBorders>
              <w:top w:val="single" w:sz="8" w:color="BFBFBF"/>
              <w:bottom w:val="single" w:sz="8" w:color="BFBFBF"/>
              <w:right w:val="single" w:sz="8" w:color="BFBFBF"/>
            </w:tcBorders>
          </w:tcPr>
          <w:p>
            <w:pPr>
              <w:spacing w:after="0"/>
              <w:rPr>
                <w:sz w:val="11"/>
                <w:szCs w:val="11"/>
                <w:color w:val="auto"/>
              </w:rPr>
            </w:pPr>
          </w:p>
        </w:tc>
        <w:tc>
          <w:tcPr>
            <w:tcW w:w="20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BFBFBF"/>
              <w:bottom w:val="single" w:sz="8" w:color="BFBFBF"/>
            </w:tcBorders>
          </w:tcPr>
          <w:p>
            <w:pPr>
              <w:jc w:val="right"/>
              <w:ind w:right="12"/>
              <w:spacing w:after="0" w:line="129" w:lineRule="exact"/>
              <w:rPr>
                <w:sz w:val="20"/>
                <w:szCs w:val="20"/>
                <w:color w:val="auto"/>
              </w:rPr>
            </w:pPr>
            <w:r>
              <w:rPr>
                <w:rFonts w:ascii="Arial" w:cs="Arial" w:eastAsia="Arial" w:hAnsi="Arial"/>
                <w:sz w:val="14"/>
                <w:szCs w:val="14"/>
                <w:color w:val="auto"/>
              </w:rPr>
              <w:t>0</w:t>
            </w:r>
          </w:p>
        </w:tc>
        <w:tc>
          <w:tcPr>
            <w:tcW w:w="580" w:type="dxa"/>
            <w:vAlign w:val="bottom"/>
            <w:tcBorders>
              <w:top w:val="single" w:sz="8" w:color="BFBFBF"/>
              <w:bottom w:val="single" w:sz="8" w:color="BFBFBF"/>
              <w:right w:val="single" w:sz="8" w:color="BFBFBF"/>
            </w:tcBorders>
          </w:tcPr>
          <w:p>
            <w:pPr>
              <w:spacing w:after="0"/>
              <w:rPr>
                <w:sz w:val="11"/>
                <w:szCs w:val="11"/>
                <w:color w:val="auto"/>
              </w:rPr>
            </w:pPr>
          </w:p>
        </w:tc>
        <w:tc>
          <w:tcPr>
            <w:tcW w:w="22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BFBFBF"/>
              <w:bottom w:val="single" w:sz="8" w:color="BFBFBF"/>
            </w:tcBorders>
          </w:tcPr>
          <w:p>
            <w:pPr>
              <w:jc w:val="right"/>
              <w:ind w:right="12"/>
              <w:spacing w:after="0" w:line="129" w:lineRule="exact"/>
              <w:rPr>
                <w:sz w:val="20"/>
                <w:szCs w:val="20"/>
                <w:color w:val="auto"/>
              </w:rPr>
            </w:pPr>
            <w:r>
              <w:rPr>
                <w:rFonts w:ascii="Arial" w:cs="Arial" w:eastAsia="Arial" w:hAnsi="Arial"/>
                <w:sz w:val="14"/>
                <w:szCs w:val="14"/>
                <w:color w:val="auto"/>
              </w:rPr>
              <w:t>248,304</w:t>
            </w:r>
          </w:p>
        </w:tc>
        <w:tc>
          <w:tcPr>
            <w:tcW w:w="580" w:type="dxa"/>
            <w:vAlign w:val="bottom"/>
            <w:tcBorders>
              <w:top w:val="single" w:sz="8" w:color="BFBFBF"/>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0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Non-Equity Incentive  Compensation</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48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889,387</w:t>
            </w:r>
          </w:p>
        </w:tc>
        <w:tc>
          <w:tcPr>
            <w:tcW w:w="600" w:type="dxa"/>
            <w:vAlign w:val="bottom"/>
            <w:tcBorders>
              <w:bottom w:val="single" w:sz="8" w:color="BFBFBF"/>
              <w:right w:val="single" w:sz="8" w:color="BFBFBF"/>
            </w:tcBorders>
          </w:tcPr>
          <w:p>
            <w:pPr>
              <w:spacing w:after="0"/>
              <w:rPr>
                <w:sz w:val="12"/>
                <w:szCs w:val="12"/>
                <w:color w:val="auto"/>
              </w:rPr>
            </w:pPr>
          </w:p>
        </w:tc>
        <w:tc>
          <w:tcPr>
            <w:tcW w:w="26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889,387</w:t>
            </w:r>
          </w:p>
        </w:tc>
        <w:tc>
          <w:tcPr>
            <w:tcW w:w="60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889,387</w:t>
            </w:r>
          </w:p>
        </w:tc>
        <w:tc>
          <w:tcPr>
            <w:tcW w:w="58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889,387</w:t>
            </w:r>
          </w:p>
        </w:tc>
        <w:tc>
          <w:tcPr>
            <w:tcW w:w="58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Stock Option Vesting</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48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600" w:type="dxa"/>
            <w:vAlign w:val="bottom"/>
            <w:tcBorders>
              <w:bottom w:val="single" w:sz="8" w:color="BFBFBF"/>
              <w:right w:val="single" w:sz="8" w:color="BFBFBF"/>
            </w:tcBorders>
          </w:tcPr>
          <w:p>
            <w:pPr>
              <w:spacing w:after="0"/>
              <w:rPr>
                <w:sz w:val="12"/>
                <w:szCs w:val="12"/>
                <w:color w:val="auto"/>
              </w:rPr>
            </w:pPr>
          </w:p>
        </w:tc>
        <w:tc>
          <w:tcPr>
            <w:tcW w:w="26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60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8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115,589</w:t>
            </w:r>
          </w:p>
        </w:tc>
        <w:tc>
          <w:tcPr>
            <w:tcW w:w="58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Restricted Stock Vesting</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48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600" w:type="dxa"/>
            <w:vAlign w:val="bottom"/>
            <w:tcBorders>
              <w:bottom w:val="single" w:sz="8" w:color="BFBFBF"/>
              <w:right w:val="single" w:sz="8" w:color="BFBFBF"/>
            </w:tcBorders>
          </w:tcPr>
          <w:p>
            <w:pPr>
              <w:spacing w:after="0"/>
              <w:rPr>
                <w:sz w:val="12"/>
                <w:szCs w:val="12"/>
                <w:color w:val="auto"/>
              </w:rPr>
            </w:pPr>
          </w:p>
        </w:tc>
        <w:tc>
          <w:tcPr>
            <w:tcW w:w="26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60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8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8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Performance Share Unit Vesting</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48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600" w:type="dxa"/>
            <w:vAlign w:val="bottom"/>
            <w:tcBorders>
              <w:bottom w:val="single" w:sz="8" w:color="BFBFBF"/>
              <w:right w:val="single" w:sz="8" w:color="BFBFBF"/>
            </w:tcBorders>
          </w:tcPr>
          <w:p>
            <w:pPr>
              <w:spacing w:after="0"/>
              <w:rPr>
                <w:sz w:val="12"/>
                <w:szCs w:val="12"/>
                <w:color w:val="auto"/>
              </w:rPr>
            </w:pPr>
          </w:p>
        </w:tc>
        <w:tc>
          <w:tcPr>
            <w:tcW w:w="26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1,185,226(2)</w:t>
            </w:r>
          </w:p>
        </w:tc>
        <w:tc>
          <w:tcPr>
            <w:tcW w:w="60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8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1,611,680</w:t>
            </w:r>
          </w:p>
        </w:tc>
        <w:tc>
          <w:tcPr>
            <w:tcW w:w="58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Retirement Plan Benefits</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48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49,661</w:t>
            </w:r>
          </w:p>
        </w:tc>
        <w:tc>
          <w:tcPr>
            <w:tcW w:w="600" w:type="dxa"/>
            <w:vAlign w:val="bottom"/>
            <w:tcBorders>
              <w:bottom w:val="single" w:sz="8" w:color="BFBFBF"/>
              <w:right w:val="single" w:sz="8" w:color="BFBFBF"/>
            </w:tcBorders>
          </w:tcPr>
          <w:p>
            <w:pPr>
              <w:spacing w:after="0"/>
              <w:rPr>
                <w:sz w:val="12"/>
                <w:szCs w:val="12"/>
                <w:color w:val="auto"/>
              </w:rPr>
            </w:pPr>
          </w:p>
        </w:tc>
        <w:tc>
          <w:tcPr>
            <w:tcW w:w="26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60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8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49,661</w:t>
            </w:r>
          </w:p>
        </w:tc>
        <w:tc>
          <w:tcPr>
            <w:tcW w:w="58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Health &amp; Welfare Benefits</w:t>
            </w:r>
          </w:p>
        </w:tc>
        <w:tc>
          <w:tcPr>
            <w:tcW w:w="200" w:type="dxa"/>
            <w:vAlign w:val="bottom"/>
            <w:tcBorders>
              <w:bottom w:val="single" w:sz="8" w:color="BFBFBF"/>
            </w:tcBorders>
            <w:gridSpan w:val="2"/>
          </w:tcPr>
          <w:p>
            <w:pPr>
              <w:ind w:left="12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48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600" w:type="dxa"/>
            <w:vAlign w:val="bottom"/>
            <w:tcBorders>
              <w:bottom w:val="single" w:sz="8" w:color="BFBFBF"/>
              <w:right w:val="single" w:sz="8" w:color="BFBFBF"/>
            </w:tcBorders>
          </w:tcPr>
          <w:p>
            <w:pPr>
              <w:spacing w:after="0"/>
              <w:rPr>
                <w:sz w:val="12"/>
                <w:szCs w:val="12"/>
                <w:color w:val="auto"/>
              </w:rPr>
            </w:pPr>
          </w:p>
        </w:tc>
        <w:tc>
          <w:tcPr>
            <w:tcW w:w="26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600" w:type="dxa"/>
            <w:vAlign w:val="bottom"/>
            <w:tcBorders>
              <w:bottom w:val="single" w:sz="8" w:color="BFBFBF"/>
              <w:right w:val="single" w:sz="8" w:color="BFBFBF"/>
            </w:tcBorders>
          </w:tcPr>
          <w:p>
            <w:pPr>
              <w:spacing w:after="0"/>
              <w:rPr>
                <w:sz w:val="12"/>
                <w:szCs w:val="12"/>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80" w:type="dxa"/>
            <w:vAlign w:val="bottom"/>
            <w:tcBorders>
              <w:bottom w:val="single" w:sz="8" w:color="BFBFBF"/>
              <w:right w:val="single" w:sz="8" w:color="BFBFBF"/>
            </w:tcBorders>
          </w:tcPr>
          <w:p>
            <w:pPr>
              <w:spacing w:after="0"/>
              <w:rPr>
                <w:sz w:val="12"/>
                <w:szCs w:val="12"/>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8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Borders>
              <w:left w:val="single" w:sz="8" w:color="BFBFBF"/>
              <w:bottom w:val="single" w:sz="8" w:color="BFBFBF"/>
              <w:right w:val="single" w:sz="8" w:color="BFBFBF"/>
            </w:tcBorders>
          </w:tcPr>
          <w:p>
            <w:pPr>
              <w:ind w:left="160"/>
              <w:spacing w:after="0" w:line="142" w:lineRule="exact"/>
              <w:rPr>
                <w:sz w:val="20"/>
                <w:szCs w:val="20"/>
                <w:color w:val="auto"/>
              </w:rPr>
            </w:pPr>
            <w:r>
              <w:rPr>
                <w:rFonts w:ascii="Arial" w:cs="Arial" w:eastAsia="Arial" w:hAnsi="Arial"/>
                <w:sz w:val="14"/>
                <w:szCs w:val="14"/>
                <w:color w:val="auto"/>
              </w:rPr>
              <w:t>Outplacement Services</w:t>
            </w:r>
          </w:p>
        </w:tc>
        <w:tc>
          <w:tcPr>
            <w:tcW w:w="8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tcBorders>
          </w:tcPr>
          <w:p>
            <w:pPr>
              <w:ind w:left="4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480" w:type="dxa"/>
            <w:vAlign w:val="bottom"/>
            <w:tcBorders>
              <w:bottom w:val="single" w:sz="8" w:color="BFBFBF"/>
              <w:right w:val="single" w:sz="8" w:color="BFBFBF"/>
            </w:tcBorders>
          </w:tcPr>
          <w:p>
            <w:pPr>
              <w:spacing w:after="0"/>
              <w:rPr>
                <w:sz w:val="14"/>
                <w:szCs w:val="14"/>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14,780</w:t>
            </w:r>
          </w:p>
        </w:tc>
        <w:tc>
          <w:tcPr>
            <w:tcW w:w="600" w:type="dxa"/>
            <w:vAlign w:val="bottom"/>
            <w:tcBorders>
              <w:bottom w:val="single" w:sz="8" w:color="BFBFBF"/>
              <w:right w:val="single" w:sz="8" w:color="BFBFBF"/>
            </w:tcBorders>
          </w:tcPr>
          <w:p>
            <w:pPr>
              <w:spacing w:after="0"/>
              <w:rPr>
                <w:sz w:val="14"/>
                <w:szCs w:val="14"/>
                <w:color w:val="auto"/>
              </w:rPr>
            </w:pPr>
          </w:p>
        </w:tc>
        <w:tc>
          <w:tcPr>
            <w:tcW w:w="26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600" w:type="dxa"/>
            <w:vAlign w:val="bottom"/>
            <w:tcBorders>
              <w:bottom w:val="single" w:sz="8" w:color="BFBFBF"/>
              <w:right w:val="single" w:sz="8" w:color="BFBFBF"/>
            </w:tcBorders>
          </w:tcPr>
          <w:p>
            <w:pPr>
              <w:spacing w:after="0"/>
              <w:rPr>
                <w:sz w:val="14"/>
                <w:szCs w:val="14"/>
                <w:color w:val="auto"/>
              </w:rPr>
            </w:pP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80" w:type="dxa"/>
            <w:vAlign w:val="bottom"/>
            <w:tcBorders>
              <w:bottom w:val="single" w:sz="8" w:color="BFBFBF"/>
              <w:right w:val="single" w:sz="8" w:color="BFBFBF"/>
            </w:tcBorders>
          </w:tcPr>
          <w:p>
            <w:pPr>
              <w:spacing w:after="0"/>
              <w:rPr>
                <w:sz w:val="14"/>
                <w:szCs w:val="14"/>
                <w:color w:val="auto"/>
              </w:rPr>
            </w:pPr>
          </w:p>
        </w:tc>
        <w:tc>
          <w:tcPr>
            <w:tcW w:w="2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14,780</w:t>
            </w:r>
          </w:p>
        </w:tc>
        <w:tc>
          <w:tcPr>
            <w:tcW w:w="58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500" w:type="dxa"/>
            <w:vAlign w:val="bottom"/>
            <w:tcBorders>
              <w:left w:val="single" w:sz="8" w:color="BFBFBF"/>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720" w:type="dxa"/>
            <w:vAlign w:val="bottom"/>
            <w:tcBorders>
              <w:top w:val="single" w:sz="8" w:color="auto"/>
              <w:bottom w:val="single" w:sz="8" w:color="BFBFBF"/>
            </w:tcBorders>
          </w:tcPr>
          <w:p>
            <w:pPr>
              <w:spacing w:after="0"/>
              <w:rPr>
                <w:sz w:val="3"/>
                <w:szCs w:val="3"/>
                <w:color w:val="auto"/>
              </w:rPr>
            </w:pPr>
          </w:p>
        </w:tc>
        <w:tc>
          <w:tcPr>
            <w:tcW w:w="480" w:type="dxa"/>
            <w:vAlign w:val="bottom"/>
            <w:tcBorders>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900" w:type="dxa"/>
            <w:vAlign w:val="bottom"/>
            <w:tcBorders>
              <w:top w:val="single" w:sz="8" w:color="auto"/>
              <w:bottom w:val="single" w:sz="8" w:color="BFBFBF"/>
            </w:tcBorders>
          </w:tcPr>
          <w:p>
            <w:pPr>
              <w:spacing w:after="0"/>
              <w:rPr>
                <w:sz w:val="3"/>
                <w:szCs w:val="3"/>
                <w:color w:val="auto"/>
              </w:rPr>
            </w:pPr>
          </w:p>
        </w:tc>
        <w:tc>
          <w:tcPr>
            <w:tcW w:w="600" w:type="dxa"/>
            <w:vAlign w:val="bottom"/>
            <w:tcBorders>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180" w:type="dxa"/>
            <w:vAlign w:val="bottom"/>
            <w:tcBorders>
              <w:top w:val="single" w:sz="8" w:color="auto"/>
              <w:bottom w:val="single" w:sz="8" w:color="BFBFBF"/>
            </w:tcBorders>
          </w:tcPr>
          <w:p>
            <w:pPr>
              <w:spacing w:after="0"/>
              <w:rPr>
                <w:sz w:val="3"/>
                <w:szCs w:val="3"/>
                <w:color w:val="auto"/>
              </w:rPr>
            </w:pPr>
          </w:p>
        </w:tc>
        <w:tc>
          <w:tcPr>
            <w:tcW w:w="840" w:type="dxa"/>
            <w:vAlign w:val="bottom"/>
            <w:tcBorders>
              <w:top w:val="single" w:sz="8" w:color="auto"/>
              <w:bottom w:val="single" w:sz="8" w:color="BFBFBF"/>
            </w:tcBorders>
          </w:tcPr>
          <w:p>
            <w:pPr>
              <w:spacing w:after="0"/>
              <w:rPr>
                <w:sz w:val="3"/>
                <w:szCs w:val="3"/>
                <w:color w:val="auto"/>
              </w:rPr>
            </w:pPr>
          </w:p>
        </w:tc>
        <w:tc>
          <w:tcPr>
            <w:tcW w:w="600" w:type="dxa"/>
            <w:vAlign w:val="bottom"/>
            <w:tcBorders>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720" w:type="dxa"/>
            <w:vAlign w:val="bottom"/>
            <w:tcBorders>
              <w:top w:val="single" w:sz="8" w:color="auto"/>
              <w:bottom w:val="single" w:sz="8" w:color="BFBFBF"/>
            </w:tcBorders>
          </w:tcPr>
          <w:p>
            <w:pPr>
              <w:spacing w:after="0"/>
              <w:rPr>
                <w:sz w:val="3"/>
                <w:szCs w:val="3"/>
                <w:color w:val="auto"/>
              </w:rPr>
            </w:pPr>
          </w:p>
        </w:tc>
        <w:tc>
          <w:tcPr>
            <w:tcW w:w="58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840" w:type="dxa"/>
            <w:vAlign w:val="bottom"/>
            <w:tcBorders>
              <w:top w:val="single" w:sz="8" w:color="auto"/>
              <w:bottom w:val="single" w:sz="8" w:color="BFBFBF"/>
            </w:tcBorders>
          </w:tcPr>
          <w:p>
            <w:pPr>
              <w:spacing w:after="0"/>
              <w:rPr>
                <w:sz w:val="3"/>
                <w:szCs w:val="3"/>
                <w:color w:val="auto"/>
              </w:rPr>
            </w:pPr>
          </w:p>
        </w:tc>
        <w:tc>
          <w:tcPr>
            <w:tcW w:w="580" w:type="dxa"/>
            <w:vAlign w:val="bottom"/>
            <w:tcBorders>
              <w:bottom w:val="single" w:sz="8" w:color="BFBFBF"/>
              <w:right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3500" w:type="dxa"/>
            <w:vAlign w:val="bottom"/>
            <w:tcBorders>
              <w:left w:val="single" w:sz="8" w:color="BFBFBF"/>
              <w:bottom w:val="single" w:sz="8" w:color="BFBFBF"/>
              <w:right w:val="single" w:sz="8" w:color="BFBFBF"/>
            </w:tcBorders>
          </w:tcPr>
          <w:p>
            <w:pPr>
              <w:ind w:left="160"/>
              <w:spacing w:after="0" w:line="130"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BFBFBF"/>
            </w:tcBorders>
          </w:tcPr>
          <w:p>
            <w:pPr>
              <w:spacing w:after="0"/>
              <w:rPr>
                <w:sz w:val="13"/>
                <w:szCs w:val="13"/>
                <w:color w:val="auto"/>
              </w:rPr>
            </w:pPr>
          </w:p>
        </w:tc>
        <w:tc>
          <w:tcPr>
            <w:tcW w:w="120" w:type="dxa"/>
            <w:vAlign w:val="bottom"/>
            <w:tcBorders>
              <w:bottom w:val="single" w:sz="8" w:color="BFBFBF"/>
            </w:tcBorders>
          </w:tcPr>
          <w:p>
            <w:pPr>
              <w:ind w:left="40"/>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BFBFBF"/>
            </w:tcBorders>
          </w:tcPr>
          <w:p>
            <w:pPr>
              <w:jc w:val="right"/>
              <w:ind w:right="72"/>
              <w:spacing w:after="0" w:line="130" w:lineRule="exact"/>
              <w:rPr>
                <w:sz w:val="20"/>
                <w:szCs w:val="20"/>
                <w:color w:val="auto"/>
              </w:rPr>
            </w:pPr>
            <w:r>
              <w:rPr>
                <w:rFonts w:ascii="Arial" w:cs="Arial" w:eastAsia="Arial" w:hAnsi="Arial"/>
                <w:sz w:val="14"/>
                <w:szCs w:val="14"/>
                <w:color w:val="auto"/>
              </w:rPr>
              <w:t>0</w:t>
            </w:r>
          </w:p>
        </w:tc>
        <w:tc>
          <w:tcPr>
            <w:tcW w:w="480" w:type="dxa"/>
            <w:vAlign w:val="bottom"/>
            <w:tcBorders>
              <w:bottom w:val="single" w:sz="8" w:color="BFBFBF"/>
              <w:right w:val="single" w:sz="8" w:color="BFBFBF"/>
            </w:tcBorders>
          </w:tcPr>
          <w:p>
            <w:pPr>
              <w:spacing w:after="0"/>
              <w:rPr>
                <w:sz w:val="13"/>
                <w:szCs w:val="13"/>
                <w:color w:val="auto"/>
              </w:rPr>
            </w:pPr>
          </w:p>
        </w:tc>
        <w:tc>
          <w:tcPr>
            <w:tcW w:w="80" w:type="dxa"/>
            <w:vAlign w:val="bottom"/>
            <w:tcBorders>
              <w:bottom w:val="single" w:sz="8" w:color="BFBFBF"/>
            </w:tcBorders>
          </w:tcPr>
          <w:p>
            <w:pPr>
              <w:spacing w:after="0"/>
              <w:rPr>
                <w:sz w:val="13"/>
                <w:szCs w:val="13"/>
                <w:color w:val="auto"/>
              </w:rPr>
            </w:pPr>
          </w:p>
        </w:tc>
        <w:tc>
          <w:tcPr>
            <w:tcW w:w="12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72"/>
              <w:spacing w:after="0" w:line="130" w:lineRule="exact"/>
              <w:rPr>
                <w:sz w:val="20"/>
                <w:szCs w:val="20"/>
                <w:color w:val="auto"/>
              </w:rPr>
            </w:pPr>
            <w:r>
              <w:rPr>
                <w:rFonts w:ascii="Arial" w:cs="Arial" w:eastAsia="Arial" w:hAnsi="Arial"/>
                <w:sz w:val="14"/>
                <w:szCs w:val="14"/>
                <w:color w:val="auto"/>
              </w:rPr>
              <w:t>1,202,132</w:t>
            </w:r>
          </w:p>
        </w:tc>
        <w:tc>
          <w:tcPr>
            <w:tcW w:w="600" w:type="dxa"/>
            <w:vAlign w:val="bottom"/>
            <w:tcBorders>
              <w:bottom w:val="single" w:sz="8" w:color="BFBFBF"/>
              <w:right w:val="single" w:sz="8" w:color="BFBFBF"/>
            </w:tcBorders>
          </w:tcPr>
          <w:p>
            <w:pPr>
              <w:spacing w:after="0"/>
              <w:rPr>
                <w:sz w:val="13"/>
                <w:szCs w:val="13"/>
                <w:color w:val="auto"/>
              </w:rPr>
            </w:pPr>
          </w:p>
        </w:tc>
        <w:tc>
          <w:tcPr>
            <w:tcW w:w="80" w:type="dxa"/>
            <w:vAlign w:val="bottom"/>
            <w:tcBorders>
              <w:bottom w:val="single" w:sz="8" w:color="BFBFBF"/>
            </w:tcBorders>
          </w:tcPr>
          <w:p>
            <w:pPr>
              <w:spacing w:after="0"/>
              <w:rPr>
                <w:sz w:val="13"/>
                <w:szCs w:val="13"/>
                <w:color w:val="auto"/>
              </w:rPr>
            </w:pPr>
          </w:p>
        </w:tc>
        <w:tc>
          <w:tcPr>
            <w:tcW w:w="18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72"/>
              <w:spacing w:after="0" w:line="130" w:lineRule="exact"/>
              <w:rPr>
                <w:sz w:val="20"/>
                <w:szCs w:val="20"/>
                <w:color w:val="auto"/>
              </w:rPr>
            </w:pPr>
            <w:r>
              <w:rPr>
                <w:rFonts w:ascii="Arial" w:cs="Arial" w:eastAsia="Arial" w:hAnsi="Arial"/>
                <w:sz w:val="14"/>
                <w:szCs w:val="14"/>
                <w:color w:val="auto"/>
              </w:rPr>
              <w:t>2,074,613</w:t>
            </w:r>
          </w:p>
        </w:tc>
        <w:tc>
          <w:tcPr>
            <w:tcW w:w="600" w:type="dxa"/>
            <w:vAlign w:val="bottom"/>
            <w:tcBorders>
              <w:bottom w:val="single" w:sz="8" w:color="BFBFBF"/>
              <w:right w:val="single" w:sz="8" w:color="BFBFBF"/>
            </w:tcBorders>
          </w:tcPr>
          <w:p>
            <w:pPr>
              <w:spacing w:after="0"/>
              <w:rPr>
                <w:sz w:val="13"/>
                <w:szCs w:val="13"/>
                <w:color w:val="auto"/>
              </w:rPr>
            </w:pPr>
          </w:p>
        </w:tc>
        <w:tc>
          <w:tcPr>
            <w:tcW w:w="80" w:type="dxa"/>
            <w:vAlign w:val="bottom"/>
            <w:tcBorders>
              <w:bottom w:val="single" w:sz="8" w:color="BFBFBF"/>
            </w:tcBorders>
          </w:tcPr>
          <w:p>
            <w:pPr>
              <w:spacing w:after="0"/>
              <w:rPr>
                <w:sz w:val="13"/>
                <w:szCs w:val="13"/>
                <w:color w:val="auto"/>
              </w:rPr>
            </w:pPr>
          </w:p>
        </w:tc>
        <w:tc>
          <w:tcPr>
            <w:tcW w:w="12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ind w:right="12"/>
              <w:spacing w:after="0" w:line="130" w:lineRule="exact"/>
              <w:rPr>
                <w:sz w:val="20"/>
                <w:szCs w:val="20"/>
                <w:color w:val="auto"/>
              </w:rPr>
            </w:pPr>
            <w:r>
              <w:rPr>
                <w:rFonts w:ascii="Arial" w:cs="Arial" w:eastAsia="Arial" w:hAnsi="Arial"/>
                <w:sz w:val="14"/>
                <w:szCs w:val="14"/>
                <w:color w:val="auto"/>
              </w:rPr>
              <w:t>889,387</w:t>
            </w:r>
          </w:p>
        </w:tc>
        <w:tc>
          <w:tcPr>
            <w:tcW w:w="580" w:type="dxa"/>
            <w:vAlign w:val="bottom"/>
            <w:tcBorders>
              <w:bottom w:val="single" w:sz="8" w:color="BFBFBF"/>
              <w:right w:val="single" w:sz="8" w:color="BFBFBF"/>
            </w:tcBorders>
          </w:tcPr>
          <w:p>
            <w:pPr>
              <w:spacing w:after="0"/>
              <w:rPr>
                <w:sz w:val="13"/>
                <w:szCs w:val="13"/>
                <w:color w:val="auto"/>
              </w:rPr>
            </w:pPr>
          </w:p>
        </w:tc>
        <w:tc>
          <w:tcPr>
            <w:tcW w:w="100" w:type="dxa"/>
            <w:vAlign w:val="bottom"/>
            <w:tcBorders>
              <w:bottom w:val="single" w:sz="8" w:color="BFBFBF"/>
            </w:tcBorders>
          </w:tcPr>
          <w:p>
            <w:pPr>
              <w:spacing w:after="0"/>
              <w:rPr>
                <w:sz w:val="13"/>
                <w:szCs w:val="13"/>
                <w:color w:val="auto"/>
              </w:rPr>
            </w:pPr>
          </w:p>
        </w:tc>
        <w:tc>
          <w:tcPr>
            <w:tcW w:w="12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tcPr>
          <w:p>
            <w:pPr>
              <w:jc w:val="right"/>
              <w:ind w:right="12"/>
              <w:spacing w:after="0" w:line="130" w:lineRule="exact"/>
              <w:rPr>
                <w:sz w:val="20"/>
                <w:szCs w:val="20"/>
                <w:color w:val="auto"/>
              </w:rPr>
            </w:pPr>
            <w:r>
              <w:rPr>
                <w:rFonts w:ascii="Arial" w:cs="Arial" w:eastAsia="Arial" w:hAnsi="Arial"/>
                <w:sz w:val="14"/>
                <w:szCs w:val="14"/>
                <w:color w:val="auto"/>
              </w:rPr>
              <w:t>2,929,401</w:t>
            </w:r>
          </w:p>
        </w:tc>
        <w:tc>
          <w:tcPr>
            <w:tcW w:w="580" w:type="dxa"/>
            <w:vAlign w:val="bottom"/>
            <w:tcBorders>
              <w:bottom w:val="single" w:sz="8" w:color="BFBFBF"/>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Borders>
              <w:left w:val="single" w:sz="8" w:color="BFBFB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00" w:type="dxa"/>
            <w:vAlign w:val="bottom"/>
            <w:tcBorders>
              <w:left w:val="single" w:sz="8" w:color="BFBFBF"/>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720" w:type="dxa"/>
            <w:vAlign w:val="bottom"/>
            <w:tcBorders>
              <w:bottom w:val="single" w:sz="8" w:color="BFBFBF"/>
            </w:tcBorders>
          </w:tcPr>
          <w:p>
            <w:pPr>
              <w:spacing w:after="0" w:line="20" w:lineRule="exact"/>
              <w:rPr>
                <w:sz w:val="1"/>
                <w:szCs w:val="1"/>
                <w:color w:val="auto"/>
              </w:rPr>
            </w:pPr>
          </w:p>
        </w:tc>
        <w:tc>
          <w:tcPr>
            <w:tcW w:w="48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900" w:type="dxa"/>
            <w:vAlign w:val="bottom"/>
            <w:tcBorders>
              <w:bottom w:val="single" w:sz="8" w:color="BFBFBF"/>
            </w:tcBorders>
          </w:tcPr>
          <w:p>
            <w:pPr>
              <w:spacing w:after="0" w:line="20" w:lineRule="exact"/>
              <w:rPr>
                <w:sz w:val="1"/>
                <w:szCs w:val="1"/>
                <w:color w:val="auto"/>
              </w:rPr>
            </w:pPr>
          </w:p>
        </w:tc>
        <w:tc>
          <w:tcPr>
            <w:tcW w:w="60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80" w:type="dxa"/>
            <w:vAlign w:val="bottom"/>
            <w:tcBorders>
              <w:bottom w:val="single" w:sz="8" w:color="BFBFBF"/>
            </w:tcBorders>
          </w:tcPr>
          <w:p>
            <w:pPr>
              <w:spacing w:after="0" w:line="20" w:lineRule="exact"/>
              <w:rPr>
                <w:sz w:val="1"/>
                <w:szCs w:val="1"/>
                <w:color w:val="auto"/>
              </w:rPr>
            </w:pPr>
          </w:p>
        </w:tc>
        <w:tc>
          <w:tcPr>
            <w:tcW w:w="840" w:type="dxa"/>
            <w:vAlign w:val="bottom"/>
            <w:tcBorders>
              <w:bottom w:val="single" w:sz="8" w:color="BFBFBF"/>
            </w:tcBorders>
          </w:tcPr>
          <w:p>
            <w:pPr>
              <w:spacing w:after="0" w:line="20" w:lineRule="exact"/>
              <w:rPr>
                <w:sz w:val="1"/>
                <w:szCs w:val="1"/>
                <w:color w:val="auto"/>
              </w:rPr>
            </w:pPr>
          </w:p>
        </w:tc>
        <w:tc>
          <w:tcPr>
            <w:tcW w:w="60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720" w:type="dxa"/>
            <w:vAlign w:val="bottom"/>
            <w:tcBorders>
              <w:bottom w:val="single" w:sz="8" w:color="BFBFBF"/>
            </w:tcBorders>
          </w:tcPr>
          <w:p>
            <w:pPr>
              <w:spacing w:after="0" w:line="20" w:lineRule="exact"/>
              <w:rPr>
                <w:sz w:val="1"/>
                <w:szCs w:val="1"/>
                <w:color w:val="auto"/>
              </w:rPr>
            </w:pPr>
          </w:p>
        </w:tc>
        <w:tc>
          <w:tcPr>
            <w:tcW w:w="5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840" w:type="dxa"/>
            <w:vAlign w:val="bottom"/>
            <w:tcBorders>
              <w:bottom w:val="single" w:sz="8" w:color="BFBFBF"/>
            </w:tcBorders>
          </w:tcPr>
          <w:p>
            <w:pPr>
              <w:spacing w:after="0" w:line="20" w:lineRule="exact"/>
              <w:rPr>
                <w:sz w:val="1"/>
                <w:szCs w:val="1"/>
                <w:color w:val="auto"/>
              </w:rPr>
            </w:pPr>
          </w:p>
        </w:tc>
        <w:tc>
          <w:tcPr>
            <w:tcW w:w="580" w:type="dxa"/>
            <w:vAlign w:val="bottom"/>
            <w:tcBorders>
              <w:bottom w:val="single" w:sz="8" w:color="BFBFBF"/>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-1054100</wp:posOffset>
            </wp:positionV>
            <wp:extent cx="889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-1054100</wp:posOffset>
            </wp:positionV>
            <wp:extent cx="889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86" w:lineRule="exact"/>
        <w:rPr>
          <w:sz w:val="20"/>
          <w:szCs w:val="20"/>
          <w:color w:val="auto"/>
        </w:rPr>
      </w:pPr>
    </w:p>
    <w:p>
      <w:pPr>
        <w:ind w:left="340" w:right="60" w:hanging="332"/>
        <w:spacing w:after="0" w:line="238"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Jochumsen’s employment agreement may be terminated by NASDAQ OMX, subject to twelve months’ prior notice, or by Mr. Jochumsen, subject to six months’ prior notice. The calculations in this table assume that termination in each scenario was effective on December 31, 2012 and that any required notice period had been satisfied prior to this date.</w:t>
      </w:r>
    </w:p>
    <w:p>
      <w:pPr>
        <w:spacing w:after="0" w:line="194" w:lineRule="exact"/>
        <w:rPr>
          <w:rFonts w:ascii="Arial" w:cs="Arial" w:eastAsia="Arial" w:hAnsi="Arial"/>
          <w:sz w:val="18"/>
          <w:szCs w:val="18"/>
          <w:color w:val="auto"/>
        </w:rPr>
      </w:pPr>
    </w:p>
    <w:p>
      <w:pPr>
        <w:jc w:val="both"/>
        <w:ind w:left="340" w:right="220" w:hanging="332"/>
        <w:spacing w:after="0" w:line="238"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event of death, unvested PSU awards will vest at the later of the date of death or the completion of the performance period(s) for such awards. The value of Mr. Jochumsen’s 2012 PSU award is not included in this calculation since the performance period for this grant will not conclude until December 31, 2014.</w:t>
      </w:r>
    </w:p>
    <w:p>
      <w:pPr>
        <w:spacing w:after="0" w:line="141"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75</w:t>
      </w:r>
    </w:p>
    <w:p>
      <w:pPr>
        <w:sectPr>
          <w:pgSz w:w="11900" w:h="16838" w:orient="portrait"/>
          <w:cols w:equalWidth="0" w:num="1">
            <w:col w:w="11440"/>
          </w:cols>
          <w:pgMar w:left="240" w:top="459" w:right="2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620" w:type="dxa"/>
            <w:vAlign w:val="bottom"/>
            <w:tcBorders>
              <w:left w:val="single" w:sz="8" w:color="BFBFBF"/>
              <w:right w:val="single" w:sz="8" w:color="BFBFBF"/>
            </w:tcBorders>
            <w:shd w:val="clear" w:color="auto" w:fill="0088A6"/>
          </w:tcPr>
          <w:p>
            <w:pPr>
              <w:spacing w:after="0"/>
              <w:rPr>
                <w:sz w:val="14"/>
                <w:szCs w:val="14"/>
                <w:color w:val="auto"/>
              </w:rPr>
            </w:pPr>
          </w:p>
        </w:tc>
        <w:tc>
          <w:tcPr>
            <w:tcW w:w="80" w:type="dxa"/>
            <w:vAlign w:val="bottom"/>
            <w:shd w:val="clear" w:color="auto" w:fill="0088A6"/>
          </w:tcPr>
          <w:p>
            <w:pPr>
              <w:spacing w:after="0"/>
              <w:rPr>
                <w:sz w:val="14"/>
                <w:szCs w:val="14"/>
                <w:color w:val="auto"/>
              </w:rPr>
            </w:pPr>
          </w:p>
        </w:tc>
        <w:tc>
          <w:tcPr>
            <w:tcW w:w="120" w:type="dxa"/>
            <w:vAlign w:val="bottom"/>
            <w:shd w:val="clear" w:color="auto" w:fill="0088A6"/>
          </w:tcPr>
          <w:p>
            <w:pPr>
              <w:spacing w:after="0"/>
              <w:rPr>
                <w:sz w:val="14"/>
                <w:szCs w:val="14"/>
                <w:color w:val="auto"/>
              </w:rPr>
            </w:pPr>
          </w:p>
        </w:tc>
        <w:tc>
          <w:tcPr>
            <w:tcW w:w="960" w:type="dxa"/>
            <w:vAlign w:val="bottom"/>
            <w:shd w:val="clear" w:color="auto" w:fill="0088A6"/>
          </w:tcPr>
          <w:p>
            <w:pPr>
              <w:spacing w:after="0"/>
              <w:rPr>
                <w:sz w:val="14"/>
                <w:szCs w:val="14"/>
                <w:color w:val="auto"/>
              </w:rPr>
            </w:pPr>
          </w:p>
        </w:tc>
        <w:tc>
          <w:tcPr>
            <w:tcW w:w="540" w:type="dxa"/>
            <w:vAlign w:val="bottom"/>
            <w:tcBorders>
              <w:right w:val="single" w:sz="8" w:color="BFBFBF"/>
            </w:tcBorders>
            <w:shd w:val="clear" w:color="auto" w:fill="0088A6"/>
          </w:tcPr>
          <w:p>
            <w:pPr>
              <w:spacing w:after="0"/>
              <w:rPr>
                <w:sz w:val="14"/>
                <w:szCs w:val="14"/>
                <w:color w:val="auto"/>
              </w:rPr>
            </w:pPr>
          </w:p>
        </w:tc>
        <w:tc>
          <w:tcPr>
            <w:tcW w:w="180" w:type="dxa"/>
            <w:vAlign w:val="bottom"/>
            <w:shd w:val="clear" w:color="auto" w:fill="0088A6"/>
          </w:tcPr>
          <w:p>
            <w:pPr>
              <w:spacing w:after="0"/>
              <w:rPr>
                <w:sz w:val="14"/>
                <w:szCs w:val="14"/>
                <w:color w:val="auto"/>
              </w:rPr>
            </w:pPr>
          </w:p>
        </w:tc>
        <w:tc>
          <w:tcPr>
            <w:tcW w:w="140" w:type="dxa"/>
            <w:vAlign w:val="bottom"/>
            <w:shd w:val="clear" w:color="auto" w:fill="0088A6"/>
          </w:tcPr>
          <w:p>
            <w:pPr>
              <w:spacing w:after="0"/>
              <w:rPr>
                <w:sz w:val="14"/>
                <w:szCs w:val="14"/>
                <w:color w:val="auto"/>
              </w:rPr>
            </w:pPr>
          </w:p>
        </w:tc>
        <w:tc>
          <w:tcPr>
            <w:tcW w:w="900" w:type="dxa"/>
            <w:vAlign w:val="bottom"/>
            <w:shd w:val="clear" w:color="auto" w:fill="0088A6"/>
          </w:tcPr>
          <w:p>
            <w:pPr>
              <w:spacing w:after="0"/>
              <w:rPr>
                <w:sz w:val="14"/>
                <w:szCs w:val="14"/>
                <w:color w:val="auto"/>
              </w:rPr>
            </w:pPr>
          </w:p>
        </w:tc>
        <w:tc>
          <w:tcPr>
            <w:tcW w:w="540" w:type="dxa"/>
            <w:vAlign w:val="bottom"/>
            <w:tcBorders>
              <w:right w:val="single" w:sz="8" w:color="BFBFBF"/>
            </w:tcBorders>
            <w:shd w:val="clear" w:color="auto" w:fill="0088A6"/>
          </w:tcPr>
          <w:p>
            <w:pPr>
              <w:spacing w:after="0"/>
              <w:rPr>
                <w:sz w:val="14"/>
                <w:szCs w:val="14"/>
                <w:color w:val="auto"/>
              </w:rPr>
            </w:pPr>
          </w:p>
        </w:tc>
        <w:tc>
          <w:tcPr>
            <w:tcW w:w="180" w:type="dxa"/>
            <w:vAlign w:val="bottom"/>
            <w:shd w:val="clear" w:color="auto" w:fill="0088A6"/>
          </w:tcPr>
          <w:p>
            <w:pPr>
              <w:spacing w:after="0"/>
              <w:rPr>
                <w:sz w:val="14"/>
                <w:szCs w:val="14"/>
                <w:color w:val="auto"/>
              </w:rPr>
            </w:pPr>
          </w:p>
        </w:tc>
        <w:tc>
          <w:tcPr>
            <w:tcW w:w="200" w:type="dxa"/>
            <w:vAlign w:val="bottom"/>
            <w:shd w:val="clear" w:color="auto" w:fill="0088A6"/>
          </w:tcPr>
          <w:p>
            <w:pPr>
              <w:spacing w:after="0"/>
              <w:rPr>
                <w:sz w:val="14"/>
                <w:szCs w:val="14"/>
                <w:color w:val="auto"/>
              </w:rPr>
            </w:pPr>
          </w:p>
        </w:tc>
        <w:tc>
          <w:tcPr>
            <w:tcW w:w="980" w:type="dxa"/>
            <w:vAlign w:val="bottom"/>
            <w:shd w:val="clear" w:color="auto" w:fill="0088A6"/>
          </w:tcPr>
          <w:p>
            <w:pPr>
              <w:spacing w:after="0"/>
              <w:rPr>
                <w:sz w:val="14"/>
                <w:szCs w:val="14"/>
                <w:color w:val="auto"/>
              </w:rPr>
            </w:pPr>
          </w:p>
        </w:tc>
        <w:tc>
          <w:tcPr>
            <w:tcW w:w="540" w:type="dxa"/>
            <w:vAlign w:val="bottom"/>
            <w:tcBorders>
              <w:right w:val="single" w:sz="8" w:color="BFBFBF"/>
            </w:tcBorders>
            <w:shd w:val="clear" w:color="auto" w:fill="0088A6"/>
          </w:tcPr>
          <w:p>
            <w:pPr>
              <w:spacing w:after="0"/>
              <w:rPr>
                <w:sz w:val="14"/>
                <w:szCs w:val="14"/>
                <w:color w:val="auto"/>
              </w:rPr>
            </w:pPr>
          </w:p>
        </w:tc>
        <w:tc>
          <w:tcPr>
            <w:tcW w:w="180" w:type="dxa"/>
            <w:vAlign w:val="bottom"/>
            <w:shd w:val="clear" w:color="auto" w:fill="0088A6"/>
          </w:tcPr>
          <w:p>
            <w:pPr>
              <w:spacing w:after="0"/>
              <w:rPr>
                <w:sz w:val="14"/>
                <w:szCs w:val="14"/>
                <w:color w:val="auto"/>
              </w:rPr>
            </w:pPr>
          </w:p>
        </w:tc>
        <w:tc>
          <w:tcPr>
            <w:tcW w:w="160" w:type="dxa"/>
            <w:vAlign w:val="bottom"/>
            <w:shd w:val="clear" w:color="auto" w:fill="0088A6"/>
          </w:tcPr>
          <w:p>
            <w:pPr>
              <w:spacing w:after="0"/>
              <w:rPr>
                <w:sz w:val="14"/>
                <w:szCs w:val="14"/>
                <w:color w:val="auto"/>
              </w:rPr>
            </w:pPr>
          </w:p>
        </w:tc>
        <w:tc>
          <w:tcPr>
            <w:tcW w:w="800" w:type="dxa"/>
            <w:vAlign w:val="bottom"/>
            <w:shd w:val="clear" w:color="auto" w:fill="0088A6"/>
          </w:tcPr>
          <w:p>
            <w:pPr>
              <w:spacing w:after="0"/>
              <w:rPr>
                <w:sz w:val="14"/>
                <w:szCs w:val="14"/>
                <w:color w:val="auto"/>
              </w:rPr>
            </w:pPr>
          </w:p>
        </w:tc>
        <w:tc>
          <w:tcPr>
            <w:tcW w:w="560" w:type="dxa"/>
            <w:vAlign w:val="bottom"/>
            <w:tcBorders>
              <w:right w:val="single" w:sz="8" w:color="BFBFBF"/>
            </w:tcBorders>
            <w:shd w:val="clear" w:color="auto" w:fill="0088A6"/>
          </w:tcPr>
          <w:p>
            <w:pPr>
              <w:spacing w:after="0"/>
              <w:rPr>
                <w:sz w:val="14"/>
                <w:szCs w:val="14"/>
                <w:color w:val="auto"/>
              </w:rPr>
            </w:pPr>
          </w:p>
        </w:tc>
        <w:tc>
          <w:tcPr>
            <w:tcW w:w="180" w:type="dxa"/>
            <w:vAlign w:val="bottom"/>
            <w:shd w:val="clear" w:color="auto" w:fill="0088A6"/>
          </w:tcPr>
          <w:p>
            <w:pPr>
              <w:spacing w:after="0"/>
              <w:rPr>
                <w:sz w:val="14"/>
                <w:szCs w:val="14"/>
                <w:color w:val="auto"/>
              </w:rPr>
            </w:pPr>
          </w:p>
        </w:tc>
        <w:tc>
          <w:tcPr>
            <w:tcW w:w="120" w:type="dxa"/>
            <w:vAlign w:val="bottom"/>
            <w:shd w:val="clear" w:color="auto" w:fill="0088A6"/>
          </w:tcPr>
          <w:p>
            <w:pPr>
              <w:spacing w:after="0"/>
              <w:rPr>
                <w:sz w:val="14"/>
                <w:szCs w:val="14"/>
                <w:color w:val="auto"/>
              </w:rPr>
            </w:pPr>
          </w:p>
        </w:tc>
        <w:tc>
          <w:tcPr>
            <w:tcW w:w="1460" w:type="dxa"/>
            <w:vAlign w:val="bottom"/>
            <w:tcBorders>
              <w:right w:val="single" w:sz="8" w:color="BFBFBF"/>
            </w:tcBorders>
            <w:gridSpan w:val="2"/>
            <w:shd w:val="clear" w:color="auto" w:fill="0088A6"/>
          </w:tcPr>
          <w:p>
            <w:pPr>
              <w:jc w:val="center"/>
              <w:ind w:right="700"/>
              <w:spacing w:after="0"/>
              <w:rPr>
                <w:sz w:val="20"/>
                <w:szCs w:val="20"/>
                <w:color w:val="auto"/>
              </w:rPr>
            </w:pPr>
            <w:r>
              <w:rPr>
                <w:rFonts w:ascii="Arial" w:cs="Arial" w:eastAsia="Arial" w:hAnsi="Arial"/>
                <w:sz w:val="14"/>
                <w:szCs w:val="14"/>
                <w:b w:val="1"/>
                <w:bCs w:val="1"/>
                <w:color w:val="FFFFFF"/>
                <w:w w:val="94"/>
              </w:rPr>
              <w:t>Termination</w:t>
            </w:r>
          </w:p>
        </w:tc>
        <w:tc>
          <w:tcPr>
            <w:tcW w:w="0" w:type="dxa"/>
            <w:vAlign w:val="bottom"/>
          </w:tcPr>
          <w:p>
            <w:pPr>
              <w:spacing w:after="0"/>
              <w:rPr>
                <w:sz w:val="1"/>
                <w:szCs w:val="1"/>
                <w:color w:val="auto"/>
              </w:rPr>
            </w:pPr>
          </w:p>
        </w:tc>
      </w:tr>
      <w:tr>
        <w:trPr>
          <w:trHeight w:val="149"/>
        </w:trPr>
        <w:tc>
          <w:tcPr>
            <w:tcW w:w="262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60" w:type="dxa"/>
            <w:vAlign w:val="bottom"/>
            <w:shd w:val="clear" w:color="auto" w:fill="0088A6"/>
          </w:tcPr>
          <w:p>
            <w:pPr>
              <w:spacing w:after="0"/>
              <w:rPr>
                <w:sz w:val="12"/>
                <w:szCs w:val="12"/>
                <w:color w:val="auto"/>
              </w:rPr>
            </w:pP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200" w:type="dxa"/>
            <w:vAlign w:val="bottom"/>
            <w:shd w:val="clear" w:color="auto" w:fill="0088A6"/>
          </w:tcPr>
          <w:p>
            <w:pPr>
              <w:spacing w:after="0"/>
              <w:rPr>
                <w:sz w:val="12"/>
                <w:szCs w:val="12"/>
                <w:color w:val="auto"/>
              </w:rPr>
            </w:pPr>
          </w:p>
        </w:tc>
        <w:tc>
          <w:tcPr>
            <w:tcW w:w="980" w:type="dxa"/>
            <w:vAlign w:val="bottom"/>
            <w:shd w:val="clear" w:color="auto" w:fill="0088A6"/>
          </w:tcPr>
          <w:p>
            <w:pPr>
              <w:spacing w:after="0"/>
              <w:rPr>
                <w:sz w:val="12"/>
                <w:szCs w:val="12"/>
                <w:color w:val="auto"/>
              </w:rPr>
            </w:pP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56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60" w:type="dxa"/>
            <w:vAlign w:val="bottom"/>
            <w:tcBorders>
              <w:right w:val="single" w:sz="8" w:color="BFBFBF"/>
            </w:tcBorders>
            <w:gridSpan w:val="2"/>
            <w:shd w:val="clear" w:color="auto" w:fill="0088A6"/>
          </w:tcPr>
          <w:p>
            <w:pPr>
              <w:jc w:val="center"/>
              <w:ind w:right="680"/>
              <w:spacing w:after="0" w:line="149" w:lineRule="exact"/>
              <w:rPr>
                <w:sz w:val="20"/>
                <w:szCs w:val="20"/>
                <w:color w:val="auto"/>
              </w:rPr>
            </w:pPr>
            <w:r>
              <w:rPr>
                <w:rFonts w:ascii="Arial" w:cs="Arial" w:eastAsia="Arial" w:hAnsi="Arial"/>
                <w:sz w:val="14"/>
                <w:szCs w:val="14"/>
                <w:b w:val="1"/>
                <w:bCs w:val="1"/>
                <w:color w:val="FFFFFF"/>
                <w:w w:val="96"/>
              </w:rPr>
              <w:t>Due To</w:t>
            </w:r>
          </w:p>
        </w:tc>
        <w:tc>
          <w:tcPr>
            <w:tcW w:w="0" w:type="dxa"/>
            <w:vAlign w:val="bottom"/>
          </w:tcPr>
          <w:p>
            <w:pPr>
              <w:spacing w:after="0"/>
              <w:rPr>
                <w:sz w:val="1"/>
                <w:szCs w:val="1"/>
                <w:color w:val="auto"/>
              </w:rPr>
            </w:pPr>
          </w:p>
        </w:tc>
      </w:tr>
      <w:tr>
        <w:trPr>
          <w:trHeight w:val="149"/>
        </w:trPr>
        <w:tc>
          <w:tcPr>
            <w:tcW w:w="262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60" w:type="dxa"/>
            <w:vAlign w:val="bottom"/>
            <w:shd w:val="clear" w:color="auto" w:fill="0088A6"/>
          </w:tcPr>
          <w:p>
            <w:pPr>
              <w:spacing w:after="0"/>
              <w:rPr>
                <w:sz w:val="12"/>
                <w:szCs w:val="12"/>
                <w:color w:val="auto"/>
              </w:rPr>
            </w:pP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900" w:type="dxa"/>
            <w:vAlign w:val="bottom"/>
            <w:shd w:val="clear" w:color="auto" w:fill="0088A6"/>
          </w:tcPr>
          <w:p>
            <w:pPr>
              <w:spacing w:after="0"/>
              <w:rPr>
                <w:sz w:val="12"/>
                <w:szCs w:val="12"/>
                <w:color w:val="auto"/>
              </w:rPr>
            </w:pP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200" w:type="dxa"/>
            <w:vAlign w:val="bottom"/>
            <w:shd w:val="clear" w:color="auto" w:fill="0088A6"/>
          </w:tcPr>
          <w:p>
            <w:pPr>
              <w:spacing w:after="0"/>
              <w:rPr>
                <w:sz w:val="12"/>
                <w:szCs w:val="12"/>
                <w:color w:val="auto"/>
              </w:rPr>
            </w:pPr>
          </w:p>
        </w:tc>
        <w:tc>
          <w:tcPr>
            <w:tcW w:w="980" w:type="dxa"/>
            <w:vAlign w:val="bottom"/>
            <w:shd w:val="clear" w:color="auto" w:fill="0088A6"/>
          </w:tcPr>
          <w:p>
            <w:pPr>
              <w:spacing w:after="0"/>
              <w:rPr>
                <w:sz w:val="12"/>
                <w:szCs w:val="12"/>
                <w:color w:val="auto"/>
              </w:rPr>
            </w:pP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56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60" w:type="dxa"/>
            <w:vAlign w:val="bottom"/>
            <w:tcBorders>
              <w:right w:val="single" w:sz="8" w:color="BFBFBF"/>
            </w:tcBorders>
            <w:gridSpan w:val="2"/>
            <w:shd w:val="clear" w:color="auto" w:fill="0088A6"/>
          </w:tcPr>
          <w:p>
            <w:pPr>
              <w:jc w:val="center"/>
              <w:ind w:right="680"/>
              <w:spacing w:after="0" w:line="149" w:lineRule="exact"/>
              <w:rPr>
                <w:sz w:val="20"/>
                <w:szCs w:val="20"/>
                <w:color w:val="auto"/>
              </w:rPr>
            </w:pPr>
            <w:r>
              <w:rPr>
                <w:rFonts w:ascii="Arial" w:cs="Arial" w:eastAsia="Arial" w:hAnsi="Arial"/>
                <w:sz w:val="14"/>
                <w:szCs w:val="14"/>
                <w:b w:val="1"/>
                <w:bCs w:val="1"/>
                <w:color w:val="FFFFFF"/>
                <w:w w:val="97"/>
              </w:rPr>
              <w:t>Change in</w:t>
            </w:r>
          </w:p>
        </w:tc>
        <w:tc>
          <w:tcPr>
            <w:tcW w:w="0" w:type="dxa"/>
            <w:vAlign w:val="bottom"/>
          </w:tcPr>
          <w:p>
            <w:pPr>
              <w:spacing w:after="0"/>
              <w:rPr>
                <w:sz w:val="1"/>
                <w:szCs w:val="1"/>
                <w:color w:val="auto"/>
              </w:rPr>
            </w:pPr>
          </w:p>
        </w:tc>
      </w:tr>
      <w:tr>
        <w:trPr>
          <w:trHeight w:val="149"/>
        </w:trPr>
        <w:tc>
          <w:tcPr>
            <w:tcW w:w="2620" w:type="dxa"/>
            <w:vAlign w:val="bottom"/>
            <w:tcBorders>
              <w:left w:val="single" w:sz="8" w:color="BFBFBF"/>
              <w:right w:val="single" w:sz="8" w:color="BFBFBF"/>
            </w:tcBorders>
            <w:shd w:val="clear" w:color="auto" w:fill="0088A6"/>
          </w:tcPr>
          <w:p>
            <w:pPr>
              <w:spacing w:after="0"/>
              <w:rPr>
                <w:sz w:val="12"/>
                <w:szCs w:val="12"/>
                <w:color w:val="auto"/>
              </w:rPr>
            </w:pP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60" w:type="dxa"/>
            <w:vAlign w:val="bottom"/>
            <w:shd w:val="clear" w:color="auto" w:fill="0088A6"/>
          </w:tcPr>
          <w:p>
            <w:pPr>
              <w:jc w:val="center"/>
              <w:ind w:right="52"/>
              <w:spacing w:after="0" w:line="149" w:lineRule="exact"/>
              <w:rPr>
                <w:sz w:val="20"/>
                <w:szCs w:val="20"/>
                <w:color w:val="auto"/>
              </w:rPr>
            </w:pPr>
            <w:r>
              <w:rPr>
                <w:rFonts w:ascii="Arial" w:cs="Arial" w:eastAsia="Arial" w:hAnsi="Arial"/>
                <w:sz w:val="14"/>
                <w:szCs w:val="14"/>
                <w:b w:val="1"/>
                <w:bCs w:val="1"/>
                <w:color w:val="FFFFFF"/>
                <w:w w:val="95"/>
              </w:rPr>
              <w:t>Involuntary</w:t>
            </w: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900" w:type="dxa"/>
            <w:vAlign w:val="bottom"/>
            <w:shd w:val="clear" w:color="auto" w:fill="0088A6"/>
          </w:tcPr>
          <w:p>
            <w:pPr>
              <w:jc w:val="center"/>
              <w:ind w:right="72"/>
              <w:spacing w:after="0" w:line="149" w:lineRule="exact"/>
              <w:rPr>
                <w:sz w:val="20"/>
                <w:szCs w:val="20"/>
                <w:color w:val="auto"/>
              </w:rPr>
            </w:pPr>
            <w:r>
              <w:rPr>
                <w:rFonts w:ascii="Arial" w:cs="Arial" w:eastAsia="Arial" w:hAnsi="Arial"/>
                <w:sz w:val="14"/>
                <w:szCs w:val="14"/>
                <w:b w:val="1"/>
                <w:bCs w:val="1"/>
                <w:color w:val="FFFFFF"/>
                <w:w w:val="95"/>
              </w:rPr>
              <w:t>Involuntary</w:t>
            </w: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200" w:type="dxa"/>
            <w:vAlign w:val="bottom"/>
            <w:shd w:val="clear" w:color="auto" w:fill="0088A6"/>
          </w:tcPr>
          <w:p>
            <w:pPr>
              <w:spacing w:after="0"/>
              <w:rPr>
                <w:sz w:val="12"/>
                <w:szCs w:val="12"/>
                <w:color w:val="auto"/>
              </w:rPr>
            </w:pPr>
          </w:p>
        </w:tc>
        <w:tc>
          <w:tcPr>
            <w:tcW w:w="980" w:type="dxa"/>
            <w:vAlign w:val="bottom"/>
            <w:shd w:val="clear" w:color="auto" w:fill="0088A6"/>
          </w:tcPr>
          <w:p>
            <w:pPr>
              <w:spacing w:after="0"/>
              <w:rPr>
                <w:sz w:val="12"/>
                <w:szCs w:val="12"/>
                <w:color w:val="auto"/>
              </w:rPr>
            </w:pP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56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60" w:type="dxa"/>
            <w:vAlign w:val="bottom"/>
            <w:tcBorders>
              <w:right w:val="single" w:sz="8" w:color="BFBFBF"/>
            </w:tcBorders>
            <w:gridSpan w:val="2"/>
            <w:shd w:val="clear" w:color="auto" w:fill="0088A6"/>
          </w:tcPr>
          <w:p>
            <w:pPr>
              <w:jc w:val="center"/>
              <w:ind w:right="700"/>
              <w:spacing w:after="0" w:line="149" w:lineRule="exact"/>
              <w:rPr>
                <w:sz w:val="20"/>
                <w:szCs w:val="20"/>
                <w:color w:val="auto"/>
              </w:rPr>
            </w:pPr>
            <w:r>
              <w:rPr>
                <w:rFonts w:ascii="Arial" w:cs="Arial" w:eastAsia="Arial" w:hAnsi="Arial"/>
                <w:sz w:val="14"/>
                <w:szCs w:val="14"/>
                <w:b w:val="1"/>
                <w:bCs w:val="1"/>
                <w:color w:val="FFFFFF"/>
                <w:w w:val="96"/>
              </w:rPr>
              <w:t>Control</w:t>
            </w:r>
          </w:p>
        </w:tc>
        <w:tc>
          <w:tcPr>
            <w:tcW w:w="0" w:type="dxa"/>
            <w:vAlign w:val="bottom"/>
          </w:tcPr>
          <w:p>
            <w:pPr>
              <w:spacing w:after="0"/>
              <w:rPr>
                <w:sz w:val="1"/>
                <w:szCs w:val="1"/>
                <w:color w:val="auto"/>
              </w:rPr>
            </w:pPr>
          </w:p>
        </w:tc>
      </w:tr>
      <w:tr>
        <w:trPr>
          <w:trHeight w:val="149"/>
        </w:trPr>
        <w:tc>
          <w:tcPr>
            <w:tcW w:w="2620" w:type="dxa"/>
            <w:vAlign w:val="bottom"/>
            <w:tcBorders>
              <w:left w:val="single" w:sz="8" w:color="BFBFBF"/>
              <w:right w:val="single" w:sz="8" w:color="BFBFBF"/>
            </w:tcBorders>
            <w:vMerge w:val="restart"/>
            <w:shd w:val="clear" w:color="auto" w:fill="0088A6"/>
          </w:tcPr>
          <w:p>
            <w:pPr>
              <w:ind w:left="120"/>
              <w:spacing w:after="0"/>
              <w:rPr>
                <w:sz w:val="20"/>
                <w:szCs w:val="20"/>
                <w:color w:val="auto"/>
              </w:rPr>
            </w:pPr>
            <w:r>
              <w:rPr>
                <w:rFonts w:ascii="Arial" w:cs="Arial" w:eastAsia="Arial" w:hAnsi="Arial"/>
                <w:sz w:val="14"/>
                <w:szCs w:val="14"/>
                <w:b w:val="1"/>
                <w:bCs w:val="1"/>
                <w:color w:val="FFFFFF"/>
              </w:rPr>
              <w:t>Eric W. Noll</w:t>
            </w:r>
          </w:p>
        </w:tc>
        <w:tc>
          <w:tcPr>
            <w:tcW w:w="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960" w:type="dxa"/>
            <w:vAlign w:val="bottom"/>
            <w:shd w:val="clear" w:color="auto" w:fill="0088A6"/>
          </w:tcPr>
          <w:p>
            <w:pPr>
              <w:jc w:val="center"/>
              <w:ind w:right="52"/>
              <w:spacing w:after="0" w:line="149" w:lineRule="exact"/>
              <w:rPr>
                <w:sz w:val="20"/>
                <w:szCs w:val="20"/>
                <w:color w:val="auto"/>
              </w:rPr>
            </w:pPr>
            <w:r>
              <w:rPr>
                <w:rFonts w:ascii="Arial" w:cs="Arial" w:eastAsia="Arial" w:hAnsi="Arial"/>
                <w:sz w:val="14"/>
                <w:szCs w:val="14"/>
                <w:b w:val="1"/>
                <w:bCs w:val="1"/>
                <w:color w:val="FFFFFF"/>
                <w:w w:val="97"/>
              </w:rPr>
              <w:t>For Cause or</w:t>
            </w: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40" w:type="dxa"/>
            <w:vAlign w:val="bottom"/>
            <w:shd w:val="clear" w:color="auto" w:fill="0088A6"/>
          </w:tcPr>
          <w:p>
            <w:pPr>
              <w:spacing w:after="0"/>
              <w:rPr>
                <w:sz w:val="12"/>
                <w:szCs w:val="12"/>
                <w:color w:val="auto"/>
              </w:rPr>
            </w:pPr>
          </w:p>
        </w:tc>
        <w:tc>
          <w:tcPr>
            <w:tcW w:w="900" w:type="dxa"/>
            <w:vAlign w:val="bottom"/>
            <w:shd w:val="clear" w:color="auto" w:fill="0088A6"/>
          </w:tcPr>
          <w:p>
            <w:pPr>
              <w:jc w:val="center"/>
              <w:ind w:right="72"/>
              <w:spacing w:after="0" w:line="149" w:lineRule="exact"/>
              <w:rPr>
                <w:sz w:val="20"/>
                <w:szCs w:val="20"/>
                <w:color w:val="auto"/>
              </w:rPr>
            </w:pPr>
            <w:r>
              <w:rPr>
                <w:rFonts w:ascii="Arial" w:cs="Arial" w:eastAsia="Arial" w:hAnsi="Arial"/>
                <w:sz w:val="14"/>
                <w:szCs w:val="14"/>
                <w:b w:val="1"/>
                <w:bCs w:val="1"/>
                <w:color w:val="FFFFFF"/>
                <w:w w:val="96"/>
              </w:rPr>
              <w:t>Not For</w:t>
            </w: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200" w:type="dxa"/>
            <w:vAlign w:val="bottom"/>
            <w:shd w:val="clear" w:color="auto" w:fill="0088A6"/>
          </w:tcPr>
          <w:p>
            <w:pPr>
              <w:spacing w:after="0"/>
              <w:rPr>
                <w:sz w:val="12"/>
                <w:szCs w:val="12"/>
                <w:color w:val="auto"/>
              </w:rPr>
            </w:pPr>
          </w:p>
        </w:tc>
        <w:tc>
          <w:tcPr>
            <w:tcW w:w="980" w:type="dxa"/>
            <w:vAlign w:val="bottom"/>
            <w:shd w:val="clear" w:color="auto" w:fill="0088A6"/>
          </w:tcPr>
          <w:p>
            <w:pPr>
              <w:spacing w:after="0"/>
              <w:rPr>
                <w:sz w:val="12"/>
                <w:szCs w:val="12"/>
                <w:color w:val="auto"/>
              </w:rPr>
            </w:pPr>
          </w:p>
        </w:tc>
        <w:tc>
          <w:tcPr>
            <w:tcW w:w="54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60" w:type="dxa"/>
            <w:vAlign w:val="bottom"/>
            <w:shd w:val="clear" w:color="auto" w:fill="0088A6"/>
          </w:tcPr>
          <w:p>
            <w:pPr>
              <w:spacing w:after="0"/>
              <w:rPr>
                <w:sz w:val="12"/>
                <w:szCs w:val="12"/>
                <w:color w:val="auto"/>
              </w:rPr>
            </w:pPr>
          </w:p>
        </w:tc>
        <w:tc>
          <w:tcPr>
            <w:tcW w:w="800" w:type="dxa"/>
            <w:vAlign w:val="bottom"/>
            <w:shd w:val="clear" w:color="auto" w:fill="0088A6"/>
          </w:tcPr>
          <w:p>
            <w:pPr>
              <w:spacing w:after="0"/>
              <w:rPr>
                <w:sz w:val="12"/>
                <w:szCs w:val="12"/>
                <w:color w:val="auto"/>
              </w:rPr>
            </w:pPr>
          </w:p>
        </w:tc>
        <w:tc>
          <w:tcPr>
            <w:tcW w:w="560" w:type="dxa"/>
            <w:vAlign w:val="bottom"/>
            <w:tcBorders>
              <w:right w:val="single" w:sz="8" w:color="BFBFBF"/>
            </w:tcBorders>
            <w:shd w:val="clear" w:color="auto" w:fill="0088A6"/>
          </w:tcPr>
          <w:p>
            <w:pPr>
              <w:spacing w:after="0"/>
              <w:rPr>
                <w:sz w:val="12"/>
                <w:szCs w:val="12"/>
                <w:color w:val="auto"/>
              </w:rPr>
            </w:pPr>
          </w:p>
        </w:tc>
        <w:tc>
          <w:tcPr>
            <w:tcW w:w="180" w:type="dxa"/>
            <w:vAlign w:val="bottom"/>
            <w:shd w:val="clear" w:color="auto" w:fill="0088A6"/>
          </w:tcPr>
          <w:p>
            <w:pPr>
              <w:spacing w:after="0"/>
              <w:rPr>
                <w:sz w:val="12"/>
                <w:szCs w:val="12"/>
                <w:color w:val="auto"/>
              </w:rPr>
            </w:pPr>
          </w:p>
        </w:tc>
        <w:tc>
          <w:tcPr>
            <w:tcW w:w="120" w:type="dxa"/>
            <w:vAlign w:val="bottom"/>
            <w:shd w:val="clear" w:color="auto" w:fill="0088A6"/>
          </w:tcPr>
          <w:p>
            <w:pPr>
              <w:spacing w:after="0"/>
              <w:rPr>
                <w:sz w:val="12"/>
                <w:szCs w:val="12"/>
                <w:color w:val="auto"/>
              </w:rPr>
            </w:pPr>
          </w:p>
        </w:tc>
        <w:tc>
          <w:tcPr>
            <w:tcW w:w="1460" w:type="dxa"/>
            <w:vAlign w:val="bottom"/>
            <w:tcBorders>
              <w:right w:val="single" w:sz="8" w:color="BFBFBF"/>
            </w:tcBorders>
            <w:gridSpan w:val="2"/>
            <w:shd w:val="clear" w:color="auto" w:fill="0088A6"/>
          </w:tcPr>
          <w:p>
            <w:pPr>
              <w:jc w:val="center"/>
              <w:ind w:right="680"/>
              <w:spacing w:after="0" w:line="149" w:lineRule="exact"/>
              <w:rPr>
                <w:sz w:val="20"/>
                <w:szCs w:val="20"/>
                <w:color w:val="auto"/>
              </w:rPr>
            </w:pPr>
            <w:r>
              <w:rPr>
                <w:rFonts w:ascii="Arial" w:cs="Arial" w:eastAsia="Arial" w:hAnsi="Arial"/>
                <w:sz w:val="14"/>
                <w:szCs w:val="14"/>
                <w:b w:val="1"/>
                <w:bCs w:val="1"/>
                <w:color w:val="FFFFFF"/>
                <w:w w:val="98"/>
              </w:rPr>
              <w:t>(“Double</w:t>
            </w:r>
          </w:p>
        </w:tc>
        <w:tc>
          <w:tcPr>
            <w:tcW w:w="0" w:type="dxa"/>
            <w:vAlign w:val="bottom"/>
          </w:tcPr>
          <w:p>
            <w:pPr>
              <w:spacing w:after="0"/>
              <w:rPr>
                <w:sz w:val="1"/>
                <w:szCs w:val="1"/>
                <w:color w:val="auto"/>
              </w:rPr>
            </w:pPr>
          </w:p>
        </w:tc>
      </w:tr>
      <w:tr>
        <w:trPr>
          <w:trHeight w:val="205"/>
        </w:trPr>
        <w:tc>
          <w:tcPr>
            <w:tcW w:w="2620" w:type="dxa"/>
            <w:vAlign w:val="bottom"/>
            <w:tcBorders>
              <w:left w:val="single" w:sz="8" w:color="BFBFBF"/>
              <w:bottom w:val="single" w:sz="8" w:color="auto"/>
              <w:right w:val="single" w:sz="8" w:color="BFBFBF"/>
            </w:tcBorders>
            <w:vMerge w:val="continue"/>
            <w:shd w:val="clear" w:color="auto" w:fill="0088A6"/>
          </w:tcPr>
          <w:p>
            <w:pPr>
              <w:spacing w:after="0"/>
              <w:rPr>
                <w:sz w:val="17"/>
                <w:szCs w:val="17"/>
                <w:color w:val="auto"/>
              </w:rPr>
            </w:pPr>
          </w:p>
        </w:tc>
        <w:tc>
          <w:tcPr>
            <w:tcW w:w="80" w:type="dxa"/>
            <w:vAlign w:val="bottom"/>
            <w:tcBorders>
              <w:bottom w:val="single" w:sz="8" w:color="0088A6"/>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960" w:type="dxa"/>
            <w:vAlign w:val="bottom"/>
            <w:tcBorders>
              <w:bottom w:val="single" w:sz="8" w:color="auto"/>
            </w:tcBorders>
            <w:shd w:val="clear" w:color="auto" w:fill="0088A6"/>
          </w:tcPr>
          <w:p>
            <w:pPr>
              <w:jc w:val="center"/>
              <w:ind w:right="52"/>
              <w:spacing w:after="0"/>
              <w:rPr>
                <w:sz w:val="20"/>
                <w:szCs w:val="20"/>
                <w:color w:val="auto"/>
              </w:rPr>
            </w:pPr>
            <w:r>
              <w:rPr>
                <w:rFonts w:ascii="Arial" w:cs="Arial" w:eastAsia="Arial" w:hAnsi="Arial"/>
                <w:sz w:val="14"/>
                <w:szCs w:val="14"/>
                <w:b w:val="1"/>
                <w:bCs w:val="1"/>
                <w:color w:val="FFFFFF"/>
                <w:w w:val="92"/>
              </w:rPr>
              <w:t>Voluntary</w:t>
            </w:r>
          </w:p>
        </w:tc>
        <w:tc>
          <w:tcPr>
            <w:tcW w:w="540" w:type="dxa"/>
            <w:vAlign w:val="bottom"/>
            <w:tcBorders>
              <w:bottom w:val="single" w:sz="8" w:color="0088A6"/>
              <w:right w:val="single" w:sz="8" w:color="BFBFBF"/>
            </w:tcBorders>
            <w:shd w:val="clear" w:color="auto" w:fill="0088A6"/>
          </w:tcPr>
          <w:p>
            <w:pPr>
              <w:spacing w:after="0"/>
              <w:rPr>
                <w:sz w:val="17"/>
                <w:szCs w:val="17"/>
                <w:color w:val="auto"/>
              </w:rPr>
            </w:pPr>
          </w:p>
        </w:tc>
        <w:tc>
          <w:tcPr>
            <w:tcW w:w="180" w:type="dxa"/>
            <w:vAlign w:val="bottom"/>
            <w:tcBorders>
              <w:bottom w:val="single" w:sz="8" w:color="0088A6"/>
            </w:tcBorders>
            <w:shd w:val="clear" w:color="auto" w:fill="0088A6"/>
          </w:tcPr>
          <w:p>
            <w:pPr>
              <w:spacing w:after="0"/>
              <w:rPr>
                <w:sz w:val="17"/>
                <w:szCs w:val="17"/>
                <w:color w:val="auto"/>
              </w:rPr>
            </w:pPr>
          </w:p>
        </w:tc>
        <w:tc>
          <w:tcPr>
            <w:tcW w:w="140" w:type="dxa"/>
            <w:vAlign w:val="bottom"/>
            <w:tcBorders>
              <w:bottom w:val="single" w:sz="8" w:color="auto"/>
            </w:tcBorders>
            <w:shd w:val="clear" w:color="auto" w:fill="0088A6"/>
          </w:tcPr>
          <w:p>
            <w:pPr>
              <w:spacing w:after="0"/>
              <w:rPr>
                <w:sz w:val="17"/>
                <w:szCs w:val="17"/>
                <w:color w:val="auto"/>
              </w:rPr>
            </w:pPr>
          </w:p>
        </w:tc>
        <w:tc>
          <w:tcPr>
            <w:tcW w:w="900" w:type="dxa"/>
            <w:vAlign w:val="bottom"/>
            <w:tcBorders>
              <w:bottom w:val="single" w:sz="8" w:color="auto"/>
            </w:tcBorders>
            <w:shd w:val="clear" w:color="auto" w:fill="0088A6"/>
          </w:tcPr>
          <w:p>
            <w:pPr>
              <w:jc w:val="center"/>
              <w:ind w:right="72"/>
              <w:spacing w:after="0"/>
              <w:rPr>
                <w:sz w:val="20"/>
                <w:szCs w:val="20"/>
                <w:color w:val="auto"/>
              </w:rPr>
            </w:pPr>
            <w:r>
              <w:rPr>
                <w:rFonts w:ascii="Arial" w:cs="Arial" w:eastAsia="Arial" w:hAnsi="Arial"/>
                <w:sz w:val="14"/>
                <w:szCs w:val="14"/>
                <w:b w:val="1"/>
                <w:bCs w:val="1"/>
                <w:color w:val="FFFFFF"/>
                <w:w w:val="95"/>
              </w:rPr>
              <w:t>Cause</w:t>
            </w:r>
          </w:p>
        </w:tc>
        <w:tc>
          <w:tcPr>
            <w:tcW w:w="540" w:type="dxa"/>
            <w:vAlign w:val="bottom"/>
            <w:tcBorders>
              <w:bottom w:val="single" w:sz="8" w:color="0088A6"/>
              <w:right w:val="single" w:sz="8" w:color="BFBFBF"/>
            </w:tcBorders>
            <w:shd w:val="clear" w:color="auto" w:fill="0088A6"/>
          </w:tcPr>
          <w:p>
            <w:pPr>
              <w:spacing w:after="0"/>
              <w:rPr>
                <w:sz w:val="17"/>
                <w:szCs w:val="17"/>
                <w:color w:val="auto"/>
              </w:rPr>
            </w:pPr>
          </w:p>
        </w:tc>
        <w:tc>
          <w:tcPr>
            <w:tcW w:w="180" w:type="dxa"/>
            <w:vAlign w:val="bottom"/>
            <w:tcBorders>
              <w:bottom w:val="single" w:sz="8" w:color="0088A6"/>
            </w:tcBorders>
            <w:shd w:val="clear" w:color="auto" w:fill="0088A6"/>
          </w:tcPr>
          <w:p>
            <w:pPr>
              <w:spacing w:after="0"/>
              <w:rPr>
                <w:sz w:val="17"/>
                <w:szCs w:val="17"/>
                <w:color w:val="auto"/>
              </w:rPr>
            </w:pPr>
          </w:p>
        </w:tc>
        <w:tc>
          <w:tcPr>
            <w:tcW w:w="200" w:type="dxa"/>
            <w:vAlign w:val="bottom"/>
            <w:tcBorders>
              <w:bottom w:val="single" w:sz="8" w:color="auto"/>
            </w:tcBorders>
            <w:shd w:val="clear" w:color="auto" w:fill="0088A6"/>
          </w:tcPr>
          <w:p>
            <w:pPr>
              <w:spacing w:after="0"/>
              <w:rPr>
                <w:sz w:val="17"/>
                <w:szCs w:val="17"/>
                <w:color w:val="auto"/>
              </w:rPr>
            </w:pPr>
          </w:p>
        </w:tc>
        <w:tc>
          <w:tcPr>
            <w:tcW w:w="980" w:type="dxa"/>
            <w:vAlign w:val="bottom"/>
            <w:tcBorders>
              <w:bottom w:val="single" w:sz="8" w:color="auto"/>
            </w:tcBorders>
            <w:shd w:val="clear" w:color="auto" w:fill="0088A6"/>
          </w:tcPr>
          <w:p>
            <w:pPr>
              <w:jc w:val="right"/>
              <w:ind w:right="332"/>
              <w:spacing w:after="0"/>
              <w:rPr>
                <w:sz w:val="20"/>
                <w:szCs w:val="20"/>
                <w:color w:val="auto"/>
              </w:rPr>
            </w:pPr>
            <w:r>
              <w:rPr>
                <w:rFonts w:ascii="Arial" w:cs="Arial" w:eastAsia="Arial" w:hAnsi="Arial"/>
                <w:sz w:val="14"/>
                <w:szCs w:val="14"/>
                <w:b w:val="1"/>
                <w:bCs w:val="1"/>
                <w:color w:val="FFFFFF"/>
              </w:rPr>
              <w:t>Death</w:t>
            </w:r>
          </w:p>
        </w:tc>
        <w:tc>
          <w:tcPr>
            <w:tcW w:w="540" w:type="dxa"/>
            <w:vAlign w:val="bottom"/>
            <w:tcBorders>
              <w:bottom w:val="single" w:sz="8" w:color="0088A6"/>
              <w:right w:val="single" w:sz="8" w:color="BFBFBF"/>
            </w:tcBorders>
            <w:shd w:val="clear" w:color="auto" w:fill="0088A6"/>
          </w:tcPr>
          <w:p>
            <w:pPr>
              <w:spacing w:after="0"/>
              <w:rPr>
                <w:sz w:val="17"/>
                <w:szCs w:val="17"/>
                <w:color w:val="auto"/>
              </w:rPr>
            </w:pPr>
          </w:p>
        </w:tc>
        <w:tc>
          <w:tcPr>
            <w:tcW w:w="180" w:type="dxa"/>
            <w:vAlign w:val="bottom"/>
            <w:tcBorders>
              <w:bottom w:val="single" w:sz="8" w:color="0088A6"/>
            </w:tcBorders>
            <w:shd w:val="clear" w:color="auto" w:fill="0088A6"/>
          </w:tcPr>
          <w:p>
            <w:pPr>
              <w:spacing w:after="0"/>
              <w:rPr>
                <w:sz w:val="17"/>
                <w:szCs w:val="17"/>
                <w:color w:val="auto"/>
              </w:rPr>
            </w:pPr>
          </w:p>
        </w:tc>
        <w:tc>
          <w:tcPr>
            <w:tcW w:w="160" w:type="dxa"/>
            <w:vAlign w:val="bottom"/>
            <w:tcBorders>
              <w:bottom w:val="single" w:sz="8" w:color="auto"/>
            </w:tcBorders>
            <w:shd w:val="clear" w:color="auto" w:fill="0088A6"/>
          </w:tcPr>
          <w:p>
            <w:pPr>
              <w:spacing w:after="0"/>
              <w:rPr>
                <w:sz w:val="17"/>
                <w:szCs w:val="17"/>
                <w:color w:val="auto"/>
              </w:rPr>
            </w:pPr>
          </w:p>
        </w:tc>
        <w:tc>
          <w:tcPr>
            <w:tcW w:w="800" w:type="dxa"/>
            <w:vAlign w:val="bottom"/>
            <w:tcBorders>
              <w:bottom w:val="single" w:sz="8" w:color="auto"/>
            </w:tcBorders>
            <w:shd w:val="clear" w:color="auto" w:fill="0088A6"/>
          </w:tcPr>
          <w:p>
            <w:pPr>
              <w:jc w:val="right"/>
              <w:ind w:right="112"/>
              <w:spacing w:after="0"/>
              <w:rPr>
                <w:sz w:val="20"/>
                <w:szCs w:val="20"/>
                <w:color w:val="auto"/>
              </w:rPr>
            </w:pPr>
            <w:r>
              <w:rPr>
                <w:rFonts w:ascii="Arial" w:cs="Arial" w:eastAsia="Arial" w:hAnsi="Arial"/>
                <w:sz w:val="14"/>
                <w:szCs w:val="14"/>
                <w:b w:val="1"/>
                <w:bCs w:val="1"/>
                <w:color w:val="FFFFFF"/>
                <w:w w:val="96"/>
              </w:rPr>
              <w:t>Disability</w:t>
            </w:r>
          </w:p>
        </w:tc>
        <w:tc>
          <w:tcPr>
            <w:tcW w:w="560" w:type="dxa"/>
            <w:vAlign w:val="bottom"/>
            <w:tcBorders>
              <w:bottom w:val="single" w:sz="8" w:color="0088A6"/>
              <w:right w:val="single" w:sz="8" w:color="BFBFBF"/>
            </w:tcBorders>
            <w:shd w:val="clear" w:color="auto" w:fill="0088A6"/>
          </w:tcPr>
          <w:p>
            <w:pPr>
              <w:spacing w:after="0"/>
              <w:rPr>
                <w:sz w:val="17"/>
                <w:szCs w:val="17"/>
                <w:color w:val="auto"/>
              </w:rPr>
            </w:pPr>
          </w:p>
        </w:tc>
        <w:tc>
          <w:tcPr>
            <w:tcW w:w="180" w:type="dxa"/>
            <w:vAlign w:val="bottom"/>
            <w:tcBorders>
              <w:bottom w:val="single" w:sz="8" w:color="0088A6"/>
            </w:tcBorders>
            <w:shd w:val="clear" w:color="auto" w:fill="0088A6"/>
          </w:tcPr>
          <w:p>
            <w:pPr>
              <w:spacing w:after="0"/>
              <w:rPr>
                <w:sz w:val="17"/>
                <w:szCs w:val="17"/>
                <w:color w:val="auto"/>
              </w:rPr>
            </w:pPr>
          </w:p>
        </w:tc>
        <w:tc>
          <w:tcPr>
            <w:tcW w:w="120" w:type="dxa"/>
            <w:vAlign w:val="bottom"/>
            <w:tcBorders>
              <w:bottom w:val="single" w:sz="8" w:color="auto"/>
            </w:tcBorders>
            <w:shd w:val="clear" w:color="auto" w:fill="0088A6"/>
          </w:tcPr>
          <w:p>
            <w:pPr>
              <w:spacing w:after="0"/>
              <w:rPr>
                <w:sz w:val="17"/>
                <w:szCs w:val="17"/>
                <w:color w:val="auto"/>
              </w:rPr>
            </w:pPr>
          </w:p>
        </w:tc>
        <w:tc>
          <w:tcPr>
            <w:tcW w:w="900" w:type="dxa"/>
            <w:vAlign w:val="bottom"/>
            <w:tcBorders>
              <w:bottom w:val="single" w:sz="8" w:color="auto"/>
            </w:tcBorders>
            <w:shd w:val="clear" w:color="auto" w:fill="0088A6"/>
          </w:tcPr>
          <w:p>
            <w:pPr>
              <w:jc w:val="center"/>
              <w:ind w:right="52"/>
              <w:spacing w:after="0"/>
              <w:rPr>
                <w:sz w:val="20"/>
                <w:szCs w:val="20"/>
                <w:color w:val="auto"/>
              </w:rPr>
            </w:pPr>
            <w:r>
              <w:rPr>
                <w:rFonts w:ascii="Arial" w:cs="Arial" w:eastAsia="Arial" w:hAnsi="Arial"/>
                <w:sz w:val="14"/>
                <w:szCs w:val="14"/>
                <w:b w:val="1"/>
                <w:bCs w:val="1"/>
                <w:color w:val="FFFFFF"/>
                <w:w w:val="96"/>
              </w:rPr>
              <w:t>Trigger”)</w:t>
            </w:r>
          </w:p>
        </w:tc>
        <w:tc>
          <w:tcPr>
            <w:tcW w:w="560" w:type="dxa"/>
            <w:vAlign w:val="bottom"/>
            <w:tcBorders>
              <w:bottom w:val="single" w:sz="8" w:color="0088A6"/>
              <w:right w:val="single" w:sz="8" w:color="BFBFBF"/>
            </w:tcBorders>
            <w:shd w:val="clear" w:color="auto" w:fill="0088A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620" w:type="dxa"/>
            <w:vAlign w:val="bottom"/>
            <w:tcBorders>
              <w:top w:val="single" w:sz="8" w:color="BFBFBF"/>
              <w:left w:val="single" w:sz="8" w:color="BFBFBF"/>
              <w:bottom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Severance</w:t>
            </w:r>
          </w:p>
        </w:tc>
        <w:tc>
          <w:tcPr>
            <w:tcW w:w="20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BFBFBF"/>
              <w:bottom w:val="single" w:sz="8" w:color="BFBFBF"/>
            </w:tcBorders>
          </w:tcPr>
          <w:p>
            <w:pPr>
              <w:jc w:val="right"/>
              <w:ind w:right="12"/>
              <w:spacing w:after="0" w:line="129" w:lineRule="exact"/>
              <w:rPr>
                <w:sz w:val="20"/>
                <w:szCs w:val="20"/>
                <w:color w:val="auto"/>
              </w:rPr>
            </w:pPr>
            <w:r>
              <w:rPr>
                <w:rFonts w:ascii="Arial" w:cs="Arial" w:eastAsia="Arial" w:hAnsi="Arial"/>
                <w:sz w:val="14"/>
                <w:szCs w:val="14"/>
                <w:color w:val="auto"/>
              </w:rPr>
              <w:t>0</w:t>
            </w:r>
          </w:p>
        </w:tc>
        <w:tc>
          <w:tcPr>
            <w:tcW w:w="540" w:type="dxa"/>
            <w:vAlign w:val="bottom"/>
            <w:tcBorders>
              <w:top w:val="single" w:sz="8" w:color="BFBFBF"/>
              <w:bottom w:val="single" w:sz="8" w:color="BFBFBF"/>
              <w:right w:val="single" w:sz="8" w:color="BFBFBF"/>
            </w:tcBorders>
          </w:tcPr>
          <w:p>
            <w:pPr>
              <w:spacing w:after="0"/>
              <w:rPr>
                <w:sz w:val="11"/>
                <w:szCs w:val="11"/>
                <w:color w:val="auto"/>
              </w:rPr>
            </w:pPr>
          </w:p>
        </w:tc>
        <w:tc>
          <w:tcPr>
            <w:tcW w:w="32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BFBFBF"/>
              <w:bottom w:val="single" w:sz="8" w:color="BFBFBF"/>
            </w:tcBorders>
          </w:tcPr>
          <w:p>
            <w:pPr>
              <w:jc w:val="right"/>
              <w:ind w:right="92"/>
              <w:spacing w:after="0" w:line="129" w:lineRule="exact"/>
              <w:rPr>
                <w:sz w:val="20"/>
                <w:szCs w:val="20"/>
                <w:color w:val="auto"/>
              </w:rPr>
            </w:pPr>
            <w:r>
              <w:rPr>
                <w:rFonts w:ascii="Arial" w:cs="Arial" w:eastAsia="Arial" w:hAnsi="Arial"/>
                <w:sz w:val="14"/>
                <w:szCs w:val="14"/>
                <w:color w:val="auto"/>
              </w:rPr>
              <w:t>625,000</w:t>
            </w:r>
          </w:p>
        </w:tc>
        <w:tc>
          <w:tcPr>
            <w:tcW w:w="540" w:type="dxa"/>
            <w:vAlign w:val="bottom"/>
            <w:tcBorders>
              <w:top w:val="single" w:sz="8" w:color="BFBFBF"/>
              <w:bottom w:val="single" w:sz="8" w:color="BFBFBF"/>
              <w:right w:val="single" w:sz="8" w:color="BFBFBF"/>
            </w:tcBorders>
          </w:tcPr>
          <w:p>
            <w:pPr>
              <w:spacing w:after="0"/>
              <w:rPr>
                <w:sz w:val="11"/>
                <w:szCs w:val="11"/>
                <w:color w:val="auto"/>
              </w:rPr>
            </w:pPr>
          </w:p>
        </w:tc>
        <w:tc>
          <w:tcPr>
            <w:tcW w:w="380" w:type="dxa"/>
            <w:vAlign w:val="bottom"/>
            <w:tcBorders>
              <w:top w:val="single" w:sz="8" w:color="BFBFBF"/>
              <w:bottom w:val="single" w:sz="8" w:color="BFBFBF"/>
            </w:tcBorders>
            <w:gridSpan w:val="2"/>
          </w:tcPr>
          <w:p>
            <w:pPr>
              <w:jc w:val="right"/>
              <w:ind w:right="12"/>
              <w:spacing w:after="0" w:line="12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BFBFBF"/>
              <w:bottom w:val="single" w:sz="8" w:color="BFBFBF"/>
            </w:tcBorders>
          </w:tcPr>
          <w:p>
            <w:pPr>
              <w:jc w:val="right"/>
              <w:ind w:right="232"/>
              <w:spacing w:after="0" w:line="129" w:lineRule="exact"/>
              <w:rPr>
                <w:sz w:val="20"/>
                <w:szCs w:val="20"/>
                <w:color w:val="auto"/>
              </w:rPr>
            </w:pPr>
            <w:r>
              <w:rPr>
                <w:rFonts w:ascii="Arial" w:cs="Arial" w:eastAsia="Arial" w:hAnsi="Arial"/>
                <w:sz w:val="14"/>
                <w:szCs w:val="14"/>
                <w:color w:val="auto"/>
              </w:rPr>
              <w:t>0</w:t>
            </w:r>
          </w:p>
        </w:tc>
        <w:tc>
          <w:tcPr>
            <w:tcW w:w="540" w:type="dxa"/>
            <w:vAlign w:val="bottom"/>
            <w:tcBorders>
              <w:top w:val="single" w:sz="8" w:color="BFBFBF"/>
              <w:bottom w:val="single" w:sz="8" w:color="BFBFBF"/>
              <w:right w:val="single" w:sz="8" w:color="BFBFBF"/>
            </w:tcBorders>
          </w:tcPr>
          <w:p>
            <w:pPr>
              <w:spacing w:after="0"/>
              <w:rPr>
                <w:sz w:val="11"/>
                <w:szCs w:val="11"/>
                <w:color w:val="auto"/>
              </w:rPr>
            </w:pPr>
          </w:p>
        </w:tc>
        <w:tc>
          <w:tcPr>
            <w:tcW w:w="34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BFBFBF"/>
              <w:bottom w:val="single" w:sz="8" w:color="BFBFBF"/>
            </w:tcBorders>
          </w:tcPr>
          <w:p>
            <w:pPr>
              <w:jc w:val="right"/>
              <w:ind w:right="12"/>
              <w:spacing w:after="0" w:line="129" w:lineRule="exact"/>
              <w:rPr>
                <w:sz w:val="20"/>
                <w:szCs w:val="20"/>
                <w:color w:val="auto"/>
              </w:rPr>
            </w:pPr>
            <w:r>
              <w:rPr>
                <w:rFonts w:ascii="Arial" w:cs="Arial" w:eastAsia="Arial" w:hAnsi="Arial"/>
                <w:sz w:val="14"/>
                <w:szCs w:val="14"/>
                <w:color w:val="auto"/>
              </w:rPr>
              <w:t>0</w:t>
            </w:r>
          </w:p>
        </w:tc>
        <w:tc>
          <w:tcPr>
            <w:tcW w:w="560" w:type="dxa"/>
            <w:vAlign w:val="bottom"/>
            <w:tcBorders>
              <w:top w:val="single" w:sz="8" w:color="BFBFBF"/>
              <w:bottom w:val="single" w:sz="8" w:color="BFBFBF"/>
              <w:right w:val="single" w:sz="8" w:color="BFBFBF"/>
            </w:tcBorders>
          </w:tcPr>
          <w:p>
            <w:pPr>
              <w:spacing w:after="0"/>
              <w:rPr>
                <w:sz w:val="11"/>
                <w:szCs w:val="11"/>
                <w:color w:val="auto"/>
              </w:rPr>
            </w:pPr>
          </w:p>
        </w:tc>
        <w:tc>
          <w:tcPr>
            <w:tcW w:w="300" w:type="dxa"/>
            <w:vAlign w:val="bottom"/>
            <w:tcBorders>
              <w:top w:val="single" w:sz="8" w:color="BFBFBF"/>
              <w:bottom w:val="single" w:sz="8" w:color="BFBFBF"/>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BFBFBF"/>
              <w:bottom w:val="single" w:sz="8" w:color="BFBFBF"/>
            </w:tcBorders>
          </w:tcPr>
          <w:p>
            <w:pPr>
              <w:jc w:val="right"/>
              <w:ind w:right="92"/>
              <w:spacing w:after="0" w:line="129" w:lineRule="exact"/>
              <w:rPr>
                <w:sz w:val="20"/>
                <w:szCs w:val="20"/>
                <w:color w:val="auto"/>
              </w:rPr>
            </w:pPr>
            <w:r>
              <w:rPr>
                <w:rFonts w:ascii="Arial" w:cs="Arial" w:eastAsia="Arial" w:hAnsi="Arial"/>
                <w:sz w:val="14"/>
                <w:szCs w:val="14"/>
                <w:color w:val="auto"/>
              </w:rPr>
              <w:t>1,000,000</w:t>
            </w:r>
          </w:p>
        </w:tc>
        <w:tc>
          <w:tcPr>
            <w:tcW w:w="560" w:type="dxa"/>
            <w:vAlign w:val="bottom"/>
            <w:tcBorders>
              <w:top w:val="single" w:sz="8" w:color="BFBFBF"/>
              <w:bottom w:val="single" w:sz="8" w:color="BFBFBF"/>
              <w:right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20" w:type="dxa"/>
            <w:vAlign w:val="bottom"/>
            <w:tcBorders>
              <w:left w:val="single" w:sz="8" w:color="BFBFBF"/>
              <w:right w:val="single" w:sz="8" w:color="BFBFBF"/>
            </w:tcBorders>
          </w:tcPr>
          <w:p>
            <w:pPr>
              <w:ind w:left="120"/>
              <w:spacing w:after="0" w:line="141" w:lineRule="exact"/>
              <w:rPr>
                <w:sz w:val="20"/>
                <w:szCs w:val="20"/>
                <w:color w:val="auto"/>
              </w:rPr>
            </w:pPr>
            <w:r>
              <w:rPr>
                <w:rFonts w:ascii="Arial" w:cs="Arial" w:eastAsia="Arial" w:hAnsi="Arial"/>
                <w:sz w:val="14"/>
                <w:szCs w:val="14"/>
                <w:color w:val="auto"/>
              </w:rPr>
              <w:t>Non-Equity Incentive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Borders>
              <w:left w:val="single" w:sz="8" w:color="BFBFBF"/>
              <w:bottom w:val="single" w:sz="8" w:color="BFBFBF"/>
              <w:right w:val="single" w:sz="8" w:color="BFBFBF"/>
            </w:tcBorders>
          </w:tcPr>
          <w:p>
            <w:pPr>
              <w:ind w:left="340"/>
              <w:spacing w:after="0" w:line="149" w:lineRule="exact"/>
              <w:rPr>
                <w:sz w:val="20"/>
                <w:szCs w:val="20"/>
                <w:color w:val="auto"/>
              </w:rPr>
            </w:pPr>
            <w:r>
              <w:rPr>
                <w:rFonts w:ascii="Arial" w:cs="Arial" w:eastAsia="Arial" w:hAnsi="Arial"/>
                <w:sz w:val="14"/>
                <w:szCs w:val="14"/>
                <w:color w:val="auto"/>
              </w:rPr>
              <w:t>Compensation</w:t>
            </w:r>
          </w:p>
        </w:tc>
        <w:tc>
          <w:tcPr>
            <w:tcW w:w="200" w:type="dxa"/>
            <w:vAlign w:val="bottom"/>
            <w:tcBorders>
              <w:bottom w:val="single" w:sz="8" w:color="BFBFBF"/>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9" w:lineRule="exact"/>
              <w:rPr>
                <w:sz w:val="20"/>
                <w:szCs w:val="20"/>
                <w:color w:val="auto"/>
              </w:rPr>
            </w:pPr>
            <w:r>
              <w:rPr>
                <w:rFonts w:ascii="Arial" w:cs="Arial" w:eastAsia="Arial" w:hAnsi="Arial"/>
                <w:sz w:val="14"/>
                <w:szCs w:val="14"/>
                <w:color w:val="auto"/>
              </w:rPr>
              <w:t>688,500</w:t>
            </w:r>
          </w:p>
        </w:tc>
        <w:tc>
          <w:tcPr>
            <w:tcW w:w="540" w:type="dxa"/>
            <w:vAlign w:val="bottom"/>
            <w:tcBorders>
              <w:bottom w:val="single" w:sz="8" w:color="BFBFBF"/>
              <w:right w:val="single" w:sz="8" w:color="BFBFBF"/>
            </w:tcBorders>
          </w:tcPr>
          <w:p>
            <w:pPr>
              <w:spacing w:after="0"/>
              <w:rPr>
                <w:sz w:val="12"/>
                <w:szCs w:val="12"/>
                <w:color w:val="auto"/>
              </w:rPr>
            </w:pPr>
          </w:p>
        </w:tc>
        <w:tc>
          <w:tcPr>
            <w:tcW w:w="380" w:type="dxa"/>
            <w:vAlign w:val="bottom"/>
            <w:tcBorders>
              <w:bottom w:val="single" w:sz="8" w:color="BFBFBF"/>
            </w:tcBorders>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BFBFBF"/>
            </w:tcBorders>
          </w:tcPr>
          <w:p>
            <w:pPr>
              <w:jc w:val="right"/>
              <w:ind w:right="232"/>
              <w:spacing w:after="0" w:line="149" w:lineRule="exact"/>
              <w:rPr>
                <w:sz w:val="20"/>
                <w:szCs w:val="20"/>
                <w:color w:val="auto"/>
              </w:rPr>
            </w:pPr>
            <w:r>
              <w:rPr>
                <w:rFonts w:ascii="Arial" w:cs="Arial" w:eastAsia="Arial" w:hAnsi="Arial"/>
                <w:sz w:val="14"/>
                <w:szCs w:val="14"/>
                <w:color w:val="auto"/>
              </w:rPr>
              <w:t>688,500</w:t>
            </w:r>
          </w:p>
        </w:tc>
        <w:tc>
          <w:tcPr>
            <w:tcW w:w="540" w:type="dxa"/>
            <w:vAlign w:val="bottom"/>
            <w:tcBorders>
              <w:bottom w:val="single" w:sz="8" w:color="BFBFBF"/>
              <w:right w:val="single" w:sz="8" w:color="BFBFBF"/>
            </w:tcBorders>
          </w:tcPr>
          <w:p>
            <w:pPr>
              <w:spacing w:after="0"/>
              <w:rPr>
                <w:sz w:val="12"/>
                <w:szCs w:val="12"/>
                <w:color w:val="auto"/>
              </w:rPr>
            </w:pPr>
          </w:p>
        </w:tc>
        <w:tc>
          <w:tcPr>
            <w:tcW w:w="340" w:type="dxa"/>
            <w:vAlign w:val="bottom"/>
            <w:tcBorders>
              <w:bottom w:val="single" w:sz="8" w:color="BFBFBF"/>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ind w:right="12"/>
              <w:spacing w:after="0" w:line="149" w:lineRule="exact"/>
              <w:rPr>
                <w:sz w:val="20"/>
                <w:szCs w:val="20"/>
                <w:color w:val="auto"/>
              </w:rPr>
            </w:pPr>
            <w:r>
              <w:rPr>
                <w:rFonts w:ascii="Arial" w:cs="Arial" w:eastAsia="Arial" w:hAnsi="Arial"/>
                <w:sz w:val="14"/>
                <w:szCs w:val="14"/>
                <w:color w:val="auto"/>
              </w:rPr>
              <w:t>688,500</w:t>
            </w:r>
          </w:p>
        </w:tc>
        <w:tc>
          <w:tcPr>
            <w:tcW w:w="560" w:type="dxa"/>
            <w:vAlign w:val="bottom"/>
            <w:tcBorders>
              <w:bottom w:val="single" w:sz="8" w:color="BFBFBF"/>
              <w:right w:val="single" w:sz="8" w:color="BFBFBF"/>
            </w:tcBorders>
          </w:tcPr>
          <w:p>
            <w:pPr>
              <w:spacing w:after="0"/>
              <w:rPr>
                <w:sz w:val="12"/>
                <w:szCs w:val="12"/>
                <w:color w:val="auto"/>
              </w:rPr>
            </w:pPr>
          </w:p>
        </w:tc>
        <w:tc>
          <w:tcPr>
            <w:tcW w:w="300" w:type="dxa"/>
            <w:vAlign w:val="bottom"/>
            <w:tcBorders>
              <w:bottom w:val="single" w:sz="8" w:color="BFBFBF"/>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9" w:lineRule="exact"/>
              <w:rPr>
                <w:sz w:val="20"/>
                <w:szCs w:val="20"/>
                <w:color w:val="auto"/>
              </w:rPr>
            </w:pPr>
            <w:r>
              <w:rPr>
                <w:rFonts w:ascii="Arial" w:cs="Arial" w:eastAsia="Arial" w:hAnsi="Arial"/>
                <w:sz w:val="14"/>
                <w:szCs w:val="14"/>
                <w:color w:val="auto"/>
              </w:rPr>
              <w:t>1,438,500</w:t>
            </w:r>
          </w:p>
        </w:tc>
        <w:tc>
          <w:tcPr>
            <w:tcW w:w="5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Stock Option Vesting</w:t>
            </w: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80" w:type="dxa"/>
            <w:vAlign w:val="bottom"/>
            <w:tcBorders>
              <w:bottom w:val="single" w:sz="8" w:color="BFBFBF"/>
            </w:tcBorders>
            <w:gridSpan w:val="2"/>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BFBFBF"/>
            </w:tcBorders>
          </w:tcPr>
          <w:p>
            <w:pPr>
              <w:jc w:val="right"/>
              <w:ind w:right="232"/>
              <w:spacing w:after="0" w:line="142" w:lineRule="exact"/>
              <w:rPr>
                <w:sz w:val="20"/>
                <w:szCs w:val="20"/>
                <w:color w:val="auto"/>
              </w:rPr>
            </w:pPr>
            <w:r>
              <w:rPr>
                <w:rFonts w:ascii="Arial" w:cs="Arial" w:eastAsia="Arial" w:hAnsi="Arial"/>
                <w:sz w:val="14"/>
                <w:szCs w:val="14"/>
                <w:color w:val="auto"/>
              </w:rPr>
              <w:t>397,031</w:t>
            </w:r>
          </w:p>
        </w:tc>
        <w:tc>
          <w:tcPr>
            <w:tcW w:w="540" w:type="dxa"/>
            <w:vAlign w:val="bottom"/>
            <w:tcBorders>
              <w:bottom w:val="single" w:sz="8" w:color="BFBFBF"/>
              <w:right w:val="single" w:sz="8" w:color="BFBFBF"/>
            </w:tcBorders>
          </w:tcPr>
          <w:p>
            <w:pPr>
              <w:spacing w:after="0"/>
              <w:rPr>
                <w:sz w:val="12"/>
                <w:szCs w:val="12"/>
                <w:color w:val="auto"/>
              </w:rPr>
            </w:pPr>
          </w:p>
        </w:tc>
        <w:tc>
          <w:tcPr>
            <w:tcW w:w="34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397,031</w:t>
            </w:r>
          </w:p>
        </w:tc>
        <w:tc>
          <w:tcPr>
            <w:tcW w:w="560" w:type="dxa"/>
            <w:vAlign w:val="bottom"/>
            <w:tcBorders>
              <w:bottom w:val="single" w:sz="8" w:color="BFBFBF"/>
              <w:right w:val="single" w:sz="8" w:color="BFBFBF"/>
            </w:tcBorders>
          </w:tcPr>
          <w:p>
            <w:pPr>
              <w:spacing w:after="0"/>
              <w:rPr>
                <w:sz w:val="12"/>
                <w:szCs w:val="12"/>
                <w:color w:val="auto"/>
              </w:rPr>
            </w:pPr>
          </w:p>
        </w:tc>
        <w:tc>
          <w:tcPr>
            <w:tcW w:w="3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545,648</w:t>
            </w:r>
          </w:p>
        </w:tc>
        <w:tc>
          <w:tcPr>
            <w:tcW w:w="5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Restricted Stock Vesting</w:t>
            </w: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80" w:type="dxa"/>
            <w:vAlign w:val="bottom"/>
            <w:tcBorders>
              <w:bottom w:val="single" w:sz="8" w:color="BFBFBF"/>
            </w:tcBorders>
            <w:gridSpan w:val="2"/>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BFBFBF"/>
            </w:tcBorders>
          </w:tcPr>
          <w:p>
            <w:pPr>
              <w:jc w:val="right"/>
              <w:ind w:right="23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4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60" w:type="dxa"/>
            <w:vAlign w:val="bottom"/>
            <w:tcBorders>
              <w:bottom w:val="single" w:sz="8" w:color="BFBFBF"/>
              <w:right w:val="single" w:sz="8" w:color="BFBFBF"/>
            </w:tcBorders>
          </w:tcPr>
          <w:p>
            <w:pPr>
              <w:spacing w:after="0"/>
              <w:rPr>
                <w:sz w:val="12"/>
                <w:szCs w:val="12"/>
                <w:color w:val="auto"/>
              </w:rPr>
            </w:pPr>
          </w:p>
        </w:tc>
        <w:tc>
          <w:tcPr>
            <w:tcW w:w="3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5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20" w:type="dxa"/>
            <w:vAlign w:val="bottom"/>
            <w:tcBorders>
              <w:left w:val="single" w:sz="8" w:color="BFBFBF"/>
              <w:right w:val="single" w:sz="8" w:color="BFBFBF"/>
            </w:tcBorders>
          </w:tcPr>
          <w:p>
            <w:pPr>
              <w:ind w:left="120"/>
              <w:spacing w:after="0" w:line="141" w:lineRule="exact"/>
              <w:rPr>
                <w:sz w:val="20"/>
                <w:szCs w:val="20"/>
                <w:color w:val="auto"/>
              </w:rPr>
            </w:pPr>
            <w:r>
              <w:rPr>
                <w:rFonts w:ascii="Arial" w:cs="Arial" w:eastAsia="Arial" w:hAnsi="Arial"/>
                <w:sz w:val="14"/>
                <w:szCs w:val="14"/>
                <w:color w:val="auto"/>
              </w:rPr>
              <w:t>Performance Share Unit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Borders>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Borders>
              <w:left w:val="single" w:sz="8" w:color="BFBFBF"/>
              <w:bottom w:val="single" w:sz="8" w:color="BFBFBF"/>
              <w:right w:val="single" w:sz="8" w:color="BFBFBF"/>
            </w:tcBorders>
          </w:tcPr>
          <w:p>
            <w:pPr>
              <w:ind w:left="340"/>
              <w:spacing w:after="0" w:line="149" w:lineRule="exact"/>
              <w:rPr>
                <w:sz w:val="20"/>
                <w:szCs w:val="20"/>
                <w:color w:val="auto"/>
              </w:rPr>
            </w:pPr>
            <w:r>
              <w:rPr>
                <w:rFonts w:ascii="Arial" w:cs="Arial" w:eastAsia="Arial" w:hAnsi="Arial"/>
                <w:sz w:val="14"/>
                <w:szCs w:val="14"/>
                <w:color w:val="auto"/>
              </w:rPr>
              <w:t>Vesting</w:t>
            </w:r>
          </w:p>
        </w:tc>
        <w:tc>
          <w:tcPr>
            <w:tcW w:w="200" w:type="dxa"/>
            <w:vAlign w:val="bottom"/>
            <w:tcBorders>
              <w:bottom w:val="single" w:sz="8" w:color="BFBFBF"/>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9"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80" w:type="dxa"/>
            <w:vAlign w:val="bottom"/>
            <w:tcBorders>
              <w:bottom w:val="single" w:sz="8" w:color="BFBFBF"/>
            </w:tcBorders>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BFBFBF"/>
            </w:tcBorders>
          </w:tcPr>
          <w:p>
            <w:pPr>
              <w:jc w:val="right"/>
              <w:ind w:right="52"/>
              <w:spacing w:after="0" w:line="149" w:lineRule="exact"/>
              <w:rPr>
                <w:sz w:val="20"/>
                <w:szCs w:val="20"/>
                <w:color w:val="auto"/>
              </w:rPr>
            </w:pPr>
            <w:r>
              <w:rPr>
                <w:rFonts w:ascii="Arial" w:cs="Arial" w:eastAsia="Arial" w:hAnsi="Arial"/>
                <w:sz w:val="14"/>
                <w:szCs w:val="14"/>
                <w:color w:val="auto"/>
              </w:rPr>
              <w:t>1,252,699(1)</w:t>
            </w:r>
          </w:p>
        </w:tc>
        <w:tc>
          <w:tcPr>
            <w:tcW w:w="540" w:type="dxa"/>
            <w:vAlign w:val="bottom"/>
            <w:tcBorders>
              <w:bottom w:val="single" w:sz="8" w:color="BFBFBF"/>
              <w:right w:val="single" w:sz="8" w:color="BFBFBF"/>
            </w:tcBorders>
          </w:tcPr>
          <w:p>
            <w:pPr>
              <w:spacing w:after="0"/>
              <w:rPr>
                <w:sz w:val="12"/>
                <w:szCs w:val="12"/>
                <w:color w:val="auto"/>
              </w:rPr>
            </w:pPr>
          </w:p>
        </w:tc>
        <w:tc>
          <w:tcPr>
            <w:tcW w:w="340" w:type="dxa"/>
            <w:vAlign w:val="bottom"/>
            <w:tcBorders>
              <w:bottom w:val="single" w:sz="8" w:color="BFBFBF"/>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560" w:type="dxa"/>
            <w:vAlign w:val="bottom"/>
            <w:tcBorders>
              <w:bottom w:val="single" w:sz="8" w:color="BFBFBF"/>
              <w:right w:val="single" w:sz="8" w:color="BFBFBF"/>
            </w:tcBorders>
          </w:tcPr>
          <w:p>
            <w:pPr>
              <w:spacing w:after="0"/>
              <w:rPr>
                <w:sz w:val="12"/>
                <w:szCs w:val="12"/>
                <w:color w:val="auto"/>
              </w:rPr>
            </w:pPr>
          </w:p>
        </w:tc>
        <w:tc>
          <w:tcPr>
            <w:tcW w:w="300" w:type="dxa"/>
            <w:vAlign w:val="bottom"/>
            <w:tcBorders>
              <w:bottom w:val="single" w:sz="8" w:color="BFBFBF"/>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9" w:lineRule="exact"/>
              <w:rPr>
                <w:sz w:val="20"/>
                <w:szCs w:val="20"/>
                <w:color w:val="auto"/>
              </w:rPr>
            </w:pPr>
            <w:r>
              <w:rPr>
                <w:rFonts w:ascii="Arial" w:cs="Arial" w:eastAsia="Arial" w:hAnsi="Arial"/>
                <w:sz w:val="14"/>
                <w:szCs w:val="14"/>
                <w:color w:val="auto"/>
              </w:rPr>
              <w:t>1,750,225</w:t>
            </w:r>
          </w:p>
        </w:tc>
        <w:tc>
          <w:tcPr>
            <w:tcW w:w="5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Retirement Plan Benefits</w:t>
            </w: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80" w:type="dxa"/>
            <w:vAlign w:val="bottom"/>
            <w:tcBorders>
              <w:bottom w:val="single" w:sz="8" w:color="BFBFBF"/>
            </w:tcBorders>
            <w:gridSpan w:val="2"/>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BFBFBF"/>
            </w:tcBorders>
          </w:tcPr>
          <w:p>
            <w:pPr>
              <w:jc w:val="right"/>
              <w:ind w:right="23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4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60" w:type="dxa"/>
            <w:vAlign w:val="bottom"/>
            <w:tcBorders>
              <w:bottom w:val="single" w:sz="8" w:color="BFBFBF"/>
              <w:right w:val="single" w:sz="8" w:color="BFBFBF"/>
            </w:tcBorders>
          </w:tcPr>
          <w:p>
            <w:pPr>
              <w:spacing w:after="0"/>
              <w:rPr>
                <w:sz w:val="12"/>
                <w:szCs w:val="12"/>
                <w:color w:val="auto"/>
              </w:rPr>
            </w:pPr>
          </w:p>
        </w:tc>
        <w:tc>
          <w:tcPr>
            <w:tcW w:w="3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5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Health &amp; Welfare Benefits</w:t>
            </w:r>
          </w:p>
        </w:tc>
        <w:tc>
          <w:tcPr>
            <w:tcW w:w="2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80" w:type="dxa"/>
            <w:vAlign w:val="bottom"/>
            <w:tcBorders>
              <w:bottom w:val="single" w:sz="8" w:color="BFBFBF"/>
            </w:tcBorders>
            <w:gridSpan w:val="2"/>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BFBFBF"/>
            </w:tcBorders>
          </w:tcPr>
          <w:p>
            <w:pPr>
              <w:jc w:val="right"/>
              <w:ind w:right="23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2"/>
                <w:szCs w:val="12"/>
                <w:color w:val="auto"/>
              </w:rPr>
            </w:pPr>
          </w:p>
        </w:tc>
        <w:tc>
          <w:tcPr>
            <w:tcW w:w="34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60" w:type="dxa"/>
            <w:vAlign w:val="bottom"/>
            <w:tcBorders>
              <w:bottom w:val="single" w:sz="8" w:color="BFBFBF"/>
              <w:right w:val="single" w:sz="8" w:color="BFBFBF"/>
            </w:tcBorders>
          </w:tcPr>
          <w:p>
            <w:pPr>
              <w:spacing w:after="0"/>
              <w:rPr>
                <w:sz w:val="12"/>
                <w:szCs w:val="12"/>
                <w:color w:val="auto"/>
              </w:rPr>
            </w:pPr>
          </w:p>
        </w:tc>
        <w:tc>
          <w:tcPr>
            <w:tcW w:w="3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50,410</w:t>
            </w:r>
          </w:p>
        </w:tc>
        <w:tc>
          <w:tcPr>
            <w:tcW w:w="560" w:type="dxa"/>
            <w:vAlign w:val="bottom"/>
            <w:tcBorders>
              <w:bottom w:val="single" w:sz="8" w:color="BFBFBF"/>
              <w:right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Outplacement Services</w:t>
            </w:r>
          </w:p>
        </w:tc>
        <w:tc>
          <w:tcPr>
            <w:tcW w:w="80" w:type="dxa"/>
            <w:vAlign w:val="bottom"/>
            <w:tcBorders>
              <w:bottom w:val="single" w:sz="8" w:color="BFBFBF"/>
            </w:tcBorders>
          </w:tcPr>
          <w:p>
            <w:pPr>
              <w:spacing w:after="0"/>
              <w:rPr>
                <w:sz w:val="14"/>
                <w:szCs w:val="14"/>
                <w:color w:val="auto"/>
              </w:rPr>
            </w:pPr>
          </w:p>
        </w:tc>
        <w:tc>
          <w:tcPr>
            <w:tcW w:w="120" w:type="dxa"/>
            <w:vAlign w:val="bottom"/>
            <w:tcBorders>
              <w:bottom w:val="single" w:sz="8" w:color="BFBFBF"/>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4"/>
                <w:szCs w:val="14"/>
                <w:color w:val="auto"/>
              </w:rPr>
            </w:pPr>
          </w:p>
        </w:tc>
        <w:tc>
          <w:tcPr>
            <w:tcW w:w="32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22,500</w:t>
            </w:r>
          </w:p>
        </w:tc>
        <w:tc>
          <w:tcPr>
            <w:tcW w:w="540" w:type="dxa"/>
            <w:vAlign w:val="bottom"/>
            <w:tcBorders>
              <w:bottom w:val="single" w:sz="8" w:color="BFBFBF"/>
              <w:right w:val="single" w:sz="8" w:color="BFBFBF"/>
            </w:tcBorders>
          </w:tcPr>
          <w:p>
            <w:pPr>
              <w:spacing w:after="0"/>
              <w:rPr>
                <w:sz w:val="14"/>
                <w:szCs w:val="14"/>
                <w:color w:val="auto"/>
              </w:rPr>
            </w:pPr>
          </w:p>
        </w:tc>
        <w:tc>
          <w:tcPr>
            <w:tcW w:w="380" w:type="dxa"/>
            <w:vAlign w:val="bottom"/>
            <w:tcBorders>
              <w:bottom w:val="single" w:sz="8" w:color="BFBFBF"/>
            </w:tcBorders>
            <w:gridSpan w:val="2"/>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BFBFBF"/>
            </w:tcBorders>
          </w:tcPr>
          <w:p>
            <w:pPr>
              <w:jc w:val="right"/>
              <w:ind w:right="232"/>
              <w:spacing w:after="0" w:line="142"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4"/>
                <w:szCs w:val="14"/>
                <w:color w:val="auto"/>
              </w:rPr>
            </w:pPr>
          </w:p>
        </w:tc>
        <w:tc>
          <w:tcPr>
            <w:tcW w:w="34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560" w:type="dxa"/>
            <w:vAlign w:val="bottom"/>
            <w:tcBorders>
              <w:bottom w:val="single" w:sz="8" w:color="BFBFBF"/>
              <w:right w:val="single" w:sz="8" w:color="BFBFBF"/>
            </w:tcBorders>
          </w:tcPr>
          <w:p>
            <w:pPr>
              <w:spacing w:after="0"/>
              <w:rPr>
                <w:sz w:val="14"/>
                <w:szCs w:val="14"/>
                <w:color w:val="auto"/>
              </w:rPr>
            </w:pPr>
          </w:p>
        </w:tc>
        <w:tc>
          <w:tcPr>
            <w:tcW w:w="300" w:type="dxa"/>
            <w:vAlign w:val="bottom"/>
            <w:tcBorders>
              <w:bottom w:val="single" w:sz="8" w:color="BFBFB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42" w:lineRule="exact"/>
              <w:rPr>
                <w:sz w:val="20"/>
                <w:szCs w:val="20"/>
                <w:color w:val="auto"/>
              </w:rPr>
            </w:pPr>
            <w:r>
              <w:rPr>
                <w:rFonts w:ascii="Arial" w:cs="Arial" w:eastAsia="Arial" w:hAnsi="Arial"/>
                <w:sz w:val="14"/>
                <w:szCs w:val="14"/>
                <w:color w:val="auto"/>
              </w:rPr>
              <w:t>30,000</w:t>
            </w:r>
          </w:p>
        </w:tc>
        <w:tc>
          <w:tcPr>
            <w:tcW w:w="56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620" w:type="dxa"/>
            <w:vAlign w:val="bottom"/>
            <w:tcBorders>
              <w:left w:val="single" w:sz="8" w:color="BFBFBF"/>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960" w:type="dxa"/>
            <w:vAlign w:val="bottom"/>
            <w:tcBorders>
              <w:top w:val="single" w:sz="8" w:color="auto"/>
              <w:bottom w:val="single" w:sz="8" w:color="BFBFBF"/>
            </w:tcBorders>
          </w:tcPr>
          <w:p>
            <w:pPr>
              <w:spacing w:after="0"/>
              <w:rPr>
                <w:sz w:val="3"/>
                <w:szCs w:val="3"/>
                <w:color w:val="auto"/>
              </w:rPr>
            </w:pPr>
          </w:p>
        </w:tc>
        <w:tc>
          <w:tcPr>
            <w:tcW w:w="540" w:type="dxa"/>
            <w:vAlign w:val="bottom"/>
            <w:tcBorders>
              <w:bottom w:val="single" w:sz="8" w:color="BFBFBF"/>
            </w:tcBorders>
          </w:tcPr>
          <w:p>
            <w:pPr>
              <w:spacing w:after="0"/>
              <w:rPr>
                <w:sz w:val="3"/>
                <w:szCs w:val="3"/>
                <w:color w:val="auto"/>
              </w:rPr>
            </w:pPr>
          </w:p>
        </w:tc>
        <w:tc>
          <w:tcPr>
            <w:tcW w:w="180" w:type="dxa"/>
            <w:vAlign w:val="bottom"/>
            <w:tcBorders>
              <w:bottom w:val="single" w:sz="8" w:color="BFBFBF"/>
            </w:tcBorders>
          </w:tcPr>
          <w:p>
            <w:pPr>
              <w:spacing w:after="0"/>
              <w:rPr>
                <w:sz w:val="3"/>
                <w:szCs w:val="3"/>
                <w:color w:val="auto"/>
              </w:rPr>
            </w:pPr>
          </w:p>
        </w:tc>
        <w:tc>
          <w:tcPr>
            <w:tcW w:w="140" w:type="dxa"/>
            <w:vAlign w:val="bottom"/>
            <w:tcBorders>
              <w:top w:val="single" w:sz="8" w:color="auto"/>
              <w:bottom w:val="single" w:sz="8" w:color="BFBFBF"/>
            </w:tcBorders>
          </w:tcPr>
          <w:p>
            <w:pPr>
              <w:spacing w:after="0"/>
              <w:rPr>
                <w:sz w:val="3"/>
                <w:szCs w:val="3"/>
                <w:color w:val="auto"/>
              </w:rPr>
            </w:pPr>
          </w:p>
        </w:tc>
        <w:tc>
          <w:tcPr>
            <w:tcW w:w="900" w:type="dxa"/>
            <w:vAlign w:val="bottom"/>
            <w:tcBorders>
              <w:top w:val="single" w:sz="8" w:color="auto"/>
              <w:bottom w:val="single" w:sz="8" w:color="BFBFBF"/>
            </w:tcBorders>
          </w:tcPr>
          <w:p>
            <w:pPr>
              <w:spacing w:after="0"/>
              <w:rPr>
                <w:sz w:val="3"/>
                <w:szCs w:val="3"/>
                <w:color w:val="auto"/>
              </w:rPr>
            </w:pPr>
          </w:p>
        </w:tc>
        <w:tc>
          <w:tcPr>
            <w:tcW w:w="540" w:type="dxa"/>
            <w:vAlign w:val="bottom"/>
            <w:tcBorders>
              <w:bottom w:val="single" w:sz="8" w:color="BFBFBF"/>
            </w:tcBorders>
          </w:tcPr>
          <w:p>
            <w:pPr>
              <w:spacing w:after="0"/>
              <w:rPr>
                <w:sz w:val="3"/>
                <w:szCs w:val="3"/>
                <w:color w:val="auto"/>
              </w:rPr>
            </w:pPr>
          </w:p>
        </w:tc>
        <w:tc>
          <w:tcPr>
            <w:tcW w:w="180" w:type="dxa"/>
            <w:vAlign w:val="bottom"/>
            <w:tcBorders>
              <w:bottom w:val="single" w:sz="8" w:color="BFBFBF"/>
            </w:tcBorders>
          </w:tcPr>
          <w:p>
            <w:pPr>
              <w:spacing w:after="0"/>
              <w:rPr>
                <w:sz w:val="3"/>
                <w:szCs w:val="3"/>
                <w:color w:val="auto"/>
              </w:rPr>
            </w:pPr>
          </w:p>
        </w:tc>
        <w:tc>
          <w:tcPr>
            <w:tcW w:w="200" w:type="dxa"/>
            <w:vAlign w:val="bottom"/>
            <w:tcBorders>
              <w:top w:val="single" w:sz="8" w:color="auto"/>
              <w:bottom w:val="single" w:sz="8" w:color="BFBFBF"/>
            </w:tcBorders>
          </w:tcPr>
          <w:p>
            <w:pPr>
              <w:spacing w:after="0"/>
              <w:rPr>
                <w:sz w:val="3"/>
                <w:szCs w:val="3"/>
                <w:color w:val="auto"/>
              </w:rPr>
            </w:pPr>
          </w:p>
        </w:tc>
        <w:tc>
          <w:tcPr>
            <w:tcW w:w="980" w:type="dxa"/>
            <w:vAlign w:val="bottom"/>
            <w:tcBorders>
              <w:top w:val="single" w:sz="8" w:color="auto"/>
              <w:bottom w:val="single" w:sz="8" w:color="BFBFBF"/>
            </w:tcBorders>
          </w:tcPr>
          <w:p>
            <w:pPr>
              <w:spacing w:after="0"/>
              <w:rPr>
                <w:sz w:val="3"/>
                <w:szCs w:val="3"/>
                <w:color w:val="auto"/>
              </w:rPr>
            </w:pPr>
          </w:p>
        </w:tc>
        <w:tc>
          <w:tcPr>
            <w:tcW w:w="540" w:type="dxa"/>
            <w:vAlign w:val="bottom"/>
            <w:tcBorders>
              <w:bottom w:val="single" w:sz="8" w:color="BFBFBF"/>
            </w:tcBorders>
          </w:tcPr>
          <w:p>
            <w:pPr>
              <w:spacing w:after="0"/>
              <w:rPr>
                <w:sz w:val="3"/>
                <w:szCs w:val="3"/>
                <w:color w:val="auto"/>
              </w:rPr>
            </w:pPr>
          </w:p>
        </w:tc>
        <w:tc>
          <w:tcPr>
            <w:tcW w:w="180" w:type="dxa"/>
            <w:vAlign w:val="bottom"/>
            <w:tcBorders>
              <w:bottom w:val="single" w:sz="8" w:color="BFBFBF"/>
            </w:tcBorders>
          </w:tcPr>
          <w:p>
            <w:pPr>
              <w:spacing w:after="0"/>
              <w:rPr>
                <w:sz w:val="3"/>
                <w:szCs w:val="3"/>
                <w:color w:val="auto"/>
              </w:rPr>
            </w:pPr>
          </w:p>
        </w:tc>
        <w:tc>
          <w:tcPr>
            <w:tcW w:w="160" w:type="dxa"/>
            <w:vAlign w:val="bottom"/>
            <w:tcBorders>
              <w:top w:val="single" w:sz="8" w:color="auto"/>
              <w:bottom w:val="single" w:sz="8" w:color="BFBFBF"/>
            </w:tcBorders>
          </w:tcPr>
          <w:p>
            <w:pPr>
              <w:spacing w:after="0"/>
              <w:rPr>
                <w:sz w:val="3"/>
                <w:szCs w:val="3"/>
                <w:color w:val="auto"/>
              </w:rPr>
            </w:pPr>
          </w:p>
        </w:tc>
        <w:tc>
          <w:tcPr>
            <w:tcW w:w="800" w:type="dxa"/>
            <w:vAlign w:val="bottom"/>
            <w:tcBorders>
              <w:top w:val="single" w:sz="8" w:color="auto"/>
              <w:bottom w:val="single" w:sz="8" w:color="BFBFBF"/>
            </w:tcBorders>
          </w:tcPr>
          <w:p>
            <w:pPr>
              <w:spacing w:after="0"/>
              <w:rPr>
                <w:sz w:val="3"/>
                <w:szCs w:val="3"/>
                <w:color w:val="auto"/>
              </w:rPr>
            </w:pPr>
          </w:p>
        </w:tc>
        <w:tc>
          <w:tcPr>
            <w:tcW w:w="560" w:type="dxa"/>
            <w:vAlign w:val="bottom"/>
            <w:tcBorders>
              <w:bottom w:val="single" w:sz="8" w:color="BFBFBF"/>
            </w:tcBorders>
          </w:tcPr>
          <w:p>
            <w:pPr>
              <w:spacing w:after="0"/>
              <w:rPr>
                <w:sz w:val="3"/>
                <w:szCs w:val="3"/>
                <w:color w:val="auto"/>
              </w:rPr>
            </w:pPr>
          </w:p>
        </w:tc>
        <w:tc>
          <w:tcPr>
            <w:tcW w:w="180" w:type="dxa"/>
            <w:vAlign w:val="bottom"/>
            <w:tcBorders>
              <w:bottom w:val="single" w:sz="8" w:color="BFBFBF"/>
            </w:tcBorders>
          </w:tcPr>
          <w:p>
            <w:pPr>
              <w:spacing w:after="0"/>
              <w:rPr>
                <w:sz w:val="3"/>
                <w:szCs w:val="3"/>
                <w:color w:val="auto"/>
              </w:rPr>
            </w:pPr>
          </w:p>
        </w:tc>
        <w:tc>
          <w:tcPr>
            <w:tcW w:w="120" w:type="dxa"/>
            <w:vAlign w:val="bottom"/>
            <w:tcBorders>
              <w:top w:val="single" w:sz="8" w:color="auto"/>
              <w:bottom w:val="single" w:sz="8" w:color="BFBFBF"/>
            </w:tcBorders>
          </w:tcPr>
          <w:p>
            <w:pPr>
              <w:spacing w:after="0"/>
              <w:rPr>
                <w:sz w:val="3"/>
                <w:szCs w:val="3"/>
                <w:color w:val="auto"/>
              </w:rPr>
            </w:pPr>
          </w:p>
        </w:tc>
        <w:tc>
          <w:tcPr>
            <w:tcW w:w="900" w:type="dxa"/>
            <w:vAlign w:val="bottom"/>
            <w:tcBorders>
              <w:top w:val="single" w:sz="8" w:color="auto"/>
              <w:bottom w:val="single" w:sz="8" w:color="BFBFBF"/>
            </w:tcBorders>
          </w:tcPr>
          <w:p>
            <w:pPr>
              <w:spacing w:after="0"/>
              <w:rPr>
                <w:sz w:val="3"/>
                <w:szCs w:val="3"/>
                <w:color w:val="auto"/>
              </w:rPr>
            </w:pPr>
          </w:p>
        </w:tc>
        <w:tc>
          <w:tcPr>
            <w:tcW w:w="560" w:type="dxa"/>
            <w:vAlign w:val="bottom"/>
            <w:tcBorders>
              <w:bottom w:val="single" w:sz="8" w:color="BFBFBF"/>
              <w:right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620" w:type="dxa"/>
            <w:vAlign w:val="bottom"/>
            <w:tcBorders>
              <w:left w:val="single" w:sz="8" w:color="BFBFBF"/>
              <w:bottom w:val="single" w:sz="8" w:color="BFBFBF"/>
              <w:right w:val="single" w:sz="8" w:color="BFBFBF"/>
            </w:tcBorders>
          </w:tcPr>
          <w:p>
            <w:pPr>
              <w:ind w:left="120"/>
              <w:spacing w:after="0" w:line="130"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BFBFBF"/>
            </w:tcBorders>
          </w:tcPr>
          <w:p>
            <w:pPr>
              <w:spacing w:after="0"/>
              <w:rPr>
                <w:sz w:val="13"/>
                <w:szCs w:val="13"/>
                <w:color w:val="auto"/>
              </w:rPr>
            </w:pPr>
          </w:p>
        </w:tc>
        <w:tc>
          <w:tcPr>
            <w:tcW w:w="12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BFBFBF"/>
            </w:tcBorders>
          </w:tcPr>
          <w:p>
            <w:pPr>
              <w:jc w:val="right"/>
              <w:ind w:right="12"/>
              <w:spacing w:after="0" w:line="130" w:lineRule="exact"/>
              <w:rPr>
                <w:sz w:val="20"/>
                <w:szCs w:val="20"/>
                <w:color w:val="auto"/>
              </w:rPr>
            </w:pPr>
            <w:r>
              <w:rPr>
                <w:rFonts w:ascii="Arial" w:cs="Arial" w:eastAsia="Arial" w:hAnsi="Arial"/>
                <w:sz w:val="14"/>
                <w:szCs w:val="14"/>
                <w:color w:val="auto"/>
              </w:rPr>
              <w:t>0</w:t>
            </w:r>
          </w:p>
        </w:tc>
        <w:tc>
          <w:tcPr>
            <w:tcW w:w="540" w:type="dxa"/>
            <w:vAlign w:val="bottom"/>
            <w:tcBorders>
              <w:bottom w:val="single" w:sz="8" w:color="BFBFBF"/>
              <w:right w:val="single" w:sz="8" w:color="BFBFBF"/>
            </w:tcBorders>
          </w:tcPr>
          <w:p>
            <w:pPr>
              <w:spacing w:after="0"/>
              <w:rPr>
                <w:sz w:val="13"/>
                <w:szCs w:val="13"/>
                <w:color w:val="auto"/>
              </w:rPr>
            </w:pPr>
          </w:p>
        </w:tc>
        <w:tc>
          <w:tcPr>
            <w:tcW w:w="180" w:type="dxa"/>
            <w:vAlign w:val="bottom"/>
            <w:tcBorders>
              <w:bottom w:val="single" w:sz="8" w:color="BFBFBF"/>
            </w:tcBorders>
          </w:tcPr>
          <w:p>
            <w:pPr>
              <w:spacing w:after="0"/>
              <w:rPr>
                <w:sz w:val="13"/>
                <w:szCs w:val="13"/>
                <w:color w:val="auto"/>
              </w:rPr>
            </w:pPr>
          </w:p>
        </w:tc>
        <w:tc>
          <w:tcPr>
            <w:tcW w:w="14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30" w:lineRule="exact"/>
              <w:rPr>
                <w:sz w:val="20"/>
                <w:szCs w:val="20"/>
                <w:color w:val="auto"/>
              </w:rPr>
            </w:pPr>
            <w:r>
              <w:rPr>
                <w:rFonts w:ascii="Arial" w:cs="Arial" w:eastAsia="Arial" w:hAnsi="Arial"/>
                <w:sz w:val="14"/>
                <w:szCs w:val="14"/>
                <w:color w:val="auto"/>
              </w:rPr>
              <w:t>1,336,000</w:t>
            </w:r>
          </w:p>
        </w:tc>
        <w:tc>
          <w:tcPr>
            <w:tcW w:w="540" w:type="dxa"/>
            <w:vAlign w:val="bottom"/>
            <w:tcBorders>
              <w:bottom w:val="single" w:sz="8" w:color="BFBFBF"/>
              <w:right w:val="single" w:sz="8" w:color="BFBFBF"/>
            </w:tcBorders>
          </w:tcPr>
          <w:p>
            <w:pPr>
              <w:spacing w:after="0"/>
              <w:rPr>
                <w:sz w:val="13"/>
                <w:szCs w:val="13"/>
                <w:color w:val="auto"/>
              </w:rPr>
            </w:pPr>
          </w:p>
        </w:tc>
        <w:tc>
          <w:tcPr>
            <w:tcW w:w="180" w:type="dxa"/>
            <w:vAlign w:val="bottom"/>
            <w:tcBorders>
              <w:bottom w:val="single" w:sz="8" w:color="BFBFBF"/>
            </w:tcBorders>
          </w:tcPr>
          <w:p>
            <w:pPr>
              <w:spacing w:after="0"/>
              <w:rPr>
                <w:sz w:val="13"/>
                <w:szCs w:val="13"/>
                <w:color w:val="auto"/>
              </w:rPr>
            </w:pPr>
          </w:p>
        </w:tc>
        <w:tc>
          <w:tcPr>
            <w:tcW w:w="200" w:type="dxa"/>
            <w:vAlign w:val="bottom"/>
            <w:tcBorders>
              <w:bottom w:val="single" w:sz="8" w:color="BFBFBF"/>
            </w:tcBorders>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BFBFBF"/>
            </w:tcBorders>
          </w:tcPr>
          <w:p>
            <w:pPr>
              <w:jc w:val="right"/>
              <w:ind w:right="232"/>
              <w:spacing w:after="0" w:line="130" w:lineRule="exact"/>
              <w:rPr>
                <w:sz w:val="20"/>
                <w:szCs w:val="20"/>
                <w:color w:val="auto"/>
              </w:rPr>
            </w:pPr>
            <w:r>
              <w:rPr>
                <w:rFonts w:ascii="Arial" w:cs="Arial" w:eastAsia="Arial" w:hAnsi="Arial"/>
                <w:sz w:val="14"/>
                <w:szCs w:val="14"/>
                <w:color w:val="auto"/>
              </w:rPr>
              <w:t>2,338,230</w:t>
            </w:r>
          </w:p>
        </w:tc>
        <w:tc>
          <w:tcPr>
            <w:tcW w:w="540" w:type="dxa"/>
            <w:vAlign w:val="bottom"/>
            <w:tcBorders>
              <w:bottom w:val="single" w:sz="8" w:color="BFBFBF"/>
              <w:right w:val="single" w:sz="8" w:color="BFBFBF"/>
            </w:tcBorders>
          </w:tcPr>
          <w:p>
            <w:pPr>
              <w:spacing w:after="0"/>
              <w:rPr>
                <w:sz w:val="13"/>
                <w:szCs w:val="13"/>
                <w:color w:val="auto"/>
              </w:rPr>
            </w:pPr>
          </w:p>
        </w:tc>
        <w:tc>
          <w:tcPr>
            <w:tcW w:w="180" w:type="dxa"/>
            <w:vAlign w:val="bottom"/>
            <w:tcBorders>
              <w:bottom w:val="single" w:sz="8" w:color="BFBFBF"/>
            </w:tcBorders>
          </w:tcPr>
          <w:p>
            <w:pPr>
              <w:spacing w:after="0"/>
              <w:rPr>
                <w:sz w:val="13"/>
                <w:szCs w:val="13"/>
                <w:color w:val="auto"/>
              </w:rPr>
            </w:pPr>
          </w:p>
        </w:tc>
        <w:tc>
          <w:tcPr>
            <w:tcW w:w="16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BFBFBF"/>
            </w:tcBorders>
          </w:tcPr>
          <w:p>
            <w:pPr>
              <w:jc w:val="right"/>
              <w:ind w:right="12"/>
              <w:spacing w:after="0" w:line="130" w:lineRule="exact"/>
              <w:rPr>
                <w:sz w:val="20"/>
                <w:szCs w:val="20"/>
                <w:color w:val="auto"/>
              </w:rPr>
            </w:pPr>
            <w:r>
              <w:rPr>
                <w:rFonts w:ascii="Arial" w:cs="Arial" w:eastAsia="Arial" w:hAnsi="Arial"/>
                <w:sz w:val="14"/>
                <w:szCs w:val="14"/>
                <w:color w:val="auto"/>
              </w:rPr>
              <w:t>1,085,531</w:t>
            </w:r>
          </w:p>
        </w:tc>
        <w:tc>
          <w:tcPr>
            <w:tcW w:w="560" w:type="dxa"/>
            <w:vAlign w:val="bottom"/>
            <w:tcBorders>
              <w:bottom w:val="single" w:sz="8" w:color="BFBFBF"/>
              <w:right w:val="single" w:sz="8" w:color="BFBFBF"/>
            </w:tcBorders>
          </w:tcPr>
          <w:p>
            <w:pPr>
              <w:spacing w:after="0"/>
              <w:rPr>
                <w:sz w:val="13"/>
                <w:szCs w:val="13"/>
                <w:color w:val="auto"/>
              </w:rPr>
            </w:pPr>
          </w:p>
        </w:tc>
        <w:tc>
          <w:tcPr>
            <w:tcW w:w="180" w:type="dxa"/>
            <w:vAlign w:val="bottom"/>
            <w:tcBorders>
              <w:bottom w:val="single" w:sz="8" w:color="BFBFBF"/>
            </w:tcBorders>
          </w:tcPr>
          <w:p>
            <w:pPr>
              <w:spacing w:after="0"/>
              <w:rPr>
                <w:sz w:val="13"/>
                <w:szCs w:val="13"/>
                <w:color w:val="auto"/>
              </w:rPr>
            </w:pPr>
          </w:p>
        </w:tc>
        <w:tc>
          <w:tcPr>
            <w:tcW w:w="120" w:type="dxa"/>
            <w:vAlign w:val="bottom"/>
            <w:tcBorders>
              <w:bottom w:val="single" w:sz="8" w:color="BFBFBF"/>
            </w:tcBorders>
          </w:tcPr>
          <w:p>
            <w:pPr>
              <w:jc w:val="right"/>
              <w:spacing w:after="0" w:line="130"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BFBFBF"/>
            </w:tcBorders>
          </w:tcPr>
          <w:p>
            <w:pPr>
              <w:jc w:val="right"/>
              <w:ind w:right="92"/>
              <w:spacing w:after="0" w:line="130" w:lineRule="exact"/>
              <w:rPr>
                <w:sz w:val="20"/>
                <w:szCs w:val="20"/>
                <w:color w:val="auto"/>
              </w:rPr>
            </w:pPr>
            <w:r>
              <w:rPr>
                <w:rFonts w:ascii="Arial" w:cs="Arial" w:eastAsia="Arial" w:hAnsi="Arial"/>
                <w:sz w:val="14"/>
                <w:szCs w:val="14"/>
                <w:color w:val="auto"/>
              </w:rPr>
              <w:t>4,814,783</w:t>
            </w:r>
          </w:p>
        </w:tc>
        <w:tc>
          <w:tcPr>
            <w:tcW w:w="560" w:type="dxa"/>
            <w:vAlign w:val="bottom"/>
            <w:tcBorders>
              <w:bottom w:val="single" w:sz="8" w:color="BFBFBF"/>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Borders>
              <w:left w:val="single" w:sz="8" w:color="BFBFB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20" w:type="dxa"/>
            <w:vAlign w:val="bottom"/>
            <w:tcBorders>
              <w:left w:val="single" w:sz="8" w:color="BFBFBF"/>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960" w:type="dxa"/>
            <w:vAlign w:val="bottom"/>
            <w:tcBorders>
              <w:bottom w:val="single" w:sz="8" w:color="BFBFBF"/>
            </w:tcBorders>
          </w:tcPr>
          <w:p>
            <w:pPr>
              <w:spacing w:after="0" w:line="20" w:lineRule="exact"/>
              <w:rPr>
                <w:sz w:val="1"/>
                <w:szCs w:val="1"/>
                <w:color w:val="auto"/>
              </w:rPr>
            </w:pPr>
          </w:p>
        </w:tc>
        <w:tc>
          <w:tcPr>
            <w:tcW w:w="540" w:type="dxa"/>
            <w:vAlign w:val="bottom"/>
            <w:tcBorders>
              <w:bottom w:val="single" w:sz="8" w:color="BFBFBF"/>
            </w:tcBorders>
          </w:tcPr>
          <w:p>
            <w:pPr>
              <w:spacing w:after="0" w:line="20" w:lineRule="exact"/>
              <w:rPr>
                <w:sz w:val="1"/>
                <w:szCs w:val="1"/>
                <w:color w:val="auto"/>
              </w:rPr>
            </w:pPr>
          </w:p>
        </w:tc>
        <w:tc>
          <w:tcPr>
            <w:tcW w:w="180" w:type="dxa"/>
            <w:vAlign w:val="bottom"/>
            <w:tcBorders>
              <w:bottom w:val="single" w:sz="8" w:color="BFBFBF"/>
            </w:tcBorders>
          </w:tcPr>
          <w:p>
            <w:pPr>
              <w:spacing w:after="0" w:line="20" w:lineRule="exact"/>
              <w:rPr>
                <w:sz w:val="1"/>
                <w:szCs w:val="1"/>
                <w:color w:val="auto"/>
              </w:rPr>
            </w:pPr>
          </w:p>
        </w:tc>
        <w:tc>
          <w:tcPr>
            <w:tcW w:w="140" w:type="dxa"/>
            <w:vAlign w:val="bottom"/>
            <w:tcBorders>
              <w:bottom w:val="single" w:sz="8" w:color="BFBFBF"/>
            </w:tcBorders>
          </w:tcPr>
          <w:p>
            <w:pPr>
              <w:spacing w:after="0" w:line="20" w:lineRule="exact"/>
              <w:rPr>
                <w:sz w:val="1"/>
                <w:szCs w:val="1"/>
                <w:color w:val="auto"/>
              </w:rPr>
            </w:pPr>
          </w:p>
        </w:tc>
        <w:tc>
          <w:tcPr>
            <w:tcW w:w="900" w:type="dxa"/>
            <w:vAlign w:val="bottom"/>
            <w:tcBorders>
              <w:bottom w:val="single" w:sz="8" w:color="BFBFBF"/>
            </w:tcBorders>
          </w:tcPr>
          <w:p>
            <w:pPr>
              <w:spacing w:after="0" w:line="20" w:lineRule="exact"/>
              <w:rPr>
                <w:sz w:val="1"/>
                <w:szCs w:val="1"/>
                <w:color w:val="auto"/>
              </w:rPr>
            </w:pPr>
          </w:p>
        </w:tc>
        <w:tc>
          <w:tcPr>
            <w:tcW w:w="540" w:type="dxa"/>
            <w:vAlign w:val="bottom"/>
            <w:tcBorders>
              <w:bottom w:val="single" w:sz="8" w:color="BFBFBF"/>
            </w:tcBorders>
          </w:tcPr>
          <w:p>
            <w:pPr>
              <w:spacing w:after="0" w:line="20" w:lineRule="exact"/>
              <w:rPr>
                <w:sz w:val="1"/>
                <w:szCs w:val="1"/>
                <w:color w:val="auto"/>
              </w:rPr>
            </w:pPr>
          </w:p>
        </w:tc>
        <w:tc>
          <w:tcPr>
            <w:tcW w:w="180" w:type="dxa"/>
            <w:vAlign w:val="bottom"/>
            <w:tcBorders>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980" w:type="dxa"/>
            <w:vAlign w:val="bottom"/>
            <w:tcBorders>
              <w:bottom w:val="single" w:sz="8" w:color="BFBFBF"/>
            </w:tcBorders>
          </w:tcPr>
          <w:p>
            <w:pPr>
              <w:spacing w:after="0" w:line="20" w:lineRule="exact"/>
              <w:rPr>
                <w:sz w:val="1"/>
                <w:szCs w:val="1"/>
                <w:color w:val="auto"/>
              </w:rPr>
            </w:pPr>
          </w:p>
        </w:tc>
        <w:tc>
          <w:tcPr>
            <w:tcW w:w="540" w:type="dxa"/>
            <w:vAlign w:val="bottom"/>
            <w:tcBorders>
              <w:bottom w:val="single" w:sz="8" w:color="BFBFBF"/>
            </w:tcBorders>
          </w:tcPr>
          <w:p>
            <w:pPr>
              <w:spacing w:after="0" w:line="20" w:lineRule="exact"/>
              <w:rPr>
                <w:sz w:val="1"/>
                <w:szCs w:val="1"/>
                <w:color w:val="auto"/>
              </w:rPr>
            </w:pPr>
          </w:p>
        </w:tc>
        <w:tc>
          <w:tcPr>
            <w:tcW w:w="180" w:type="dxa"/>
            <w:vAlign w:val="bottom"/>
            <w:tcBorders>
              <w:bottom w:val="single" w:sz="8" w:color="BFBFBF"/>
            </w:tcBorders>
          </w:tcPr>
          <w:p>
            <w:pPr>
              <w:spacing w:after="0" w:line="20" w:lineRule="exact"/>
              <w:rPr>
                <w:sz w:val="1"/>
                <w:szCs w:val="1"/>
                <w:color w:val="auto"/>
              </w:rPr>
            </w:pPr>
          </w:p>
        </w:tc>
        <w:tc>
          <w:tcPr>
            <w:tcW w:w="160" w:type="dxa"/>
            <w:vAlign w:val="bottom"/>
            <w:tcBorders>
              <w:bottom w:val="single" w:sz="8" w:color="BFBFBF"/>
            </w:tcBorders>
          </w:tcPr>
          <w:p>
            <w:pPr>
              <w:spacing w:after="0" w:line="20" w:lineRule="exact"/>
              <w:rPr>
                <w:sz w:val="1"/>
                <w:szCs w:val="1"/>
                <w:color w:val="auto"/>
              </w:rPr>
            </w:pPr>
          </w:p>
        </w:tc>
        <w:tc>
          <w:tcPr>
            <w:tcW w:w="800" w:type="dxa"/>
            <w:vAlign w:val="bottom"/>
            <w:tcBorders>
              <w:bottom w:val="single" w:sz="8" w:color="BFBFBF"/>
            </w:tcBorders>
          </w:tcPr>
          <w:p>
            <w:pPr>
              <w:spacing w:after="0" w:line="20" w:lineRule="exact"/>
              <w:rPr>
                <w:sz w:val="1"/>
                <w:szCs w:val="1"/>
                <w:color w:val="auto"/>
              </w:rPr>
            </w:pPr>
          </w:p>
        </w:tc>
        <w:tc>
          <w:tcPr>
            <w:tcW w:w="560" w:type="dxa"/>
            <w:vAlign w:val="bottom"/>
            <w:tcBorders>
              <w:bottom w:val="single" w:sz="8" w:color="BFBFBF"/>
            </w:tcBorders>
          </w:tcPr>
          <w:p>
            <w:pPr>
              <w:spacing w:after="0" w:line="20" w:lineRule="exact"/>
              <w:rPr>
                <w:sz w:val="1"/>
                <w:szCs w:val="1"/>
                <w:color w:val="auto"/>
              </w:rPr>
            </w:pPr>
          </w:p>
        </w:tc>
        <w:tc>
          <w:tcPr>
            <w:tcW w:w="180" w:type="dxa"/>
            <w:vAlign w:val="bottom"/>
            <w:tcBorders>
              <w:bottom w:val="single" w:sz="8" w:color="BFBFBF"/>
            </w:tcBorders>
          </w:tcPr>
          <w:p>
            <w:pPr>
              <w:spacing w:after="0" w:line="20" w:lineRule="exact"/>
              <w:rPr>
                <w:sz w:val="1"/>
                <w:szCs w:val="1"/>
                <w:color w:val="auto"/>
              </w:rPr>
            </w:pPr>
          </w:p>
        </w:tc>
        <w:tc>
          <w:tcPr>
            <w:tcW w:w="120" w:type="dxa"/>
            <w:vAlign w:val="bottom"/>
            <w:tcBorders>
              <w:bottom w:val="single" w:sz="8" w:color="BFBFBF"/>
            </w:tcBorders>
          </w:tcPr>
          <w:p>
            <w:pPr>
              <w:spacing w:after="0" w:line="20" w:lineRule="exact"/>
              <w:rPr>
                <w:sz w:val="1"/>
                <w:szCs w:val="1"/>
                <w:color w:val="auto"/>
              </w:rPr>
            </w:pPr>
          </w:p>
        </w:tc>
        <w:tc>
          <w:tcPr>
            <w:tcW w:w="900" w:type="dxa"/>
            <w:vAlign w:val="bottom"/>
            <w:tcBorders>
              <w:bottom w:val="single" w:sz="8" w:color="BFBFBF"/>
            </w:tcBorders>
          </w:tcPr>
          <w:p>
            <w:pPr>
              <w:spacing w:after="0" w:line="20" w:lineRule="exact"/>
              <w:rPr>
                <w:sz w:val="1"/>
                <w:szCs w:val="1"/>
                <w:color w:val="auto"/>
              </w:rPr>
            </w:pPr>
          </w:p>
        </w:tc>
        <w:tc>
          <w:tcPr>
            <w:tcW w:w="560" w:type="dxa"/>
            <w:vAlign w:val="bottom"/>
            <w:tcBorders>
              <w:bottom w:val="single" w:sz="8" w:color="BFBFBF"/>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889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-1242695</wp:posOffset>
            </wp:positionV>
            <wp:extent cx="889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86" w:lineRule="exact"/>
        <w:rPr>
          <w:sz w:val="20"/>
          <w:szCs w:val="20"/>
          <w:color w:val="auto"/>
        </w:rPr>
      </w:pPr>
    </w:p>
    <w:p>
      <w:pPr>
        <w:ind w:left="340" w:right="80" w:hanging="332"/>
        <w:spacing w:after="0" w:line="238"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 of death, unvested PSU awards will vest at the later of the date of death or the completion of the performance period(s) for such awards. The value of Mr. Noll’s 2012 PSU award is not included in this calculation since the performance period for this grant will not conclude until December 31, 2014.</w:t>
      </w:r>
    </w:p>
    <w:p>
      <w:pPr>
        <w:spacing w:after="0" w:line="141"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76</w:t>
      </w:r>
    </w:p>
    <w:p>
      <w:pPr>
        <w:sectPr>
          <w:pgSz w:w="11900" w:h="16838" w:orient="portrait"/>
          <w:cols w:equalWidth="0" w:num="1">
            <w:col w:w="11440"/>
          </w:cols>
          <w:pgMar w:left="240" w:top="459" w:right="2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PROPOSAL IV</w:t>
      </w:r>
    </w:p>
    <w:p>
      <w:pPr>
        <w:spacing w:after="0" w:line="131" w:lineRule="exact"/>
        <w:rPr>
          <w:sz w:val="20"/>
          <w:szCs w:val="20"/>
          <w:color w:val="auto"/>
        </w:rPr>
      </w:pPr>
    </w:p>
    <w:p>
      <w:pPr>
        <w:ind w:right="300"/>
        <w:spacing w:after="0" w:line="261" w:lineRule="auto"/>
        <w:rPr>
          <w:sz w:val="20"/>
          <w:szCs w:val="20"/>
          <w:color w:val="auto"/>
        </w:rPr>
      </w:pPr>
      <w:r>
        <w:rPr>
          <w:rFonts w:ascii="Arial" w:cs="Arial" w:eastAsia="Arial" w:hAnsi="Arial"/>
          <w:sz w:val="22"/>
          <w:szCs w:val="22"/>
          <w:b w:val="1"/>
          <w:bCs w:val="1"/>
          <w:color w:val="auto"/>
        </w:rPr>
        <w:t>Approval of an Amendment of NASDAQ OMX’s Restated Certificate of Incorporation to Remove and Replace the Supermajority Voting Requirements</w:t>
      </w:r>
    </w:p>
    <w:p>
      <w:pPr>
        <w:spacing w:after="0" w:line="9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After due consideration, and upon the recommendation of our nominating &amp; governance committee, our board of directors has determined that it is in the best interests of NASDAQ OMX and its stockholders to amend NASDAQ OMX’s restated certificate of incorporation to remove and replace the supermajority voting requirements.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w:t>
      </w:r>
    </w:p>
    <w:p>
      <w:pPr>
        <w:spacing w:after="0" w:line="13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At last year’s annual meeting, our stockholders approved, with 68% of the vote, a stockholder proposal requesting that our board of directors take the steps necessary to replace the supermajority voting requirements in NASDAQ OMX’s restated certificate of incorporation and by-laws. Following this vote, the nominating &amp; governance committee met several times to review the restated certificate of incorporation and by-laws, discuss potential courses of action to respond to the vote and consider other potential voting requirements. Ultimately, the nominating &amp; governance committee determined, and the board of directors agreed, that it is in the best interests of NASDAQ OMX and its stockholders to replace each supermajority voting requirement in our restated certificate of incorporation and by-laws with a “majority of outstanding shares” voting requirement.</w:t>
      </w:r>
    </w:p>
    <w:p>
      <w:pPr>
        <w:spacing w:after="0" w:line="1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developing this view, the committee and board considered the relative weight of the arguments for and against supermajority voting requirements. The committee and board recognize that supermajority voting requirements protect corporations against coercive takeover tactics by requiring broad stockholder support for certain types of transactions or governance changes. However, the committee and board also recognize that corporate governance standards have evolved. Some commentators argue that supermajority requirements limit stockholders’ participation in corporate governance. The committee and board note that while it is important to protect against coercive takeover tactics, it is also critically important to obtain stockholder input and respond to stockholder concerns about corporate governance.</w:t>
      </w:r>
    </w:p>
    <w:p>
      <w:pPr>
        <w:spacing w:after="0" w:line="116"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The committee and board believe that the proposed “majority of outstanding shares” voting requirement will continue to provide some protection against proposals that are harmful to the stockholders. While this requirement is less difficult to satisfy than the current supermajority voting requirement, it is more difficult to satisfy than a “majority of votes cast” requirement, which the committee and board considered as an alternate option. The committee and board believe that a “majority of outstanding shares” standard is a balanced outcome that responds to stockholder feedback while appropriately maintaining NASDAQ OMX’s defensive posture against hostile takeovers.</w:t>
      </w:r>
    </w:p>
    <w:p>
      <w:pPr>
        <w:spacing w:after="0" w:line="11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As a result and based on stockholder input, the board, on the recommendation of the committee, is submitting to the stockholders for approval a proposal to remove and replace each supermajority voting requirement in NASDAQ OMX’s restated certificate of incorporation, as described further below, with a “majority of outstanding shares” voting requirement.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NASDAQ OMX’s restated certificate of incorporation currently includes the following three supermajority voting requirements.</w:t>
      </w:r>
    </w:p>
    <w:p>
      <w:pPr>
        <w:spacing w:after="0" w:line="109" w:lineRule="exact"/>
        <w:rPr>
          <w:sz w:val="20"/>
          <w:szCs w:val="20"/>
          <w:color w:val="auto"/>
        </w:rPr>
      </w:pPr>
    </w:p>
    <w:p>
      <w:pPr>
        <w:ind w:left="1260" w:right="280" w:hanging="455"/>
        <w:spacing w:after="0" w:line="244" w:lineRule="auto"/>
        <w:tabs>
          <w:tab w:leader="none" w:pos="1260" w:val="left"/>
        </w:tabs>
        <w:numPr>
          <w:ilvl w:val="0"/>
          <w:numId w:val="70"/>
        </w:numPr>
        <w:rPr>
          <w:rFonts w:ascii="Arial" w:cs="Arial" w:eastAsia="Arial" w:hAnsi="Arial"/>
          <w:sz w:val="18"/>
          <w:szCs w:val="18"/>
          <w:color w:val="0088A6"/>
        </w:rPr>
      </w:pPr>
      <w:r>
        <w:rPr>
          <w:rFonts w:ascii="Arial" w:cs="Arial" w:eastAsia="Arial" w:hAnsi="Arial"/>
          <w:sz w:val="18"/>
          <w:szCs w:val="18"/>
          <w:b w:val="1"/>
          <w:bCs w:val="1"/>
          <w:color w:val="auto"/>
        </w:rPr>
        <w:t xml:space="preserve">Removal of Directors. </w:t>
      </w:r>
      <w:r>
        <w:rPr>
          <w:rFonts w:ascii="Arial" w:cs="Arial" w:eastAsia="Arial" w:hAnsi="Arial"/>
          <w:sz w:val="18"/>
          <w:szCs w:val="18"/>
          <w:color w:val="auto"/>
        </w:rPr>
        <w:t>Article Fifth, Paragraph D provides that, except for directors elected by the holders of any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any director, or the entire board of directors, may be removed from office at any time, but only by the affirmative vote of at least 66 2/3% of the total voting power of the outstanding shares of NASDAQ OMX’s capital stock entitled to vote generally in the election of directors (Voting Stock), voting together as a single class.</w:t>
      </w:r>
    </w:p>
    <w:p>
      <w:pPr>
        <w:spacing w:after="0" w:line="13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60" w:right="120" w:hanging="455"/>
        <w:spacing w:after="0" w:line="249" w:lineRule="auto"/>
        <w:tabs>
          <w:tab w:leader="none" w:pos="1260" w:val="left"/>
        </w:tabs>
        <w:numPr>
          <w:ilvl w:val="0"/>
          <w:numId w:val="71"/>
        </w:numPr>
        <w:rPr>
          <w:rFonts w:ascii="Arial" w:cs="Arial" w:eastAsia="Arial" w:hAnsi="Arial"/>
          <w:sz w:val="18"/>
          <w:szCs w:val="18"/>
          <w:color w:val="0088A6"/>
        </w:rPr>
      </w:pPr>
      <w:r>
        <w:rPr>
          <w:rFonts w:ascii="Arial" w:cs="Arial" w:eastAsia="Arial" w:hAnsi="Arial"/>
          <w:sz w:val="18"/>
          <w:szCs w:val="18"/>
          <w:b w:val="1"/>
          <w:bCs w:val="1"/>
          <w:color w:val="auto"/>
        </w:rPr>
        <w:t xml:space="preserve">Adoption, Alteration, Amendment and Repeal of By-Laws. </w:t>
      </w:r>
      <w:r>
        <w:rPr>
          <w:rFonts w:ascii="Arial" w:cs="Arial" w:eastAsia="Arial" w:hAnsi="Arial"/>
          <w:sz w:val="18"/>
          <w:szCs w:val="18"/>
          <w:color w:val="auto"/>
        </w:rPr>
        <w:t>Article Eighth, Paragraph A provides that the affirmative vote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at least 66 2/3% of the total voting power of the outstanding Voting Stock, voting together as a single class, shall be required in order for the stockholders to adopt, alter, amend or repeal any by-law.</w:t>
      </w:r>
    </w:p>
    <w:p>
      <w:pPr>
        <w:spacing w:after="0" w:line="98" w:lineRule="exact"/>
        <w:rPr>
          <w:rFonts w:ascii="Arial" w:cs="Arial" w:eastAsia="Arial" w:hAnsi="Arial"/>
          <w:sz w:val="18"/>
          <w:szCs w:val="18"/>
          <w:color w:val="0088A6"/>
        </w:rPr>
      </w:pPr>
    </w:p>
    <w:p>
      <w:pPr>
        <w:ind w:left="1260" w:right="20" w:hanging="455"/>
        <w:spacing w:after="0" w:line="244" w:lineRule="auto"/>
        <w:tabs>
          <w:tab w:leader="none" w:pos="1260" w:val="left"/>
        </w:tabs>
        <w:numPr>
          <w:ilvl w:val="0"/>
          <w:numId w:val="71"/>
        </w:numPr>
        <w:rPr>
          <w:rFonts w:ascii="Arial" w:cs="Arial" w:eastAsia="Arial" w:hAnsi="Arial"/>
          <w:sz w:val="18"/>
          <w:szCs w:val="18"/>
          <w:color w:val="0088A6"/>
        </w:rPr>
      </w:pPr>
      <w:r>
        <w:rPr>
          <w:rFonts w:ascii="Arial" w:cs="Arial" w:eastAsia="Arial" w:hAnsi="Arial"/>
          <w:sz w:val="18"/>
          <w:szCs w:val="18"/>
          <w:b w:val="1"/>
          <w:bCs w:val="1"/>
          <w:color w:val="auto"/>
        </w:rPr>
        <w:t xml:space="preserve">Adoption, Alteration, Amendment and Repeal of Certain Charter Provisions. </w:t>
      </w:r>
      <w:r>
        <w:rPr>
          <w:rFonts w:ascii="Arial" w:cs="Arial" w:eastAsia="Arial" w:hAnsi="Arial"/>
          <w:sz w:val="18"/>
          <w:szCs w:val="18"/>
          <w:color w:val="auto"/>
        </w:rPr>
        <w:t>Article Ninth, Paragraph A provides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affirmative vote of the holders of at least 66 2/3% of the voting power of the outstanding Voting Stock, voting together as a single class, shall be required to amend, repeal or adopt any provision inconsistent with paragraph C of Article Fourth, Article Fifth, Article Seventh, Article Eighth or Article Ninth of the Charter. These provisions are described in general terms below.</w:t>
      </w:r>
    </w:p>
    <w:p>
      <w:pPr>
        <w:spacing w:after="0" w:line="125" w:lineRule="exact"/>
        <w:rPr>
          <w:rFonts w:ascii="Arial" w:cs="Arial" w:eastAsia="Arial" w:hAnsi="Arial"/>
          <w:sz w:val="18"/>
          <w:szCs w:val="18"/>
          <w:color w:val="0088A6"/>
        </w:rPr>
      </w:pPr>
    </w:p>
    <w:p>
      <w:pPr>
        <w:ind w:left="1700" w:right="520" w:hanging="449"/>
        <w:spacing w:after="0" w:line="239" w:lineRule="auto"/>
        <w:tabs>
          <w:tab w:leader="none" w:pos="1700" w:val="left"/>
        </w:tabs>
        <w:numPr>
          <w:ilvl w:val="1"/>
          <w:numId w:val="71"/>
        </w:numPr>
        <w:rPr>
          <w:rFonts w:ascii="Arial" w:cs="Arial" w:eastAsia="Arial" w:hAnsi="Arial"/>
          <w:sz w:val="18"/>
          <w:szCs w:val="18"/>
          <w:color w:val="0088A6"/>
        </w:rPr>
      </w:pPr>
      <w:r>
        <w:rPr>
          <w:rFonts w:ascii="Arial" w:cs="Arial" w:eastAsia="Arial" w:hAnsi="Arial"/>
          <w:sz w:val="18"/>
          <w:szCs w:val="18"/>
          <w:color w:val="auto"/>
        </w:rPr>
        <w:t>Paragraph C of Article Fourth sets forth the 5% voting limitation, which provides that holders of NASDAQ OMX’s voting securities may not cast votes in excess of 5% of NASDAQ OMX’s outstanding voting securities.</w:t>
      </w:r>
    </w:p>
    <w:p>
      <w:pPr>
        <w:spacing w:after="0" w:line="127" w:lineRule="exact"/>
        <w:rPr>
          <w:rFonts w:ascii="Arial" w:cs="Arial" w:eastAsia="Arial" w:hAnsi="Arial"/>
          <w:sz w:val="18"/>
          <w:szCs w:val="18"/>
          <w:color w:val="0088A6"/>
        </w:rPr>
      </w:pPr>
    </w:p>
    <w:p>
      <w:pPr>
        <w:ind w:left="1700" w:hanging="449"/>
        <w:spacing w:after="0"/>
        <w:tabs>
          <w:tab w:leader="none" w:pos="1700" w:val="left"/>
        </w:tabs>
        <w:numPr>
          <w:ilvl w:val="1"/>
          <w:numId w:val="71"/>
        </w:numPr>
        <w:rPr>
          <w:rFonts w:ascii="Arial" w:cs="Arial" w:eastAsia="Arial" w:hAnsi="Arial"/>
          <w:sz w:val="18"/>
          <w:szCs w:val="18"/>
          <w:color w:val="0088A6"/>
        </w:rPr>
      </w:pPr>
      <w:r>
        <w:rPr>
          <w:rFonts w:ascii="Arial" w:cs="Arial" w:eastAsia="Arial" w:hAnsi="Arial"/>
          <w:sz w:val="18"/>
          <w:szCs w:val="18"/>
          <w:color w:val="auto"/>
        </w:rPr>
        <w:t>Article Fifth includes certain provisions relating to the board of directors, such as board size and director elections.</w:t>
      </w:r>
    </w:p>
    <w:p>
      <w:pPr>
        <w:spacing w:after="0" w:line="130" w:lineRule="exact"/>
        <w:rPr>
          <w:rFonts w:ascii="Arial" w:cs="Arial" w:eastAsia="Arial" w:hAnsi="Arial"/>
          <w:sz w:val="18"/>
          <w:szCs w:val="18"/>
          <w:color w:val="0088A6"/>
        </w:rPr>
      </w:pPr>
    </w:p>
    <w:p>
      <w:pPr>
        <w:ind w:left="1700" w:hanging="449"/>
        <w:spacing w:after="0"/>
        <w:tabs>
          <w:tab w:leader="none" w:pos="1700" w:val="left"/>
        </w:tabs>
        <w:numPr>
          <w:ilvl w:val="1"/>
          <w:numId w:val="71"/>
        </w:numPr>
        <w:rPr>
          <w:rFonts w:ascii="Arial" w:cs="Arial" w:eastAsia="Arial" w:hAnsi="Arial"/>
          <w:sz w:val="18"/>
          <w:szCs w:val="18"/>
          <w:color w:val="0088A6"/>
        </w:rPr>
      </w:pPr>
      <w:r>
        <w:rPr>
          <w:rFonts w:ascii="Arial" w:cs="Arial" w:eastAsia="Arial" w:hAnsi="Arial"/>
          <w:sz w:val="18"/>
          <w:szCs w:val="18"/>
          <w:color w:val="auto"/>
        </w:rPr>
        <w:t>Article Seventh prohibits stockholder action by written consent.</w:t>
      </w:r>
    </w:p>
    <w:p>
      <w:pPr>
        <w:spacing w:after="0" w:line="130" w:lineRule="exact"/>
        <w:rPr>
          <w:rFonts w:ascii="Arial" w:cs="Arial" w:eastAsia="Arial" w:hAnsi="Arial"/>
          <w:sz w:val="18"/>
          <w:szCs w:val="18"/>
          <w:color w:val="0088A6"/>
        </w:rPr>
      </w:pPr>
    </w:p>
    <w:p>
      <w:pPr>
        <w:ind w:left="1700" w:hanging="449"/>
        <w:spacing w:after="0"/>
        <w:tabs>
          <w:tab w:leader="none" w:pos="1700" w:val="left"/>
        </w:tabs>
        <w:numPr>
          <w:ilvl w:val="1"/>
          <w:numId w:val="71"/>
        </w:numPr>
        <w:rPr>
          <w:rFonts w:ascii="Arial" w:cs="Arial" w:eastAsia="Arial" w:hAnsi="Arial"/>
          <w:sz w:val="18"/>
          <w:szCs w:val="18"/>
          <w:color w:val="0088A6"/>
        </w:rPr>
      </w:pPr>
      <w:r>
        <w:rPr>
          <w:rFonts w:ascii="Arial" w:cs="Arial" w:eastAsia="Arial" w:hAnsi="Arial"/>
          <w:sz w:val="18"/>
          <w:szCs w:val="18"/>
          <w:color w:val="auto"/>
        </w:rPr>
        <w:t>Article Eighth establishes the procedures to adopt, alter, amend or repeal NASDAQ OMX’s by-laws.</w:t>
      </w:r>
    </w:p>
    <w:p>
      <w:pPr>
        <w:spacing w:after="0" w:line="130" w:lineRule="exact"/>
        <w:rPr>
          <w:rFonts w:ascii="Arial" w:cs="Arial" w:eastAsia="Arial" w:hAnsi="Arial"/>
          <w:sz w:val="18"/>
          <w:szCs w:val="18"/>
          <w:color w:val="0088A6"/>
        </w:rPr>
      </w:pPr>
    </w:p>
    <w:p>
      <w:pPr>
        <w:ind w:left="1700" w:right="1100" w:hanging="449"/>
        <w:spacing w:after="0" w:line="239" w:lineRule="auto"/>
        <w:tabs>
          <w:tab w:leader="none" w:pos="1700" w:val="left"/>
        </w:tabs>
        <w:numPr>
          <w:ilvl w:val="1"/>
          <w:numId w:val="71"/>
        </w:numPr>
        <w:rPr>
          <w:rFonts w:ascii="Arial" w:cs="Arial" w:eastAsia="Arial" w:hAnsi="Arial"/>
          <w:sz w:val="18"/>
          <w:szCs w:val="18"/>
          <w:color w:val="0088A6"/>
        </w:rPr>
      </w:pPr>
      <w:r>
        <w:rPr>
          <w:rFonts w:ascii="Arial" w:cs="Arial" w:eastAsia="Arial" w:hAnsi="Arial"/>
          <w:sz w:val="18"/>
          <w:szCs w:val="18"/>
          <w:color w:val="auto"/>
        </w:rPr>
        <w:t>Article Ninth establishes the procedures to adopt, alter, amend or repeal NASDAQ OMX’s restated certificate of incorporation.</w:t>
      </w:r>
    </w:p>
    <w:p>
      <w:pPr>
        <w:spacing w:after="0" w:line="11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 each of the three provisions described above, NASDAQ OMX proposes to remove the supermajority voting requirement and replace it with a voting standard requiring the affirmative vote of a majority of the outstanding Voting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Conforming Changes to NASDAQ OMX’s By-Laws</w:t>
      </w:r>
    </w:p>
    <w:p>
      <w:pPr>
        <w:spacing w:after="0" w:line="13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NASDAQ OMX’s by-laws also include conforming supermajority voting provisions relating to the removal of directors and the adoption, alteration, amendment and repeal of the by-laws. Conditional upon approval by the stockholders of the amendments to the restated certificate of incorporation described in this proposal, NASDAQ OMX’s board, on the recommendation of the committee, has voted to remove the supermajority voting standards from the by-laws and replace them with a standard requiring the affirmative vote of a majority of the outstanding shares of stock entitled to vote.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By the SEC</w:t>
      </w:r>
    </w:p>
    <w:p>
      <w:pPr>
        <w:spacing w:after="0" w:line="1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our operation of self-regulatory organizations in the United States, NASDAQ OMX is subject to SEC oversight, as prescribed by the Exchange Act. Under the Exchange Act, these self-regulatory organizations must submit to the SEC proposed changes to any of their rules, practices and procedures, including amendments to provisions of our restated certificate of incorporation and by-laws that are deemed to constitute rules. If our stockholders approve this proposal, we will file the proposed changes to our restated certificate of incorporation, as well as the proposed changes to the by-laws described above, with the SEC. We cannot guarantee that the SEC will allow the proposed changes to become effective. In any event, the proposed changes will not become effective until they are filed and effective with the SEC and, where necessary, the state of Delaware.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 Text of Proposed Amendment and Restatement</w:t>
      </w:r>
    </w:p>
    <w:p>
      <w:pPr>
        <w:spacing w:after="0" w:line="139"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general description of the proposed amendments of NASDAQ OMX’s restated certificate of incorporation described above is qualified in its entirety by reference to the text of the proposed amended and restated certificate of incorporation, which is attached as Annex A to this proxy statement. Proposed additions are double-underlined, and proposed deletions are stricken through.</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3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adoption of this proposal requires the affirmative vote of the holders of at least 66 2/3% of the voting power of the outstanding Voting Stock, voting together as a single class. Abstentions and broker non-votes have the effect of a vote against this proposal.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88A6"/>
        </w:rPr>
        <w:t>THE BOARD OF DIRECTORS UNANIMOUSLY RECOMMENDS A VOTE “FOR” PROPOSAL IV.</w:t>
      </w:r>
    </w:p>
    <w:p>
      <w:pPr>
        <w:spacing w:after="0" w:line="16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PROPOSAL V</w:t>
      </w:r>
    </w:p>
    <w:p>
      <w:pPr>
        <w:spacing w:after="0" w:line="131" w:lineRule="exact"/>
        <w:rPr>
          <w:sz w:val="20"/>
          <w:szCs w:val="20"/>
          <w:color w:val="auto"/>
        </w:rPr>
      </w:pPr>
    </w:p>
    <w:p>
      <w:pPr>
        <w:ind w:right="140"/>
        <w:spacing w:after="0" w:line="261" w:lineRule="auto"/>
        <w:rPr>
          <w:sz w:val="20"/>
          <w:szCs w:val="20"/>
          <w:color w:val="auto"/>
        </w:rPr>
      </w:pPr>
      <w:r>
        <w:rPr>
          <w:rFonts w:ascii="Arial" w:cs="Arial" w:eastAsia="Arial" w:hAnsi="Arial"/>
          <w:sz w:val="22"/>
          <w:szCs w:val="22"/>
          <w:b w:val="1"/>
          <w:bCs w:val="1"/>
          <w:color w:val="auto"/>
        </w:rPr>
        <w:t>Approval of an Amendment and Restatement of NASDAQ OMX’s Restated Certificate of Incorporation to Make Other Non-Substantive Changes</w:t>
      </w:r>
    </w:p>
    <w:p>
      <w:pPr>
        <w:spacing w:after="0" w:line="9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After due consideration, and upon the recommendation of our nominating &amp; governance committee, our board of directors has determined that it is in the best interests of NASDAQ OMX and its stockholders to amend and restate NASDAQ OMX’s restated certificate of incorporation to make other non-substantive changes.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w:t>
      </w:r>
    </w:p>
    <w:p>
      <w:pPr>
        <w:spacing w:after="0" w:line="139"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In connection with their review of the restated certificate of incorporation described in Proposal IV above, the committee and board also recommended amending and restating the document to make other non-substantive changes as described below.</w:t>
      </w:r>
    </w:p>
    <w:p>
      <w:pPr>
        <w:spacing w:after="0" w:line="128" w:lineRule="exact"/>
        <w:rPr>
          <w:sz w:val="20"/>
          <w:szCs w:val="20"/>
          <w:color w:val="auto"/>
        </w:rPr>
      </w:pPr>
    </w:p>
    <w:p>
      <w:pPr>
        <w:ind w:left="1260" w:hanging="455"/>
        <w:spacing w:after="0"/>
        <w:tabs>
          <w:tab w:leader="none" w:pos="1260" w:val="left"/>
        </w:tabs>
        <w:numPr>
          <w:ilvl w:val="0"/>
          <w:numId w:val="72"/>
        </w:numPr>
        <w:rPr>
          <w:rFonts w:ascii="Arial" w:cs="Arial" w:eastAsia="Arial" w:hAnsi="Arial"/>
          <w:sz w:val="18"/>
          <w:szCs w:val="18"/>
          <w:color w:val="0088A6"/>
        </w:rPr>
      </w:pPr>
      <w:r>
        <w:rPr>
          <w:rFonts w:ascii="Arial" w:cs="Arial" w:eastAsia="Arial" w:hAnsi="Arial"/>
          <w:sz w:val="18"/>
          <w:szCs w:val="18"/>
          <w:color w:val="auto"/>
        </w:rPr>
        <w:t>Deletion of Obsolete References. The proposal deletes obsolete references to the following:</w:t>
      </w:r>
    </w:p>
    <w:p>
      <w:pPr>
        <w:spacing w:after="0" w:line="130" w:lineRule="exact"/>
        <w:rPr>
          <w:rFonts w:ascii="Arial" w:cs="Arial" w:eastAsia="Arial" w:hAnsi="Arial"/>
          <w:sz w:val="18"/>
          <w:szCs w:val="18"/>
          <w:color w:val="0088A6"/>
        </w:rPr>
      </w:pPr>
    </w:p>
    <w:p>
      <w:pPr>
        <w:ind w:left="1700" w:right="240" w:hanging="449"/>
        <w:spacing w:after="0" w:line="239" w:lineRule="auto"/>
        <w:tabs>
          <w:tab w:leader="none" w:pos="1700" w:val="left"/>
        </w:tabs>
        <w:numPr>
          <w:ilvl w:val="1"/>
          <w:numId w:val="72"/>
        </w:numPr>
        <w:rPr>
          <w:rFonts w:ascii="Arial" w:cs="Arial" w:eastAsia="Arial" w:hAnsi="Arial"/>
          <w:sz w:val="18"/>
          <w:szCs w:val="18"/>
          <w:color w:val="0088A6"/>
        </w:rPr>
      </w:pPr>
      <w:r>
        <w:rPr>
          <w:rFonts w:ascii="Arial" w:cs="Arial" w:eastAsia="Arial" w:hAnsi="Arial"/>
          <w:sz w:val="18"/>
          <w:szCs w:val="18"/>
          <w:color w:val="auto"/>
        </w:rPr>
        <w:t>the 3.75% Series A Convertible Notes due 2012 and the 3.75% Series B Convertible Notes due 2012, which are no longer outstanding, in Article Fourth, Paragraph C and Article Eleventh;</w:t>
      </w:r>
    </w:p>
    <w:p>
      <w:pPr>
        <w:spacing w:after="0" w:line="127" w:lineRule="exact"/>
        <w:rPr>
          <w:rFonts w:ascii="Arial" w:cs="Arial" w:eastAsia="Arial" w:hAnsi="Arial"/>
          <w:sz w:val="18"/>
          <w:szCs w:val="18"/>
          <w:color w:val="0088A6"/>
        </w:rPr>
      </w:pPr>
    </w:p>
    <w:p>
      <w:pPr>
        <w:ind w:left="1700" w:hanging="449"/>
        <w:spacing w:after="0"/>
        <w:tabs>
          <w:tab w:leader="none" w:pos="1700" w:val="left"/>
        </w:tabs>
        <w:numPr>
          <w:ilvl w:val="1"/>
          <w:numId w:val="72"/>
        </w:numPr>
        <w:rPr>
          <w:rFonts w:ascii="Arial" w:cs="Arial" w:eastAsia="Arial" w:hAnsi="Arial"/>
          <w:sz w:val="18"/>
          <w:szCs w:val="18"/>
          <w:color w:val="0088A6"/>
        </w:rPr>
      </w:pPr>
      <w:r>
        <w:rPr>
          <w:rFonts w:ascii="Arial" w:cs="Arial" w:eastAsia="Arial" w:hAnsi="Arial"/>
          <w:sz w:val="18"/>
          <w:szCs w:val="18"/>
          <w:color w:val="auto"/>
        </w:rPr>
        <w:t>a voting trust agreement, which is no longer in effect, in Article Fourth, Paragraph C(3)(b)(iii));</w:t>
      </w:r>
    </w:p>
    <w:p>
      <w:pPr>
        <w:spacing w:after="0" w:line="130" w:lineRule="exact"/>
        <w:rPr>
          <w:rFonts w:ascii="Arial" w:cs="Arial" w:eastAsia="Arial" w:hAnsi="Arial"/>
          <w:sz w:val="18"/>
          <w:szCs w:val="18"/>
          <w:color w:val="0088A6"/>
        </w:rPr>
      </w:pPr>
    </w:p>
    <w:p>
      <w:pPr>
        <w:ind w:left="1700" w:right="120" w:hanging="449"/>
        <w:spacing w:after="0" w:line="238" w:lineRule="auto"/>
        <w:tabs>
          <w:tab w:leader="none" w:pos="1700" w:val="left"/>
        </w:tabs>
        <w:numPr>
          <w:ilvl w:val="1"/>
          <w:numId w:val="72"/>
        </w:numPr>
        <w:rPr>
          <w:rFonts w:ascii="Arial" w:cs="Arial" w:eastAsia="Arial" w:hAnsi="Arial"/>
          <w:sz w:val="18"/>
          <w:szCs w:val="18"/>
          <w:color w:val="0088A6"/>
        </w:rPr>
      </w:pPr>
      <w:r>
        <w:rPr>
          <w:rFonts w:ascii="Arial" w:cs="Arial" w:eastAsia="Arial" w:hAnsi="Arial"/>
          <w:sz w:val="18"/>
          <w:szCs w:val="18"/>
          <w:color w:val="auto"/>
        </w:rPr>
        <w:t>ownership of NASDAQ OMX securities by the National Association of Securities Dealers, Inc., certain affiliates of Hellman &amp; Friedman LLC, and certain affiliates of Silver Lake, none of which currently own any NASDAQ OMX securities, in Article Fourth, Paragraph C(6); and</w:t>
      </w:r>
    </w:p>
    <w:p>
      <w:pPr>
        <w:spacing w:after="0" w:line="127" w:lineRule="exact"/>
        <w:rPr>
          <w:rFonts w:ascii="Arial" w:cs="Arial" w:eastAsia="Arial" w:hAnsi="Arial"/>
          <w:sz w:val="18"/>
          <w:szCs w:val="18"/>
          <w:color w:val="0088A6"/>
        </w:rPr>
      </w:pPr>
    </w:p>
    <w:p>
      <w:pPr>
        <w:ind w:left="1700" w:hanging="449"/>
        <w:spacing w:after="0"/>
        <w:tabs>
          <w:tab w:leader="none" w:pos="1700" w:val="left"/>
        </w:tabs>
        <w:numPr>
          <w:ilvl w:val="1"/>
          <w:numId w:val="72"/>
        </w:numPr>
        <w:rPr>
          <w:rFonts w:ascii="Arial" w:cs="Arial" w:eastAsia="Arial" w:hAnsi="Arial"/>
          <w:sz w:val="18"/>
          <w:szCs w:val="18"/>
          <w:color w:val="0088A6"/>
        </w:rPr>
      </w:pPr>
      <w:r>
        <w:rPr>
          <w:rFonts w:ascii="Arial" w:cs="Arial" w:eastAsia="Arial" w:hAnsi="Arial"/>
          <w:sz w:val="18"/>
          <w:szCs w:val="18"/>
          <w:color w:val="auto"/>
        </w:rPr>
        <w:t>a classified board structure, which was fully eliminated in 2007, in Article Fifth, Paragraph B.</w:t>
      </w:r>
    </w:p>
    <w:p>
      <w:pPr>
        <w:spacing w:after="0" w:line="130" w:lineRule="exact"/>
        <w:rPr>
          <w:rFonts w:ascii="Arial" w:cs="Arial" w:eastAsia="Arial" w:hAnsi="Arial"/>
          <w:sz w:val="18"/>
          <w:szCs w:val="18"/>
          <w:color w:val="0088A6"/>
        </w:rPr>
      </w:pPr>
    </w:p>
    <w:p>
      <w:pPr>
        <w:ind w:left="1260" w:hanging="455"/>
        <w:spacing w:after="0"/>
        <w:tabs>
          <w:tab w:leader="none" w:pos="1260" w:val="left"/>
        </w:tabs>
        <w:numPr>
          <w:ilvl w:val="0"/>
          <w:numId w:val="72"/>
        </w:numPr>
        <w:rPr>
          <w:rFonts w:ascii="Arial" w:cs="Arial" w:eastAsia="Arial" w:hAnsi="Arial"/>
          <w:sz w:val="18"/>
          <w:szCs w:val="18"/>
          <w:color w:val="0088A6"/>
        </w:rPr>
      </w:pPr>
      <w:r>
        <w:rPr>
          <w:rFonts w:ascii="Arial" w:cs="Arial" w:eastAsia="Arial" w:hAnsi="Arial"/>
          <w:sz w:val="18"/>
          <w:szCs w:val="18"/>
          <w:color w:val="auto"/>
        </w:rPr>
        <w:t>Correction of Typographical Error. The proposal corrects a typographical error in Article Fifth, Paragraph A.</w:t>
      </w:r>
    </w:p>
    <w:p>
      <w:pPr>
        <w:spacing w:after="0" w:line="117" w:lineRule="exact"/>
        <w:rPr>
          <w:sz w:val="20"/>
          <w:szCs w:val="20"/>
          <w:color w:val="auto"/>
        </w:rPr>
      </w:pPr>
    </w:p>
    <w:p>
      <w:pPr>
        <w:ind w:right="640"/>
        <w:spacing w:after="0" w:line="299" w:lineRule="auto"/>
        <w:rPr>
          <w:sz w:val="20"/>
          <w:szCs w:val="20"/>
          <w:color w:val="auto"/>
        </w:rPr>
      </w:pPr>
      <w:r>
        <w:rPr>
          <w:rFonts w:ascii="Arial" w:cs="Arial" w:eastAsia="Arial" w:hAnsi="Arial"/>
          <w:sz w:val="16"/>
          <w:szCs w:val="16"/>
          <w:color w:val="auto"/>
        </w:rPr>
        <w:t>The committee and board believe that the amendment and restatement of the restated certificate of incorporation to incorporate these non-substantive changes is in the best interests of NASDAQ OMX and its stockholders because it will simplify and streamline the document.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By the SEC</w:t>
      </w:r>
    </w:p>
    <w:p>
      <w:pPr>
        <w:spacing w:after="0" w:line="1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our operation of self-regulatory organizations in the United States, NASDAQ OMX is subject to SEC oversight, as prescribed by the Exchange Act. Under the Exchange Act, these self-regulatory organizations must submit to the SEC proposed changes to any of their rules, practices and procedures, including amendments to provisions of our restated certificate of incorporation and by-laws that are deemed to constitute rules. If our stockholders approve this proposal, we will file the proposed changes to our restated certificate of incorporation with the SEC. We cannot guarantee that the SEC will allow the proposed changes to become effective. In any event, the proposed changes will not become effective until they are filed and effective with the SEC and the state of Delaware.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 Text of Proposed Amendment and Restatement</w:t>
      </w:r>
    </w:p>
    <w:p>
      <w:pPr>
        <w:spacing w:after="0" w:line="139"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general description of the proposed amendment and restatement of NASDAQ OMX’s restated certificate of incorporation described above is qualified in its entirety by reference to the text of the proposed amended and restated certificate of incorporation, which is attached as Annex A to this proxy statement. Proposed additions are double underlined, and proposed deletions are stricken through.</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proposed amendment and restatement also will include the amendments described in Proposal IV, if and when those amendments become effective.</w:t>
      </w:r>
    </w:p>
    <w:p>
      <w:pPr>
        <w:spacing w:after="0" w:line="114"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Separately, the board, on the recommendation of the committee, has approved elimination of the certificate of designation of series A convertible preferred stock, which is an exhibit to the restated certificate of incorporation, since there are no longer any shares of the series A convertible preferred stock outstanding. We did not include the certificate of designation because we are not proposing any changes to that document for stockholder approval. The elimination is contingent upon filing and effectiveness with the SEC and the state of Delaware, as described above.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3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adoption of this proposal requires the affirmative vote of the holders of at least 66 2/3% of the voting power of the outstanding Voting Stock, voting together as a single class. Abstentions and broker non-votes have the effect of a vote against this proposal.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88A6"/>
        </w:rPr>
        <w:t>THE BOARD OF DIRECTORS UNANIMOUSLY RECOMMENDS A VOTE “FOR” PROPOSAL V.</w:t>
      </w:r>
    </w:p>
    <w:p>
      <w:pPr>
        <w:spacing w:after="0" w:line="16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OTHER BUSINESS</w:t>
      </w:r>
    </w:p>
    <w:p>
      <w:pPr>
        <w:spacing w:after="0" w:line="16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NASDAQ OMX board knows of no business other than the matters described in this proxy statement that will be presented at the annual meeting. To the extent that matters not known at this time may properly come before the annual meeting, absent instructions thereon to the contrary, the enclosed proxy will confer discretionary authority with respect to such other matters as may properly come before the meeting, and it is the intention of the persons named in the proxy to vote in accordance with their judgment on such other matters.</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EXECUTIVE OFFICERS OF NASDAQ OMX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NASDAQ OMX are listed below.</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720" w:type="dxa"/>
            <w:vAlign w:val="bottom"/>
            <w:tcBorders>
              <w:left w:val="single" w:sz="8" w:color="BFBFBF"/>
              <w:bottom w:val="single" w:sz="8" w:color="auto"/>
              <w:right w:val="single" w:sz="8" w:color="BFBFBF"/>
            </w:tcBorders>
            <w:shd w:val="clear" w:color="auto" w:fill="0088A6"/>
          </w:tcPr>
          <w:p>
            <w:pPr>
              <w:ind w:left="120"/>
              <w:spacing w:after="0"/>
              <w:rPr>
                <w:sz w:val="20"/>
                <w:szCs w:val="20"/>
                <w:color w:val="auto"/>
              </w:rPr>
            </w:pPr>
            <w:r>
              <w:rPr>
                <w:rFonts w:ascii="Arial" w:cs="Arial" w:eastAsia="Arial" w:hAnsi="Arial"/>
                <w:sz w:val="18"/>
                <w:szCs w:val="18"/>
                <w:b w:val="1"/>
                <w:bCs w:val="1"/>
                <w:color w:val="FFFFFF"/>
              </w:rPr>
              <w:t>Name</w:t>
            </w:r>
          </w:p>
        </w:tc>
        <w:tc>
          <w:tcPr>
            <w:tcW w:w="440" w:type="dxa"/>
            <w:vAlign w:val="bottom"/>
            <w:tcBorders>
              <w:bottom w:val="single" w:sz="8" w:color="0088A6"/>
            </w:tcBorders>
            <w:shd w:val="clear" w:color="auto" w:fill="0088A6"/>
          </w:tcPr>
          <w:p>
            <w:pPr>
              <w:spacing w:after="0"/>
              <w:rPr>
                <w:sz w:val="23"/>
                <w:szCs w:val="23"/>
                <w:color w:val="auto"/>
              </w:rPr>
            </w:pPr>
          </w:p>
        </w:tc>
        <w:tc>
          <w:tcPr>
            <w:tcW w:w="340" w:type="dxa"/>
            <w:vAlign w:val="bottom"/>
            <w:tcBorders>
              <w:bottom w:val="single" w:sz="8" w:color="auto"/>
            </w:tcBorders>
            <w:shd w:val="clear" w:color="auto" w:fill="0088A6"/>
          </w:tcPr>
          <w:p>
            <w:pPr>
              <w:jc w:val="right"/>
              <w:spacing w:after="0"/>
              <w:rPr>
                <w:sz w:val="20"/>
                <w:szCs w:val="20"/>
                <w:color w:val="auto"/>
              </w:rPr>
            </w:pPr>
            <w:r>
              <w:rPr>
                <w:rFonts w:ascii="Arial" w:cs="Arial" w:eastAsia="Arial" w:hAnsi="Arial"/>
                <w:sz w:val="18"/>
                <w:szCs w:val="18"/>
                <w:b w:val="1"/>
                <w:bCs w:val="1"/>
                <w:color w:val="FFFFFF"/>
                <w:w w:val="88"/>
              </w:rPr>
              <w:t>Age</w:t>
            </w:r>
          </w:p>
        </w:tc>
        <w:tc>
          <w:tcPr>
            <w:tcW w:w="120" w:type="dxa"/>
            <w:vAlign w:val="bottom"/>
            <w:tcBorders>
              <w:bottom w:val="single" w:sz="8" w:color="0088A6"/>
              <w:right w:val="single" w:sz="8" w:color="BFBFBF"/>
            </w:tcBorders>
            <w:shd w:val="clear" w:color="auto" w:fill="0088A6"/>
          </w:tcPr>
          <w:p>
            <w:pPr>
              <w:spacing w:after="0"/>
              <w:rPr>
                <w:sz w:val="23"/>
                <w:szCs w:val="23"/>
                <w:color w:val="auto"/>
              </w:rPr>
            </w:pPr>
          </w:p>
        </w:tc>
        <w:tc>
          <w:tcPr>
            <w:tcW w:w="540" w:type="dxa"/>
            <w:vAlign w:val="bottom"/>
            <w:tcBorders>
              <w:bottom w:val="single" w:sz="8" w:color="0088A6"/>
            </w:tcBorders>
            <w:shd w:val="clear" w:color="auto" w:fill="0088A6"/>
          </w:tcPr>
          <w:p>
            <w:pPr>
              <w:spacing w:after="0"/>
              <w:rPr>
                <w:sz w:val="23"/>
                <w:szCs w:val="23"/>
                <w:color w:val="auto"/>
              </w:rPr>
            </w:pPr>
          </w:p>
        </w:tc>
        <w:tc>
          <w:tcPr>
            <w:tcW w:w="7280" w:type="dxa"/>
            <w:vAlign w:val="bottom"/>
            <w:tcBorders>
              <w:bottom w:val="single" w:sz="8" w:color="auto"/>
              <w:right w:val="single" w:sz="8" w:color="BFBFBF"/>
            </w:tcBorders>
            <w:shd w:val="clear" w:color="auto" w:fill="0088A6"/>
          </w:tcPr>
          <w:p>
            <w:pPr>
              <w:spacing w:after="0"/>
              <w:rPr>
                <w:sz w:val="20"/>
                <w:szCs w:val="20"/>
                <w:color w:val="auto"/>
              </w:rPr>
            </w:pPr>
            <w:r>
              <w:rPr>
                <w:rFonts w:ascii="Arial" w:cs="Arial" w:eastAsia="Arial" w:hAnsi="Arial"/>
                <w:sz w:val="18"/>
                <w:szCs w:val="18"/>
                <w:b w:val="1"/>
                <w:bCs w:val="1"/>
                <w:color w:val="FFFFFF"/>
              </w:rPr>
              <w:t>Position</w:t>
            </w:r>
          </w:p>
        </w:tc>
      </w:tr>
      <w:tr>
        <w:trPr>
          <w:trHeight w:val="183"/>
        </w:trPr>
        <w:tc>
          <w:tcPr>
            <w:tcW w:w="2720" w:type="dxa"/>
            <w:vAlign w:val="bottom"/>
            <w:tcBorders>
              <w:left w:val="single" w:sz="8" w:color="BFBFBF"/>
              <w:bottom w:val="single" w:sz="8" w:color="BFBFBF"/>
              <w:right w:val="single" w:sz="8" w:color="BFBFBF"/>
            </w:tcBorders>
          </w:tcPr>
          <w:p>
            <w:pPr>
              <w:ind w:left="120"/>
              <w:spacing w:after="0" w:line="183" w:lineRule="exact"/>
              <w:rPr>
                <w:sz w:val="20"/>
                <w:szCs w:val="20"/>
                <w:color w:val="auto"/>
              </w:rPr>
            </w:pPr>
            <w:r>
              <w:rPr>
                <w:rFonts w:ascii="Arial" w:cs="Arial" w:eastAsia="Arial" w:hAnsi="Arial"/>
                <w:sz w:val="18"/>
                <w:szCs w:val="18"/>
                <w:color w:val="auto"/>
              </w:rPr>
              <w:t>Robert Greifeld</w:t>
            </w:r>
          </w:p>
        </w:tc>
        <w:tc>
          <w:tcPr>
            <w:tcW w:w="900" w:type="dxa"/>
            <w:vAlign w:val="bottom"/>
            <w:tcBorders>
              <w:bottom w:val="single" w:sz="8" w:color="BFBFBF"/>
              <w:right w:val="single" w:sz="8" w:color="BFBFBF"/>
            </w:tcBorders>
            <w:gridSpan w:val="3"/>
          </w:tcPr>
          <w:p>
            <w:pPr>
              <w:jc w:val="right"/>
              <w:ind w:right="120"/>
              <w:spacing w:after="0" w:line="183" w:lineRule="exact"/>
              <w:rPr>
                <w:sz w:val="20"/>
                <w:szCs w:val="20"/>
                <w:color w:val="auto"/>
              </w:rPr>
            </w:pPr>
            <w:r>
              <w:rPr>
                <w:rFonts w:ascii="Arial" w:cs="Arial" w:eastAsia="Arial" w:hAnsi="Arial"/>
                <w:sz w:val="18"/>
                <w:szCs w:val="18"/>
                <w:color w:val="auto"/>
              </w:rPr>
              <w:t>55</w:t>
            </w:r>
          </w:p>
        </w:tc>
        <w:tc>
          <w:tcPr>
            <w:tcW w:w="7820" w:type="dxa"/>
            <w:vAlign w:val="bottom"/>
            <w:tcBorders>
              <w:bottom w:val="single" w:sz="8" w:color="BFBFBF"/>
              <w:right w:val="single" w:sz="8" w:color="BFBFBF"/>
            </w:tcBorders>
            <w:gridSpan w:val="2"/>
          </w:tcPr>
          <w:p>
            <w:pPr>
              <w:ind w:left="540"/>
              <w:spacing w:after="0" w:line="183" w:lineRule="exact"/>
              <w:rPr>
                <w:sz w:val="20"/>
                <w:szCs w:val="20"/>
                <w:color w:val="auto"/>
              </w:rPr>
            </w:pPr>
            <w:r>
              <w:rPr>
                <w:rFonts w:ascii="Arial" w:cs="Arial" w:eastAsia="Arial" w:hAnsi="Arial"/>
                <w:sz w:val="18"/>
                <w:szCs w:val="18"/>
                <w:color w:val="auto"/>
              </w:rPr>
              <w:t>Chief Executive Officer</w:t>
            </w:r>
          </w:p>
        </w:tc>
      </w:tr>
      <w:tr>
        <w:trPr>
          <w:trHeight w:val="196"/>
        </w:trPr>
        <w:tc>
          <w:tcPr>
            <w:tcW w:w="27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Bruce E. Aust</w:t>
            </w:r>
          </w:p>
        </w:tc>
        <w:tc>
          <w:tcPr>
            <w:tcW w:w="90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49</w:t>
            </w:r>
          </w:p>
        </w:tc>
        <w:tc>
          <w:tcPr>
            <w:tcW w:w="7820" w:type="dxa"/>
            <w:vAlign w:val="bottom"/>
            <w:tcBorders>
              <w:bottom w:val="single" w:sz="8" w:color="BFBFBF"/>
              <w:right w:val="single" w:sz="8" w:color="BFBFBF"/>
            </w:tcBorders>
            <w:gridSpan w:val="2"/>
          </w:tcPr>
          <w:p>
            <w:pPr>
              <w:ind w:left="540"/>
              <w:spacing w:after="0" w:line="196" w:lineRule="exact"/>
              <w:rPr>
                <w:sz w:val="20"/>
                <w:szCs w:val="20"/>
                <w:color w:val="auto"/>
              </w:rPr>
            </w:pPr>
            <w:r>
              <w:rPr>
                <w:rFonts w:ascii="Arial" w:cs="Arial" w:eastAsia="Arial" w:hAnsi="Arial"/>
                <w:sz w:val="18"/>
                <w:szCs w:val="18"/>
                <w:color w:val="auto"/>
              </w:rPr>
              <w:t>Executive Vice President, Global Corporate Client Group</w:t>
            </w:r>
          </w:p>
        </w:tc>
      </w:tr>
      <w:tr>
        <w:trPr>
          <w:trHeight w:val="196"/>
        </w:trPr>
        <w:tc>
          <w:tcPr>
            <w:tcW w:w="27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Anna M. Ewing</w:t>
            </w:r>
          </w:p>
        </w:tc>
        <w:tc>
          <w:tcPr>
            <w:tcW w:w="90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52</w:t>
            </w:r>
          </w:p>
        </w:tc>
        <w:tc>
          <w:tcPr>
            <w:tcW w:w="7820" w:type="dxa"/>
            <w:vAlign w:val="bottom"/>
            <w:tcBorders>
              <w:bottom w:val="single" w:sz="8" w:color="BFBFBF"/>
              <w:right w:val="single" w:sz="8" w:color="BFBFBF"/>
            </w:tcBorders>
            <w:gridSpan w:val="2"/>
          </w:tcPr>
          <w:p>
            <w:pPr>
              <w:ind w:left="540"/>
              <w:spacing w:after="0" w:line="196" w:lineRule="exact"/>
              <w:rPr>
                <w:sz w:val="20"/>
                <w:szCs w:val="20"/>
                <w:color w:val="auto"/>
              </w:rPr>
            </w:pPr>
            <w:r>
              <w:rPr>
                <w:rFonts w:ascii="Arial" w:cs="Arial" w:eastAsia="Arial" w:hAnsi="Arial"/>
                <w:sz w:val="18"/>
                <w:szCs w:val="18"/>
                <w:color w:val="auto"/>
              </w:rPr>
              <w:t>Executive Vice President, Global Technology Solutions</w:t>
            </w:r>
          </w:p>
        </w:tc>
      </w:tr>
      <w:tr>
        <w:trPr>
          <w:trHeight w:val="196"/>
        </w:trPr>
        <w:tc>
          <w:tcPr>
            <w:tcW w:w="27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Ronald Hassen</w:t>
            </w:r>
          </w:p>
        </w:tc>
        <w:tc>
          <w:tcPr>
            <w:tcW w:w="90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61</w:t>
            </w:r>
          </w:p>
        </w:tc>
        <w:tc>
          <w:tcPr>
            <w:tcW w:w="7820" w:type="dxa"/>
            <w:vAlign w:val="bottom"/>
            <w:tcBorders>
              <w:bottom w:val="single" w:sz="8" w:color="BFBFBF"/>
              <w:right w:val="single" w:sz="8" w:color="BFBFBF"/>
            </w:tcBorders>
            <w:gridSpan w:val="2"/>
          </w:tcPr>
          <w:p>
            <w:pPr>
              <w:ind w:left="540"/>
              <w:spacing w:after="0" w:line="196" w:lineRule="exact"/>
              <w:rPr>
                <w:sz w:val="20"/>
                <w:szCs w:val="20"/>
                <w:color w:val="auto"/>
              </w:rPr>
            </w:pPr>
            <w:r>
              <w:rPr>
                <w:rFonts w:ascii="Arial" w:cs="Arial" w:eastAsia="Arial" w:hAnsi="Arial"/>
                <w:sz w:val="18"/>
                <w:szCs w:val="18"/>
                <w:color w:val="auto"/>
              </w:rPr>
              <w:t>Senior Vice President, Controller and Principal Accounting Officer</w:t>
            </w:r>
          </w:p>
        </w:tc>
      </w:tr>
      <w:tr>
        <w:trPr>
          <w:trHeight w:val="196"/>
        </w:trPr>
        <w:tc>
          <w:tcPr>
            <w:tcW w:w="27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John L. Jacobs</w:t>
            </w:r>
          </w:p>
        </w:tc>
        <w:tc>
          <w:tcPr>
            <w:tcW w:w="90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54</w:t>
            </w:r>
          </w:p>
        </w:tc>
        <w:tc>
          <w:tcPr>
            <w:tcW w:w="7820" w:type="dxa"/>
            <w:vAlign w:val="bottom"/>
            <w:tcBorders>
              <w:bottom w:val="single" w:sz="8" w:color="BFBFBF"/>
              <w:right w:val="single" w:sz="8" w:color="BFBFBF"/>
            </w:tcBorders>
            <w:gridSpan w:val="2"/>
          </w:tcPr>
          <w:p>
            <w:pPr>
              <w:ind w:left="540"/>
              <w:spacing w:after="0" w:line="196" w:lineRule="exact"/>
              <w:rPr>
                <w:sz w:val="20"/>
                <w:szCs w:val="20"/>
                <w:color w:val="auto"/>
              </w:rPr>
            </w:pPr>
            <w:r>
              <w:rPr>
                <w:rFonts w:ascii="Arial" w:cs="Arial" w:eastAsia="Arial" w:hAnsi="Arial"/>
                <w:sz w:val="18"/>
                <w:szCs w:val="18"/>
                <w:color w:val="auto"/>
              </w:rPr>
              <w:t>Executive Vice President, Global Information Services Group</w:t>
            </w:r>
          </w:p>
        </w:tc>
      </w:tr>
      <w:tr>
        <w:trPr>
          <w:trHeight w:val="196"/>
        </w:trPr>
        <w:tc>
          <w:tcPr>
            <w:tcW w:w="27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Hans-Ole Jochumsen</w:t>
            </w:r>
          </w:p>
        </w:tc>
        <w:tc>
          <w:tcPr>
            <w:tcW w:w="90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55</w:t>
            </w:r>
          </w:p>
        </w:tc>
        <w:tc>
          <w:tcPr>
            <w:tcW w:w="7820" w:type="dxa"/>
            <w:vAlign w:val="bottom"/>
            <w:tcBorders>
              <w:bottom w:val="single" w:sz="8" w:color="BFBFBF"/>
              <w:right w:val="single" w:sz="8" w:color="BFBFBF"/>
            </w:tcBorders>
            <w:gridSpan w:val="2"/>
          </w:tcPr>
          <w:p>
            <w:pPr>
              <w:ind w:left="540"/>
              <w:spacing w:after="0" w:line="196" w:lineRule="exact"/>
              <w:rPr>
                <w:sz w:val="20"/>
                <w:szCs w:val="20"/>
                <w:color w:val="auto"/>
              </w:rPr>
            </w:pPr>
            <w:r>
              <w:rPr>
                <w:rFonts w:ascii="Arial" w:cs="Arial" w:eastAsia="Arial" w:hAnsi="Arial"/>
                <w:sz w:val="18"/>
                <w:szCs w:val="18"/>
                <w:color w:val="auto"/>
              </w:rPr>
              <w:t>Executive Vice President, Transaction Services Nordic</w:t>
            </w:r>
          </w:p>
        </w:tc>
      </w:tr>
      <w:tr>
        <w:trPr>
          <w:trHeight w:val="196"/>
        </w:trPr>
        <w:tc>
          <w:tcPr>
            <w:tcW w:w="27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Edward S. Knight</w:t>
            </w:r>
          </w:p>
        </w:tc>
        <w:tc>
          <w:tcPr>
            <w:tcW w:w="90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62</w:t>
            </w:r>
          </w:p>
        </w:tc>
        <w:tc>
          <w:tcPr>
            <w:tcW w:w="7820" w:type="dxa"/>
            <w:vAlign w:val="bottom"/>
            <w:tcBorders>
              <w:bottom w:val="single" w:sz="8" w:color="BFBFBF"/>
              <w:right w:val="single" w:sz="8" w:color="BFBFBF"/>
            </w:tcBorders>
            <w:gridSpan w:val="2"/>
          </w:tcPr>
          <w:p>
            <w:pPr>
              <w:ind w:left="540"/>
              <w:spacing w:after="0" w:line="196" w:lineRule="exact"/>
              <w:rPr>
                <w:sz w:val="20"/>
                <w:szCs w:val="20"/>
                <w:color w:val="auto"/>
              </w:rPr>
            </w:pPr>
            <w:r>
              <w:rPr>
                <w:rFonts w:ascii="Arial" w:cs="Arial" w:eastAsia="Arial" w:hAnsi="Arial"/>
                <w:sz w:val="18"/>
                <w:szCs w:val="18"/>
                <w:color w:val="auto"/>
              </w:rPr>
              <w:t>Executive Vice President, General Counsel and Chief Regulatory Officer</w:t>
            </w:r>
          </w:p>
        </w:tc>
      </w:tr>
      <w:tr>
        <w:trPr>
          <w:trHeight w:val="196"/>
        </w:trPr>
        <w:tc>
          <w:tcPr>
            <w:tcW w:w="27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Eric W. Noll</w:t>
            </w:r>
          </w:p>
        </w:tc>
        <w:tc>
          <w:tcPr>
            <w:tcW w:w="90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51</w:t>
            </w:r>
          </w:p>
        </w:tc>
        <w:tc>
          <w:tcPr>
            <w:tcW w:w="7820" w:type="dxa"/>
            <w:vAlign w:val="bottom"/>
            <w:tcBorders>
              <w:bottom w:val="single" w:sz="8" w:color="BFBFBF"/>
              <w:right w:val="single" w:sz="8" w:color="BFBFBF"/>
            </w:tcBorders>
            <w:gridSpan w:val="2"/>
          </w:tcPr>
          <w:p>
            <w:pPr>
              <w:ind w:left="540"/>
              <w:spacing w:after="0" w:line="196" w:lineRule="exact"/>
              <w:rPr>
                <w:sz w:val="20"/>
                <w:szCs w:val="20"/>
                <w:color w:val="auto"/>
              </w:rPr>
            </w:pPr>
            <w:r>
              <w:rPr>
                <w:rFonts w:ascii="Arial" w:cs="Arial" w:eastAsia="Arial" w:hAnsi="Arial"/>
                <w:sz w:val="18"/>
                <w:szCs w:val="18"/>
                <w:color w:val="auto"/>
              </w:rPr>
              <w:t>Executive Vice President, Transaction Services U.S. and U.K.</w:t>
            </w:r>
          </w:p>
        </w:tc>
      </w:tr>
      <w:tr>
        <w:trPr>
          <w:trHeight w:val="196"/>
        </w:trPr>
        <w:tc>
          <w:tcPr>
            <w:tcW w:w="27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Bradley J. Peterson</w:t>
            </w:r>
          </w:p>
        </w:tc>
        <w:tc>
          <w:tcPr>
            <w:tcW w:w="90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53</w:t>
            </w:r>
          </w:p>
        </w:tc>
        <w:tc>
          <w:tcPr>
            <w:tcW w:w="7820" w:type="dxa"/>
            <w:vAlign w:val="bottom"/>
            <w:tcBorders>
              <w:bottom w:val="single" w:sz="8" w:color="BFBFBF"/>
              <w:right w:val="single" w:sz="8" w:color="BFBFBF"/>
            </w:tcBorders>
            <w:gridSpan w:val="2"/>
          </w:tcPr>
          <w:p>
            <w:pPr>
              <w:ind w:left="540"/>
              <w:spacing w:after="0" w:line="196" w:lineRule="exact"/>
              <w:rPr>
                <w:sz w:val="20"/>
                <w:szCs w:val="20"/>
                <w:color w:val="auto"/>
              </w:rPr>
            </w:pPr>
            <w:r>
              <w:rPr>
                <w:rFonts w:ascii="Arial" w:cs="Arial" w:eastAsia="Arial" w:hAnsi="Arial"/>
                <w:sz w:val="18"/>
                <w:szCs w:val="18"/>
                <w:color w:val="auto"/>
              </w:rPr>
              <w:t>Executive Vice President and Chief Information Officer</w:t>
            </w:r>
          </w:p>
        </w:tc>
      </w:tr>
      <w:tr>
        <w:trPr>
          <w:trHeight w:val="196"/>
        </w:trPr>
        <w:tc>
          <w:tcPr>
            <w:tcW w:w="272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color w:val="auto"/>
              </w:rPr>
              <w:t>Lee Shavel</w:t>
            </w:r>
          </w:p>
        </w:tc>
        <w:tc>
          <w:tcPr>
            <w:tcW w:w="900" w:type="dxa"/>
            <w:vAlign w:val="bottom"/>
            <w:tcBorders>
              <w:bottom w:val="single" w:sz="8" w:color="BFBFBF"/>
              <w:right w:val="single" w:sz="8" w:color="BFBFBF"/>
            </w:tcBorders>
            <w:gridSpan w:val="3"/>
          </w:tcPr>
          <w:p>
            <w:pPr>
              <w:jc w:val="right"/>
              <w:ind w:right="120"/>
              <w:spacing w:after="0" w:line="196" w:lineRule="exact"/>
              <w:rPr>
                <w:sz w:val="20"/>
                <w:szCs w:val="20"/>
                <w:color w:val="auto"/>
              </w:rPr>
            </w:pPr>
            <w:r>
              <w:rPr>
                <w:rFonts w:ascii="Arial" w:cs="Arial" w:eastAsia="Arial" w:hAnsi="Arial"/>
                <w:sz w:val="18"/>
                <w:szCs w:val="18"/>
                <w:color w:val="auto"/>
              </w:rPr>
              <w:t>45</w:t>
            </w:r>
          </w:p>
        </w:tc>
        <w:tc>
          <w:tcPr>
            <w:tcW w:w="7820" w:type="dxa"/>
            <w:vAlign w:val="bottom"/>
            <w:tcBorders>
              <w:bottom w:val="single" w:sz="8" w:color="BFBFBF"/>
              <w:right w:val="single" w:sz="8" w:color="BFBFBF"/>
            </w:tcBorders>
            <w:gridSpan w:val="2"/>
          </w:tcPr>
          <w:p>
            <w:pPr>
              <w:ind w:left="540"/>
              <w:spacing w:after="0" w:line="196" w:lineRule="exact"/>
              <w:rPr>
                <w:sz w:val="20"/>
                <w:szCs w:val="20"/>
                <w:color w:val="auto"/>
              </w:rPr>
            </w:pPr>
            <w:r>
              <w:rPr>
                <w:rFonts w:ascii="Arial" w:cs="Arial" w:eastAsia="Arial" w:hAnsi="Arial"/>
                <w:sz w:val="18"/>
                <w:szCs w:val="18"/>
                <w:color w:val="auto"/>
              </w:rPr>
              <w:t>Chief Financial Officer and Executive Vice President, Corporate Strategy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-1397000</wp:posOffset>
            </wp:positionV>
            <wp:extent cx="889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-1397000</wp:posOffset>
            </wp:positionV>
            <wp:extent cx="889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-1397000</wp:posOffset>
            </wp:positionV>
            <wp:extent cx="889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088A6"/>
        </w:rPr>
        <w:t>Robert Greifeld</w:t>
      </w:r>
      <w:r>
        <w:rPr>
          <w:rFonts w:ascii="Arial" w:cs="Arial" w:eastAsia="Arial" w:hAnsi="Arial"/>
          <w:sz w:val="18"/>
          <w:szCs w:val="18"/>
          <w:color w:val="000000"/>
        </w:rPr>
        <w:t>, a member of our board of directors, has served as Chief Executive Officer since May 2003. Prior to joining NASDAQ OMX,</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Mr. Greifeld 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 to 1999, Mr. Greifeld was the President and Chief Operating Officer.</w:t>
      </w:r>
    </w:p>
    <w:p>
      <w:pPr>
        <w:spacing w:after="0" w:line="92"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b w:val="1"/>
          <w:bCs w:val="1"/>
          <w:color w:val="0088A6"/>
        </w:rPr>
        <w:t xml:space="preserve">Bruce E. Aust </w:t>
      </w:r>
      <w:r>
        <w:rPr>
          <w:rFonts w:ascii="Arial" w:cs="Arial" w:eastAsia="Arial" w:hAnsi="Arial"/>
          <w:sz w:val="18"/>
          <w:szCs w:val="18"/>
          <w:color w:val="000000"/>
        </w:rPr>
        <w:t>has served as Executive Vice President of the Global Corporate Client Group since July 2003. Previously, Mr. Aust served as</w:t>
      </w:r>
      <w:r>
        <w:rPr>
          <w:rFonts w:ascii="Arial" w:cs="Arial" w:eastAsia="Arial" w:hAnsi="Arial"/>
          <w:sz w:val="18"/>
          <w:szCs w:val="18"/>
          <w:b w:val="1"/>
          <w:bCs w:val="1"/>
          <w:color w:val="0088A6"/>
        </w:rPr>
        <w:t xml:space="preserve"> </w:t>
      </w:r>
      <w:r>
        <w:rPr>
          <w:rFonts w:ascii="Arial" w:cs="Arial" w:eastAsia="Arial" w:hAnsi="Arial"/>
          <w:sz w:val="18"/>
          <w:szCs w:val="18"/>
          <w:color w:val="000000"/>
        </w:rPr>
        <w:t>Executive Director and Vice President of the Corporate Client Group. Prior to joining NASDAQ OMX in 1998, Mr. Aust spent 12 years at Fidelity Investments in a variety of sales, trading and management positions in Dallas, Boston, Los Angeles, and San Francisco.</w:t>
      </w:r>
    </w:p>
    <w:p>
      <w:pPr>
        <w:spacing w:after="0" w:line="85"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b w:val="1"/>
          <w:bCs w:val="1"/>
          <w:color w:val="0088A6"/>
        </w:rPr>
        <w:t xml:space="preserve">Anna M. Ewing </w:t>
      </w:r>
      <w:r>
        <w:rPr>
          <w:rFonts w:ascii="Arial" w:cs="Arial" w:eastAsia="Arial" w:hAnsi="Arial"/>
          <w:sz w:val="16"/>
          <w:szCs w:val="16"/>
          <w:color w:val="000000"/>
        </w:rPr>
        <w:t>has served as Executive Vice President, Global Technology Solutions since January 2013. Previously, she was Executive Vice</w:t>
      </w:r>
      <w:r>
        <w:rPr>
          <w:rFonts w:ascii="Arial" w:cs="Arial" w:eastAsia="Arial" w:hAnsi="Arial"/>
          <w:sz w:val="16"/>
          <w:szCs w:val="16"/>
          <w:b w:val="1"/>
          <w:bCs w:val="1"/>
          <w:color w:val="0088A6"/>
        </w:rPr>
        <w:t xml:space="preserve"> </w:t>
      </w:r>
      <w:r>
        <w:rPr>
          <w:rFonts w:ascii="Arial" w:cs="Arial" w:eastAsia="Arial" w:hAnsi="Arial"/>
          <w:sz w:val="16"/>
          <w:szCs w:val="16"/>
          <w:color w:val="000000"/>
        </w:rPr>
        <w:t>President and Chief Information Officer since December 2005. She served as Senior Vice President of Technology Services in our Operations &amp; Technology Group since October 2000. Before joining NASDAQ OMX, Ms. Ewing was Managing Director, Electronic Commerce at CIBC World Markets in New York and Toronto, where she served as Managing Director of Global Applications Services and as a founding member of CIBC.com. Before that, Ms. Ewing served as Vice President at Merrill Lynch, where she held various leadership positions within the Corporate and Institutional Client Group Technology Division, including Global Head of Institutional Client Technology, Global Head of Financial Futures and Options Technology, Global Head of Prime Brokerage Technology and Regional Head of Technology at Merrill Lynch Canada.</w:t>
      </w:r>
    </w:p>
    <w:p>
      <w:pPr>
        <w:spacing w:after="0" w:line="69"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b w:val="1"/>
          <w:bCs w:val="1"/>
          <w:color w:val="0088A6"/>
        </w:rPr>
        <w:t xml:space="preserve">Ronald Hassen </w:t>
      </w:r>
      <w:r>
        <w:rPr>
          <w:rFonts w:ascii="Arial" w:cs="Arial" w:eastAsia="Arial" w:hAnsi="Arial"/>
          <w:sz w:val="18"/>
          <w:szCs w:val="18"/>
          <w:color w:val="000000"/>
        </w:rPr>
        <w:t>has served as Senior Vice President and Controller since March 2002 and Principal Accounting Officer since May 2002.</w:t>
      </w:r>
      <w:r>
        <w:rPr>
          <w:rFonts w:ascii="Arial" w:cs="Arial" w:eastAsia="Arial" w:hAnsi="Arial"/>
          <w:sz w:val="18"/>
          <w:szCs w:val="18"/>
          <w:b w:val="1"/>
          <w:bCs w:val="1"/>
          <w:color w:val="0088A6"/>
        </w:rPr>
        <w:t xml:space="preserve"> </w:t>
      </w:r>
      <w:r>
        <w:rPr>
          <w:rFonts w:ascii="Arial" w:cs="Arial" w:eastAsia="Arial" w:hAnsi="Arial"/>
          <w:sz w:val="18"/>
          <w:szCs w:val="18"/>
          <w:color w:val="000000"/>
        </w:rPr>
        <w:t>Previously, Mr. Hassen served as Treasurer from November 2002 through January 2007. Prior to joining NASDAQ OMX, Mr. Hassen served as Controller of Deutsche Bank North America from June 1999, after its acquisition of Bankers Trust Company. Mr. Hassen joined Bankers Trust in 1989, serving as Principal Accounting Officer from 1997 until the company’s acquisition by Deutsche Bank.</w:t>
      </w:r>
    </w:p>
    <w:p>
      <w:pPr>
        <w:spacing w:after="0" w:line="139"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83</w:t>
      </w:r>
    </w:p>
    <w:p>
      <w:pPr>
        <w:sectPr>
          <w:pgSz w:w="11900" w:h="16838" w:orient="portrait"/>
          <w:cols w:equalWidth="0" w:num="1">
            <w:col w:w="11440"/>
          </w:cols>
          <w:pgMar w:left="240" w:top="459" w:right="2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0088A6"/>
        </w:rPr>
        <w:t xml:space="preserve">John L. Jacobs </w:t>
      </w:r>
      <w:r>
        <w:rPr>
          <w:rFonts w:ascii="Arial" w:cs="Arial" w:eastAsia="Arial" w:hAnsi="Arial"/>
          <w:sz w:val="18"/>
          <w:szCs w:val="18"/>
          <w:color w:val="000000"/>
        </w:rPr>
        <w:t>has served as Executive Vice President of the Global Information Services Group since January 2013. He served as Executive</w:t>
      </w:r>
      <w:r>
        <w:rPr>
          <w:rFonts w:ascii="Arial" w:cs="Arial" w:eastAsia="Arial" w:hAnsi="Arial"/>
          <w:sz w:val="18"/>
          <w:szCs w:val="18"/>
          <w:b w:val="1"/>
          <w:bCs w:val="1"/>
          <w:color w:val="0088A6"/>
        </w:rPr>
        <w:t xml:space="preserve"> </w:t>
      </w:r>
      <w:r>
        <w:rPr>
          <w:rFonts w:ascii="Arial" w:cs="Arial" w:eastAsia="Arial" w:hAnsi="Arial"/>
          <w:sz w:val="18"/>
          <w:szCs w:val="18"/>
          <w:color w:val="000000"/>
        </w:rPr>
        <w:t>Vice President of the Global Marketing Group and Chief Marketing Officer from July 2003 until January 2013 and Executive Vice President of the Global Index Group from July 2002 until January 2013. Previously, Mr. Jacobs served as Senior Vice President of Worldwide Marketing and Financial Products from January 2000 until July 2002 and as Vice President of Investor Services and Worldwide Marketing from January 1997 until January 2000. Mr. Jacobs joined NASDAQ OMX in 1983.</w:t>
      </w:r>
    </w:p>
    <w:p>
      <w:pPr>
        <w:spacing w:after="0" w:line="91"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b w:val="1"/>
          <w:bCs w:val="1"/>
          <w:color w:val="0088A6"/>
        </w:rPr>
        <w:t xml:space="preserve">Hans-Ole Jochumsen </w:t>
      </w:r>
      <w:r>
        <w:rPr>
          <w:rFonts w:ascii="Arial" w:cs="Arial" w:eastAsia="Arial" w:hAnsi="Arial"/>
          <w:sz w:val="16"/>
          <w:szCs w:val="16"/>
          <w:color w:val="000000"/>
        </w:rPr>
        <w:t>has served as Executive Vice President of Transaction Services Nordic since February 2008. Previously, Mr. Jochumsen</w:t>
      </w:r>
      <w:r>
        <w:rPr>
          <w:rFonts w:ascii="Arial" w:cs="Arial" w:eastAsia="Arial" w:hAnsi="Arial"/>
          <w:sz w:val="16"/>
          <w:szCs w:val="16"/>
          <w:b w:val="1"/>
          <w:bCs w:val="1"/>
          <w:color w:val="0088A6"/>
        </w:rPr>
        <w:t xml:space="preserve"> </w:t>
      </w:r>
      <w:r>
        <w:rPr>
          <w:rFonts w:ascii="Arial" w:cs="Arial" w:eastAsia="Arial" w:hAnsi="Arial"/>
          <w:sz w:val="16"/>
          <w:szCs w:val="16"/>
          <w:color w:val="000000"/>
        </w:rPr>
        <w:t>was the President of Information Services &amp; New Markets for OMX. Prior to that, he served as President and CEO of the Copenhagen Stock Exchange (now called NASDAQ OMX Copenhagen A/S) and FUTOP Clearingcentralen Ltd. Prior to joining OMX in 1998, Mr. Jochumsen served as President and member of the Executive Management of BG Bank from 1996 to 1998 and as President and member of the Executive Management of Girobank from 1994 to 1996. From 1990 to 1994, he was a President and member of the Executive Management of BRFkredit.</w:t>
      </w:r>
    </w:p>
    <w:p>
      <w:pPr>
        <w:spacing w:after="0" w:line="61" w:lineRule="exact"/>
        <w:rPr>
          <w:sz w:val="20"/>
          <w:szCs w:val="20"/>
          <w:color w:val="auto"/>
        </w:rPr>
      </w:pPr>
    </w:p>
    <w:p>
      <w:pPr>
        <w:jc w:val="both"/>
        <w:ind w:right="100"/>
        <w:spacing w:after="0" w:line="244" w:lineRule="auto"/>
        <w:rPr>
          <w:sz w:val="20"/>
          <w:szCs w:val="20"/>
          <w:color w:val="auto"/>
        </w:rPr>
      </w:pPr>
      <w:r>
        <w:rPr>
          <w:rFonts w:ascii="Arial" w:cs="Arial" w:eastAsia="Arial" w:hAnsi="Arial"/>
          <w:sz w:val="18"/>
          <w:szCs w:val="18"/>
          <w:b w:val="1"/>
          <w:bCs w:val="1"/>
          <w:color w:val="0088A6"/>
        </w:rPr>
        <w:t xml:space="preserve">Edward S. Knight </w:t>
      </w:r>
      <w:r>
        <w:rPr>
          <w:rFonts w:ascii="Arial" w:cs="Arial" w:eastAsia="Arial" w:hAnsi="Arial"/>
          <w:sz w:val="18"/>
          <w:szCs w:val="18"/>
          <w:color w:val="000000"/>
        </w:rPr>
        <w:t>has served as Executive Vice President and General Counsel since October 2000 and Chief Regulatory Officer since January</w:t>
      </w:r>
      <w:r>
        <w:rPr>
          <w:rFonts w:ascii="Arial" w:cs="Arial" w:eastAsia="Arial" w:hAnsi="Arial"/>
          <w:sz w:val="18"/>
          <w:szCs w:val="18"/>
          <w:b w:val="1"/>
          <w:bCs w:val="1"/>
          <w:color w:val="0088A6"/>
        </w:rPr>
        <w:t xml:space="preserve"> </w:t>
      </w:r>
      <w:r>
        <w:rPr>
          <w:rFonts w:ascii="Arial" w:cs="Arial" w:eastAsia="Arial" w:hAnsi="Arial"/>
          <w:sz w:val="18"/>
          <w:szCs w:val="18"/>
          <w:color w:val="000000"/>
        </w:rPr>
        <w:t>2006. Previously, Mr. Knight served as Executive Vice President and Chief Legal Officer of FINRA from July 1999 to October 2000. Prior to joining FINRA, Mr. Knight served as General Counsel of the U.S. Department of the Treasury from September 1994 to June 1999. Mr. Knight also serves as a director of NASDAQ Dubai.</w:t>
      </w:r>
    </w:p>
    <w:p>
      <w:pPr>
        <w:spacing w:after="0" w:line="90" w:lineRule="exact"/>
        <w:rPr>
          <w:sz w:val="20"/>
          <w:szCs w:val="20"/>
          <w:color w:val="auto"/>
        </w:rPr>
      </w:pPr>
    </w:p>
    <w:p>
      <w:pPr>
        <w:ind w:right="360"/>
        <w:spacing w:after="0" w:line="242" w:lineRule="auto"/>
        <w:rPr>
          <w:sz w:val="20"/>
          <w:szCs w:val="20"/>
          <w:color w:val="auto"/>
        </w:rPr>
      </w:pPr>
      <w:r>
        <w:rPr>
          <w:rFonts w:ascii="Arial" w:cs="Arial" w:eastAsia="Arial" w:hAnsi="Arial"/>
          <w:sz w:val="18"/>
          <w:szCs w:val="18"/>
          <w:b w:val="1"/>
          <w:bCs w:val="1"/>
          <w:color w:val="0088A6"/>
        </w:rPr>
        <w:t xml:space="preserve">Eric W. Noll </w:t>
      </w:r>
      <w:r>
        <w:rPr>
          <w:rFonts w:ascii="Arial" w:cs="Arial" w:eastAsia="Arial" w:hAnsi="Arial"/>
          <w:sz w:val="18"/>
          <w:szCs w:val="18"/>
          <w:color w:val="000000"/>
        </w:rPr>
        <w:t>has served as Executive Vice President of Transaction Services U.S. and U.K. since July 2009. From March 1994 to July 2009,</w:t>
      </w:r>
      <w:r>
        <w:rPr>
          <w:rFonts w:ascii="Arial" w:cs="Arial" w:eastAsia="Arial" w:hAnsi="Arial"/>
          <w:sz w:val="18"/>
          <w:szCs w:val="18"/>
          <w:b w:val="1"/>
          <w:bCs w:val="1"/>
          <w:color w:val="0088A6"/>
        </w:rPr>
        <w:t xml:space="preserve"> </w:t>
      </w:r>
      <w:r>
        <w:rPr>
          <w:rFonts w:ascii="Arial" w:cs="Arial" w:eastAsia="Arial" w:hAnsi="Arial"/>
          <w:sz w:val="18"/>
          <w:szCs w:val="18"/>
          <w:color w:val="000000"/>
        </w:rPr>
        <w:t>Mr. Noll served as the Managing Director of Susquehanna Financial Group, LLLP and Associate Director of Susquehanna International Group, LLP. Prior to this, Mr. Noll worked at the Philadelphia Stock Exchange from March 1993 to March 1994 as the Assistant Vice President, New Market Development, Strategic Planning and Marketing. Mr. Noll also worked at the Chicago Board Options Exchange from 1990 to 1993 in various roles as an Associate and Manager of Strategic Planning.</w:t>
      </w:r>
    </w:p>
    <w:p>
      <w:pPr>
        <w:spacing w:after="0" w:line="9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b w:val="1"/>
          <w:bCs w:val="1"/>
          <w:color w:val="0088A6"/>
        </w:rPr>
        <w:t xml:space="preserve">Bradley J. Peterson </w:t>
      </w:r>
      <w:r>
        <w:rPr>
          <w:rFonts w:ascii="Arial" w:cs="Arial" w:eastAsia="Arial" w:hAnsi="Arial"/>
          <w:sz w:val="18"/>
          <w:szCs w:val="18"/>
          <w:color w:val="000000"/>
        </w:rPr>
        <w:t>has served as Executive Vice President and Chief Information Officer since February 2013. Previously, Mr. Peterson served</w:t>
      </w:r>
      <w:r>
        <w:rPr>
          <w:rFonts w:ascii="Arial" w:cs="Arial" w:eastAsia="Arial" w:hAnsi="Arial"/>
          <w:sz w:val="18"/>
          <w:szCs w:val="18"/>
          <w:b w:val="1"/>
          <w:bCs w:val="1"/>
          <w:color w:val="0088A6"/>
        </w:rPr>
        <w:t xml:space="preserve"> </w:t>
      </w:r>
      <w:r>
        <w:rPr>
          <w:rFonts w:ascii="Arial" w:cs="Arial" w:eastAsia="Arial" w:hAnsi="Arial"/>
          <w:sz w:val="18"/>
          <w:szCs w:val="18"/>
          <w:color w:val="000000"/>
        </w:rPr>
        <w:t>as Executive Vice President and Chief Information Officer at Charles Schwab, Inc. since May 2008. Mr. Peterson was Chief Information Officer at eBay from April 2003 through May 2008. From July 2001 through March 2003, Mr. Peterson was the Managing Director and Chief Operating Officer at Epoch Securities after its merger with Goldman Sachs Group, Inc. He also has held senior executive positions at Epoch Partners, Inc., Charles Schwab &amp; Company and Pacific Bell Wireless (now part of AT&amp;T).</w:t>
      </w:r>
    </w:p>
    <w:p>
      <w:pPr>
        <w:spacing w:after="0" w:line="91"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b w:val="1"/>
          <w:bCs w:val="1"/>
          <w:color w:val="0088A6"/>
        </w:rPr>
        <w:t xml:space="preserve">Lee Shavel </w:t>
      </w:r>
      <w:r>
        <w:rPr>
          <w:rFonts w:ascii="Arial" w:cs="Arial" w:eastAsia="Arial" w:hAnsi="Arial"/>
          <w:sz w:val="16"/>
          <w:szCs w:val="16"/>
          <w:color w:val="000000"/>
        </w:rPr>
        <w:t>has served as Chief Financial Officer and Executive Vice President, Corporate Strategy since May 2011. Before joining NASDAQ</w:t>
      </w:r>
      <w:r>
        <w:rPr>
          <w:rFonts w:ascii="Arial" w:cs="Arial" w:eastAsia="Arial" w:hAnsi="Arial"/>
          <w:sz w:val="16"/>
          <w:szCs w:val="16"/>
          <w:b w:val="1"/>
          <w:bCs w:val="1"/>
          <w:color w:val="0088A6"/>
        </w:rPr>
        <w:t xml:space="preserve"> </w:t>
      </w:r>
      <w:r>
        <w:rPr>
          <w:rFonts w:ascii="Arial" w:cs="Arial" w:eastAsia="Arial" w:hAnsi="Arial"/>
          <w:sz w:val="16"/>
          <w:szCs w:val="16"/>
          <w:color w:val="000000"/>
        </w:rPr>
        <w:t>OMX, Mr. Shavel was Americas Head of Financial Institutions Investment Banking at Bank of America Merrill Lynch. Previously, he was Head of Finance, Securities and Technology and Global Chief Operating Officer for the Financial Institutions Group at Merrill Lynch. Mr. Shavel joined Merrill Lynch in 1993 as an Associate, coming from Citicorp where he worked as an Associate in the Financial Institutions Group.</w:t>
      </w:r>
    </w:p>
    <w:p>
      <w:pPr>
        <w:spacing w:after="0" w:line="1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SECURITY OWNERSHIP OF CERTAIN BENEFICIAL OWNERS AND MANAGEMENT</w:t>
      </w:r>
    </w:p>
    <w:p>
      <w:pPr>
        <w:spacing w:after="0" w:line="166"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following table and accompanying footnotes show information regarding the beneficial ownership of our common stock as of March 15, 2013 by:</w:t>
      </w:r>
    </w:p>
    <w:p>
      <w:pPr>
        <w:spacing w:after="0" w:line="60" w:lineRule="exact"/>
        <w:rPr>
          <w:sz w:val="20"/>
          <w:szCs w:val="20"/>
          <w:color w:val="auto"/>
        </w:rPr>
      </w:pPr>
    </w:p>
    <w:p>
      <w:pPr>
        <w:ind w:left="1120" w:hanging="437"/>
        <w:spacing w:after="0"/>
        <w:tabs>
          <w:tab w:leader="none" w:pos="1120" w:val="left"/>
        </w:tabs>
        <w:numPr>
          <w:ilvl w:val="0"/>
          <w:numId w:val="73"/>
        </w:numPr>
        <w:rPr>
          <w:rFonts w:ascii="Arial" w:cs="Arial" w:eastAsia="Arial" w:hAnsi="Arial"/>
          <w:sz w:val="18"/>
          <w:szCs w:val="18"/>
          <w:color w:val="0088A6"/>
        </w:rPr>
      </w:pPr>
      <w:r>
        <w:rPr>
          <w:rFonts w:ascii="Arial" w:cs="Arial" w:eastAsia="Arial" w:hAnsi="Arial"/>
          <w:sz w:val="18"/>
          <w:szCs w:val="18"/>
          <w:color w:val="auto"/>
        </w:rPr>
        <w:t>each person who is known by us to own beneficially more than 5% of our common stock;</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73"/>
        </w:numPr>
        <w:rPr>
          <w:rFonts w:ascii="Arial" w:cs="Arial" w:eastAsia="Arial" w:hAnsi="Arial"/>
          <w:sz w:val="18"/>
          <w:szCs w:val="18"/>
          <w:color w:val="0088A6"/>
        </w:rPr>
      </w:pPr>
      <w:r>
        <w:rPr>
          <w:rFonts w:ascii="Arial" w:cs="Arial" w:eastAsia="Arial" w:hAnsi="Arial"/>
          <w:sz w:val="18"/>
          <w:szCs w:val="18"/>
          <w:color w:val="auto"/>
        </w:rPr>
        <w:t>each current director and nominee for director;</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73"/>
        </w:numPr>
        <w:rPr>
          <w:rFonts w:ascii="Arial" w:cs="Arial" w:eastAsia="Arial" w:hAnsi="Arial"/>
          <w:sz w:val="18"/>
          <w:szCs w:val="18"/>
          <w:color w:val="0088A6"/>
        </w:rPr>
      </w:pPr>
      <w:r>
        <w:rPr>
          <w:rFonts w:ascii="Arial" w:cs="Arial" w:eastAsia="Arial" w:hAnsi="Arial"/>
          <w:sz w:val="18"/>
          <w:szCs w:val="18"/>
          <w:color w:val="auto"/>
        </w:rPr>
        <w:t>each named executive officer; and</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73"/>
        </w:numPr>
        <w:rPr>
          <w:rFonts w:ascii="Arial" w:cs="Arial" w:eastAsia="Arial" w:hAnsi="Arial"/>
          <w:sz w:val="18"/>
          <w:szCs w:val="18"/>
          <w:color w:val="0088A6"/>
        </w:rPr>
      </w:pPr>
      <w:r>
        <w:rPr>
          <w:rFonts w:ascii="Arial" w:cs="Arial" w:eastAsia="Arial" w:hAnsi="Arial"/>
          <w:sz w:val="18"/>
          <w:szCs w:val="18"/>
          <w:color w:val="auto"/>
        </w:rPr>
        <w:t>all directors and executive officers as a group.</w:t>
      </w:r>
    </w:p>
    <w:p>
      <w:pPr>
        <w:spacing w:after="0" w:line="117"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Except as otherwise indicated, we believe that the beneficial owners listed below, based on information furnished by such owners, will have sole investment and voting power with respect to such shares, subject to community property laws where applicable. Shares of common stock underlying options that are currently exercisable or exercisable within 60 days are considered outstanding and beneficially owned by the person holding the options for the purposes of computing the percentage ownership of that person, but are not treated as outstanding for the purpose of computing the percentage ownership of any other person. Holders of restricted stock units granted under the Equity Plan have the right to direct the voting of the shares underlying those units only to the extent the shares are vested. As of March 15, 2013, 165,686,036 shares of common stock were outstanding.</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00" w:type="dxa"/>
            <w:vAlign w:val="bottom"/>
            <w:tcBorders>
              <w:left w:val="single" w:sz="8" w:color="BFBFBF"/>
              <w:right w:val="single" w:sz="8" w:color="BFBFBF"/>
            </w:tcBorders>
            <w:shd w:val="clear" w:color="auto" w:fill="0088A6"/>
          </w:tcPr>
          <w:p>
            <w:pPr>
              <w:spacing w:after="0"/>
              <w:rPr>
                <w:sz w:val="17"/>
                <w:szCs w:val="17"/>
                <w:color w:val="auto"/>
              </w:rPr>
            </w:pPr>
          </w:p>
        </w:tc>
        <w:tc>
          <w:tcPr>
            <w:tcW w:w="100" w:type="dxa"/>
            <w:vAlign w:val="bottom"/>
            <w:shd w:val="clear" w:color="auto" w:fill="0088A6"/>
          </w:tcPr>
          <w:p>
            <w:pPr>
              <w:spacing w:after="0"/>
              <w:rPr>
                <w:sz w:val="17"/>
                <w:szCs w:val="17"/>
                <w:color w:val="auto"/>
              </w:rPr>
            </w:pPr>
          </w:p>
        </w:tc>
        <w:tc>
          <w:tcPr>
            <w:tcW w:w="2520" w:type="dxa"/>
            <w:vAlign w:val="bottom"/>
            <w:tcBorders>
              <w:right w:val="single" w:sz="8" w:color="BFBFBF"/>
            </w:tcBorders>
            <w:shd w:val="clear" w:color="auto" w:fill="0088A6"/>
          </w:tcPr>
          <w:p>
            <w:pPr>
              <w:jc w:val="right"/>
              <w:ind w:right="562"/>
              <w:spacing w:after="0"/>
              <w:rPr>
                <w:sz w:val="20"/>
                <w:szCs w:val="20"/>
                <w:color w:val="auto"/>
              </w:rPr>
            </w:pPr>
            <w:r>
              <w:rPr>
                <w:rFonts w:ascii="Arial" w:cs="Arial" w:eastAsia="Arial" w:hAnsi="Arial"/>
                <w:sz w:val="18"/>
                <w:szCs w:val="18"/>
                <w:b w:val="1"/>
                <w:bCs w:val="1"/>
                <w:color w:val="FFFFFF"/>
              </w:rPr>
              <w:t>Common Stock</w:t>
            </w:r>
          </w:p>
        </w:tc>
        <w:tc>
          <w:tcPr>
            <w:tcW w:w="100" w:type="dxa"/>
            <w:vAlign w:val="bottom"/>
            <w:shd w:val="clear" w:color="auto" w:fill="0088A6"/>
          </w:tcPr>
          <w:p>
            <w:pPr>
              <w:spacing w:after="0"/>
              <w:rPr>
                <w:sz w:val="17"/>
                <w:szCs w:val="17"/>
                <w:color w:val="auto"/>
              </w:rPr>
            </w:pPr>
          </w:p>
        </w:tc>
        <w:tc>
          <w:tcPr>
            <w:tcW w:w="1620" w:type="dxa"/>
            <w:vAlign w:val="bottom"/>
            <w:tcBorders>
              <w:right w:val="single" w:sz="8" w:color="BFBFBF"/>
            </w:tcBorders>
            <w:shd w:val="clear" w:color="auto" w:fill="0088A6"/>
          </w:tcPr>
          <w:p>
            <w:pPr>
              <w:jc w:val="right"/>
              <w:ind w:right="382"/>
              <w:spacing w:after="0"/>
              <w:rPr>
                <w:sz w:val="20"/>
                <w:szCs w:val="20"/>
                <w:color w:val="auto"/>
              </w:rPr>
            </w:pPr>
            <w:r>
              <w:rPr>
                <w:rFonts w:ascii="Arial" w:cs="Arial" w:eastAsia="Arial" w:hAnsi="Arial"/>
                <w:sz w:val="18"/>
                <w:szCs w:val="18"/>
                <w:b w:val="1"/>
                <w:bCs w:val="1"/>
                <w:color w:val="FFFFFF"/>
              </w:rPr>
              <w:t>Percent of</w:t>
            </w:r>
          </w:p>
        </w:tc>
      </w:tr>
      <w:tr>
        <w:trPr>
          <w:trHeight w:val="279"/>
        </w:trPr>
        <w:tc>
          <w:tcPr>
            <w:tcW w:w="7100" w:type="dxa"/>
            <w:vAlign w:val="bottom"/>
            <w:tcBorders>
              <w:left w:val="single" w:sz="8" w:color="BFBFBF"/>
              <w:bottom w:val="single" w:sz="8" w:color="auto"/>
              <w:right w:val="single" w:sz="8" w:color="BFBFBF"/>
            </w:tcBorders>
            <w:shd w:val="clear" w:color="auto" w:fill="0088A6"/>
          </w:tcPr>
          <w:p>
            <w:pPr>
              <w:ind w:left="180"/>
              <w:spacing w:after="0"/>
              <w:rPr>
                <w:sz w:val="20"/>
                <w:szCs w:val="20"/>
                <w:color w:val="auto"/>
              </w:rPr>
            </w:pPr>
            <w:r>
              <w:rPr>
                <w:rFonts w:ascii="Arial" w:cs="Arial" w:eastAsia="Arial" w:hAnsi="Arial"/>
                <w:sz w:val="18"/>
                <w:szCs w:val="18"/>
                <w:b w:val="1"/>
                <w:bCs w:val="1"/>
                <w:color w:val="FFFFFF"/>
              </w:rPr>
              <w:t>Name of Beneficial Owner</w:t>
            </w:r>
          </w:p>
        </w:tc>
        <w:tc>
          <w:tcPr>
            <w:tcW w:w="100" w:type="dxa"/>
            <w:vAlign w:val="bottom"/>
            <w:tcBorders>
              <w:bottom w:val="single" w:sz="8" w:color="0088A6"/>
            </w:tcBorders>
            <w:shd w:val="clear" w:color="auto" w:fill="0088A6"/>
          </w:tcPr>
          <w:p>
            <w:pPr>
              <w:spacing w:after="0"/>
              <w:rPr>
                <w:sz w:val="23"/>
                <w:szCs w:val="23"/>
                <w:color w:val="auto"/>
              </w:rPr>
            </w:pPr>
          </w:p>
        </w:tc>
        <w:tc>
          <w:tcPr>
            <w:tcW w:w="2520" w:type="dxa"/>
            <w:vAlign w:val="bottom"/>
            <w:tcBorders>
              <w:bottom w:val="single" w:sz="8" w:color="auto"/>
              <w:right w:val="single" w:sz="8" w:color="BFBFBF"/>
            </w:tcBorders>
            <w:shd w:val="clear" w:color="auto" w:fill="0088A6"/>
          </w:tcPr>
          <w:p>
            <w:pPr>
              <w:jc w:val="right"/>
              <w:ind w:right="402"/>
              <w:spacing w:after="0"/>
              <w:rPr>
                <w:sz w:val="20"/>
                <w:szCs w:val="20"/>
                <w:color w:val="auto"/>
              </w:rPr>
            </w:pPr>
            <w:r>
              <w:rPr>
                <w:rFonts w:ascii="Arial" w:cs="Arial" w:eastAsia="Arial" w:hAnsi="Arial"/>
                <w:sz w:val="18"/>
                <w:szCs w:val="18"/>
                <w:b w:val="1"/>
                <w:bCs w:val="1"/>
                <w:color w:val="FFFFFF"/>
              </w:rPr>
              <w:t>Beneficially Owned</w:t>
            </w:r>
          </w:p>
        </w:tc>
        <w:tc>
          <w:tcPr>
            <w:tcW w:w="100" w:type="dxa"/>
            <w:vAlign w:val="bottom"/>
            <w:tcBorders>
              <w:bottom w:val="single" w:sz="8" w:color="0088A6"/>
            </w:tcBorders>
            <w:shd w:val="clear" w:color="auto" w:fill="0088A6"/>
          </w:tcPr>
          <w:p>
            <w:pPr>
              <w:spacing w:after="0"/>
              <w:rPr>
                <w:sz w:val="23"/>
                <w:szCs w:val="23"/>
                <w:color w:val="auto"/>
              </w:rPr>
            </w:pPr>
          </w:p>
        </w:tc>
        <w:tc>
          <w:tcPr>
            <w:tcW w:w="1620" w:type="dxa"/>
            <w:vAlign w:val="bottom"/>
            <w:tcBorders>
              <w:bottom w:val="single" w:sz="8" w:color="auto"/>
              <w:right w:val="single" w:sz="8" w:color="BFBFBF"/>
            </w:tcBorders>
            <w:shd w:val="clear" w:color="auto" w:fill="0088A6"/>
          </w:tcPr>
          <w:p>
            <w:pPr>
              <w:jc w:val="right"/>
              <w:ind w:right="562"/>
              <w:spacing w:after="0"/>
              <w:rPr>
                <w:sz w:val="20"/>
                <w:szCs w:val="20"/>
                <w:color w:val="auto"/>
              </w:rPr>
            </w:pPr>
            <w:r>
              <w:rPr>
                <w:rFonts w:ascii="Arial" w:cs="Arial" w:eastAsia="Arial" w:hAnsi="Arial"/>
                <w:sz w:val="18"/>
                <w:szCs w:val="18"/>
                <w:b w:val="1"/>
                <w:bCs w:val="1"/>
                <w:color w:val="FFFFFF"/>
              </w:rPr>
              <w:t>Class</w:t>
            </w:r>
          </w:p>
        </w:tc>
      </w:tr>
      <w:tr>
        <w:trPr>
          <w:trHeight w:val="129"/>
        </w:trPr>
        <w:tc>
          <w:tcPr>
            <w:tcW w:w="7100" w:type="dxa"/>
            <w:vAlign w:val="bottom"/>
            <w:tcBorders>
              <w:top w:val="single" w:sz="8" w:color="0088A6"/>
              <w:left w:val="single" w:sz="8" w:color="BFBFBF"/>
              <w:right w:val="single" w:sz="8" w:color="BFBFBF"/>
            </w:tcBorders>
          </w:tcPr>
          <w:p>
            <w:pPr>
              <w:ind w:left="120"/>
              <w:spacing w:after="0" w:line="129" w:lineRule="exact"/>
              <w:rPr>
                <w:sz w:val="20"/>
                <w:szCs w:val="20"/>
                <w:color w:val="auto"/>
              </w:rPr>
            </w:pPr>
            <w:r>
              <w:rPr>
                <w:rFonts w:ascii="Arial" w:cs="Arial" w:eastAsia="Arial" w:hAnsi="Arial"/>
                <w:sz w:val="14"/>
                <w:szCs w:val="14"/>
                <w:color w:val="auto"/>
              </w:rPr>
              <w:t>Borse Dubai Limited(1)</w:t>
            </w:r>
          </w:p>
        </w:tc>
        <w:tc>
          <w:tcPr>
            <w:tcW w:w="100" w:type="dxa"/>
            <w:vAlign w:val="bottom"/>
            <w:tcBorders>
              <w:top w:val="single" w:sz="8" w:color="0088A6"/>
            </w:tcBorders>
          </w:tcPr>
          <w:p>
            <w:pPr>
              <w:spacing w:after="0"/>
              <w:rPr>
                <w:sz w:val="11"/>
                <w:szCs w:val="11"/>
                <w:color w:val="auto"/>
              </w:rPr>
            </w:pPr>
          </w:p>
        </w:tc>
        <w:tc>
          <w:tcPr>
            <w:tcW w:w="2520" w:type="dxa"/>
            <w:vAlign w:val="bottom"/>
            <w:tcBorders>
              <w:top w:val="single" w:sz="8" w:color="0088A6"/>
              <w:right w:val="single" w:sz="8" w:color="BFBFBF"/>
            </w:tcBorders>
          </w:tcPr>
          <w:p>
            <w:pPr>
              <w:spacing w:after="0"/>
              <w:rPr>
                <w:sz w:val="11"/>
                <w:szCs w:val="11"/>
                <w:color w:val="auto"/>
              </w:rPr>
            </w:pPr>
          </w:p>
        </w:tc>
        <w:tc>
          <w:tcPr>
            <w:tcW w:w="100" w:type="dxa"/>
            <w:vAlign w:val="bottom"/>
            <w:tcBorders>
              <w:top w:val="single" w:sz="8" w:color="0088A6"/>
            </w:tcBorders>
          </w:tcPr>
          <w:p>
            <w:pPr>
              <w:spacing w:after="0"/>
              <w:rPr>
                <w:sz w:val="11"/>
                <w:szCs w:val="11"/>
                <w:color w:val="auto"/>
              </w:rPr>
            </w:pPr>
          </w:p>
        </w:tc>
        <w:tc>
          <w:tcPr>
            <w:tcW w:w="1620" w:type="dxa"/>
            <w:vAlign w:val="bottom"/>
            <w:tcBorders>
              <w:top w:val="single" w:sz="8" w:color="0088A6"/>
              <w:right w:val="single" w:sz="8" w:color="BFBFBF"/>
            </w:tcBorders>
          </w:tcPr>
          <w:p>
            <w:pPr>
              <w:spacing w:after="0"/>
              <w:rPr>
                <w:sz w:val="11"/>
                <w:szCs w:val="11"/>
                <w:color w:val="auto"/>
              </w:rPr>
            </w:pPr>
          </w:p>
        </w:tc>
      </w:tr>
      <w:tr>
        <w:trPr>
          <w:trHeight w:val="163"/>
        </w:trPr>
        <w:tc>
          <w:tcPr>
            <w:tcW w:w="7100" w:type="dxa"/>
            <w:vAlign w:val="bottom"/>
            <w:tcBorders>
              <w:left w:val="single" w:sz="8" w:color="BFBFBF"/>
              <w:bottom w:val="single" w:sz="8" w:color="BFBFBF"/>
              <w:right w:val="single" w:sz="8" w:color="BFBFBF"/>
            </w:tcBorders>
          </w:tcPr>
          <w:p>
            <w:pPr>
              <w:ind w:left="340"/>
              <w:spacing w:after="0"/>
              <w:rPr>
                <w:sz w:val="20"/>
                <w:szCs w:val="20"/>
                <w:color w:val="auto"/>
              </w:rPr>
            </w:pPr>
            <w:r>
              <w:rPr>
                <w:rFonts w:ascii="Arial" w:cs="Arial" w:eastAsia="Arial" w:hAnsi="Arial"/>
                <w:sz w:val="14"/>
                <w:szCs w:val="14"/>
                <w:color w:val="auto"/>
              </w:rPr>
              <w:t>Level 7, Precinct Building 5, Gate District DIFC, Dubai UAE</w:t>
            </w:r>
          </w:p>
        </w:tc>
        <w:tc>
          <w:tcPr>
            <w:tcW w:w="2620" w:type="dxa"/>
            <w:vAlign w:val="bottom"/>
            <w:tcBorders>
              <w:bottom w:val="single" w:sz="8" w:color="BFBFBF"/>
              <w:right w:val="single" w:sz="8" w:color="BFBFBF"/>
            </w:tcBorders>
            <w:gridSpan w:val="2"/>
          </w:tcPr>
          <w:p>
            <w:pPr>
              <w:jc w:val="right"/>
              <w:ind w:right="242"/>
              <w:spacing w:after="0"/>
              <w:rPr>
                <w:sz w:val="20"/>
                <w:szCs w:val="20"/>
                <w:color w:val="auto"/>
              </w:rPr>
            </w:pPr>
            <w:r>
              <w:rPr>
                <w:rFonts w:ascii="Arial" w:cs="Arial" w:eastAsia="Arial" w:hAnsi="Arial"/>
                <w:sz w:val="14"/>
                <w:szCs w:val="14"/>
                <w:color w:val="auto"/>
              </w:rPr>
              <w:t>29,780,515</w:t>
            </w:r>
          </w:p>
        </w:tc>
        <w:tc>
          <w:tcPr>
            <w:tcW w:w="1720" w:type="dxa"/>
            <w:vAlign w:val="bottom"/>
            <w:tcBorders>
              <w:bottom w:val="single" w:sz="8" w:color="BFBFBF"/>
              <w:right w:val="single" w:sz="8" w:color="BFBFBF"/>
            </w:tcBorders>
            <w:gridSpan w:val="2"/>
          </w:tcPr>
          <w:p>
            <w:pPr>
              <w:jc w:val="right"/>
              <w:ind w:right="342"/>
              <w:spacing w:after="0"/>
              <w:rPr>
                <w:sz w:val="20"/>
                <w:szCs w:val="20"/>
                <w:color w:val="auto"/>
              </w:rPr>
            </w:pPr>
            <w:r>
              <w:rPr>
                <w:rFonts w:ascii="Arial" w:cs="Arial" w:eastAsia="Arial" w:hAnsi="Arial"/>
                <w:sz w:val="14"/>
                <w:szCs w:val="14"/>
                <w:color w:val="auto"/>
              </w:rPr>
              <w:t>18.0%</w:t>
            </w:r>
          </w:p>
        </w:tc>
      </w:tr>
      <w:tr>
        <w:trPr>
          <w:trHeight w:val="141"/>
        </w:trPr>
        <w:tc>
          <w:tcPr>
            <w:tcW w:w="7100" w:type="dxa"/>
            <w:vAlign w:val="bottom"/>
            <w:tcBorders>
              <w:left w:val="single" w:sz="8" w:color="BFBFBF"/>
              <w:right w:val="single" w:sz="8" w:color="BFBFBF"/>
            </w:tcBorders>
            <w:shd w:val="clear" w:color="auto" w:fill="DDEFF3"/>
          </w:tcPr>
          <w:p>
            <w:pPr>
              <w:ind w:left="120"/>
              <w:spacing w:after="0" w:line="141" w:lineRule="exact"/>
              <w:rPr>
                <w:sz w:val="20"/>
                <w:szCs w:val="20"/>
                <w:color w:val="auto"/>
              </w:rPr>
            </w:pPr>
            <w:r>
              <w:rPr>
                <w:rFonts w:ascii="Arial" w:cs="Arial" w:eastAsia="Arial" w:hAnsi="Arial"/>
                <w:sz w:val="14"/>
                <w:szCs w:val="14"/>
                <w:color w:val="auto"/>
              </w:rPr>
              <w:t>Investor AB(2)</w:t>
            </w:r>
          </w:p>
        </w:tc>
        <w:tc>
          <w:tcPr>
            <w:tcW w:w="100" w:type="dxa"/>
            <w:vAlign w:val="bottom"/>
            <w:shd w:val="clear" w:color="auto" w:fill="DDEFF3"/>
          </w:tcPr>
          <w:p>
            <w:pPr>
              <w:spacing w:after="0"/>
              <w:rPr>
                <w:sz w:val="12"/>
                <w:szCs w:val="12"/>
                <w:color w:val="auto"/>
              </w:rPr>
            </w:pPr>
          </w:p>
        </w:tc>
        <w:tc>
          <w:tcPr>
            <w:tcW w:w="2520" w:type="dxa"/>
            <w:vAlign w:val="bottom"/>
            <w:tcBorders>
              <w:right w:val="single" w:sz="8" w:color="BFBFBF"/>
            </w:tcBorders>
            <w:shd w:val="clear" w:color="auto" w:fill="DDEFF3"/>
          </w:tcPr>
          <w:p>
            <w:pPr>
              <w:spacing w:after="0"/>
              <w:rPr>
                <w:sz w:val="12"/>
                <w:szCs w:val="12"/>
                <w:color w:val="auto"/>
              </w:rPr>
            </w:pPr>
          </w:p>
        </w:tc>
        <w:tc>
          <w:tcPr>
            <w:tcW w:w="100" w:type="dxa"/>
            <w:vAlign w:val="bottom"/>
            <w:shd w:val="clear" w:color="auto" w:fill="DDEFF3"/>
          </w:tcPr>
          <w:p>
            <w:pPr>
              <w:spacing w:after="0"/>
              <w:rPr>
                <w:sz w:val="12"/>
                <w:szCs w:val="12"/>
                <w:color w:val="auto"/>
              </w:rPr>
            </w:pPr>
          </w:p>
        </w:tc>
        <w:tc>
          <w:tcPr>
            <w:tcW w:w="1620" w:type="dxa"/>
            <w:vAlign w:val="bottom"/>
            <w:tcBorders>
              <w:right w:val="single" w:sz="8" w:color="BFBFBF"/>
            </w:tcBorders>
            <w:shd w:val="clear" w:color="auto" w:fill="DDEFF3"/>
          </w:tcPr>
          <w:p>
            <w:pPr>
              <w:spacing w:after="0"/>
              <w:rPr>
                <w:sz w:val="12"/>
                <w:szCs w:val="12"/>
                <w:color w:val="auto"/>
              </w:rPr>
            </w:pPr>
          </w:p>
        </w:tc>
      </w:tr>
      <w:tr>
        <w:trPr>
          <w:trHeight w:val="163"/>
        </w:trPr>
        <w:tc>
          <w:tcPr>
            <w:tcW w:w="7100" w:type="dxa"/>
            <w:vAlign w:val="bottom"/>
            <w:tcBorders>
              <w:left w:val="single" w:sz="8" w:color="BFBFBF"/>
              <w:bottom w:val="single" w:sz="8" w:color="BFBFBF"/>
              <w:right w:val="single" w:sz="8" w:color="BFBFBF"/>
            </w:tcBorders>
            <w:shd w:val="clear" w:color="auto" w:fill="DDEFF3"/>
          </w:tcPr>
          <w:p>
            <w:pPr>
              <w:ind w:left="340"/>
              <w:spacing w:after="0"/>
              <w:rPr>
                <w:sz w:val="20"/>
                <w:szCs w:val="20"/>
                <w:color w:val="auto"/>
              </w:rPr>
            </w:pPr>
            <w:r>
              <w:rPr>
                <w:rFonts w:ascii="Arial" w:cs="Arial" w:eastAsia="Arial" w:hAnsi="Arial"/>
                <w:sz w:val="14"/>
                <w:szCs w:val="14"/>
                <w:color w:val="auto"/>
              </w:rPr>
              <w:t>Patricia Holding AB, Arsenalsgatan 8C, S-103 32, Stockholm, Sweden V7</w:t>
            </w:r>
          </w:p>
        </w:tc>
        <w:tc>
          <w:tcPr>
            <w:tcW w:w="2620" w:type="dxa"/>
            <w:vAlign w:val="bottom"/>
            <w:tcBorders>
              <w:bottom w:val="single" w:sz="8" w:color="BFBFBF"/>
              <w:right w:val="single" w:sz="8" w:color="BFBFBF"/>
            </w:tcBorders>
            <w:gridSpan w:val="2"/>
            <w:shd w:val="clear" w:color="auto" w:fill="DDEFF3"/>
          </w:tcPr>
          <w:p>
            <w:pPr>
              <w:jc w:val="right"/>
              <w:ind w:right="242"/>
              <w:spacing w:after="0"/>
              <w:rPr>
                <w:sz w:val="20"/>
                <w:szCs w:val="20"/>
                <w:color w:val="auto"/>
              </w:rPr>
            </w:pPr>
            <w:r>
              <w:rPr>
                <w:rFonts w:ascii="Arial" w:cs="Arial" w:eastAsia="Arial" w:hAnsi="Arial"/>
                <w:sz w:val="14"/>
                <w:szCs w:val="14"/>
                <w:color w:val="auto"/>
              </w:rPr>
              <w:t>19,394,142</w:t>
            </w:r>
          </w:p>
        </w:tc>
        <w:tc>
          <w:tcPr>
            <w:tcW w:w="1720" w:type="dxa"/>
            <w:vAlign w:val="bottom"/>
            <w:tcBorders>
              <w:bottom w:val="single" w:sz="8" w:color="BFBFBF"/>
              <w:right w:val="single" w:sz="8" w:color="BFBFBF"/>
            </w:tcBorders>
            <w:gridSpan w:val="2"/>
            <w:shd w:val="clear" w:color="auto" w:fill="DDEFF3"/>
          </w:tcPr>
          <w:p>
            <w:pPr>
              <w:jc w:val="right"/>
              <w:ind w:right="342"/>
              <w:spacing w:after="0"/>
              <w:rPr>
                <w:sz w:val="20"/>
                <w:szCs w:val="20"/>
                <w:color w:val="auto"/>
              </w:rPr>
            </w:pPr>
            <w:r>
              <w:rPr>
                <w:rFonts w:ascii="Arial" w:cs="Arial" w:eastAsia="Arial" w:hAnsi="Arial"/>
                <w:sz w:val="14"/>
                <w:szCs w:val="14"/>
                <w:color w:val="auto"/>
              </w:rPr>
              <w:t>11.7%</w:t>
            </w:r>
          </w:p>
        </w:tc>
      </w:tr>
      <w:tr>
        <w:trPr>
          <w:trHeight w:val="141"/>
        </w:trPr>
        <w:tc>
          <w:tcPr>
            <w:tcW w:w="7100" w:type="dxa"/>
            <w:vAlign w:val="bottom"/>
            <w:tcBorders>
              <w:left w:val="single" w:sz="8" w:color="BFBFBF"/>
              <w:right w:val="single" w:sz="8" w:color="BFBFBF"/>
            </w:tcBorders>
          </w:tcPr>
          <w:p>
            <w:pPr>
              <w:ind w:left="120"/>
              <w:spacing w:after="0" w:line="141" w:lineRule="exact"/>
              <w:rPr>
                <w:sz w:val="20"/>
                <w:szCs w:val="20"/>
                <w:color w:val="auto"/>
              </w:rPr>
            </w:pPr>
            <w:r>
              <w:rPr>
                <w:rFonts w:ascii="Arial" w:cs="Arial" w:eastAsia="Arial" w:hAnsi="Arial"/>
                <w:sz w:val="14"/>
                <w:szCs w:val="14"/>
                <w:color w:val="auto"/>
              </w:rPr>
              <w:t>FMR LLC(3)</w:t>
            </w:r>
          </w:p>
        </w:tc>
        <w:tc>
          <w:tcPr>
            <w:tcW w:w="100" w:type="dxa"/>
            <w:vAlign w:val="bottom"/>
          </w:tcPr>
          <w:p>
            <w:pPr>
              <w:spacing w:after="0"/>
              <w:rPr>
                <w:sz w:val="12"/>
                <w:szCs w:val="12"/>
                <w:color w:val="auto"/>
              </w:rPr>
            </w:pPr>
          </w:p>
        </w:tc>
        <w:tc>
          <w:tcPr>
            <w:tcW w:w="2520" w:type="dxa"/>
            <w:vAlign w:val="bottom"/>
            <w:tcBorders>
              <w:right w:val="single" w:sz="8" w:color="BFBFBF"/>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right w:val="single" w:sz="8" w:color="BFBFBF"/>
            </w:tcBorders>
          </w:tcPr>
          <w:p>
            <w:pPr>
              <w:spacing w:after="0"/>
              <w:rPr>
                <w:sz w:val="12"/>
                <w:szCs w:val="12"/>
                <w:color w:val="auto"/>
              </w:rPr>
            </w:pPr>
          </w:p>
        </w:tc>
      </w:tr>
      <w:tr>
        <w:trPr>
          <w:trHeight w:val="163"/>
        </w:trPr>
        <w:tc>
          <w:tcPr>
            <w:tcW w:w="7100" w:type="dxa"/>
            <w:vAlign w:val="bottom"/>
            <w:tcBorders>
              <w:left w:val="single" w:sz="8" w:color="BFBFBF"/>
              <w:bottom w:val="single" w:sz="8" w:color="BFBFBF"/>
              <w:right w:val="single" w:sz="8" w:color="BFBFBF"/>
            </w:tcBorders>
          </w:tcPr>
          <w:p>
            <w:pPr>
              <w:ind w:left="340"/>
              <w:spacing w:after="0"/>
              <w:rPr>
                <w:sz w:val="20"/>
                <w:szCs w:val="20"/>
                <w:color w:val="auto"/>
              </w:rPr>
            </w:pPr>
            <w:r>
              <w:rPr>
                <w:rFonts w:ascii="Arial" w:cs="Arial" w:eastAsia="Arial" w:hAnsi="Arial"/>
                <w:sz w:val="14"/>
                <w:szCs w:val="14"/>
                <w:color w:val="auto"/>
              </w:rPr>
              <w:t>82 Devonshire Street, Boston, MA 02109</w:t>
            </w:r>
          </w:p>
        </w:tc>
        <w:tc>
          <w:tcPr>
            <w:tcW w:w="2620" w:type="dxa"/>
            <w:vAlign w:val="bottom"/>
            <w:tcBorders>
              <w:bottom w:val="single" w:sz="8" w:color="BFBFBF"/>
              <w:right w:val="single" w:sz="8" w:color="BFBFBF"/>
            </w:tcBorders>
            <w:gridSpan w:val="2"/>
          </w:tcPr>
          <w:p>
            <w:pPr>
              <w:jc w:val="right"/>
              <w:ind w:right="242"/>
              <w:spacing w:after="0"/>
              <w:rPr>
                <w:sz w:val="20"/>
                <w:szCs w:val="20"/>
                <w:color w:val="auto"/>
              </w:rPr>
            </w:pPr>
            <w:r>
              <w:rPr>
                <w:rFonts w:ascii="Arial" w:cs="Arial" w:eastAsia="Arial" w:hAnsi="Arial"/>
                <w:sz w:val="14"/>
                <w:szCs w:val="14"/>
                <w:color w:val="auto"/>
              </w:rPr>
              <w:t>11,576,455</w:t>
            </w:r>
          </w:p>
        </w:tc>
        <w:tc>
          <w:tcPr>
            <w:tcW w:w="1720" w:type="dxa"/>
            <w:vAlign w:val="bottom"/>
            <w:tcBorders>
              <w:bottom w:val="single" w:sz="8" w:color="BFBFBF"/>
              <w:right w:val="single" w:sz="8" w:color="BFBFBF"/>
            </w:tcBorders>
            <w:gridSpan w:val="2"/>
          </w:tcPr>
          <w:p>
            <w:pPr>
              <w:jc w:val="right"/>
              <w:ind w:right="342"/>
              <w:spacing w:after="0"/>
              <w:rPr>
                <w:sz w:val="20"/>
                <w:szCs w:val="20"/>
                <w:color w:val="auto"/>
              </w:rPr>
            </w:pPr>
            <w:r>
              <w:rPr>
                <w:rFonts w:ascii="Arial" w:cs="Arial" w:eastAsia="Arial" w:hAnsi="Arial"/>
                <w:sz w:val="14"/>
                <w:szCs w:val="14"/>
                <w:color w:val="auto"/>
              </w:rPr>
              <w:t>7.0%</w:t>
            </w:r>
          </w:p>
        </w:tc>
      </w:tr>
      <w:tr>
        <w:trPr>
          <w:trHeight w:val="142"/>
        </w:trPr>
        <w:tc>
          <w:tcPr>
            <w:tcW w:w="710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Steven D. Black</w:t>
            </w:r>
          </w:p>
        </w:tc>
        <w:tc>
          <w:tcPr>
            <w:tcW w:w="100" w:type="dxa"/>
            <w:vAlign w:val="bottom"/>
            <w:tcBorders>
              <w:bottom w:val="single" w:sz="8" w:color="BFBFBF"/>
            </w:tcBorders>
            <w:shd w:val="clear" w:color="auto" w:fill="DDEFF3"/>
          </w:tcPr>
          <w:p>
            <w:pPr>
              <w:spacing w:after="0"/>
              <w:rPr>
                <w:sz w:val="12"/>
                <w:szCs w:val="12"/>
                <w:color w:val="auto"/>
              </w:rPr>
            </w:pPr>
          </w:p>
        </w:tc>
        <w:tc>
          <w:tcPr>
            <w:tcW w:w="2520" w:type="dxa"/>
            <w:vAlign w:val="bottom"/>
            <w:tcBorders>
              <w:bottom w:val="single" w:sz="8" w:color="BFBFBF"/>
              <w:right w:val="single" w:sz="8" w:color="BFBFBF"/>
            </w:tcBorders>
            <w:shd w:val="clear" w:color="auto" w:fill="DDEFF3"/>
          </w:tcPr>
          <w:p>
            <w:pPr>
              <w:jc w:val="right"/>
              <w:ind w:right="242"/>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shd w:val="clear" w:color="auto" w:fill="DDEFF3"/>
          </w:tcPr>
          <w:p>
            <w:pPr>
              <w:spacing w:after="0"/>
              <w:rPr>
                <w:sz w:val="12"/>
                <w:szCs w:val="12"/>
                <w:color w:val="auto"/>
              </w:rPr>
            </w:pPr>
          </w:p>
        </w:tc>
        <w:tc>
          <w:tcPr>
            <w:tcW w:w="1620" w:type="dxa"/>
            <w:vAlign w:val="bottom"/>
            <w:tcBorders>
              <w:bottom w:val="single" w:sz="8" w:color="BFBFBF"/>
              <w:right w:val="single" w:sz="8" w:color="BFBFBF"/>
            </w:tcBorders>
            <w:shd w:val="clear" w:color="auto" w:fill="DDEFF3"/>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Börje E. Ekholm(4)</w:t>
            </w:r>
          </w:p>
        </w:tc>
        <w:tc>
          <w:tcPr>
            <w:tcW w:w="2620" w:type="dxa"/>
            <w:vAlign w:val="bottom"/>
            <w:tcBorders>
              <w:bottom w:val="single" w:sz="8" w:color="BFBFBF"/>
              <w:right w:val="single" w:sz="8" w:color="BFBFBF"/>
            </w:tcBorders>
            <w:gridSpan w:val="2"/>
          </w:tcPr>
          <w:p>
            <w:pPr>
              <w:jc w:val="right"/>
              <w:ind w:right="242"/>
              <w:spacing w:after="0" w:line="142" w:lineRule="exact"/>
              <w:rPr>
                <w:sz w:val="20"/>
                <w:szCs w:val="20"/>
                <w:color w:val="auto"/>
              </w:rPr>
            </w:pPr>
            <w:r>
              <w:rPr>
                <w:rFonts w:ascii="Arial" w:cs="Arial" w:eastAsia="Arial" w:hAnsi="Arial"/>
                <w:sz w:val="14"/>
                <w:szCs w:val="14"/>
                <w:color w:val="auto"/>
              </w:rPr>
              <w:t>17,999</w:t>
            </w:r>
          </w:p>
        </w:tc>
        <w:tc>
          <w:tcPr>
            <w:tcW w:w="1720" w:type="dxa"/>
            <w:vAlign w:val="bottom"/>
            <w:tcBorders>
              <w:bottom w:val="single" w:sz="8" w:color="BFBFBF"/>
              <w:right w:val="single" w:sz="8" w:color="BFBFBF"/>
            </w:tcBorders>
            <w:gridSpan w:val="2"/>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Glenn H. Hutchins(5)</w:t>
            </w:r>
          </w:p>
        </w:tc>
        <w:tc>
          <w:tcPr>
            <w:tcW w:w="2620" w:type="dxa"/>
            <w:vAlign w:val="bottom"/>
            <w:tcBorders>
              <w:bottom w:val="single" w:sz="8" w:color="BFBFBF"/>
              <w:right w:val="single" w:sz="8" w:color="BFBFBF"/>
            </w:tcBorders>
            <w:gridSpan w:val="2"/>
            <w:shd w:val="clear" w:color="auto" w:fill="DDEFF3"/>
          </w:tcPr>
          <w:p>
            <w:pPr>
              <w:jc w:val="right"/>
              <w:ind w:right="242"/>
              <w:spacing w:after="0" w:line="142" w:lineRule="exact"/>
              <w:rPr>
                <w:sz w:val="20"/>
                <w:szCs w:val="20"/>
                <w:color w:val="auto"/>
              </w:rPr>
            </w:pPr>
            <w:r>
              <w:rPr>
                <w:rFonts w:ascii="Arial" w:cs="Arial" w:eastAsia="Arial" w:hAnsi="Arial"/>
                <w:sz w:val="14"/>
                <w:szCs w:val="14"/>
                <w:color w:val="auto"/>
              </w:rPr>
              <w:t>265,863</w:t>
            </w:r>
          </w:p>
        </w:tc>
        <w:tc>
          <w:tcPr>
            <w:tcW w:w="1720" w:type="dxa"/>
            <w:vAlign w:val="bottom"/>
            <w:tcBorders>
              <w:bottom w:val="single" w:sz="8" w:color="BFBFBF"/>
              <w:right w:val="single" w:sz="8" w:color="BFBFBF"/>
            </w:tcBorders>
            <w:gridSpan w:val="2"/>
            <w:shd w:val="clear" w:color="auto" w:fill="DDEFF3"/>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Essa Kazim(6)</w:t>
            </w:r>
          </w:p>
        </w:tc>
        <w:tc>
          <w:tcPr>
            <w:tcW w:w="2620" w:type="dxa"/>
            <w:vAlign w:val="bottom"/>
            <w:tcBorders>
              <w:bottom w:val="single" w:sz="8" w:color="BFBFBF"/>
              <w:right w:val="single" w:sz="8" w:color="BFBFBF"/>
            </w:tcBorders>
            <w:gridSpan w:val="2"/>
          </w:tcPr>
          <w:p>
            <w:pPr>
              <w:jc w:val="right"/>
              <w:ind w:right="242"/>
              <w:spacing w:after="0" w:line="142" w:lineRule="exact"/>
              <w:rPr>
                <w:sz w:val="20"/>
                <w:szCs w:val="20"/>
                <w:color w:val="auto"/>
              </w:rPr>
            </w:pPr>
            <w:r>
              <w:rPr>
                <w:rFonts w:ascii="Arial" w:cs="Arial" w:eastAsia="Arial" w:hAnsi="Arial"/>
                <w:sz w:val="14"/>
                <w:szCs w:val="14"/>
                <w:color w:val="auto"/>
              </w:rPr>
              <w:t>15,151</w:t>
            </w:r>
          </w:p>
        </w:tc>
        <w:tc>
          <w:tcPr>
            <w:tcW w:w="1720" w:type="dxa"/>
            <w:vAlign w:val="bottom"/>
            <w:tcBorders>
              <w:bottom w:val="single" w:sz="8" w:color="BFBFBF"/>
              <w:right w:val="single" w:sz="8" w:color="BFBFBF"/>
            </w:tcBorders>
            <w:gridSpan w:val="2"/>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John D. Markese(7)</w:t>
            </w:r>
          </w:p>
        </w:tc>
        <w:tc>
          <w:tcPr>
            <w:tcW w:w="2620" w:type="dxa"/>
            <w:vAlign w:val="bottom"/>
            <w:tcBorders>
              <w:bottom w:val="single" w:sz="8" w:color="BFBFBF"/>
              <w:right w:val="single" w:sz="8" w:color="BFBFBF"/>
            </w:tcBorders>
            <w:gridSpan w:val="2"/>
            <w:shd w:val="clear" w:color="auto" w:fill="DDEFF3"/>
          </w:tcPr>
          <w:p>
            <w:pPr>
              <w:jc w:val="right"/>
              <w:ind w:right="242"/>
              <w:spacing w:after="0" w:line="142" w:lineRule="exact"/>
              <w:rPr>
                <w:sz w:val="20"/>
                <w:szCs w:val="20"/>
                <w:color w:val="auto"/>
              </w:rPr>
            </w:pPr>
            <w:r>
              <w:rPr>
                <w:rFonts w:ascii="Arial" w:cs="Arial" w:eastAsia="Arial" w:hAnsi="Arial"/>
                <w:sz w:val="14"/>
                <w:szCs w:val="14"/>
                <w:color w:val="auto"/>
              </w:rPr>
              <w:t>49,339</w:t>
            </w:r>
          </w:p>
        </w:tc>
        <w:tc>
          <w:tcPr>
            <w:tcW w:w="1720" w:type="dxa"/>
            <w:vAlign w:val="bottom"/>
            <w:tcBorders>
              <w:bottom w:val="single" w:sz="8" w:color="BFBFBF"/>
              <w:right w:val="single" w:sz="8" w:color="BFBFBF"/>
            </w:tcBorders>
            <w:gridSpan w:val="2"/>
            <w:shd w:val="clear" w:color="auto" w:fill="DDEFF3"/>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Ellyn A. McColgan</w:t>
            </w:r>
          </w:p>
        </w:tc>
        <w:tc>
          <w:tcPr>
            <w:tcW w:w="100" w:type="dxa"/>
            <w:vAlign w:val="bottom"/>
            <w:tcBorders>
              <w:bottom w:val="single" w:sz="8" w:color="BFBFBF"/>
            </w:tcBorders>
          </w:tcPr>
          <w:p>
            <w:pPr>
              <w:spacing w:after="0"/>
              <w:rPr>
                <w:sz w:val="12"/>
                <w:szCs w:val="12"/>
                <w:color w:val="auto"/>
              </w:rPr>
            </w:pPr>
          </w:p>
        </w:tc>
        <w:tc>
          <w:tcPr>
            <w:tcW w:w="2520" w:type="dxa"/>
            <w:vAlign w:val="bottom"/>
            <w:tcBorders>
              <w:bottom w:val="single" w:sz="8" w:color="BFBFBF"/>
              <w:right w:val="single" w:sz="8" w:color="BFBFBF"/>
            </w:tcBorders>
          </w:tcPr>
          <w:p>
            <w:pPr>
              <w:jc w:val="right"/>
              <w:ind w:right="242"/>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BFBFBF"/>
            </w:tcBorders>
          </w:tcPr>
          <w:p>
            <w:pPr>
              <w:spacing w:after="0"/>
              <w:rPr>
                <w:sz w:val="12"/>
                <w:szCs w:val="12"/>
                <w:color w:val="auto"/>
              </w:rPr>
            </w:pPr>
          </w:p>
        </w:tc>
        <w:tc>
          <w:tcPr>
            <w:tcW w:w="1620" w:type="dxa"/>
            <w:vAlign w:val="bottom"/>
            <w:tcBorders>
              <w:bottom w:val="single" w:sz="8" w:color="BFBFBF"/>
              <w:right w:val="single" w:sz="8" w:color="BFBFBF"/>
            </w:tcBorders>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Thomas F. O’Neill(8)</w:t>
            </w:r>
          </w:p>
        </w:tc>
        <w:tc>
          <w:tcPr>
            <w:tcW w:w="2620" w:type="dxa"/>
            <w:vAlign w:val="bottom"/>
            <w:tcBorders>
              <w:bottom w:val="single" w:sz="8" w:color="BFBFBF"/>
              <w:right w:val="single" w:sz="8" w:color="BFBFBF"/>
            </w:tcBorders>
            <w:gridSpan w:val="2"/>
            <w:shd w:val="clear" w:color="auto" w:fill="DDEFF3"/>
          </w:tcPr>
          <w:p>
            <w:pPr>
              <w:jc w:val="right"/>
              <w:ind w:right="242"/>
              <w:spacing w:after="0" w:line="142" w:lineRule="exact"/>
              <w:rPr>
                <w:sz w:val="20"/>
                <w:szCs w:val="20"/>
                <w:color w:val="auto"/>
              </w:rPr>
            </w:pPr>
            <w:r>
              <w:rPr>
                <w:rFonts w:ascii="Arial" w:cs="Arial" w:eastAsia="Arial" w:hAnsi="Arial"/>
                <w:sz w:val="14"/>
                <w:szCs w:val="14"/>
                <w:color w:val="auto"/>
              </w:rPr>
              <w:t>8,678</w:t>
            </w:r>
          </w:p>
        </w:tc>
        <w:tc>
          <w:tcPr>
            <w:tcW w:w="1720" w:type="dxa"/>
            <w:vAlign w:val="bottom"/>
            <w:tcBorders>
              <w:bottom w:val="single" w:sz="8" w:color="BFBFBF"/>
              <w:right w:val="single" w:sz="8" w:color="BFBFBF"/>
            </w:tcBorders>
            <w:gridSpan w:val="2"/>
            <w:shd w:val="clear" w:color="auto" w:fill="DDEFF3"/>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James S. Riepe(9)</w:t>
            </w:r>
          </w:p>
        </w:tc>
        <w:tc>
          <w:tcPr>
            <w:tcW w:w="2620" w:type="dxa"/>
            <w:vAlign w:val="bottom"/>
            <w:tcBorders>
              <w:bottom w:val="single" w:sz="8" w:color="BFBFBF"/>
              <w:right w:val="single" w:sz="8" w:color="BFBFBF"/>
            </w:tcBorders>
            <w:gridSpan w:val="2"/>
          </w:tcPr>
          <w:p>
            <w:pPr>
              <w:jc w:val="right"/>
              <w:ind w:right="242"/>
              <w:spacing w:after="0" w:line="142" w:lineRule="exact"/>
              <w:rPr>
                <w:sz w:val="20"/>
                <w:szCs w:val="20"/>
                <w:color w:val="auto"/>
              </w:rPr>
            </w:pPr>
            <w:r>
              <w:rPr>
                <w:rFonts w:ascii="Arial" w:cs="Arial" w:eastAsia="Arial" w:hAnsi="Arial"/>
                <w:sz w:val="14"/>
                <w:szCs w:val="14"/>
                <w:color w:val="auto"/>
              </w:rPr>
              <w:t>22,911</w:t>
            </w:r>
          </w:p>
        </w:tc>
        <w:tc>
          <w:tcPr>
            <w:tcW w:w="1720" w:type="dxa"/>
            <w:vAlign w:val="bottom"/>
            <w:tcBorders>
              <w:bottom w:val="single" w:sz="8" w:color="BFBFBF"/>
              <w:right w:val="single" w:sz="8" w:color="BFBFBF"/>
            </w:tcBorders>
            <w:gridSpan w:val="2"/>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Michael R. Splinter(10)</w:t>
            </w:r>
          </w:p>
        </w:tc>
        <w:tc>
          <w:tcPr>
            <w:tcW w:w="2620" w:type="dxa"/>
            <w:vAlign w:val="bottom"/>
            <w:tcBorders>
              <w:bottom w:val="single" w:sz="8" w:color="BFBFBF"/>
              <w:right w:val="single" w:sz="8" w:color="BFBFBF"/>
            </w:tcBorders>
            <w:gridSpan w:val="2"/>
            <w:shd w:val="clear" w:color="auto" w:fill="DDEFF3"/>
          </w:tcPr>
          <w:p>
            <w:pPr>
              <w:jc w:val="right"/>
              <w:ind w:right="242"/>
              <w:spacing w:after="0" w:line="142" w:lineRule="exact"/>
              <w:rPr>
                <w:sz w:val="20"/>
                <w:szCs w:val="20"/>
                <w:color w:val="auto"/>
              </w:rPr>
            </w:pPr>
            <w:r>
              <w:rPr>
                <w:rFonts w:ascii="Arial" w:cs="Arial" w:eastAsia="Arial" w:hAnsi="Arial"/>
                <w:sz w:val="14"/>
                <w:szCs w:val="14"/>
                <w:color w:val="auto"/>
              </w:rPr>
              <w:t>24,494</w:t>
            </w:r>
          </w:p>
        </w:tc>
        <w:tc>
          <w:tcPr>
            <w:tcW w:w="1720" w:type="dxa"/>
            <w:vAlign w:val="bottom"/>
            <w:tcBorders>
              <w:bottom w:val="single" w:sz="8" w:color="BFBFBF"/>
              <w:right w:val="single" w:sz="8" w:color="BFBFBF"/>
            </w:tcBorders>
            <w:gridSpan w:val="2"/>
            <w:shd w:val="clear" w:color="auto" w:fill="DDEFF3"/>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Lars R. Wedenborn(11)</w:t>
            </w:r>
          </w:p>
        </w:tc>
        <w:tc>
          <w:tcPr>
            <w:tcW w:w="2620" w:type="dxa"/>
            <w:vAlign w:val="bottom"/>
            <w:tcBorders>
              <w:bottom w:val="single" w:sz="8" w:color="BFBFBF"/>
              <w:right w:val="single" w:sz="8" w:color="BFBFBF"/>
            </w:tcBorders>
            <w:gridSpan w:val="2"/>
          </w:tcPr>
          <w:p>
            <w:pPr>
              <w:jc w:val="right"/>
              <w:ind w:right="242"/>
              <w:spacing w:after="0" w:line="142" w:lineRule="exact"/>
              <w:rPr>
                <w:sz w:val="20"/>
                <w:szCs w:val="20"/>
                <w:color w:val="auto"/>
              </w:rPr>
            </w:pPr>
            <w:r>
              <w:rPr>
                <w:rFonts w:ascii="Arial" w:cs="Arial" w:eastAsia="Arial" w:hAnsi="Arial"/>
                <w:sz w:val="14"/>
                <w:szCs w:val="14"/>
                <w:color w:val="auto"/>
              </w:rPr>
              <w:t>48,867</w:t>
            </w:r>
          </w:p>
        </w:tc>
        <w:tc>
          <w:tcPr>
            <w:tcW w:w="1720" w:type="dxa"/>
            <w:vAlign w:val="bottom"/>
            <w:tcBorders>
              <w:bottom w:val="single" w:sz="8" w:color="BFBFBF"/>
              <w:right w:val="single" w:sz="8" w:color="BFBFBF"/>
            </w:tcBorders>
            <w:gridSpan w:val="2"/>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Robert Greifeld(12)</w:t>
            </w:r>
          </w:p>
        </w:tc>
        <w:tc>
          <w:tcPr>
            <w:tcW w:w="2620" w:type="dxa"/>
            <w:vAlign w:val="bottom"/>
            <w:tcBorders>
              <w:bottom w:val="single" w:sz="8" w:color="BFBFBF"/>
              <w:right w:val="single" w:sz="8" w:color="BFBFBF"/>
            </w:tcBorders>
            <w:gridSpan w:val="2"/>
            <w:shd w:val="clear" w:color="auto" w:fill="DDEFF3"/>
          </w:tcPr>
          <w:p>
            <w:pPr>
              <w:jc w:val="right"/>
              <w:ind w:right="242"/>
              <w:spacing w:after="0" w:line="142" w:lineRule="exact"/>
              <w:rPr>
                <w:sz w:val="20"/>
                <w:szCs w:val="20"/>
                <w:color w:val="auto"/>
              </w:rPr>
            </w:pPr>
            <w:r>
              <w:rPr>
                <w:rFonts w:ascii="Arial" w:cs="Arial" w:eastAsia="Arial" w:hAnsi="Arial"/>
                <w:sz w:val="14"/>
                <w:szCs w:val="14"/>
                <w:color w:val="auto"/>
              </w:rPr>
              <w:t>3,273,447</w:t>
            </w:r>
          </w:p>
        </w:tc>
        <w:tc>
          <w:tcPr>
            <w:tcW w:w="1720" w:type="dxa"/>
            <w:vAlign w:val="bottom"/>
            <w:tcBorders>
              <w:bottom w:val="single" w:sz="8" w:color="BFBFBF"/>
              <w:right w:val="single" w:sz="8" w:color="BFBFBF"/>
            </w:tcBorders>
            <w:gridSpan w:val="2"/>
            <w:shd w:val="clear" w:color="auto" w:fill="DDEFF3"/>
          </w:tcPr>
          <w:p>
            <w:pPr>
              <w:jc w:val="right"/>
              <w:ind w:right="342"/>
              <w:spacing w:after="0" w:line="142" w:lineRule="exact"/>
              <w:rPr>
                <w:sz w:val="20"/>
                <w:szCs w:val="20"/>
                <w:color w:val="auto"/>
              </w:rPr>
            </w:pPr>
            <w:r>
              <w:rPr>
                <w:rFonts w:ascii="Arial" w:cs="Arial" w:eastAsia="Arial" w:hAnsi="Arial"/>
                <w:sz w:val="14"/>
                <w:szCs w:val="14"/>
                <w:color w:val="auto"/>
              </w:rPr>
              <w:t>1.9%</w:t>
            </w:r>
          </w:p>
        </w:tc>
      </w:tr>
      <w:tr>
        <w:trPr>
          <w:trHeight w:val="142"/>
        </w:trPr>
        <w:tc>
          <w:tcPr>
            <w:tcW w:w="71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Anna M. Ewing(13)</w:t>
            </w:r>
          </w:p>
        </w:tc>
        <w:tc>
          <w:tcPr>
            <w:tcW w:w="2620" w:type="dxa"/>
            <w:vAlign w:val="bottom"/>
            <w:tcBorders>
              <w:bottom w:val="single" w:sz="8" w:color="BFBFBF"/>
              <w:right w:val="single" w:sz="8" w:color="BFBFBF"/>
            </w:tcBorders>
            <w:gridSpan w:val="2"/>
          </w:tcPr>
          <w:p>
            <w:pPr>
              <w:jc w:val="right"/>
              <w:ind w:right="242"/>
              <w:spacing w:after="0" w:line="142" w:lineRule="exact"/>
              <w:rPr>
                <w:sz w:val="20"/>
                <w:szCs w:val="20"/>
                <w:color w:val="auto"/>
              </w:rPr>
            </w:pPr>
            <w:r>
              <w:rPr>
                <w:rFonts w:ascii="Arial" w:cs="Arial" w:eastAsia="Arial" w:hAnsi="Arial"/>
                <w:sz w:val="14"/>
                <w:szCs w:val="14"/>
                <w:color w:val="auto"/>
              </w:rPr>
              <w:t>308,264</w:t>
            </w:r>
          </w:p>
        </w:tc>
        <w:tc>
          <w:tcPr>
            <w:tcW w:w="1720" w:type="dxa"/>
            <w:vAlign w:val="bottom"/>
            <w:tcBorders>
              <w:bottom w:val="single" w:sz="8" w:color="BFBFBF"/>
              <w:right w:val="single" w:sz="8" w:color="BFBFBF"/>
            </w:tcBorders>
            <w:gridSpan w:val="2"/>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Hans-Ole Jochumsen(14)</w:t>
            </w:r>
          </w:p>
        </w:tc>
        <w:tc>
          <w:tcPr>
            <w:tcW w:w="2620" w:type="dxa"/>
            <w:vAlign w:val="bottom"/>
            <w:tcBorders>
              <w:bottom w:val="single" w:sz="8" w:color="BFBFBF"/>
              <w:right w:val="single" w:sz="8" w:color="BFBFBF"/>
            </w:tcBorders>
            <w:gridSpan w:val="2"/>
            <w:shd w:val="clear" w:color="auto" w:fill="DDEFF3"/>
          </w:tcPr>
          <w:p>
            <w:pPr>
              <w:jc w:val="right"/>
              <w:ind w:right="242"/>
              <w:spacing w:after="0" w:line="142" w:lineRule="exact"/>
              <w:rPr>
                <w:sz w:val="20"/>
                <w:szCs w:val="20"/>
                <w:color w:val="auto"/>
              </w:rPr>
            </w:pPr>
            <w:r>
              <w:rPr>
                <w:rFonts w:ascii="Arial" w:cs="Arial" w:eastAsia="Arial" w:hAnsi="Arial"/>
                <w:sz w:val="14"/>
                <w:szCs w:val="14"/>
                <w:color w:val="auto"/>
              </w:rPr>
              <w:t>115,835</w:t>
            </w:r>
          </w:p>
        </w:tc>
        <w:tc>
          <w:tcPr>
            <w:tcW w:w="1720" w:type="dxa"/>
            <w:vAlign w:val="bottom"/>
            <w:tcBorders>
              <w:bottom w:val="single" w:sz="8" w:color="BFBFBF"/>
              <w:right w:val="single" w:sz="8" w:color="BFBFBF"/>
            </w:tcBorders>
            <w:gridSpan w:val="2"/>
            <w:shd w:val="clear" w:color="auto" w:fill="DDEFF3"/>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Eric W. Noll(15)</w:t>
            </w:r>
          </w:p>
        </w:tc>
        <w:tc>
          <w:tcPr>
            <w:tcW w:w="2620" w:type="dxa"/>
            <w:vAlign w:val="bottom"/>
            <w:tcBorders>
              <w:bottom w:val="single" w:sz="8" w:color="BFBFBF"/>
              <w:right w:val="single" w:sz="8" w:color="BFBFBF"/>
            </w:tcBorders>
            <w:gridSpan w:val="2"/>
          </w:tcPr>
          <w:p>
            <w:pPr>
              <w:jc w:val="right"/>
              <w:ind w:right="242"/>
              <w:spacing w:after="0" w:line="142" w:lineRule="exact"/>
              <w:rPr>
                <w:sz w:val="20"/>
                <w:szCs w:val="20"/>
                <w:color w:val="auto"/>
              </w:rPr>
            </w:pPr>
            <w:r>
              <w:rPr>
                <w:rFonts w:ascii="Arial" w:cs="Arial" w:eastAsia="Arial" w:hAnsi="Arial"/>
                <w:sz w:val="14"/>
                <w:szCs w:val="14"/>
                <w:color w:val="auto"/>
              </w:rPr>
              <w:t>58,127</w:t>
            </w:r>
          </w:p>
        </w:tc>
        <w:tc>
          <w:tcPr>
            <w:tcW w:w="1720" w:type="dxa"/>
            <w:vAlign w:val="bottom"/>
            <w:tcBorders>
              <w:bottom w:val="single" w:sz="8" w:color="BFBFBF"/>
              <w:right w:val="single" w:sz="8" w:color="BFBFBF"/>
            </w:tcBorders>
            <w:gridSpan w:val="2"/>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shd w:val="clear" w:color="auto" w:fill="DDEFF3"/>
          </w:tcPr>
          <w:p>
            <w:pPr>
              <w:ind w:left="120"/>
              <w:spacing w:after="0" w:line="142" w:lineRule="exact"/>
              <w:rPr>
                <w:sz w:val="20"/>
                <w:szCs w:val="20"/>
                <w:color w:val="auto"/>
              </w:rPr>
            </w:pPr>
            <w:r>
              <w:rPr>
                <w:rFonts w:ascii="Arial" w:cs="Arial" w:eastAsia="Arial" w:hAnsi="Arial"/>
                <w:sz w:val="14"/>
                <w:szCs w:val="14"/>
                <w:color w:val="auto"/>
              </w:rPr>
              <w:t>Lee Shavel(16)</w:t>
            </w:r>
          </w:p>
        </w:tc>
        <w:tc>
          <w:tcPr>
            <w:tcW w:w="2620" w:type="dxa"/>
            <w:vAlign w:val="bottom"/>
            <w:tcBorders>
              <w:bottom w:val="single" w:sz="8" w:color="BFBFBF"/>
              <w:right w:val="single" w:sz="8" w:color="BFBFBF"/>
            </w:tcBorders>
            <w:gridSpan w:val="2"/>
            <w:shd w:val="clear" w:color="auto" w:fill="DDEFF3"/>
          </w:tcPr>
          <w:p>
            <w:pPr>
              <w:jc w:val="right"/>
              <w:ind w:right="242"/>
              <w:spacing w:after="0" w:line="142" w:lineRule="exact"/>
              <w:rPr>
                <w:sz w:val="20"/>
                <w:szCs w:val="20"/>
                <w:color w:val="auto"/>
              </w:rPr>
            </w:pPr>
            <w:r>
              <w:rPr>
                <w:rFonts w:ascii="Arial" w:cs="Arial" w:eastAsia="Arial" w:hAnsi="Arial"/>
                <w:sz w:val="14"/>
                <w:szCs w:val="14"/>
                <w:color w:val="auto"/>
              </w:rPr>
              <w:t>38,573</w:t>
            </w:r>
          </w:p>
        </w:tc>
        <w:tc>
          <w:tcPr>
            <w:tcW w:w="1720" w:type="dxa"/>
            <w:vAlign w:val="bottom"/>
            <w:tcBorders>
              <w:bottom w:val="single" w:sz="8" w:color="BFBFBF"/>
              <w:right w:val="single" w:sz="8" w:color="BFBFBF"/>
            </w:tcBorders>
            <w:gridSpan w:val="2"/>
            <w:shd w:val="clear" w:color="auto" w:fill="DDEFF3"/>
          </w:tcPr>
          <w:p>
            <w:pPr>
              <w:jc w:val="right"/>
              <w:ind w:right="342"/>
              <w:spacing w:after="0" w:line="142" w:lineRule="exact"/>
              <w:rPr>
                <w:sz w:val="20"/>
                <w:szCs w:val="20"/>
                <w:color w:val="auto"/>
              </w:rPr>
            </w:pPr>
            <w:r>
              <w:rPr>
                <w:rFonts w:ascii="Arial" w:cs="Arial" w:eastAsia="Arial" w:hAnsi="Arial"/>
                <w:sz w:val="14"/>
                <w:szCs w:val="14"/>
                <w:color w:val="auto"/>
              </w:rPr>
              <w:t>*</w:t>
            </w:r>
          </w:p>
        </w:tc>
      </w:tr>
      <w:tr>
        <w:trPr>
          <w:trHeight w:val="142"/>
        </w:trPr>
        <w:tc>
          <w:tcPr>
            <w:tcW w:w="7100" w:type="dxa"/>
            <w:vAlign w:val="bottom"/>
            <w:tcBorders>
              <w:left w:val="single" w:sz="8" w:color="BFBFBF"/>
              <w:bottom w:val="single" w:sz="8" w:color="BFBFBF"/>
              <w:right w:val="single" w:sz="8" w:color="BFBFBF"/>
            </w:tcBorders>
          </w:tcPr>
          <w:p>
            <w:pPr>
              <w:ind w:left="120"/>
              <w:spacing w:after="0" w:line="142" w:lineRule="exact"/>
              <w:rPr>
                <w:sz w:val="20"/>
                <w:szCs w:val="20"/>
                <w:color w:val="auto"/>
              </w:rPr>
            </w:pPr>
            <w:r>
              <w:rPr>
                <w:rFonts w:ascii="Arial" w:cs="Arial" w:eastAsia="Arial" w:hAnsi="Arial"/>
                <w:sz w:val="14"/>
                <w:szCs w:val="14"/>
                <w:color w:val="auto"/>
              </w:rPr>
              <w:t>All directors and executive officers of NASDAQ OMX as a group (20 persons)</w:t>
            </w:r>
          </w:p>
        </w:tc>
        <w:tc>
          <w:tcPr>
            <w:tcW w:w="2620" w:type="dxa"/>
            <w:vAlign w:val="bottom"/>
            <w:tcBorders>
              <w:bottom w:val="single" w:sz="8" w:color="BFBFBF"/>
              <w:right w:val="single" w:sz="8" w:color="BFBFBF"/>
            </w:tcBorders>
            <w:gridSpan w:val="2"/>
          </w:tcPr>
          <w:p>
            <w:pPr>
              <w:jc w:val="right"/>
              <w:ind w:right="242"/>
              <w:spacing w:after="0" w:line="142" w:lineRule="exact"/>
              <w:rPr>
                <w:sz w:val="20"/>
                <w:szCs w:val="20"/>
                <w:color w:val="auto"/>
              </w:rPr>
            </w:pPr>
            <w:r>
              <w:rPr>
                <w:rFonts w:ascii="Arial" w:cs="Arial" w:eastAsia="Arial" w:hAnsi="Arial"/>
                <w:sz w:val="14"/>
                <w:szCs w:val="14"/>
                <w:color w:val="auto"/>
              </w:rPr>
              <w:t>5,187,563</w:t>
            </w:r>
          </w:p>
        </w:tc>
        <w:tc>
          <w:tcPr>
            <w:tcW w:w="1720" w:type="dxa"/>
            <w:vAlign w:val="bottom"/>
            <w:tcBorders>
              <w:bottom w:val="single" w:sz="8" w:color="BFBFBF"/>
              <w:right w:val="single" w:sz="8" w:color="BFBFBF"/>
            </w:tcBorders>
            <w:gridSpan w:val="2"/>
          </w:tcPr>
          <w:p>
            <w:pPr>
              <w:jc w:val="right"/>
              <w:ind w:right="342"/>
              <w:spacing w:after="0" w:line="142" w:lineRule="exact"/>
              <w:rPr>
                <w:sz w:val="20"/>
                <w:szCs w:val="20"/>
                <w:color w:val="auto"/>
              </w:rPr>
            </w:pPr>
            <w:r>
              <w:rPr>
                <w:rFonts w:ascii="Arial" w:cs="Arial" w:eastAsia="Arial" w:hAnsi="Arial"/>
                <w:sz w:val="14"/>
                <w:szCs w:val="14"/>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-2289175</wp:posOffset>
            </wp:positionV>
            <wp:extent cx="889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-2289175</wp:posOffset>
            </wp:positionV>
            <wp:extent cx="889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-2289175</wp:posOffset>
            </wp:positionV>
            <wp:extent cx="889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-2289175</wp:posOffset>
            </wp:positionV>
            <wp:extent cx="889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32"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Represents less than 1%.</w:t>
      </w:r>
    </w:p>
    <w:p>
      <w:pPr>
        <w:spacing w:after="0" w:line="198" w:lineRule="exact"/>
        <w:rPr>
          <w:sz w:val="20"/>
          <w:szCs w:val="20"/>
          <w:color w:val="auto"/>
        </w:rPr>
      </w:pPr>
    </w:p>
    <w:p>
      <w:pPr>
        <w:ind w:left="580" w:right="100" w:hanging="572"/>
        <w:spacing w:after="0" w:line="239"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 of December 31, 2012, based solely on information included in an amendment to Schedule 13D, filed March 27, 2012, Borse Dubai had shared voting and dispositive power over</w:t>
      </w:r>
    </w:p>
    <w:p>
      <w:pPr>
        <w:spacing w:after="0" w:line="141" w:lineRule="exact"/>
        <w:rPr>
          <w:sz w:val="20"/>
          <w:szCs w:val="20"/>
          <w:color w:val="auto"/>
        </w:rPr>
      </w:pPr>
    </w:p>
    <w:p>
      <w:pPr>
        <w:ind w:left="8320"/>
        <w:spacing w:after="0"/>
        <w:tabs>
          <w:tab w:leader="none" w:pos="112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85</w:t>
      </w:r>
    </w:p>
    <w:p>
      <w:pPr>
        <w:sectPr>
          <w:pgSz w:w="11900" w:h="16838" w:orient="portrait"/>
          <w:cols w:equalWidth="0" w:num="1">
            <w:col w:w="11440"/>
          </w:cols>
          <w:pgMar w:left="240" w:top="459" w:right="2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320"/>
        <w:spacing w:after="0" w:line="236" w:lineRule="auto"/>
        <w:rPr>
          <w:sz w:val="20"/>
          <w:szCs w:val="20"/>
          <w:color w:val="auto"/>
        </w:rPr>
      </w:pPr>
      <w:r>
        <w:rPr>
          <w:rFonts w:ascii="Arial" w:cs="Arial" w:eastAsia="Arial" w:hAnsi="Arial"/>
          <w:sz w:val="18"/>
          <w:szCs w:val="18"/>
          <w:color w:val="auto"/>
        </w:rPr>
        <w:t>29,780,515 shares. Borse Dubai is a majority-owned subsidiary of Investment Corporation of Dubai, and therefore, each of Borse Dubai and Investment Corporation of Dubai may be deemed to be the beneficial owner of the 29,780,515 shares held by Borse Dubai. Borse Dubai is entitled to the number of votes equal to the number of shares of common stock that it holds, subject to the 5% voting limitation contained in our restated certificate of incorporation. All of the shares held by Borse Dubai are pledged as security for outstanding indebtedness.</w:t>
      </w:r>
    </w:p>
    <w:p>
      <w:pPr>
        <w:spacing w:after="0" w:line="130" w:lineRule="exact"/>
        <w:rPr>
          <w:sz w:val="20"/>
          <w:szCs w:val="20"/>
          <w:color w:val="auto"/>
        </w:rPr>
      </w:pPr>
    </w:p>
    <w:p>
      <w:pPr>
        <w:ind w:left="580" w:right="80" w:hanging="572"/>
        <w:spacing w:after="0" w:line="236"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December 31, 2012, based solely on information included in a Form 4, filed May 25, 2012, Patricia Holding AB had sole voting and dispositive power over 19,394,142 shares. Patricia Holding AB is 100% owned and controlled by Investor AB, and therefore, each of Patricia Holding AB and Investor AB may be deemed to be the beneficial owner of the 19,394,142 shares held by Patricia Holding AB. Patricia Holding AB is entitled to the number of votes equal to the number of shares of common stock that it holds, subject to the 5% voting limitation contained in our restated certificate of incorporation.</w:t>
      </w:r>
    </w:p>
    <w:p>
      <w:pPr>
        <w:spacing w:after="0" w:line="130" w:lineRule="exact"/>
        <w:rPr>
          <w:rFonts w:ascii="Arial" w:cs="Arial" w:eastAsia="Arial" w:hAnsi="Arial"/>
          <w:sz w:val="18"/>
          <w:szCs w:val="18"/>
          <w:color w:val="auto"/>
        </w:rPr>
      </w:pPr>
    </w:p>
    <w:p>
      <w:pPr>
        <w:ind w:left="580" w:hanging="572"/>
        <w:spacing w:after="0" w:line="265" w:lineRule="auto"/>
        <w:tabs>
          <w:tab w:leader="none" w:pos="5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of December 31, 2012, based solely on information included in a Schedule 13G, filed February 14, 2013, FMR LLC indicated that it has sole dispositive power with respect to 11,576,455 shares. It also indicated that it has sole power to vote or direct the vote on 3,257,784 shares. In addition, FMR LLC indicated as follows: Fidelity Management &amp; Research Company (Fidelity), a wholly-owned subsidiary of FMR LLC and a registered investment advisor, beneficially owns 7,194,556 of the shares as a result of acting as investment adviser to various registered investment companies. Edward C. Johnson 3d and FMR LLC, through its control of Fidelity, and the funds each has sole power to dispose of the 7,194,556 shares owned by the funds. Neither FMR LLC nor Edward C. Johnson 3d, Chairman of FMR LLC, has the sole power to vote or direct the voting of the shares owned directly by the Fidelity funds, which power resides with the funds’ Boards of Trustees. Fidelity carries out the voting of the shares under written guidelines established by the funds’ Boards of Trustees. Fidelity Management Trust Company (FMTC), a wholly-owned subsidiary of FMR LLC and a bank, beneficially owns 36,583 shares as a result of its serving as investment manager of institutional account(s). Edward C. Johnson 3d and FMR LLC, through its control of FMTC, each has sole power to dispose of 36,583 shares and sole power to vote or to direct the voting of 36,583 shares owned by institutional account(s). Strategic Advisers, Inc. (Strategic), a wholly-owned subsidiary of FMR LLC and a registered investment advisor, beneficially owns 2,597 of the shares in connection with providing investment advisory services to individuals. Each of FMR LLC, Fidelity, FMTC and Strategic has its principal place of business at 82 Devonshire Street, Boston, Massachusetts 02109. Pyramis Global Advisors, LLC (PGALLC), an indirect wholly-owned subsidiary of FMR LLC and a registered investment advisor, beneficially owns 343,340 of the shares as a result of its serving as investment adviser to institutional accounts, non-U.S. mutual funds or registered investment companies owning such shares. Edward C. Johnson 3d and FMR LLC, through its control of PGALLC, each has sole power to dispose of 553,550 shares and sole power to vote or to direct the voting of 343,340 shares owned by institutional accounts or funds advised by PGALLC. Pyramis Global Advisors Trust Company (PGATC), an indirect wholly-owned subsidiary of FMR LLC and a bank, beneficially owns 2,865,990 of the shares as a result of its serving as investment manager of institutional accounts owning such shares. Edward C. Johnson 3d and FMR LLC, through its control of PGATC, each has sole power to dispose of 3,746,580 shares and sole power to vote or to direct the voting of 2,831,120 shares owned by institutional accounts managed by PGATC. Each of PGALLC and PGATC has its principal place of business at 900 Salem Street, Smithfield, Rhode Island 02917. FIL Limited (FIL), which has a principal place of business at Pembroke Hall, 42 Crow Lane, Hamilton, Bermuda, and various foreign-based subsidiaries provide investment advisory and management services to a number of non-U.S. investment companies and certain institutional investors. FIL, which is a qualified institution, beneficially owns 1,133,089 of the shares. Partnerships controlled predominantly by members of</w:t>
      </w: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160"/>
        <w:spacing w:after="0" w:line="273" w:lineRule="auto"/>
        <w:rPr>
          <w:sz w:val="20"/>
          <w:szCs w:val="20"/>
          <w:color w:val="auto"/>
        </w:rPr>
      </w:pPr>
      <w:r>
        <w:rPr>
          <w:rFonts w:ascii="Arial" w:cs="Arial" w:eastAsia="Arial" w:hAnsi="Arial"/>
          <w:sz w:val="16"/>
          <w:szCs w:val="16"/>
          <w:color w:val="auto"/>
        </w:rPr>
        <w:t>the family of Edward C. Johnson 3d, Chairman of FMR LLC and FIL, or trusts for their benefit, own shares of FIL voting stock. Such FIL voting stock normally represents more than 25% and less than 50% of the total votes which may be cast by all holders of FIL voting stock. FMR LLC and FIL are separate and independent corporate entities, and their Boards of Directors are generally composed of different individuals. FMR LLC has reported shares held by FIL as if all of the shares are beneficially owned by FMR LLC and FIL on a joint basis. The foregoing description of voting rights is subject to the 5% voting limitation contained in our restated certificate of incorporation.</w:t>
      </w:r>
    </w:p>
    <w:p>
      <w:pPr>
        <w:spacing w:after="0" w:line="102" w:lineRule="exact"/>
        <w:rPr>
          <w:sz w:val="20"/>
          <w:szCs w:val="20"/>
          <w:color w:val="auto"/>
        </w:rPr>
      </w:pPr>
    </w:p>
    <w:p>
      <w:pPr>
        <w:ind w:left="580" w:right="100" w:hanging="572"/>
        <w:spacing w:after="0" w:line="237"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(i) 7,999 vested shares of restricted stock granted under the Equity Plan and (ii) 10,000 shares acquired through open-market purchases. Excludes shares of NASDAQ OMX common stock owned by Patricia Holding AB. Patricia Holding AB is a wholly owned subsidiary of Investor AB, of which Mr. Ekholm is President and Chief Executive Officer. Mr. Ekholm disclaims beneficial ownership of such shares.</w:t>
      </w:r>
    </w:p>
    <w:p>
      <w:pPr>
        <w:spacing w:after="0" w:line="127" w:lineRule="exact"/>
        <w:rPr>
          <w:rFonts w:ascii="Arial" w:cs="Arial" w:eastAsia="Arial" w:hAnsi="Arial"/>
          <w:sz w:val="18"/>
          <w:szCs w:val="18"/>
          <w:color w:val="auto"/>
        </w:rPr>
      </w:pPr>
    </w:p>
    <w:p>
      <w:pPr>
        <w:ind w:left="580" w:right="140" w:hanging="572"/>
        <w:spacing w:after="0" w:line="236"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24,563 vested shares of restricted stock granted under the Equity Plan. Under Mr. Hutchins’ arrangements with Silver Lake or its affiliates with respect to director compensation, 16,564 shares or proceeds therefrom are expected to be assigned to Silver Lake or its affiliates. Mr. Hutchins disclaims beneficial ownership of any NASDAQ OMX securities that may be held by Silver Lake or its affiliates, except to the extent of any pecuniary interest he may have therein. Also includes 241,300 shares held by the Hutchins Family Foundation, a private charitable foundation. Mr. Hutchins serves as chairman of the Hutchins Family Foundation and as such may be deemed to beneficially own such shares, which he disclaims.</w:t>
      </w:r>
    </w:p>
    <w:p>
      <w:pPr>
        <w:spacing w:after="0" w:line="129" w:lineRule="exact"/>
        <w:rPr>
          <w:rFonts w:ascii="Arial" w:cs="Arial" w:eastAsia="Arial" w:hAnsi="Arial"/>
          <w:sz w:val="18"/>
          <w:szCs w:val="18"/>
          <w:color w:val="auto"/>
        </w:rPr>
      </w:pPr>
    </w:p>
    <w:p>
      <w:pPr>
        <w:ind w:left="580" w:right="420" w:hanging="572"/>
        <w:spacing w:after="0" w:line="239"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15,151 vested shares of restricted stock granted under the Equity Plan. Excludes shares of NASDAQ OMX common stock owned by Borse Dubai. Mr. Kazim, who is Chairman of Borse Dubai, disclaims beneficial ownership of such shares.</w:t>
      </w:r>
    </w:p>
    <w:p>
      <w:pPr>
        <w:spacing w:after="0" w:line="127" w:lineRule="exact"/>
        <w:rPr>
          <w:rFonts w:ascii="Arial" w:cs="Arial" w:eastAsia="Arial" w:hAnsi="Arial"/>
          <w:sz w:val="18"/>
          <w:szCs w:val="18"/>
          <w:color w:val="auto"/>
        </w:rPr>
      </w:pPr>
    </w:p>
    <w:p>
      <w:pPr>
        <w:ind w:left="580" w:right="60" w:hanging="572"/>
        <w:spacing w:after="0" w:line="238"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(i) 1,424 shares of stock acquired upon exercise of vested stock options and (ii) 47,915 vested shares of restricted stock granted under the Equity Plan. Of these shares, 47,915 are held by the John D. Markese Trust September 2, 1999, of which Dr. Markese is a trustee and beneficiary.</w:t>
      </w:r>
    </w:p>
    <w:p>
      <w:pPr>
        <w:spacing w:after="0" w:line="127"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8,678 vested shares of restricted stock granted under the Equity Plan.</w:t>
      </w:r>
    </w:p>
    <w:p>
      <w:pPr>
        <w:spacing w:after="0" w:line="130" w:lineRule="exact"/>
        <w:rPr>
          <w:rFonts w:ascii="Arial" w:cs="Arial" w:eastAsia="Arial" w:hAnsi="Arial"/>
          <w:sz w:val="18"/>
          <w:szCs w:val="18"/>
          <w:color w:val="auto"/>
        </w:rPr>
      </w:pPr>
    </w:p>
    <w:p>
      <w:pPr>
        <w:ind w:left="580" w:right="180" w:hanging="572"/>
        <w:spacing w:after="0" w:line="299" w:lineRule="auto"/>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22,911 vested shares of restricted stock granted under the Equity Plan. Excludes shares of common stock owned by T. Rowe Price Group, Inc. and its affiliates, of which Mr. Riepe is Senior Advisor. Mr. Riepe disclaims beneficial ownership of such shares.</w:t>
      </w:r>
    </w:p>
    <w:p>
      <w:pPr>
        <w:spacing w:after="0" w:line="81" w:lineRule="exact"/>
        <w:rPr>
          <w:rFonts w:ascii="Arial" w:cs="Arial" w:eastAsia="Arial" w:hAnsi="Arial"/>
          <w:sz w:val="16"/>
          <w:szCs w:val="16"/>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24,494 vested shares of restricted stock granted under the Equity Plan.</w:t>
      </w:r>
    </w:p>
    <w:p>
      <w:pPr>
        <w:spacing w:after="0" w:line="130" w:lineRule="exact"/>
        <w:rPr>
          <w:rFonts w:ascii="Arial" w:cs="Arial" w:eastAsia="Arial" w:hAnsi="Arial"/>
          <w:sz w:val="18"/>
          <w:szCs w:val="18"/>
          <w:color w:val="auto"/>
        </w:rPr>
      </w:pPr>
    </w:p>
    <w:p>
      <w:pPr>
        <w:ind w:left="580" w:right="80" w:hanging="572"/>
        <w:spacing w:after="0" w:line="239"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(i) 28,867 vested shares of restricted stock granted under the Equity Plan and (ii) 20,000 shares acquired through open-market purchases by a pension insurance fund in the name of Foundation Asset Management, which is Mr. Wedenborn’s employer.</w:t>
      </w:r>
    </w:p>
    <w:p>
      <w:pPr>
        <w:spacing w:after="0" w:line="127" w:lineRule="exact"/>
        <w:rPr>
          <w:rFonts w:ascii="Arial" w:cs="Arial" w:eastAsia="Arial" w:hAnsi="Arial"/>
          <w:sz w:val="18"/>
          <w:szCs w:val="18"/>
          <w:color w:val="auto"/>
        </w:rPr>
      </w:pPr>
    </w:p>
    <w:p>
      <w:pPr>
        <w:ind w:left="580" w:right="400" w:hanging="572"/>
        <w:spacing w:after="0" w:line="238"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(i) 300,000 shares of stock acquired upon exercise of vested stock options, (ii) 2,560,000 vested options to purchase stock granted under the Equity Plan, (iii) 209,383 vested shares of restricted stock and (iv) 204,064 vested shares underlying PSUs granted under the Equity Plan.</w:t>
      </w:r>
    </w:p>
    <w:p>
      <w:pPr>
        <w:spacing w:after="0" w:line="127" w:lineRule="exact"/>
        <w:rPr>
          <w:rFonts w:ascii="Arial" w:cs="Arial" w:eastAsia="Arial" w:hAnsi="Arial"/>
          <w:sz w:val="18"/>
          <w:szCs w:val="18"/>
          <w:color w:val="auto"/>
        </w:rPr>
      </w:pPr>
    </w:p>
    <w:p>
      <w:pPr>
        <w:ind w:left="580" w:right="100" w:hanging="572"/>
        <w:spacing w:after="0" w:line="238"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(i) 7,000 shares of stock acquired upon exercise of vested stock options, (ii) 100,650 vested options to purchase stock granted under the Equity Plan, (iii) 135,403 vested shares of restricted stock granted under the Equity Plan, (iv) 48,257 vested shares underlying PSUs granted under the Equity Plan and (v) 16,954 shares of stock purchased pursuant to the ESPP.</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100" w:hanging="572"/>
        <w:spacing w:after="0" w:line="238" w:lineRule="auto"/>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(i) 55,229 vested options to purchase stock granted under the Equity Plan, (ii) 29,700 vested shares of restricted stock granted under the Equity Plan, (iii) 27,455 vested shares underlying PSUs granted under the Equity Plan and (iv) 3,451 shares of stock purchased pursuant to the ESPP.</w:t>
      </w:r>
    </w:p>
    <w:p>
      <w:pPr>
        <w:spacing w:after="0" w:line="127" w:lineRule="exact"/>
        <w:rPr>
          <w:rFonts w:ascii="Arial" w:cs="Arial" w:eastAsia="Arial" w:hAnsi="Arial"/>
          <w:sz w:val="18"/>
          <w:szCs w:val="18"/>
          <w:color w:val="auto"/>
        </w:rPr>
      </w:pPr>
    </w:p>
    <w:p>
      <w:pPr>
        <w:ind w:left="580" w:right="540" w:hanging="572"/>
        <w:spacing w:after="0" w:line="239" w:lineRule="auto"/>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(i) 14,194 vested shares of restricted stock granted under the Equity Plan and (ii) 43,933 vested shares underlying PSUs granted under the Equity Plan.</w:t>
      </w:r>
    </w:p>
    <w:p>
      <w:pPr>
        <w:spacing w:after="0" w:line="127" w:lineRule="exact"/>
        <w:rPr>
          <w:rFonts w:ascii="Arial" w:cs="Arial" w:eastAsia="Arial" w:hAnsi="Arial"/>
          <w:sz w:val="18"/>
          <w:szCs w:val="18"/>
          <w:color w:val="auto"/>
        </w:rPr>
      </w:pPr>
    </w:p>
    <w:p>
      <w:pPr>
        <w:ind w:left="580" w:right="540" w:hanging="572"/>
        <w:spacing w:after="0" w:line="239" w:lineRule="auto"/>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(i) 26,639 vested shares of restricted stock granted under the Equity Plan and (ii) 11,934 vested shares underlying PSUs granted under the Equity Plan.</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SECTION 16(a) BENEFICIAL OWNERSHIP REPORTING COMPLIANCE</w:t>
      </w:r>
    </w:p>
    <w:p>
      <w:pPr>
        <w:spacing w:after="0" w:line="16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Section 16(a) of the Exchange Act, and regulations of the SEC thereunder, require our executive officers and directors, and persons who own more than 10% of a registered class of our equity securities collectively, to file reports of initial ownership and changes in ownership with the SEC. Based solely on our review of copies of such forms received by NASDAQ OMX, or on written representations from reporting persons that no other reports were required for such persons, we believe that during 2012, our executive officers, directors and 10% stockholders complied with all of the Section 16(a) filing requirements.</w:t>
      </w:r>
    </w:p>
    <w:p>
      <w:pPr>
        <w:spacing w:after="0" w:line="1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CERTAIN RELATIONSHIPS AND RELATED TRANSACTIONS</w:t>
      </w:r>
    </w:p>
    <w:p>
      <w:pPr>
        <w:spacing w:after="0" w:line="16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audit committee of our board of directors has adopted a written policy regarding related party transactions. For purposes of the policy, a “related party” generally includes directors, director nominees, executive officers, greater than 5% stockholders, immediate family members of any of the foregoing, entities that are affiliated with any of the foregoing and our independent auditing firm. Under the policy, all transactions with related parties are subject to ongoing review and approval or ratification by the audit committee.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whether to approve or ratify a related party transaction, the audit committee considers, among other things, the following factors:</w:t>
      </w:r>
    </w:p>
    <w:p>
      <w:pPr>
        <w:spacing w:after="0" w:line="63" w:lineRule="exact"/>
        <w:rPr>
          <w:sz w:val="20"/>
          <w:szCs w:val="20"/>
          <w:color w:val="auto"/>
        </w:rPr>
      </w:pPr>
    </w:p>
    <w:p>
      <w:pPr>
        <w:ind w:left="1120" w:right="160" w:hanging="437"/>
        <w:spacing w:after="0" w:line="239" w:lineRule="auto"/>
        <w:tabs>
          <w:tab w:leader="none" w:pos="1120" w:val="left"/>
        </w:tabs>
        <w:numPr>
          <w:ilvl w:val="0"/>
          <w:numId w:val="78"/>
        </w:numPr>
        <w:rPr>
          <w:rFonts w:ascii="Arial" w:cs="Arial" w:eastAsia="Arial" w:hAnsi="Arial"/>
          <w:sz w:val="18"/>
          <w:szCs w:val="18"/>
          <w:color w:val="0088A6"/>
        </w:rPr>
      </w:pPr>
      <w:r>
        <w:rPr>
          <w:rFonts w:ascii="Arial" w:cs="Arial" w:eastAsia="Arial" w:hAnsi="Arial"/>
          <w:sz w:val="18"/>
          <w:szCs w:val="18"/>
          <w:color w:val="auto"/>
        </w:rPr>
        <w:t>whether the terms of the related party transaction are fair to NASDAQ OMX and whether such terms would be on the same basis if the transaction did not involve a related party;</w:t>
      </w:r>
    </w:p>
    <w:p>
      <w:pPr>
        <w:spacing w:after="0" w:line="60" w:lineRule="exact"/>
        <w:rPr>
          <w:rFonts w:ascii="Arial" w:cs="Arial" w:eastAsia="Arial" w:hAnsi="Arial"/>
          <w:sz w:val="18"/>
          <w:szCs w:val="18"/>
          <w:color w:val="0088A6"/>
        </w:rPr>
      </w:pPr>
    </w:p>
    <w:p>
      <w:pPr>
        <w:ind w:left="1120" w:hanging="437"/>
        <w:spacing w:after="0"/>
        <w:tabs>
          <w:tab w:leader="none" w:pos="1120" w:val="left"/>
        </w:tabs>
        <w:numPr>
          <w:ilvl w:val="0"/>
          <w:numId w:val="78"/>
        </w:numPr>
        <w:rPr>
          <w:rFonts w:ascii="Arial" w:cs="Arial" w:eastAsia="Arial" w:hAnsi="Arial"/>
          <w:sz w:val="18"/>
          <w:szCs w:val="18"/>
          <w:color w:val="0088A6"/>
        </w:rPr>
      </w:pPr>
      <w:r>
        <w:rPr>
          <w:rFonts w:ascii="Arial" w:cs="Arial" w:eastAsia="Arial" w:hAnsi="Arial"/>
          <w:sz w:val="18"/>
          <w:szCs w:val="18"/>
          <w:color w:val="auto"/>
        </w:rPr>
        <w:t>whether there are business reasons for NASDAQ OMX to enter into the related party transaction;</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78"/>
        </w:numPr>
        <w:rPr>
          <w:rFonts w:ascii="Arial" w:cs="Arial" w:eastAsia="Arial" w:hAnsi="Arial"/>
          <w:sz w:val="18"/>
          <w:szCs w:val="18"/>
          <w:color w:val="0088A6"/>
        </w:rPr>
      </w:pPr>
      <w:r>
        <w:rPr>
          <w:rFonts w:ascii="Arial" w:cs="Arial" w:eastAsia="Arial" w:hAnsi="Arial"/>
          <w:sz w:val="18"/>
          <w:szCs w:val="18"/>
          <w:color w:val="auto"/>
        </w:rPr>
        <w:t>whether the related party transaction would impair the independence of an outside director;</w:t>
      </w:r>
    </w:p>
    <w:p>
      <w:pPr>
        <w:spacing w:after="0" w:line="63" w:lineRule="exact"/>
        <w:rPr>
          <w:rFonts w:ascii="Arial" w:cs="Arial" w:eastAsia="Arial" w:hAnsi="Arial"/>
          <w:sz w:val="18"/>
          <w:szCs w:val="18"/>
          <w:color w:val="0088A6"/>
        </w:rPr>
      </w:pPr>
    </w:p>
    <w:p>
      <w:pPr>
        <w:ind w:left="1120" w:right="520" w:hanging="437"/>
        <w:spacing w:after="0" w:line="239" w:lineRule="auto"/>
        <w:tabs>
          <w:tab w:leader="none" w:pos="1120" w:val="left"/>
        </w:tabs>
        <w:numPr>
          <w:ilvl w:val="0"/>
          <w:numId w:val="78"/>
        </w:numPr>
        <w:rPr>
          <w:rFonts w:ascii="Arial" w:cs="Arial" w:eastAsia="Arial" w:hAnsi="Arial"/>
          <w:sz w:val="18"/>
          <w:szCs w:val="18"/>
          <w:color w:val="0088A6"/>
        </w:rPr>
      </w:pPr>
      <w:r>
        <w:rPr>
          <w:rFonts w:ascii="Arial" w:cs="Arial" w:eastAsia="Arial" w:hAnsi="Arial"/>
          <w:sz w:val="18"/>
          <w:szCs w:val="18"/>
          <w:color w:val="auto"/>
        </w:rPr>
        <w:t>whether the related party transaction would present a conflict of interest for any director or executive officer of NASDAQ OMX, taking into account:</w:t>
      </w:r>
    </w:p>
    <w:p>
      <w:pPr>
        <w:spacing w:after="0" w:line="60" w:lineRule="exact"/>
        <w:rPr>
          <w:rFonts w:ascii="Arial" w:cs="Arial" w:eastAsia="Arial" w:hAnsi="Arial"/>
          <w:sz w:val="18"/>
          <w:szCs w:val="18"/>
          <w:color w:val="0088A6"/>
        </w:rPr>
      </w:pPr>
    </w:p>
    <w:p>
      <w:pPr>
        <w:ind w:left="1920" w:hanging="440"/>
        <w:spacing w:after="0"/>
        <w:tabs>
          <w:tab w:leader="none" w:pos="1920" w:val="left"/>
        </w:tabs>
        <w:numPr>
          <w:ilvl w:val="1"/>
          <w:numId w:val="78"/>
        </w:numPr>
        <w:rPr>
          <w:rFonts w:ascii="Arial" w:cs="Arial" w:eastAsia="Arial" w:hAnsi="Arial"/>
          <w:sz w:val="18"/>
          <w:szCs w:val="18"/>
          <w:color w:val="0088A6"/>
        </w:rPr>
      </w:pPr>
      <w:r>
        <w:rPr>
          <w:rFonts w:ascii="Arial" w:cs="Arial" w:eastAsia="Arial" w:hAnsi="Arial"/>
          <w:sz w:val="18"/>
          <w:szCs w:val="18"/>
          <w:color w:val="auto"/>
        </w:rPr>
        <w:t>the size of the transaction;</w:t>
      </w:r>
    </w:p>
    <w:p>
      <w:pPr>
        <w:spacing w:after="0" w:line="63" w:lineRule="exact"/>
        <w:rPr>
          <w:rFonts w:ascii="Arial" w:cs="Arial" w:eastAsia="Arial" w:hAnsi="Arial"/>
          <w:sz w:val="18"/>
          <w:szCs w:val="18"/>
          <w:color w:val="0088A6"/>
        </w:rPr>
      </w:pPr>
    </w:p>
    <w:p>
      <w:pPr>
        <w:ind w:left="1920" w:hanging="440"/>
        <w:spacing w:after="0"/>
        <w:tabs>
          <w:tab w:leader="none" w:pos="1920" w:val="left"/>
        </w:tabs>
        <w:numPr>
          <w:ilvl w:val="1"/>
          <w:numId w:val="78"/>
        </w:numPr>
        <w:rPr>
          <w:rFonts w:ascii="Arial" w:cs="Arial" w:eastAsia="Arial" w:hAnsi="Arial"/>
          <w:sz w:val="18"/>
          <w:szCs w:val="18"/>
          <w:color w:val="0088A6"/>
        </w:rPr>
      </w:pPr>
      <w:r>
        <w:rPr>
          <w:rFonts w:ascii="Arial" w:cs="Arial" w:eastAsia="Arial" w:hAnsi="Arial"/>
          <w:sz w:val="18"/>
          <w:szCs w:val="18"/>
          <w:color w:val="auto"/>
        </w:rPr>
        <w:t>the overall financial position of the director or executive officer;</w:t>
      </w:r>
    </w:p>
    <w:p>
      <w:pPr>
        <w:spacing w:after="0" w:line="63" w:lineRule="exact"/>
        <w:rPr>
          <w:rFonts w:ascii="Arial" w:cs="Arial" w:eastAsia="Arial" w:hAnsi="Arial"/>
          <w:sz w:val="18"/>
          <w:szCs w:val="18"/>
          <w:color w:val="0088A6"/>
        </w:rPr>
      </w:pPr>
    </w:p>
    <w:p>
      <w:pPr>
        <w:ind w:left="1920" w:hanging="440"/>
        <w:spacing w:after="0"/>
        <w:tabs>
          <w:tab w:leader="none" w:pos="1920" w:val="left"/>
        </w:tabs>
        <w:numPr>
          <w:ilvl w:val="1"/>
          <w:numId w:val="78"/>
        </w:numPr>
        <w:rPr>
          <w:rFonts w:ascii="Arial" w:cs="Arial" w:eastAsia="Arial" w:hAnsi="Arial"/>
          <w:sz w:val="18"/>
          <w:szCs w:val="18"/>
          <w:color w:val="0088A6"/>
        </w:rPr>
      </w:pPr>
      <w:r>
        <w:rPr>
          <w:rFonts w:ascii="Arial" w:cs="Arial" w:eastAsia="Arial" w:hAnsi="Arial"/>
          <w:sz w:val="18"/>
          <w:szCs w:val="18"/>
          <w:color w:val="auto"/>
        </w:rPr>
        <w:t>the direct or indirect nature of the director’s or executive officer’s interest in the transaction;</w:t>
      </w:r>
    </w:p>
    <w:p>
      <w:pPr>
        <w:spacing w:after="0" w:line="63" w:lineRule="exact"/>
        <w:rPr>
          <w:rFonts w:ascii="Arial" w:cs="Arial" w:eastAsia="Arial" w:hAnsi="Arial"/>
          <w:sz w:val="18"/>
          <w:szCs w:val="18"/>
          <w:color w:val="0088A6"/>
        </w:rPr>
      </w:pPr>
    </w:p>
    <w:p>
      <w:pPr>
        <w:ind w:left="1920" w:hanging="440"/>
        <w:spacing w:after="0"/>
        <w:tabs>
          <w:tab w:leader="none" w:pos="1920" w:val="left"/>
        </w:tabs>
        <w:numPr>
          <w:ilvl w:val="1"/>
          <w:numId w:val="78"/>
        </w:numPr>
        <w:rPr>
          <w:rFonts w:ascii="Arial" w:cs="Arial" w:eastAsia="Arial" w:hAnsi="Arial"/>
          <w:sz w:val="18"/>
          <w:szCs w:val="18"/>
          <w:color w:val="0088A6"/>
        </w:rPr>
      </w:pPr>
      <w:r>
        <w:rPr>
          <w:rFonts w:ascii="Arial" w:cs="Arial" w:eastAsia="Arial" w:hAnsi="Arial"/>
          <w:sz w:val="18"/>
          <w:szCs w:val="18"/>
          <w:color w:val="auto"/>
        </w:rPr>
        <w:t>the ongoing nature of any proposed relationship; and</w:t>
      </w:r>
    </w:p>
    <w:p>
      <w:pPr>
        <w:spacing w:after="0" w:line="63" w:lineRule="exact"/>
        <w:rPr>
          <w:rFonts w:ascii="Arial" w:cs="Arial" w:eastAsia="Arial" w:hAnsi="Arial"/>
          <w:sz w:val="18"/>
          <w:szCs w:val="18"/>
          <w:color w:val="0088A6"/>
        </w:rPr>
      </w:pPr>
    </w:p>
    <w:p>
      <w:pPr>
        <w:ind w:left="1920" w:hanging="440"/>
        <w:spacing w:after="0"/>
        <w:tabs>
          <w:tab w:leader="none" w:pos="1920" w:val="left"/>
        </w:tabs>
        <w:numPr>
          <w:ilvl w:val="1"/>
          <w:numId w:val="78"/>
        </w:numPr>
        <w:rPr>
          <w:rFonts w:ascii="Arial" w:cs="Arial" w:eastAsia="Arial" w:hAnsi="Arial"/>
          <w:sz w:val="18"/>
          <w:szCs w:val="18"/>
          <w:color w:val="0088A6"/>
        </w:rPr>
      </w:pPr>
      <w:r>
        <w:rPr>
          <w:rFonts w:ascii="Arial" w:cs="Arial" w:eastAsia="Arial" w:hAnsi="Arial"/>
          <w:sz w:val="18"/>
          <w:szCs w:val="18"/>
          <w:color w:val="auto"/>
        </w:rPr>
        <w:t>any other factors deemed relevant;</w:t>
      </w:r>
    </w:p>
    <w:p>
      <w:pPr>
        <w:spacing w:after="0" w:line="63" w:lineRule="exact"/>
        <w:rPr>
          <w:rFonts w:ascii="Arial" w:cs="Arial" w:eastAsia="Arial" w:hAnsi="Arial"/>
          <w:sz w:val="18"/>
          <w:szCs w:val="18"/>
          <w:color w:val="0088A6"/>
        </w:rPr>
      </w:pPr>
    </w:p>
    <w:p>
      <w:pPr>
        <w:ind w:left="1120" w:hanging="437"/>
        <w:spacing w:after="0"/>
        <w:tabs>
          <w:tab w:leader="none" w:pos="1120" w:val="left"/>
        </w:tabs>
        <w:numPr>
          <w:ilvl w:val="0"/>
          <w:numId w:val="78"/>
        </w:numPr>
        <w:rPr>
          <w:rFonts w:ascii="Arial" w:cs="Arial" w:eastAsia="Arial" w:hAnsi="Arial"/>
          <w:sz w:val="18"/>
          <w:szCs w:val="18"/>
          <w:color w:val="0088A6"/>
        </w:rPr>
      </w:pPr>
      <w:r>
        <w:rPr>
          <w:rFonts w:ascii="Arial" w:cs="Arial" w:eastAsia="Arial" w:hAnsi="Arial"/>
          <w:sz w:val="18"/>
          <w:szCs w:val="18"/>
          <w:color w:val="auto"/>
        </w:rPr>
        <w:t>whether the related party transaction is material, taking into account:</w:t>
      </w:r>
    </w:p>
    <w:p>
      <w:pPr>
        <w:spacing w:after="0" w:line="63" w:lineRule="exact"/>
        <w:rPr>
          <w:rFonts w:ascii="Arial" w:cs="Arial" w:eastAsia="Arial" w:hAnsi="Arial"/>
          <w:sz w:val="18"/>
          <w:szCs w:val="18"/>
          <w:color w:val="0088A6"/>
        </w:rPr>
      </w:pPr>
    </w:p>
    <w:p>
      <w:pPr>
        <w:ind w:left="1920" w:hanging="440"/>
        <w:spacing w:after="0"/>
        <w:tabs>
          <w:tab w:leader="none" w:pos="1920" w:val="left"/>
        </w:tabs>
        <w:numPr>
          <w:ilvl w:val="1"/>
          <w:numId w:val="78"/>
        </w:numPr>
        <w:rPr>
          <w:rFonts w:ascii="Arial" w:cs="Arial" w:eastAsia="Arial" w:hAnsi="Arial"/>
          <w:sz w:val="18"/>
          <w:szCs w:val="18"/>
          <w:color w:val="0088A6"/>
        </w:rPr>
      </w:pPr>
      <w:r>
        <w:rPr>
          <w:rFonts w:ascii="Arial" w:cs="Arial" w:eastAsia="Arial" w:hAnsi="Arial"/>
          <w:sz w:val="18"/>
          <w:szCs w:val="18"/>
          <w:color w:val="auto"/>
        </w:rPr>
        <w:t>the importance of the interest to the related party;</w:t>
      </w:r>
    </w:p>
    <w:p>
      <w:pPr>
        <w:spacing w:after="0" w:line="63" w:lineRule="exact"/>
        <w:rPr>
          <w:rFonts w:ascii="Arial" w:cs="Arial" w:eastAsia="Arial" w:hAnsi="Arial"/>
          <w:sz w:val="18"/>
          <w:szCs w:val="18"/>
          <w:color w:val="0088A6"/>
        </w:rPr>
      </w:pPr>
    </w:p>
    <w:p>
      <w:pPr>
        <w:ind w:left="1920" w:hanging="440"/>
        <w:spacing w:after="0"/>
        <w:tabs>
          <w:tab w:leader="none" w:pos="1920" w:val="left"/>
        </w:tabs>
        <w:numPr>
          <w:ilvl w:val="1"/>
          <w:numId w:val="78"/>
        </w:numPr>
        <w:rPr>
          <w:rFonts w:ascii="Arial" w:cs="Arial" w:eastAsia="Arial" w:hAnsi="Arial"/>
          <w:sz w:val="18"/>
          <w:szCs w:val="18"/>
          <w:color w:val="0088A6"/>
        </w:rPr>
      </w:pPr>
      <w:r>
        <w:rPr>
          <w:rFonts w:ascii="Arial" w:cs="Arial" w:eastAsia="Arial" w:hAnsi="Arial"/>
          <w:sz w:val="18"/>
          <w:szCs w:val="18"/>
          <w:color w:val="auto"/>
        </w:rPr>
        <w:t>the relationship of the related party to the transaction and of related parties to each other;</w:t>
      </w:r>
    </w:p>
    <w:p>
      <w:pPr>
        <w:spacing w:after="0" w:line="63" w:lineRule="exact"/>
        <w:rPr>
          <w:rFonts w:ascii="Arial" w:cs="Arial" w:eastAsia="Arial" w:hAnsi="Arial"/>
          <w:sz w:val="18"/>
          <w:szCs w:val="18"/>
          <w:color w:val="0088A6"/>
        </w:rPr>
      </w:pPr>
    </w:p>
    <w:p>
      <w:pPr>
        <w:ind w:left="1920" w:hanging="440"/>
        <w:spacing w:after="0"/>
        <w:tabs>
          <w:tab w:leader="none" w:pos="1920" w:val="left"/>
        </w:tabs>
        <w:numPr>
          <w:ilvl w:val="1"/>
          <w:numId w:val="78"/>
        </w:numPr>
        <w:rPr>
          <w:rFonts w:ascii="Arial" w:cs="Arial" w:eastAsia="Arial" w:hAnsi="Arial"/>
          <w:sz w:val="18"/>
          <w:szCs w:val="18"/>
          <w:color w:val="0088A6"/>
        </w:rPr>
      </w:pPr>
      <w:r>
        <w:rPr>
          <w:rFonts w:ascii="Arial" w:cs="Arial" w:eastAsia="Arial" w:hAnsi="Arial"/>
          <w:sz w:val="18"/>
          <w:szCs w:val="18"/>
          <w:color w:val="auto"/>
        </w:rPr>
        <w:t>the dollar amount involved; and</w:t>
      </w:r>
    </w:p>
    <w:p>
      <w:pPr>
        <w:spacing w:after="0" w:line="63" w:lineRule="exact"/>
        <w:rPr>
          <w:rFonts w:ascii="Arial" w:cs="Arial" w:eastAsia="Arial" w:hAnsi="Arial"/>
          <w:sz w:val="18"/>
          <w:szCs w:val="18"/>
          <w:color w:val="0088A6"/>
        </w:rPr>
      </w:pPr>
    </w:p>
    <w:p>
      <w:pPr>
        <w:ind w:left="1920" w:hanging="440"/>
        <w:spacing w:after="0"/>
        <w:tabs>
          <w:tab w:leader="none" w:pos="1920" w:val="left"/>
        </w:tabs>
        <w:numPr>
          <w:ilvl w:val="1"/>
          <w:numId w:val="78"/>
        </w:numPr>
        <w:rPr>
          <w:rFonts w:ascii="Arial" w:cs="Arial" w:eastAsia="Arial" w:hAnsi="Arial"/>
          <w:sz w:val="18"/>
          <w:szCs w:val="18"/>
          <w:color w:val="0088A6"/>
        </w:rPr>
      </w:pPr>
      <w:r>
        <w:rPr>
          <w:rFonts w:ascii="Arial" w:cs="Arial" w:eastAsia="Arial" w:hAnsi="Arial"/>
          <w:sz w:val="18"/>
          <w:szCs w:val="18"/>
          <w:color w:val="auto"/>
        </w:rPr>
        <w:t>the significance of the transaction to NASDAQ OMX investors in light of all the circumstances.</w:t>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policy, related party transactions that are conducted in the ordinary course of NASDAQ OMX’s business and on substantially the same terms as those prevailing at the time for comparable services provided to unrelated third parties or to NASDAQ OMX’s employees on a broad basis are considered pre-approved by the audit committee.</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following section describes transactions since the beginning of the fiscal year ended December 31, 2012, in which NASDAQ OMX or any of its subsidiaries was a party, in which the amount involved exceeded $120,000 and in which a director, a director nominee, an executive officer, a security holder known to own more than five percent of our common stock or an immediate family member of any of the foregoing had, or will have, a direct or indirect material interest. In accordance with our policy on related party transactions, all of the transactions discussed below, other than those that received pre-approval as discussed above, have been approved or ratified by the audit committee of our board of directors.</w:t>
      </w:r>
    </w:p>
    <w:p>
      <w:pPr>
        <w:spacing w:after="0" w:line="11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BORSE DUBAI</w:t>
      </w:r>
    </w:p>
    <w:p>
      <w:pPr>
        <w:spacing w:after="0" w:line="7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of March 15, 2013, Borse Dubai owned approximately 18.0% of NASDAQ OMX’s common stock. NASDAQ OMX is obligated by the terms of a stockholders’ agreement with Borse Dubai to nominate and generally use best efforts to cause the election to the NASDAQ OMX board one director designated by Borse Dubai, subject to certain conditions. Essa Kazim, the Chairman of Borse Dubai, has been designated by Borse Dubai as its nominee with respect to the 2013 annual meeting. During the fiscal year ended December 31, 2012, Borse Dubai paid NASDAQ OMX approximately $0.8 million for technology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AB</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of March 15, 2013, Investor AB owned approximately 11.7% of NASDAQ OMX’s common stock. NASDAQ OMX is obligated by the terms of a stockholders’ agreement with Investor AB to nominate and generally use best efforts to cause the election to the NASDAQ OMX board one director designated by Investor AB, subject to certain conditions. Börje E. Ekholm, the President and Chief Executive Officer of Investor AB, has been designated by Investor AB as its nominee with respect to the 2013 annual meeting. During the fiscal year ended December 31, 2012, Investor AB paid NASDAQ OMX approximately $0.2 million for market data, issuer and other services in the ordinary course of business.</w:t>
      </w:r>
    </w:p>
    <w:p>
      <w:pPr>
        <w:spacing w:after="0" w:line="11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Investor AB is an industrial holding company that invests in other companies in the ordinary course of business. One of Investor AB’s portfolio companies is Skandinaviska Enskilda Banken AB (SEB), a financial services company, which is a lender under NASDAQ OMX’s credit facilities and a customer of NASDAQ OMX. During the fiscal year ended December 31, 2012, NASDAQ OMX paid SEB approximately $18.7 million in principal payments, interest payments and other fees under its credit facilities and approximately $0.2 million in fees relating to other financing transactions. During the fiscal year ended December 31, 2012, SEB paid NASDAQ OMX approximately $24.2 million for transaction, market data, issuer and index services in the ordinary course of business.</w:t>
      </w:r>
    </w:p>
    <w:p>
      <w:pPr>
        <w:spacing w:after="0" w:line="1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Investor AB’s portfolio companies also include certain companies that are listed on one or more of the exchanges that we operate. During the fiscal year ended December 31, 2012, these entities or their affiliates made the following approximate payments to NASDAQ OMX for issuer services in the ordinary course of business: ABB ($0.5 million), Achillion Pharmaceuticals ($0.2 million), Astra Zeneca ($0.4 million), Atlas Copco ($0.2 million), Electrolux ($0.4 million), Ericsson ($0.2 million), Husqvarna ($0.2 million), KYTHERA Biopharmaceuticals, Inc. ($0.1 million), Raptor Pharmaceutical Corp. ($0.3 million) and Wärtsilä ($0.2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FMR LLC</w:t>
      </w:r>
    </w:p>
    <w:p>
      <w:pPr>
        <w:spacing w:after="0" w:line="13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As of March 15, 2013, FMR LLC owned approximately 7.0% of NASDAQ OMX’s common stock. During the fiscal year ended December 31, 2012, FMR LLC or its affiliates paid NASDAQ OMX approximately $0.4 million for financial products in the ordinary course of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BLACKROCK INC.</w:t>
      </w:r>
    </w:p>
    <w:p>
      <w:pPr>
        <w:spacing w:after="0" w:line="13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On August 8, 2012, BlackRock Inc. filed Amendment No. 2 to its Schedule 13G to report that as of July 31, 2012, it no longer owned greater than 5% of NASDAQ OMX’s common stock. Prior to that date, however, BlackRock Inc. was considered a related party. During the fiscal year ended December 31, 2012, BlackRock Inc. or its affiliates paid NASDAQ OMX approximately $1.9 million for market data, transaction, mutual fund and issuer services and financial products in the ordinary course of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LAKE</w:t>
      </w:r>
    </w:p>
    <w:p>
      <w:pPr>
        <w:spacing w:after="0" w:line="13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Glenn H. Hutchins, one of our directors, is a Co-Founder of Silver Lake. Silver Lake or its affiliates disposed of all of their shares in NASDAQ OMX in February 2011, other than shares received by</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Mr. Hutchins under NASDAQ OMX’s compensation policy for non-employee directors and shares distributed-in-kind to certain affiliates of Silver Lake for the purpose of facilitating charitable giving.</w:t>
      </w:r>
    </w:p>
    <w:p>
      <w:pPr>
        <w:spacing w:after="0" w:line="11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Silver Lake is a private investment firm that invests in other companies in the ordinary course of business. Silver Lake’s portfolio companies include Groupon, Inc., Interactive Data Corporation, SunGard Data Systems Inc., Virtu Financial and Zynga Inc. During the fiscal year ended December 31, 2012, Groupon, Inc. paid us approximately $0.2 million for issuer services, and we paid Groupon, Inc. approximately $3.7 million for advertising services, all in the ordinary course of business. Interactive Data Corporation or its affiliates paid us approximately $3.4 million for market data, transaction, issuer and other services, in the ordinary course of business. SunGard or its affiliates paid us approximately $4.7 million for market data and transaction services in the ordinary course of business, and we paid SunGard or its affiliates approximately $1.8 million for license fees, professional services and market data. Virtu Financial or its affiliates paid us approximately $37.2 million for market data, transaction and issuer services in the ordinary course of business, and we paid an affiliate of Virtu Financial $5.8 million in connection with the sale of our majority-owned subsidiary International Derivatives Clearing Group, LLC, of which the affiliate of Virtu Financial was a member. Finally, Zynga Inc. paid us approximately $0.4 million for issuer services, and we paid Zynga Inc. approximately $2.0 million for advertising services, all in the ordinary course of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ENTITIES AFFILIATED WITH OUR DIRECTORS</w:t>
      </w:r>
    </w:p>
    <w:p>
      <w:pPr>
        <w:spacing w:after="0" w:line="139"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Michael Casey, one of our former directors, is an advisor to the Chief Executive Officer and Chief Financial Officer of Starbucks, which is listed on The NASDAQ Stock Market. During the fiscal year ended December 31, 2012, Starbucks paid us approximately $0.2 million for issuer services in the ordinary course of business.</w:t>
      </w:r>
    </w:p>
    <w:p>
      <w:pPr>
        <w:spacing w:after="0" w:line="11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James S. Riepe, one of our directors, is a Senior Advisor at T. Rowe Price Group, Inc., which engages in trading and other commercial activities with us. During the fiscal year ended December 31, 2012, T. Rowe Price or its affiliates paid us approximately $0.3 million for market data, transaction, mutual fund and issuer services in the ordinary course of business.</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STOCKHOLDER COMMUNICATION WITH DIRECTORS</w:t>
      </w:r>
    </w:p>
    <w:p>
      <w:pPr>
        <w:spacing w:after="0" w:line="16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regularly engage with our stockholders to discuss executive compensation, corporate governance and other issues. Stockholders and other parties interested in communicating directly with the board of directors, the chairman of the board, other individual directors or particular NASDAQ OMX board committees may do so by addressing correspondence to the intended recipient at the following address.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Joan C. Conley</w:t>
      </w:r>
    </w:p>
    <w:p>
      <w:pPr>
        <w:jc w:val="center"/>
        <w:spacing w:after="0" w:line="234" w:lineRule="auto"/>
        <w:rPr>
          <w:sz w:val="20"/>
          <w:szCs w:val="20"/>
          <w:color w:val="auto"/>
        </w:rPr>
      </w:pPr>
      <w:r>
        <w:rPr>
          <w:rFonts w:ascii="Arial" w:cs="Arial" w:eastAsia="Arial" w:hAnsi="Arial"/>
          <w:sz w:val="18"/>
          <w:szCs w:val="18"/>
          <w:color w:val="auto"/>
        </w:rPr>
        <w:t>Senior Vice President and Corporate Secretary</w:t>
      </w:r>
    </w:p>
    <w:p>
      <w:pPr>
        <w:jc w:val="center"/>
        <w:spacing w:after="0" w:line="235" w:lineRule="auto"/>
        <w:rPr>
          <w:sz w:val="20"/>
          <w:szCs w:val="20"/>
          <w:color w:val="auto"/>
        </w:rPr>
      </w:pPr>
      <w:r>
        <w:rPr>
          <w:rFonts w:ascii="Arial" w:cs="Arial" w:eastAsia="Arial" w:hAnsi="Arial"/>
          <w:sz w:val="18"/>
          <w:szCs w:val="18"/>
          <w:color w:val="auto"/>
        </w:rPr>
        <w:t>The NASDAQ OMX Group, Inc.</w:t>
      </w:r>
    </w:p>
    <w:p>
      <w:pPr>
        <w:jc w:val="center"/>
        <w:spacing w:after="0" w:line="235" w:lineRule="auto"/>
        <w:rPr>
          <w:sz w:val="20"/>
          <w:szCs w:val="20"/>
          <w:color w:val="auto"/>
        </w:rPr>
      </w:pPr>
      <w:r>
        <w:rPr>
          <w:rFonts w:ascii="Arial" w:cs="Arial" w:eastAsia="Arial" w:hAnsi="Arial"/>
          <w:sz w:val="18"/>
          <w:szCs w:val="18"/>
          <w:color w:val="auto"/>
        </w:rPr>
        <w:t>One Liberty Plaza</w:t>
      </w:r>
    </w:p>
    <w:p>
      <w:pPr>
        <w:jc w:val="center"/>
        <w:spacing w:after="0" w:line="235" w:lineRule="auto"/>
        <w:rPr>
          <w:sz w:val="20"/>
          <w:szCs w:val="20"/>
          <w:color w:val="auto"/>
        </w:rPr>
      </w:pPr>
      <w:r>
        <w:rPr>
          <w:rFonts w:ascii="Arial" w:cs="Arial" w:eastAsia="Arial" w:hAnsi="Arial"/>
          <w:sz w:val="18"/>
          <w:szCs w:val="18"/>
          <w:color w:val="auto"/>
        </w:rPr>
        <w:t>50</w:t>
      </w:r>
      <w:r>
        <w:rPr>
          <w:rFonts w:ascii="Arial" w:cs="Arial" w:eastAsia="Arial" w:hAnsi="Arial"/>
          <w:sz w:val="11"/>
          <w:szCs w:val="11"/>
          <w:color w:val="auto"/>
        </w:rPr>
        <w:t>th</w:t>
      </w:r>
      <w:r>
        <w:rPr>
          <w:rFonts w:ascii="Arial" w:cs="Arial" w:eastAsia="Arial" w:hAnsi="Arial"/>
          <w:sz w:val="18"/>
          <w:szCs w:val="18"/>
          <w:color w:val="auto"/>
        </w:rPr>
        <w:t xml:space="preserve"> Floor</w:t>
      </w:r>
    </w:p>
    <w:p>
      <w:pPr>
        <w:jc w:val="center"/>
        <w:spacing w:after="0" w:line="235" w:lineRule="auto"/>
        <w:rPr>
          <w:sz w:val="20"/>
          <w:szCs w:val="20"/>
          <w:color w:val="auto"/>
        </w:rPr>
      </w:pPr>
      <w:r>
        <w:rPr>
          <w:rFonts w:ascii="Arial" w:cs="Arial" w:eastAsia="Arial" w:hAnsi="Arial"/>
          <w:sz w:val="18"/>
          <w:szCs w:val="18"/>
          <w:color w:val="auto"/>
        </w:rPr>
        <w:t>New York, New York 10006</w:t>
      </w:r>
    </w:p>
    <w:p>
      <w:pPr>
        <w:jc w:val="center"/>
        <w:spacing w:after="0"/>
        <w:rPr>
          <w:sz w:val="20"/>
          <w:szCs w:val="20"/>
          <w:color w:val="auto"/>
        </w:rPr>
      </w:pPr>
      <w:r>
        <w:rPr>
          <w:rFonts w:ascii="Arial" w:cs="Arial" w:eastAsia="Arial" w:hAnsi="Arial"/>
          <w:sz w:val="18"/>
          <w:szCs w:val="18"/>
          <w:color w:val="auto"/>
        </w:rPr>
        <w:t>Email: corporatesecretary@nasdaqomx.com</w:t>
      </w:r>
    </w:p>
    <w:p>
      <w:pPr>
        <w:spacing w:after="0" w:line="11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NASDAQ OMX’s corporate secretary regularly forwards all correspondence to the board, board members or committees. In addition, concerns relating to accounting, internal controls or auditing matters are immediately brought to the attention of NASDAQ OMX’s internal audit department and office of general counsel and handled in accordance with procedures established by the audit committee with respect to such matters.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ONLINE ANNUAL REPORT TO STOCKHOLDERS AND FORM 10-K</w:t>
      </w:r>
    </w:p>
    <w:p>
      <w:pPr>
        <w:spacing w:after="0" w:line="148" w:lineRule="exact"/>
        <w:rPr>
          <w:sz w:val="20"/>
          <w:szCs w:val="20"/>
          <w:color w:val="auto"/>
        </w:rPr>
      </w:pPr>
    </w:p>
    <w:p>
      <w:pPr>
        <w:ind w:right="640"/>
        <w:spacing w:after="0" w:line="241" w:lineRule="auto"/>
        <w:rPr>
          <w:sz w:val="20"/>
          <w:szCs w:val="20"/>
          <w:color w:val="auto"/>
        </w:rPr>
      </w:pPr>
      <w:r>
        <w:rPr>
          <w:rFonts w:ascii="Arial" w:cs="Arial" w:eastAsia="Arial" w:hAnsi="Arial"/>
          <w:sz w:val="18"/>
          <w:szCs w:val="18"/>
          <w:color w:val="auto"/>
        </w:rPr>
        <w:t xml:space="preserve">Our online annual report to stockholders is available at </w:t>
      </w:r>
      <w:r>
        <w:rPr>
          <w:rFonts w:ascii="Arial" w:cs="Arial" w:eastAsia="Arial" w:hAnsi="Arial"/>
          <w:sz w:val="18"/>
          <w:szCs w:val="18"/>
          <w:i w:val="1"/>
          <w:iCs w:val="1"/>
          <w:color w:val="auto"/>
        </w:rPr>
        <w:t>http://ir.nasdaqomx.com/annuals.cfm</w:t>
      </w:r>
      <w:r>
        <w:rPr>
          <w:rFonts w:ascii="Arial" w:cs="Arial" w:eastAsia="Arial" w:hAnsi="Arial"/>
          <w:sz w:val="18"/>
          <w:szCs w:val="18"/>
          <w:color w:val="auto"/>
        </w:rPr>
        <w:t xml:space="preserve">. Our Form 10-K is available at </w:t>
      </w:r>
      <w:r>
        <w:rPr>
          <w:rFonts w:ascii="Arial" w:cs="Arial" w:eastAsia="Arial" w:hAnsi="Arial"/>
          <w:sz w:val="18"/>
          <w:szCs w:val="18"/>
          <w:i w:val="1"/>
          <w:iCs w:val="1"/>
          <w:color w:val="auto"/>
        </w:rPr>
        <w:t xml:space="preserve">http://ir.nasdaqomx.com/annuals.cfm </w:t>
      </w:r>
      <w:r>
        <w:rPr>
          <w:rFonts w:ascii="Arial" w:cs="Arial" w:eastAsia="Arial" w:hAnsi="Arial"/>
          <w:sz w:val="18"/>
          <w:szCs w:val="18"/>
          <w:color w:val="auto"/>
        </w:rPr>
        <w:t>and</w:t>
      </w:r>
      <w:r>
        <w:rPr>
          <w:rFonts w:ascii="Arial" w:cs="Arial" w:eastAsia="Arial" w:hAnsi="Arial"/>
          <w:sz w:val="18"/>
          <w:szCs w:val="18"/>
          <w:i w:val="1"/>
          <w:iCs w:val="1"/>
          <w:color w:val="auto"/>
        </w:rPr>
        <w:t xml:space="preserve"> www.proxyvote.com</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We will furnish, without charge, a copy of the Form 10-K, including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financial statements and financial statement schedules, to any stockholder upon request to the NASDAQ OMX Investor Relations Department, Attention: Edward Ditmire, One Liberty Plaza, 49</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 New York, New York 10006, in writing or by email (investor.relations@nasdaqomx.com).</w:t>
      </w:r>
    </w:p>
    <w:p>
      <w:pPr>
        <w:spacing w:after="0" w:line="1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STOCKHOLDER PROPOSALS AND NOMINATIONS OF DIRECTORS</w:t>
      </w:r>
    </w:p>
    <w:p>
      <w:pPr>
        <w:spacing w:after="0" w:line="16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NASDAQ OMX stockholders who wish to submit proposals pursuant to Rule 14a-8 of the Exchange Act for inclusion in the proxy statement for NASDAQ OMX’s 2014 annual meeting must submit them on or before December •, 2013 to NASDAQ OMX’s corporate secretary, Joan C. Conley, The NASDAQ OMX Group, Inc., One Liberty Plaza, 50</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10006, in writing or by email (corporatesecretary@nasdaqomx.com), and must otherwise comply with the requirements of Rule 14a-8.</w:t>
      </w:r>
    </w:p>
    <w:p>
      <w:pPr>
        <w:spacing w:after="0" w:line="1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 stockholder who wishes to nominate a person for election as director at an annual or special meeting, or to introduce an item of business at an annual meeting, must also comply with the procedures specified in NASDAQ OMX’s by-laws. Under these procedures, a stockholder must submit the proposed nominee or proposed item of business by delivering a notice to be received by NASDAQ OMX’s corporate secretary at the above address in accordance with the following time frames.</w:t>
      </w:r>
    </w:p>
    <w:p>
      <w:pPr>
        <w:spacing w:after="0" w:line="60" w:lineRule="exact"/>
        <w:rPr>
          <w:sz w:val="20"/>
          <w:szCs w:val="20"/>
          <w:color w:val="auto"/>
        </w:rPr>
      </w:pPr>
    </w:p>
    <w:p>
      <w:pPr>
        <w:ind w:left="800" w:right="140" w:hanging="454"/>
        <w:spacing w:after="0" w:line="237" w:lineRule="auto"/>
        <w:tabs>
          <w:tab w:leader="none" w:pos="800" w:val="left"/>
        </w:tabs>
        <w:numPr>
          <w:ilvl w:val="0"/>
          <w:numId w:val="79"/>
        </w:numPr>
        <w:rPr>
          <w:rFonts w:ascii="Arial" w:cs="Arial" w:eastAsia="Arial" w:hAnsi="Arial"/>
          <w:sz w:val="18"/>
          <w:szCs w:val="18"/>
          <w:color w:val="0088A6"/>
        </w:rPr>
      </w:pPr>
      <w:r>
        <w:rPr>
          <w:rFonts w:ascii="Arial" w:cs="Arial" w:eastAsia="Arial" w:hAnsi="Arial"/>
          <w:sz w:val="18"/>
          <w:szCs w:val="18"/>
          <w:color w:val="auto"/>
        </w:rPr>
        <w:t>In the case of a nomination or proposed item of business for an annual meeting, the notice must normally be delivered not more than 120 nor less than 90 days prior to the first anniversary of the prior year’s meeting. Assuming the 2014 annual meeting is held according to this year’s schedule, the notice must be delivered on or prior to the close of business on February 21, 2014, but no earlier than January 22, 2014.</w:t>
      </w:r>
    </w:p>
    <w:p>
      <w:pPr>
        <w:spacing w:after="0" w:line="60" w:lineRule="exact"/>
        <w:rPr>
          <w:rFonts w:ascii="Arial" w:cs="Arial" w:eastAsia="Arial" w:hAnsi="Arial"/>
          <w:sz w:val="18"/>
          <w:szCs w:val="18"/>
          <w:color w:val="0088A6"/>
        </w:rPr>
      </w:pPr>
    </w:p>
    <w:p>
      <w:pPr>
        <w:ind w:left="800" w:right="140" w:hanging="454"/>
        <w:spacing w:after="0" w:line="237" w:lineRule="auto"/>
        <w:tabs>
          <w:tab w:leader="none" w:pos="800" w:val="left"/>
        </w:tabs>
        <w:numPr>
          <w:ilvl w:val="0"/>
          <w:numId w:val="79"/>
        </w:numPr>
        <w:rPr>
          <w:rFonts w:ascii="Arial" w:cs="Arial" w:eastAsia="Arial" w:hAnsi="Arial"/>
          <w:sz w:val="18"/>
          <w:szCs w:val="18"/>
          <w:color w:val="0088A6"/>
        </w:rPr>
      </w:pPr>
      <w:r>
        <w:rPr>
          <w:rFonts w:ascii="Arial" w:cs="Arial" w:eastAsia="Arial" w:hAnsi="Arial"/>
          <w:sz w:val="18"/>
          <w:szCs w:val="18"/>
          <w:color w:val="auto"/>
        </w:rPr>
        <w:t>However, if NASDAQ OMX holds its annual meeting on a date that is more than 30 days before or 70 days after such anniversary date, the notice must be delivered no earlier than 120 days prior to the date of the annual meeting nor later than the later of (i) the ninetieth day prior to the date of the annual meeting or (ii) the tenth day following the day on which public announcement of the date of such meeting is first made by NASDAQ OMX.</w:t>
      </w:r>
    </w:p>
    <w:p>
      <w:pPr>
        <w:spacing w:after="0" w:line="60" w:lineRule="exact"/>
        <w:rPr>
          <w:rFonts w:ascii="Arial" w:cs="Arial" w:eastAsia="Arial" w:hAnsi="Arial"/>
          <w:sz w:val="18"/>
          <w:szCs w:val="18"/>
          <w:color w:val="0088A6"/>
        </w:rPr>
      </w:pPr>
    </w:p>
    <w:p>
      <w:pPr>
        <w:ind w:left="800" w:right="100" w:hanging="454"/>
        <w:spacing w:after="0" w:line="237" w:lineRule="auto"/>
        <w:tabs>
          <w:tab w:leader="none" w:pos="800" w:val="left"/>
        </w:tabs>
        <w:numPr>
          <w:ilvl w:val="0"/>
          <w:numId w:val="79"/>
        </w:numPr>
        <w:rPr>
          <w:rFonts w:ascii="Arial" w:cs="Arial" w:eastAsia="Arial" w:hAnsi="Arial"/>
          <w:sz w:val="18"/>
          <w:szCs w:val="18"/>
          <w:color w:val="0088A6"/>
        </w:rPr>
      </w:pPr>
      <w:r>
        <w:rPr>
          <w:rFonts w:ascii="Arial" w:cs="Arial" w:eastAsia="Arial" w:hAnsi="Arial"/>
          <w:sz w:val="18"/>
          <w:szCs w:val="18"/>
          <w:color w:val="auto"/>
        </w:rPr>
        <w:t>If NASDAQ OMX holds a special meeting to elect directors, the notice with respect to the nomination of a person for election as director must be delivered no earlier than 120 days prior to the date of the special meeting nor later than the later of (i) the ninetieth day prior to the date of the special meeting or (ii) the tenth day following the day on which public announcement of the date of such meeting and the nominees proposed by the NASDAQ OMX board is first made by NASDAQ OMX.</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notice required by our by-laws shall contain:</w:t>
      </w:r>
    </w:p>
    <w:p>
      <w:pPr>
        <w:spacing w:after="0" w:line="63" w:lineRule="exact"/>
        <w:rPr>
          <w:sz w:val="20"/>
          <w:szCs w:val="20"/>
          <w:color w:val="auto"/>
        </w:rPr>
      </w:pPr>
    </w:p>
    <w:p>
      <w:pPr>
        <w:ind w:left="800" w:right="440" w:hanging="454"/>
        <w:spacing w:after="0" w:line="238" w:lineRule="auto"/>
        <w:tabs>
          <w:tab w:leader="none" w:pos="800" w:val="left"/>
        </w:tabs>
        <w:numPr>
          <w:ilvl w:val="0"/>
          <w:numId w:val="80"/>
        </w:numPr>
        <w:rPr>
          <w:rFonts w:ascii="Arial" w:cs="Arial" w:eastAsia="Arial" w:hAnsi="Arial"/>
          <w:sz w:val="18"/>
          <w:szCs w:val="18"/>
          <w:color w:val="0088A6"/>
        </w:rPr>
      </w:pPr>
      <w:r>
        <w:rPr>
          <w:rFonts w:ascii="Arial" w:cs="Arial" w:eastAsia="Arial" w:hAnsi="Arial"/>
          <w:sz w:val="18"/>
          <w:szCs w:val="18"/>
          <w:color w:val="auto"/>
        </w:rPr>
        <w:t>as to each person whom a stockholder proposes to nominate for election as a director, all information relating to such person that is required to be disclosed in solicitations of proxies for election of directors under SEC rules and such person’s written consent to be named in the proxy statement as a nominee and to serve as a director if elected;</w:t>
      </w:r>
    </w:p>
    <w:p>
      <w:pPr>
        <w:spacing w:after="0" w:line="59" w:lineRule="exact"/>
        <w:rPr>
          <w:rFonts w:ascii="Arial" w:cs="Arial" w:eastAsia="Arial" w:hAnsi="Arial"/>
          <w:sz w:val="18"/>
          <w:szCs w:val="18"/>
          <w:color w:val="0088A6"/>
        </w:rPr>
      </w:pPr>
    </w:p>
    <w:p>
      <w:pPr>
        <w:ind w:left="800" w:right="240" w:hanging="454"/>
        <w:spacing w:after="0" w:line="236" w:lineRule="auto"/>
        <w:tabs>
          <w:tab w:leader="none" w:pos="800" w:val="left"/>
        </w:tabs>
        <w:numPr>
          <w:ilvl w:val="0"/>
          <w:numId w:val="80"/>
        </w:numPr>
        <w:rPr>
          <w:rFonts w:ascii="Arial" w:cs="Arial" w:eastAsia="Arial" w:hAnsi="Arial"/>
          <w:sz w:val="18"/>
          <w:szCs w:val="18"/>
          <w:color w:val="0088A6"/>
        </w:rPr>
      </w:pPr>
      <w:r>
        <w:rPr>
          <w:rFonts w:ascii="Arial" w:cs="Arial" w:eastAsia="Arial" w:hAnsi="Arial"/>
          <w:sz w:val="18"/>
          <w:szCs w:val="18"/>
          <w:color w:val="auto"/>
        </w:rPr>
        <w:t>as to any other business that the stockholder proposes to bring before the meeting, a brief description of the business,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such stockholder and the beneficial owner, if any, on whose behalf the proposal is made; and</w:t>
      </w:r>
    </w:p>
    <w:p>
      <w:pPr>
        <w:spacing w:after="0" w:line="62" w:lineRule="exact"/>
        <w:rPr>
          <w:rFonts w:ascii="Arial" w:cs="Arial" w:eastAsia="Arial" w:hAnsi="Arial"/>
          <w:sz w:val="18"/>
          <w:szCs w:val="18"/>
          <w:color w:val="0088A6"/>
        </w:rPr>
      </w:pPr>
    </w:p>
    <w:p>
      <w:pPr>
        <w:ind w:left="800" w:hanging="454"/>
        <w:spacing w:after="0"/>
        <w:tabs>
          <w:tab w:leader="none" w:pos="800" w:val="left"/>
        </w:tabs>
        <w:numPr>
          <w:ilvl w:val="0"/>
          <w:numId w:val="80"/>
        </w:numPr>
        <w:rPr>
          <w:rFonts w:ascii="Arial" w:cs="Arial" w:eastAsia="Arial" w:hAnsi="Arial"/>
          <w:sz w:val="18"/>
          <w:szCs w:val="18"/>
          <w:color w:val="0088A6"/>
        </w:rPr>
      </w:pPr>
      <w:r>
        <w:rPr>
          <w:rFonts w:ascii="Arial" w:cs="Arial" w:eastAsia="Arial" w:hAnsi="Arial"/>
          <w:sz w:val="18"/>
          <w:szCs w:val="18"/>
          <w:color w:val="auto"/>
        </w:rPr>
        <w:t>as to the stockholder giving the notice and the beneficial owner, if any, on whose behalf the nomination or proposal is made:</w:t>
      </w:r>
    </w:p>
    <w:p>
      <w:pPr>
        <w:spacing w:after="0" w:line="63" w:lineRule="exact"/>
        <w:rPr>
          <w:rFonts w:ascii="Arial" w:cs="Arial" w:eastAsia="Arial" w:hAnsi="Arial"/>
          <w:sz w:val="18"/>
          <w:szCs w:val="18"/>
          <w:color w:val="0088A6"/>
        </w:rPr>
      </w:pPr>
    </w:p>
    <w:p>
      <w:pPr>
        <w:ind w:left="1260" w:hanging="455"/>
        <w:spacing w:after="0"/>
        <w:tabs>
          <w:tab w:leader="none" w:pos="1260" w:val="left"/>
        </w:tabs>
        <w:numPr>
          <w:ilvl w:val="1"/>
          <w:numId w:val="80"/>
        </w:numPr>
        <w:rPr>
          <w:rFonts w:ascii="Arial" w:cs="Arial" w:eastAsia="Arial" w:hAnsi="Arial"/>
          <w:sz w:val="18"/>
          <w:szCs w:val="18"/>
          <w:color w:val="0088A6"/>
        </w:rPr>
      </w:pPr>
      <w:r>
        <w:rPr>
          <w:rFonts w:ascii="Arial" w:cs="Arial" w:eastAsia="Arial" w:hAnsi="Arial"/>
          <w:sz w:val="18"/>
          <w:szCs w:val="18"/>
          <w:color w:val="auto"/>
        </w:rPr>
        <w:t>the name and address of such stockholder, as they appear on NASDAQ OMX’s books, and of such beneficial owner;</w:t>
      </w:r>
    </w:p>
    <w:p>
      <w:pPr>
        <w:spacing w:after="0" w:line="63" w:lineRule="exact"/>
        <w:rPr>
          <w:rFonts w:ascii="Arial" w:cs="Arial" w:eastAsia="Arial" w:hAnsi="Arial"/>
          <w:sz w:val="18"/>
          <w:szCs w:val="18"/>
          <w:color w:val="0088A6"/>
        </w:rPr>
      </w:pPr>
    </w:p>
    <w:p>
      <w:pPr>
        <w:ind w:left="1260" w:right="260" w:hanging="455"/>
        <w:spacing w:after="0" w:line="239" w:lineRule="auto"/>
        <w:tabs>
          <w:tab w:leader="none" w:pos="1260" w:val="left"/>
        </w:tabs>
        <w:numPr>
          <w:ilvl w:val="1"/>
          <w:numId w:val="80"/>
        </w:numPr>
        <w:rPr>
          <w:rFonts w:ascii="Arial" w:cs="Arial" w:eastAsia="Arial" w:hAnsi="Arial"/>
          <w:sz w:val="18"/>
          <w:szCs w:val="18"/>
          <w:color w:val="0088A6"/>
        </w:rPr>
      </w:pPr>
      <w:r>
        <w:rPr>
          <w:rFonts w:ascii="Arial" w:cs="Arial" w:eastAsia="Arial" w:hAnsi="Arial"/>
          <w:sz w:val="18"/>
          <w:szCs w:val="18"/>
          <w:color w:val="auto"/>
        </w:rPr>
        <w:t>the class and number of shares of capital stock of NASDAQ OMX that are owned beneficially and of record by such stockholder and such beneficial owner;</w:t>
      </w:r>
    </w:p>
    <w:p>
      <w:pPr>
        <w:spacing w:after="0" w:line="60" w:lineRule="exact"/>
        <w:rPr>
          <w:rFonts w:ascii="Arial" w:cs="Arial" w:eastAsia="Arial" w:hAnsi="Arial"/>
          <w:sz w:val="18"/>
          <w:szCs w:val="18"/>
          <w:color w:val="0088A6"/>
        </w:rPr>
      </w:pPr>
    </w:p>
    <w:p>
      <w:pPr>
        <w:ind w:left="1260" w:hanging="455"/>
        <w:spacing w:after="0" w:line="239" w:lineRule="auto"/>
        <w:tabs>
          <w:tab w:leader="none" w:pos="1260" w:val="left"/>
        </w:tabs>
        <w:numPr>
          <w:ilvl w:val="1"/>
          <w:numId w:val="80"/>
        </w:numPr>
        <w:rPr>
          <w:rFonts w:ascii="Arial" w:cs="Arial" w:eastAsia="Arial" w:hAnsi="Arial"/>
          <w:sz w:val="18"/>
          <w:szCs w:val="18"/>
          <w:color w:val="0088A6"/>
        </w:rPr>
      </w:pPr>
      <w:r>
        <w:rPr>
          <w:rFonts w:ascii="Arial" w:cs="Arial" w:eastAsia="Arial" w:hAnsi="Arial"/>
          <w:sz w:val="18"/>
          <w:szCs w:val="18"/>
          <w:color w:val="auto"/>
        </w:rPr>
        <w:t>a representation that the stockholder is a holder of record of stock of NASDAQ OMX entitled to vote at such meeting and intends to appear in person or by proxy at the meeting to propose such business or nomination; and</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60" w:right="40" w:hanging="455"/>
        <w:spacing w:after="0" w:line="237" w:lineRule="auto"/>
        <w:tabs>
          <w:tab w:leader="none" w:pos="1260" w:val="left"/>
        </w:tabs>
        <w:numPr>
          <w:ilvl w:val="0"/>
          <w:numId w:val="81"/>
        </w:numPr>
        <w:rPr>
          <w:rFonts w:ascii="Arial" w:cs="Arial" w:eastAsia="Arial" w:hAnsi="Arial"/>
          <w:sz w:val="18"/>
          <w:szCs w:val="18"/>
          <w:color w:val="0088A6"/>
        </w:rPr>
      </w:pPr>
      <w:r>
        <w:rPr>
          <w:rFonts w:ascii="Arial" w:cs="Arial" w:eastAsia="Arial" w:hAnsi="Arial"/>
          <w:sz w:val="18"/>
          <w:szCs w:val="18"/>
          <w:color w:val="auto"/>
        </w:rPr>
        <w:t>a representation whether the stockholder or the beneficial owner, if any, intends or is part of a group that intends (i) to deliver a proxy statement and/or form of proxy to holders of at least the percentage of NASDAQ OMX’s outstanding capital stock required to approve or adopt the proposal or elect the nominee and/or (ii) otherwise to solicit proxies from NASDAQ OMX stockholders in support of such proposal or nomination.</w:t>
      </w:r>
    </w:p>
    <w:p>
      <w:pPr>
        <w:spacing w:after="0" w:line="11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In addition, NASDAQ OMX stockholders may recommend individuals for consideration by the nominating &amp; governance committee for nomination to the NASDAQ OMX board. Holders should submit such recommendations in writing, together with any supporting documentation the holder deems appropriate, to NASDAQ OMX’s corporate secretary at the address set forth above prior to December 31, 2013.</w:t>
      </w:r>
    </w:p>
    <w:p>
      <w:pPr>
        <w:spacing w:after="0" w:line="1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CORPORATE SUSTAINABILITY</w:t>
      </w:r>
    </w:p>
    <w:p>
      <w:pPr>
        <w:spacing w:after="0" w:line="16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NASDAQ OMX has always been a believer in the virtues of sustainability. We were practicing corporate sustainability – in many different places and in many different ways – long before the term became so prevalent and fashionable. Efficiency and transparency formed the foundation of our brand 40 years ago, and they still drive our decision-making every day.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Key 2012 highlights include the following.</w:t>
      </w:r>
    </w:p>
    <w:p>
      <w:pPr>
        <w:spacing w:after="0" w:line="131" w:lineRule="exact"/>
        <w:rPr>
          <w:sz w:val="20"/>
          <w:szCs w:val="20"/>
          <w:color w:val="auto"/>
        </w:rPr>
      </w:pPr>
    </w:p>
    <w:p>
      <w:pPr>
        <w:ind w:left="800" w:hanging="454"/>
        <w:spacing w:after="0"/>
        <w:tabs>
          <w:tab w:leader="none" w:pos="800" w:val="left"/>
        </w:tabs>
        <w:numPr>
          <w:ilvl w:val="0"/>
          <w:numId w:val="82"/>
        </w:numPr>
        <w:rPr>
          <w:rFonts w:ascii="Arial" w:cs="Arial" w:eastAsia="Arial" w:hAnsi="Arial"/>
          <w:sz w:val="18"/>
          <w:szCs w:val="18"/>
          <w:color w:val="0088A6"/>
        </w:rPr>
      </w:pPr>
      <w:r>
        <w:rPr>
          <w:rFonts w:ascii="Arial" w:cs="Arial" w:eastAsia="Arial" w:hAnsi="Arial"/>
          <w:sz w:val="18"/>
          <w:szCs w:val="18"/>
          <w:color w:val="auto"/>
        </w:rPr>
        <w:t>We completed our first substantive energy and water usage audit of all global facilities.</w:t>
      </w:r>
    </w:p>
    <w:p>
      <w:pPr>
        <w:spacing w:after="0" w:line="130" w:lineRule="exact"/>
        <w:rPr>
          <w:rFonts w:ascii="Arial" w:cs="Arial" w:eastAsia="Arial" w:hAnsi="Arial"/>
          <w:sz w:val="18"/>
          <w:szCs w:val="18"/>
          <w:color w:val="0088A6"/>
        </w:rPr>
      </w:pPr>
    </w:p>
    <w:p>
      <w:pPr>
        <w:ind w:left="800" w:hanging="454"/>
        <w:spacing w:after="0"/>
        <w:tabs>
          <w:tab w:leader="none" w:pos="800" w:val="left"/>
        </w:tabs>
        <w:numPr>
          <w:ilvl w:val="0"/>
          <w:numId w:val="82"/>
        </w:numPr>
        <w:rPr>
          <w:rFonts w:ascii="Arial" w:cs="Arial" w:eastAsia="Arial" w:hAnsi="Arial"/>
          <w:sz w:val="18"/>
          <w:szCs w:val="18"/>
          <w:color w:val="0088A6"/>
        </w:rPr>
      </w:pPr>
      <w:r>
        <w:rPr>
          <w:rFonts w:ascii="Arial" w:cs="Arial" w:eastAsia="Arial" w:hAnsi="Arial"/>
          <w:sz w:val="18"/>
          <w:szCs w:val="18"/>
          <w:color w:val="auto"/>
        </w:rPr>
        <w:t>We officially submitted our first comprehensive Global Reporting Initiative report.</w:t>
      </w:r>
    </w:p>
    <w:p>
      <w:pPr>
        <w:spacing w:after="0" w:line="130" w:lineRule="exact"/>
        <w:rPr>
          <w:rFonts w:ascii="Arial" w:cs="Arial" w:eastAsia="Arial" w:hAnsi="Arial"/>
          <w:sz w:val="18"/>
          <w:szCs w:val="18"/>
          <w:color w:val="0088A6"/>
        </w:rPr>
      </w:pPr>
    </w:p>
    <w:p>
      <w:pPr>
        <w:ind w:left="800" w:hanging="454"/>
        <w:spacing w:after="0"/>
        <w:tabs>
          <w:tab w:leader="none" w:pos="800" w:val="left"/>
        </w:tabs>
        <w:numPr>
          <w:ilvl w:val="0"/>
          <w:numId w:val="82"/>
        </w:numPr>
        <w:rPr>
          <w:rFonts w:ascii="Arial" w:cs="Arial" w:eastAsia="Arial" w:hAnsi="Arial"/>
          <w:sz w:val="18"/>
          <w:szCs w:val="18"/>
          <w:color w:val="0088A6"/>
        </w:rPr>
      </w:pPr>
      <w:r>
        <w:rPr>
          <w:rFonts w:ascii="Arial" w:cs="Arial" w:eastAsia="Arial" w:hAnsi="Arial"/>
          <w:sz w:val="18"/>
          <w:szCs w:val="18"/>
          <w:color w:val="auto"/>
        </w:rPr>
        <w:t>We improved our reporting to the Carbon Disclosure Project.</w:t>
      </w:r>
    </w:p>
    <w:p>
      <w:pPr>
        <w:spacing w:after="0" w:line="130" w:lineRule="exact"/>
        <w:rPr>
          <w:rFonts w:ascii="Arial" w:cs="Arial" w:eastAsia="Arial" w:hAnsi="Arial"/>
          <w:sz w:val="18"/>
          <w:szCs w:val="18"/>
          <w:color w:val="0088A6"/>
        </w:rPr>
      </w:pPr>
    </w:p>
    <w:p>
      <w:pPr>
        <w:ind w:left="800" w:hanging="454"/>
        <w:spacing w:after="0"/>
        <w:tabs>
          <w:tab w:leader="none" w:pos="800" w:val="left"/>
        </w:tabs>
        <w:numPr>
          <w:ilvl w:val="0"/>
          <w:numId w:val="82"/>
        </w:numPr>
        <w:rPr>
          <w:rFonts w:ascii="Arial" w:cs="Arial" w:eastAsia="Arial" w:hAnsi="Arial"/>
          <w:sz w:val="18"/>
          <w:szCs w:val="18"/>
          <w:color w:val="0088A6"/>
        </w:rPr>
      </w:pPr>
      <w:r>
        <w:rPr>
          <w:rFonts w:ascii="Arial" w:cs="Arial" w:eastAsia="Arial" w:hAnsi="Arial"/>
          <w:sz w:val="18"/>
          <w:szCs w:val="18"/>
          <w:color w:val="auto"/>
        </w:rPr>
        <w:t>NASDAQ OMX was accepted into the United Nations Global Compact.</w:t>
      </w:r>
    </w:p>
    <w:p>
      <w:pPr>
        <w:spacing w:after="0" w:line="130" w:lineRule="exact"/>
        <w:rPr>
          <w:rFonts w:ascii="Arial" w:cs="Arial" w:eastAsia="Arial" w:hAnsi="Arial"/>
          <w:sz w:val="18"/>
          <w:szCs w:val="18"/>
          <w:color w:val="0088A6"/>
        </w:rPr>
      </w:pPr>
    </w:p>
    <w:p>
      <w:pPr>
        <w:ind w:left="800" w:hanging="454"/>
        <w:spacing w:after="0"/>
        <w:tabs>
          <w:tab w:leader="none" w:pos="800" w:val="left"/>
        </w:tabs>
        <w:numPr>
          <w:ilvl w:val="0"/>
          <w:numId w:val="82"/>
        </w:numPr>
        <w:rPr>
          <w:rFonts w:ascii="Arial" w:cs="Arial" w:eastAsia="Arial" w:hAnsi="Arial"/>
          <w:sz w:val="18"/>
          <w:szCs w:val="18"/>
          <w:color w:val="0088A6"/>
        </w:rPr>
      </w:pPr>
      <w:r>
        <w:rPr>
          <w:rFonts w:ascii="Arial" w:cs="Arial" w:eastAsia="Arial" w:hAnsi="Arial"/>
          <w:sz w:val="18"/>
          <w:szCs w:val="18"/>
          <w:color w:val="auto"/>
        </w:rPr>
        <w:t>NASDAQ OMX entered into a historic agreement with other key exchanges to develop and promote sustainability standards.</w:t>
      </w:r>
    </w:p>
    <w:p>
      <w:pPr>
        <w:spacing w:after="0" w:line="130" w:lineRule="exact"/>
        <w:rPr>
          <w:rFonts w:ascii="Arial" w:cs="Arial" w:eastAsia="Arial" w:hAnsi="Arial"/>
          <w:sz w:val="18"/>
          <w:szCs w:val="18"/>
          <w:color w:val="0088A6"/>
        </w:rPr>
      </w:pPr>
    </w:p>
    <w:p>
      <w:pPr>
        <w:ind w:left="800" w:right="80" w:hanging="454"/>
        <w:spacing w:after="0" w:line="239" w:lineRule="auto"/>
        <w:tabs>
          <w:tab w:leader="none" w:pos="800" w:val="left"/>
        </w:tabs>
        <w:numPr>
          <w:ilvl w:val="0"/>
          <w:numId w:val="82"/>
        </w:numPr>
        <w:rPr>
          <w:rFonts w:ascii="Arial" w:cs="Arial" w:eastAsia="Arial" w:hAnsi="Arial"/>
          <w:sz w:val="18"/>
          <w:szCs w:val="18"/>
          <w:color w:val="0088A6"/>
        </w:rPr>
      </w:pPr>
      <w:r>
        <w:rPr>
          <w:rFonts w:ascii="Arial" w:cs="Arial" w:eastAsia="Arial" w:hAnsi="Arial"/>
          <w:sz w:val="18"/>
          <w:szCs w:val="18"/>
          <w:color w:val="auto"/>
        </w:rPr>
        <w:t>We made significant infrastructure improvements, including an increasing number of LEED and other environmental certifications for our global offices.</w:t>
      </w:r>
    </w:p>
    <w:p>
      <w:pPr>
        <w:spacing w:after="0" w:line="127" w:lineRule="exact"/>
        <w:rPr>
          <w:rFonts w:ascii="Arial" w:cs="Arial" w:eastAsia="Arial" w:hAnsi="Arial"/>
          <w:sz w:val="18"/>
          <w:szCs w:val="18"/>
          <w:color w:val="0088A6"/>
        </w:rPr>
      </w:pPr>
    </w:p>
    <w:p>
      <w:pPr>
        <w:ind w:left="800" w:right="300" w:hanging="454"/>
        <w:spacing w:after="0" w:line="239" w:lineRule="auto"/>
        <w:tabs>
          <w:tab w:leader="none" w:pos="800" w:val="left"/>
        </w:tabs>
        <w:numPr>
          <w:ilvl w:val="0"/>
          <w:numId w:val="82"/>
        </w:numPr>
        <w:rPr>
          <w:rFonts w:ascii="Arial" w:cs="Arial" w:eastAsia="Arial" w:hAnsi="Arial"/>
          <w:sz w:val="18"/>
          <w:szCs w:val="18"/>
          <w:color w:val="0088A6"/>
        </w:rPr>
      </w:pPr>
      <w:r>
        <w:rPr>
          <w:rFonts w:ascii="Arial" w:cs="Arial" w:eastAsia="Arial" w:hAnsi="Arial"/>
          <w:sz w:val="18"/>
          <w:szCs w:val="18"/>
          <w:color w:val="auto"/>
        </w:rPr>
        <w:t>NASDAQ OMX Helsinki was the first exchange to receive a WWF Green Office diploma, and one of the first in the world to go carbon neutral.</w:t>
      </w:r>
    </w:p>
    <w:p>
      <w:pPr>
        <w:spacing w:after="0" w:line="127" w:lineRule="exact"/>
        <w:rPr>
          <w:rFonts w:ascii="Arial" w:cs="Arial" w:eastAsia="Arial" w:hAnsi="Arial"/>
          <w:sz w:val="18"/>
          <w:szCs w:val="18"/>
          <w:color w:val="0088A6"/>
        </w:rPr>
      </w:pPr>
    </w:p>
    <w:p>
      <w:pPr>
        <w:ind w:left="800" w:right="780" w:hanging="454"/>
        <w:spacing w:after="0" w:line="239" w:lineRule="auto"/>
        <w:tabs>
          <w:tab w:leader="none" w:pos="800" w:val="left"/>
        </w:tabs>
        <w:numPr>
          <w:ilvl w:val="0"/>
          <w:numId w:val="82"/>
        </w:numPr>
        <w:rPr>
          <w:rFonts w:ascii="Arial" w:cs="Arial" w:eastAsia="Arial" w:hAnsi="Arial"/>
          <w:sz w:val="18"/>
          <w:szCs w:val="18"/>
          <w:color w:val="0088A6"/>
        </w:rPr>
      </w:pPr>
      <w:r>
        <w:rPr>
          <w:rFonts w:ascii="Arial" w:cs="Arial" w:eastAsia="Arial" w:hAnsi="Arial"/>
          <w:sz w:val="18"/>
          <w:szCs w:val="18"/>
          <w:color w:val="auto"/>
        </w:rPr>
        <w:t>Through the World Federation of Exchanges, we promoted sustainability dialogue and consensus with other stock markets and exchanges.</w:t>
      </w:r>
    </w:p>
    <w:p>
      <w:pPr>
        <w:spacing w:after="0" w:line="127" w:lineRule="exact"/>
        <w:rPr>
          <w:rFonts w:ascii="Arial" w:cs="Arial" w:eastAsia="Arial" w:hAnsi="Arial"/>
          <w:sz w:val="18"/>
          <w:szCs w:val="18"/>
          <w:color w:val="0088A6"/>
        </w:rPr>
      </w:pPr>
    </w:p>
    <w:p>
      <w:pPr>
        <w:ind w:left="800" w:right="820" w:hanging="454"/>
        <w:spacing w:after="0" w:line="239" w:lineRule="auto"/>
        <w:tabs>
          <w:tab w:leader="none" w:pos="800" w:val="left"/>
        </w:tabs>
        <w:numPr>
          <w:ilvl w:val="0"/>
          <w:numId w:val="82"/>
        </w:numPr>
        <w:rPr>
          <w:rFonts w:ascii="Arial" w:cs="Arial" w:eastAsia="Arial" w:hAnsi="Arial"/>
          <w:sz w:val="18"/>
          <w:szCs w:val="18"/>
          <w:color w:val="0088A6"/>
        </w:rPr>
      </w:pPr>
      <w:r>
        <w:rPr>
          <w:rFonts w:ascii="Arial" w:cs="Arial" w:eastAsia="Arial" w:hAnsi="Arial"/>
          <w:sz w:val="18"/>
          <w:szCs w:val="18"/>
          <w:color w:val="auto"/>
        </w:rPr>
        <w:t>We regularly assisted our listed companies in various ways, helping them better handle sustainability as an aspect of their own operation.</w:t>
      </w:r>
    </w:p>
    <w:p>
      <w:pPr>
        <w:spacing w:after="0" w:line="127" w:lineRule="exact"/>
        <w:rPr>
          <w:rFonts w:ascii="Arial" w:cs="Arial" w:eastAsia="Arial" w:hAnsi="Arial"/>
          <w:sz w:val="18"/>
          <w:szCs w:val="18"/>
          <w:color w:val="0088A6"/>
        </w:rPr>
      </w:pPr>
    </w:p>
    <w:p>
      <w:pPr>
        <w:ind w:left="800" w:right="680" w:hanging="454"/>
        <w:spacing w:after="0" w:line="239" w:lineRule="auto"/>
        <w:tabs>
          <w:tab w:leader="none" w:pos="800" w:val="left"/>
        </w:tabs>
        <w:numPr>
          <w:ilvl w:val="0"/>
          <w:numId w:val="82"/>
        </w:numPr>
        <w:rPr>
          <w:rFonts w:ascii="Arial" w:cs="Arial" w:eastAsia="Arial" w:hAnsi="Arial"/>
          <w:sz w:val="18"/>
          <w:szCs w:val="18"/>
          <w:color w:val="0088A6"/>
        </w:rPr>
      </w:pPr>
      <w:r>
        <w:rPr>
          <w:rFonts w:ascii="Arial" w:cs="Arial" w:eastAsia="Arial" w:hAnsi="Arial"/>
          <w:sz w:val="18"/>
          <w:szCs w:val="18"/>
          <w:color w:val="auto"/>
        </w:rPr>
        <w:t>We forged several partnerships with advocacy groups, non-governmental organizations and economists in the last year to better understand the interplay of sustainability metrics and market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310515</wp:posOffset>
            </wp:positionV>
            <wp:extent cx="1920875" cy="2317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208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7C7C7C"/>
        </w:rPr>
        <w:t>THE NASDAQ OMX GROUP,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April •, 2013</w:t>
      </w:r>
    </w:p>
    <w:p>
      <w:pPr>
        <w:spacing w:after="0" w:line="1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88A6"/>
        </w:rPr>
        <w:t>ANNEX A</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Proposed Amendment and Restatement of NASDAQ OMX’s Restated Certificate of Incorporation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Proposed additions are </w:t>
      </w:r>
      <w:r>
        <w:rPr>
          <w:rFonts w:ascii="Arial" w:cs="Arial" w:eastAsia="Arial" w:hAnsi="Arial"/>
          <w:sz w:val="18"/>
          <w:szCs w:val="18"/>
          <w:u w:val="single" w:color="auto"/>
          <w:color w:val="auto"/>
        </w:rPr>
        <w:t>double-underlined</w:t>
      </w:r>
      <w:r>
        <w:rPr>
          <w:rFonts w:ascii="Arial" w:cs="Arial" w:eastAsia="Arial" w:hAnsi="Arial"/>
          <w:sz w:val="18"/>
          <w:szCs w:val="18"/>
          <w:color w:val="auto"/>
        </w:rPr>
        <w:t xml:space="preserve">; proposed deletions are </w:t>
      </w:r>
      <w:r>
        <w:rPr>
          <w:rFonts w:ascii="Arial" w:cs="Arial" w:eastAsia="Arial" w:hAnsi="Arial"/>
          <w:sz w:val="18"/>
          <w:szCs w:val="18"/>
          <w:color w:val="auto"/>
          <w:strike w:val="1"/>
        </w:rPr>
        <w:t>stricken through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1182370</wp:posOffset>
            </wp:positionH>
            <wp:positionV relativeFrom="paragraph">
              <wp:posOffset>-21590</wp:posOffset>
            </wp:positionV>
            <wp:extent cx="89281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9281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w:t>
      </w:r>
      <w:r>
        <w:rPr>
          <w:rFonts w:ascii="Arial" w:cs="Arial" w:eastAsia="Arial" w:hAnsi="Arial"/>
          <w:sz w:val="22"/>
          <w:szCs w:val="22"/>
          <w:b w:val="1"/>
          <w:bCs w:val="1"/>
          <w:color w:val="auto"/>
        </w:rPr>
        <w:t xml:space="preserve"> RESTATED 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NASDAQ OMX GROUP, INC.</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ind w:left="800"/>
              <w:spacing w:after="0"/>
              <w:rPr>
                <w:sz w:val="20"/>
                <w:szCs w:val="20"/>
                <w:color w:val="auto"/>
              </w:rPr>
            </w:pPr>
            <w:r>
              <w:rPr>
                <w:rFonts w:ascii="Arial" w:cs="Arial" w:eastAsia="Arial" w:hAnsi="Arial"/>
                <w:sz w:val="22"/>
                <w:szCs w:val="22"/>
                <w:color w:val="auto"/>
                <w:w w:val="91"/>
              </w:rPr>
              <w:t>The undersigned,</w:t>
            </w:r>
          </w:p>
        </w:tc>
        <w:tc>
          <w:tcPr>
            <w:tcW w:w="1340" w:type="dxa"/>
            <w:vAlign w:val="bottom"/>
            <w:gridSpan w:val="2"/>
          </w:tcPr>
          <w:p>
            <w:pPr>
              <w:spacing w:after="0"/>
              <w:rPr>
                <w:sz w:val="20"/>
                <w:szCs w:val="20"/>
                <w:color w:val="auto"/>
              </w:rPr>
            </w:pPr>
            <w:r>
              <w:rPr>
                <w:rFonts w:ascii="Arial" w:cs="Arial" w:eastAsia="Arial" w:hAnsi="Arial"/>
                <w:sz w:val="22"/>
                <w:szCs w:val="22"/>
                <w:color w:val="auto"/>
                <w:strike w:val="1"/>
                <w:w w:val="87"/>
              </w:rPr>
              <w:t>Joan C. Conley</w:t>
            </w:r>
          </w:p>
        </w:tc>
        <w:tc>
          <w:tcPr>
            <w:tcW w:w="1280" w:type="dxa"/>
            <w:vAlign w:val="bottom"/>
          </w:tcPr>
          <w:p>
            <w:pPr>
              <w:spacing w:after="0"/>
              <w:rPr>
                <w:sz w:val="21"/>
                <w:szCs w:val="21"/>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19"/>
                <w:szCs w:val="19"/>
                <w:color w:val="auto"/>
                <w:w w:val="74"/>
              </w:rPr>
              <w:t>,</w:t>
            </w:r>
          </w:p>
        </w:tc>
        <w:tc>
          <w:tcPr>
            <w:tcW w:w="1740" w:type="dxa"/>
            <w:vAlign w:val="bottom"/>
          </w:tcPr>
          <w:p>
            <w:pPr>
              <w:spacing w:after="0"/>
              <w:rPr>
                <w:sz w:val="20"/>
                <w:szCs w:val="20"/>
                <w:color w:val="auto"/>
              </w:rPr>
            </w:pPr>
            <w:r>
              <w:rPr>
                <w:rFonts w:ascii="Arial" w:cs="Arial" w:eastAsia="Arial" w:hAnsi="Arial"/>
                <w:sz w:val="22"/>
                <w:szCs w:val="22"/>
                <w:color w:val="auto"/>
                <w:strike w:val="1"/>
                <w:w w:val="86"/>
              </w:rPr>
              <w:t>Corporate Secretary</w:t>
            </w:r>
          </w:p>
        </w:tc>
        <w:tc>
          <w:tcPr>
            <w:tcW w:w="1300" w:type="dxa"/>
            <w:vAlign w:val="bottom"/>
          </w:tcPr>
          <w:p>
            <w:pPr>
              <w:spacing w:after="0"/>
              <w:rPr>
                <w:sz w:val="21"/>
                <w:szCs w:val="21"/>
                <w:color w:val="auto"/>
              </w:rPr>
            </w:pPr>
          </w:p>
        </w:tc>
        <w:tc>
          <w:tcPr>
            <w:tcW w:w="3260" w:type="dxa"/>
            <w:vAlign w:val="bottom"/>
          </w:tcPr>
          <w:p>
            <w:pPr>
              <w:ind w:left="60"/>
              <w:spacing w:after="0"/>
              <w:rPr>
                <w:sz w:val="20"/>
                <w:szCs w:val="20"/>
                <w:color w:val="auto"/>
              </w:rPr>
            </w:pPr>
            <w:r>
              <w:rPr>
                <w:rFonts w:ascii="Arial" w:cs="Arial" w:eastAsia="Arial" w:hAnsi="Arial"/>
                <w:sz w:val="22"/>
                <w:szCs w:val="22"/>
                <w:color w:val="auto"/>
                <w:w w:val="95"/>
              </w:rPr>
              <w:t>of The NASDAQ OMX Group, Inc.</w:t>
            </w:r>
          </w:p>
        </w:tc>
        <w:tc>
          <w:tcPr>
            <w:tcW w:w="0" w:type="dxa"/>
            <w:vAlign w:val="bottom"/>
          </w:tcPr>
          <w:p>
            <w:pPr>
              <w:spacing w:after="0"/>
              <w:rPr>
                <w:sz w:val="1"/>
                <w:szCs w:val="1"/>
                <w:color w:val="auto"/>
              </w:rPr>
            </w:pPr>
          </w:p>
        </w:tc>
      </w:tr>
      <w:tr>
        <w:trPr>
          <w:trHeight w:val="21"/>
        </w:trPr>
        <w:tc>
          <w:tcPr>
            <w:tcW w:w="3700" w:type="dxa"/>
            <w:vAlign w:val="bottom"/>
            <w:gridSpan w:val="2"/>
            <w:vMerge w:val="restart"/>
          </w:tcPr>
          <w:p>
            <w:pPr>
              <w:spacing w:after="0"/>
              <w:rPr>
                <w:sz w:val="20"/>
                <w:szCs w:val="20"/>
                <w:color w:val="auto"/>
              </w:rPr>
            </w:pPr>
            <w:r>
              <w:rPr>
                <w:rFonts w:ascii="Arial" w:cs="Arial" w:eastAsia="Arial" w:hAnsi="Arial"/>
                <w:sz w:val="22"/>
                <w:szCs w:val="22"/>
                <w:color w:val="auto"/>
                <w:w w:val="90"/>
              </w:rPr>
              <w:t>(“Nasdaq”), a Delaware corporation, does</w:t>
            </w: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3700" w:type="dxa"/>
            <w:vAlign w:val="bottom"/>
            <w:gridSpan w:val="2"/>
            <w:vMerge w:val="continue"/>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22"/>
                <w:szCs w:val="22"/>
                <w:color w:val="auto"/>
                <w:w w:val="92"/>
              </w:rPr>
              <w:t>hereby certify:</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firstLine="799"/>
        <w:spacing w:after="0"/>
        <w:rPr>
          <w:sz w:val="20"/>
          <w:szCs w:val="20"/>
          <w:color w:val="auto"/>
        </w:rPr>
      </w:pPr>
      <w:r>
        <w:rPr>
          <w:rFonts w:ascii="Arial" w:cs="Arial" w:eastAsia="Arial" w:hAnsi="Arial"/>
          <w:sz w:val="22"/>
          <w:szCs w:val="22"/>
          <w:color w:val="auto"/>
        </w:rPr>
        <w:t>FIRST: That the name of the corporation is The NASDAQ OMX Group, Inc. The date of the filing of its original Certificate of Incorporation with the Secretary of State of the State of Delaware was November 13, 1979. The name under which Nasdaq was originally incorporated was “NASD Market Services, Inc.”</w:t>
      </w:r>
    </w:p>
    <w:p>
      <w:pPr>
        <w:spacing w:after="0" w:line="132" w:lineRule="exact"/>
        <w:rPr>
          <w:sz w:val="20"/>
          <w:szCs w:val="20"/>
          <w:color w:val="auto"/>
        </w:rPr>
      </w:pPr>
    </w:p>
    <w:p>
      <w:pPr>
        <w:jc w:val="both"/>
        <w:ind w:firstLine="799"/>
        <w:spacing w:after="0" w:line="245" w:lineRule="auto"/>
        <w:rPr>
          <w:sz w:val="20"/>
          <w:szCs w:val="20"/>
          <w:color w:val="auto"/>
        </w:rPr>
      </w:pPr>
      <w:r>
        <w:rPr>
          <w:rFonts w:ascii="Arial" w:cs="Arial" w:eastAsia="Arial" w:hAnsi="Arial"/>
          <w:sz w:val="21"/>
          <w:szCs w:val="21"/>
          <w:color w:val="auto"/>
        </w:rPr>
        <w:t xml:space="preserve">SECOND: </w:t>
      </w:r>
      <w:r>
        <w:rPr>
          <w:rFonts w:ascii="Arial" w:cs="Arial" w:eastAsia="Arial" w:hAnsi="Arial"/>
          <w:sz w:val="21"/>
          <w:szCs w:val="21"/>
          <w:color w:val="auto"/>
          <w:strike w:val="1"/>
        </w:rPr>
        <w:t>That the Restated Certificate of Incorporation of Nasdaq dated May 27, 2003, as previously amended by the</w:t>
      </w:r>
      <w:r>
        <w:rPr>
          <w:rFonts w:ascii="Arial" w:cs="Arial" w:eastAsia="Arial" w:hAnsi="Arial"/>
          <w:sz w:val="21"/>
          <w:szCs w:val="21"/>
          <w:color w:val="auto"/>
        </w:rPr>
        <w:t xml:space="preserve"> </w:t>
      </w:r>
      <w:r>
        <w:rPr>
          <w:rFonts w:ascii="Arial" w:cs="Arial" w:eastAsia="Arial" w:hAnsi="Arial"/>
          <w:sz w:val="21"/>
          <w:szCs w:val="21"/>
          <w:color w:val="auto"/>
          <w:strike w:val="1"/>
        </w:rPr>
        <w:t>Certificate of Amendment dated May 25, 2005; the Certificate of Amendment dated August 1, 2006; the Certificate of Amendment dated March 11, 2006; the Certificate of Elimination of the Series A Cumulative Preferred Stock, Series B Preferred Stock, and Series C Cumulative Preferred Stock dated March 31, 2006; the Certificate of Designation of Series D Preferred Stock dated December 14, 2005; the Certificate of Amendment dated February 27, 2008; and the Certificate of Elimination of Series D Preferred Stock dated March 10, 2009 is hereby restated and integrated to read in its entirety as follows:</w:t>
      </w:r>
      <w:r>
        <w:rPr>
          <w:rFonts w:ascii="Arial" w:cs="Arial" w:eastAsia="Arial" w:hAnsi="Arial"/>
          <w:sz w:val="21"/>
          <w:szCs w:val="21"/>
          <w:u w:val="single" w:color="auto"/>
          <w:color w:val="auto"/>
          <w:strike w:val="1"/>
        </w:rPr>
        <w:t>Pursuant to Sections 242</w:t>
      </w:r>
      <w:r>
        <w:rPr>
          <w:rFonts w:ascii="Arial" w:cs="Arial" w:eastAsia="Arial" w:hAnsi="Arial"/>
          <w:sz w:val="21"/>
          <w:szCs w:val="21"/>
          <w:color w:val="auto"/>
          <w:strike w:val="1"/>
        </w:rPr>
        <w:t xml:space="preserve"> </w:t>
      </w:r>
      <w:r>
        <w:rPr>
          <w:rFonts w:ascii="Arial" w:cs="Arial" w:eastAsia="Arial" w:hAnsi="Arial"/>
          <w:sz w:val="21"/>
          <w:szCs w:val="21"/>
          <w:u w:val="single" w:color="auto"/>
          <w:color w:val="auto"/>
          <w:strike w:val="1"/>
        </w:rPr>
        <w:t>and 245 of the General Corporation Law of the State of Delaware, this Amended and Restated Certificate of Incorporation further amends and restates the provisions of Nasdaq’s Restated Certificate of Incorporation filed on May 11, 2009, to read in its entirety as follows:</w:t>
      </w:r>
    </w:p>
    <w:p>
      <w:pPr>
        <w:spacing w:after="0" w:line="21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ARTICLE FIRST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name of the corporation is The NASDAQ OMX Group,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SECOND</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address of Nasdaq’s registered office in the State of Delaware is 1209 Orange Street, City of Wilmington, County of New Castle, Delaware 19801. The name of Nasdaq’s registered agent at such address is The Corporation Trust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THIRD</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nature of the business or purposes to be conducted or promoted is to engage in any lawful act or activity for which corporations may be organized under the General Corporation Law of the State of Delaware.</w:t>
      </w:r>
    </w:p>
    <w:p>
      <w:pPr>
        <w:spacing w:after="0" w:line="13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FOURTH</w:t>
      </w:r>
    </w:p>
    <w:p>
      <w:pPr>
        <w:spacing w:after="0" w:line="193" w:lineRule="exact"/>
        <w:rPr>
          <w:sz w:val="20"/>
          <w:szCs w:val="20"/>
          <w:color w:val="auto"/>
        </w:rPr>
      </w:pPr>
    </w:p>
    <w:p>
      <w:pPr>
        <w:jc w:val="both"/>
        <w:ind w:left="800" w:hanging="792"/>
        <w:spacing w:after="0" w:line="238" w:lineRule="auto"/>
        <w:tabs>
          <w:tab w:leader="none" w:pos="8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total number of shares of Stock which Nasdaq shall have the authority to issue is Three Hundred Thirty Million (330,000,000), consisting of Thirty Million (30,000,000) shares of Preferred Stock, par value $.01 per share (hereinafter referred to as “Preferred Stock”), and Three Hundred Million (300,000,000) shares of Common Stock, par value $.01 per share (hereinafter referred to as “Common Stock”).</w:t>
      </w:r>
    </w:p>
    <w:p>
      <w:pPr>
        <w:spacing w:after="0" w:line="171" w:lineRule="exact"/>
        <w:rPr>
          <w:rFonts w:ascii="Arial" w:cs="Arial" w:eastAsia="Arial" w:hAnsi="Arial"/>
          <w:sz w:val="22"/>
          <w:szCs w:val="22"/>
          <w:color w:val="auto"/>
        </w:rPr>
      </w:pPr>
    </w:p>
    <w:p>
      <w:pPr>
        <w:jc w:val="both"/>
        <w:ind w:left="800" w:hanging="792"/>
        <w:spacing w:after="0" w:line="234" w:lineRule="auto"/>
        <w:tabs>
          <w:tab w:leader="none" w:pos="8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Preferred Stock may be issued from time to time in one or more series. The Board of Directors of Nasdaq (the “Board”) is hereby authorized to provide for the issuance of shares of Preferred Stock in one or more series and, by filing a certificate pursuant to the applicable law of the State of Delaware (hereinafter referred to as “Preferred Stock Designation”), to establish from time to time the number of shares to be included in each such series, and to fix the designation, powers, preferences and rights of the shares of each such series and the qualifications, limitations and restrictions thereof. The authority of the Board with respect to each series shall include, but not limited to, determination of the following:</w:t>
      </w:r>
    </w:p>
    <w:p>
      <w:pPr>
        <w:spacing w:after="0" w:line="177" w:lineRule="exact"/>
        <w:rPr>
          <w:rFonts w:ascii="Arial" w:cs="Arial" w:eastAsia="Arial" w:hAnsi="Arial"/>
          <w:sz w:val="22"/>
          <w:szCs w:val="22"/>
          <w:color w:val="auto"/>
        </w:rPr>
      </w:pPr>
    </w:p>
    <w:p>
      <w:pPr>
        <w:ind w:left="1700" w:hanging="895"/>
        <w:spacing w:after="0"/>
        <w:tabs>
          <w:tab w:leader="none" w:pos="17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designation of the series, which may be by distinguishing number, letter or title.</w:t>
      </w:r>
    </w:p>
    <w:p>
      <w:pPr>
        <w:spacing w:after="0" w:line="192" w:lineRule="exact"/>
        <w:rPr>
          <w:rFonts w:ascii="Arial" w:cs="Arial" w:eastAsia="Arial" w:hAnsi="Arial"/>
          <w:sz w:val="22"/>
          <w:szCs w:val="22"/>
          <w:color w:val="auto"/>
        </w:rPr>
      </w:pPr>
    </w:p>
    <w:p>
      <w:pPr>
        <w:jc w:val="both"/>
        <w:ind w:left="1700" w:hanging="895"/>
        <w:spacing w:after="0"/>
        <w:tabs>
          <w:tab w:leader="none" w:pos="17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number of shares of the series, which number the Board may thereafter (except where otherwise provided in the Preferred Stock Designation) increase or decrease (but not below the number of shares thereof then outstanding).</w:t>
      </w:r>
    </w:p>
    <w:p>
      <w:pPr>
        <w:spacing w:after="0" w:line="172" w:lineRule="exact"/>
        <w:rPr>
          <w:rFonts w:ascii="Arial" w:cs="Arial" w:eastAsia="Arial" w:hAnsi="Arial"/>
          <w:sz w:val="22"/>
          <w:szCs w:val="22"/>
          <w:color w:val="auto"/>
        </w:rPr>
      </w:pPr>
    </w:p>
    <w:p>
      <w:pPr>
        <w:ind w:left="1700" w:hanging="895"/>
        <w:spacing w:after="0" w:line="251" w:lineRule="auto"/>
        <w:tabs>
          <w:tab w:leader="none" w:pos="17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amounts payable on, and the preferences, if any, of shares of the series in respect of dividends, and whether such dividends, if any, shall be cumulative or noncumulative.</w:t>
      </w:r>
    </w:p>
    <w:p>
      <w:pPr>
        <w:spacing w:after="0" w:line="159" w:lineRule="exact"/>
        <w:rPr>
          <w:rFonts w:ascii="Arial" w:cs="Arial" w:eastAsia="Arial" w:hAnsi="Arial"/>
          <w:sz w:val="22"/>
          <w:szCs w:val="22"/>
          <w:color w:val="auto"/>
        </w:rPr>
      </w:pPr>
    </w:p>
    <w:p>
      <w:pPr>
        <w:ind w:left="1700" w:hanging="895"/>
        <w:spacing w:after="0"/>
        <w:tabs>
          <w:tab w:leader="none" w:pos="17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Dates at which dividends, if any, shall be payable.</w:t>
      </w:r>
    </w:p>
    <w:p>
      <w:pPr>
        <w:spacing w:after="0" w:line="192" w:lineRule="exact"/>
        <w:rPr>
          <w:rFonts w:ascii="Arial" w:cs="Arial" w:eastAsia="Arial" w:hAnsi="Arial"/>
          <w:sz w:val="22"/>
          <w:szCs w:val="22"/>
          <w:color w:val="auto"/>
        </w:rPr>
      </w:pPr>
    </w:p>
    <w:p>
      <w:pPr>
        <w:ind w:left="1700" w:hanging="895"/>
        <w:spacing w:after="0"/>
        <w:tabs>
          <w:tab w:leader="none" w:pos="17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redemption rights and price or prices, if any, for shares of the series.</w:t>
      </w:r>
    </w:p>
    <w:p>
      <w:pPr>
        <w:spacing w:after="0" w:line="192" w:lineRule="exact"/>
        <w:rPr>
          <w:rFonts w:ascii="Arial" w:cs="Arial" w:eastAsia="Arial" w:hAnsi="Arial"/>
          <w:sz w:val="22"/>
          <w:szCs w:val="22"/>
          <w:color w:val="auto"/>
        </w:rPr>
      </w:pPr>
    </w:p>
    <w:p>
      <w:pPr>
        <w:ind w:left="1700" w:hanging="895"/>
        <w:spacing w:after="0"/>
        <w:tabs>
          <w:tab w:leader="none" w:pos="1700"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terms and amount of any sinking fund provided for the purchase or redemption of shares of the series.</w:t>
      </w:r>
    </w:p>
    <w:p>
      <w:pPr>
        <w:spacing w:after="0" w:line="227" w:lineRule="exact"/>
        <w:rPr>
          <w:rFonts w:ascii="Arial" w:cs="Arial" w:eastAsia="Arial" w:hAnsi="Arial"/>
          <w:sz w:val="19"/>
          <w:szCs w:val="19"/>
          <w:color w:val="auto"/>
        </w:rPr>
      </w:pPr>
    </w:p>
    <w:p>
      <w:pPr>
        <w:ind w:left="1700" w:hanging="895"/>
        <w:spacing w:after="0" w:line="251" w:lineRule="auto"/>
        <w:tabs>
          <w:tab w:leader="none" w:pos="17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amounts payable on, and the preferences, if any, of shares of the series in the event of any voluntary or involuntary liquidation, dissolution or winding up of the affairs of Nasdaq.</w:t>
      </w:r>
    </w:p>
    <w:p>
      <w:pPr>
        <w:spacing w:after="0" w:line="159" w:lineRule="exact"/>
        <w:rPr>
          <w:rFonts w:ascii="Arial" w:cs="Arial" w:eastAsia="Arial" w:hAnsi="Arial"/>
          <w:sz w:val="22"/>
          <w:szCs w:val="22"/>
          <w:color w:val="auto"/>
        </w:rPr>
      </w:pPr>
    </w:p>
    <w:p>
      <w:pPr>
        <w:jc w:val="both"/>
        <w:ind w:left="1700" w:hanging="895"/>
        <w:spacing w:after="0" w:line="249" w:lineRule="auto"/>
        <w:tabs>
          <w:tab w:leader="none" w:pos="1700" w:val="left"/>
        </w:tabs>
        <w:numPr>
          <w:ilvl w:val="1"/>
          <w:numId w:val="83"/>
        </w:numPr>
        <w:rPr>
          <w:rFonts w:ascii="Arial" w:cs="Arial" w:eastAsia="Arial" w:hAnsi="Arial"/>
          <w:sz w:val="21"/>
          <w:szCs w:val="21"/>
          <w:color w:val="auto"/>
        </w:rPr>
      </w:pPr>
      <w:r>
        <w:rPr>
          <w:rFonts w:ascii="Arial" w:cs="Arial" w:eastAsia="Arial" w:hAnsi="Arial"/>
          <w:sz w:val="21"/>
          <w:szCs w:val="21"/>
          <w:color w:val="auto"/>
        </w:rPr>
        <w:t>Whether the shares of the series shall be convertible into or exchangeable for shares of any other class or series, or any other security, of Nasdaq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3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700" w:hanging="895"/>
        <w:spacing w:after="0"/>
        <w:tabs>
          <w:tab w:leader="none" w:pos="17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Restrictions on the issuance of shares of the same series or of any other class or series.</w:t>
      </w:r>
    </w:p>
    <w:p>
      <w:pPr>
        <w:spacing w:after="0" w:line="192" w:lineRule="exact"/>
        <w:rPr>
          <w:rFonts w:ascii="Arial" w:cs="Arial" w:eastAsia="Arial" w:hAnsi="Arial"/>
          <w:sz w:val="22"/>
          <w:szCs w:val="22"/>
          <w:color w:val="auto"/>
        </w:rPr>
      </w:pPr>
    </w:p>
    <w:p>
      <w:pPr>
        <w:ind w:left="1700" w:hanging="895"/>
        <w:spacing w:after="0"/>
        <w:tabs>
          <w:tab w:leader="none" w:pos="17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voting rights, if any, of the holders of shares of the series.</w:t>
      </w:r>
    </w:p>
    <w:p>
      <w:pPr>
        <w:spacing w:after="0" w:line="192" w:lineRule="exact"/>
        <w:rPr>
          <w:rFonts w:ascii="Arial" w:cs="Arial" w:eastAsia="Arial" w:hAnsi="Arial"/>
          <w:sz w:val="22"/>
          <w:szCs w:val="22"/>
          <w:color w:val="auto"/>
        </w:rPr>
      </w:pPr>
    </w:p>
    <w:p>
      <w:pPr>
        <w:jc w:val="both"/>
        <w:ind w:left="800" w:hanging="792"/>
        <w:spacing w:after="0" w:line="287" w:lineRule="auto"/>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1. </w:t>
      </w:r>
      <w:r>
        <w:rPr>
          <w:rFonts w:ascii="Arial" w:cs="Arial" w:eastAsia="Arial" w:hAnsi="Arial"/>
          <w:sz w:val="19"/>
          <w:szCs w:val="19"/>
          <w:color w:val="auto"/>
          <w:strike w:val="1"/>
        </w:rPr>
        <w:t>(a)</w:t>
      </w:r>
      <w:r>
        <w:rPr>
          <w:rFonts w:ascii="Arial" w:cs="Arial" w:eastAsia="Arial" w:hAnsi="Arial"/>
          <w:sz w:val="19"/>
          <w:szCs w:val="19"/>
          <w:color w:val="auto"/>
        </w:rPr>
        <w:t xml:space="preserve"> Except as may otherwise be provided in this Restated Certificate of Incorporation (including any Preferred Stock Designation) or by applicable law, each holder of Common Stock, as such, shall be entitled to one vote for each share of Common Stock held of record by such holder on all matters on which stockholders generally are entitled to vote, and no holder of any series of Preferred Stock, as such, shall be entitled to any voting powers in respect thereof.</w:t>
      </w:r>
    </w:p>
    <w:p>
      <w:pPr>
        <w:spacing w:after="0" w:line="130" w:lineRule="exact"/>
        <w:rPr>
          <w:sz w:val="20"/>
          <w:szCs w:val="20"/>
          <w:color w:val="auto"/>
        </w:rPr>
      </w:pPr>
    </w:p>
    <w:p>
      <w:pPr>
        <w:jc w:val="both"/>
        <w:ind w:left="1700" w:hanging="895"/>
        <w:spacing w:after="0" w:line="271" w:lineRule="auto"/>
        <w:tabs>
          <w:tab w:leader="none" w:pos="1700" w:val="left"/>
        </w:tabs>
        <w:numPr>
          <w:ilvl w:val="0"/>
          <w:numId w:val="86"/>
        </w:numPr>
        <w:rPr>
          <w:rFonts w:ascii="Arial" w:cs="Arial" w:eastAsia="Arial" w:hAnsi="Arial"/>
          <w:sz w:val="19"/>
          <w:szCs w:val="19"/>
          <w:color w:val="auto"/>
          <w:strike w:val="1"/>
        </w:rPr>
      </w:pPr>
      <w:r>
        <w:rPr>
          <w:rFonts w:ascii="Arial" w:cs="Arial" w:eastAsia="Arial" w:hAnsi="Arial"/>
          <w:sz w:val="19"/>
          <w:szCs w:val="19"/>
          <w:color w:val="auto"/>
          <w:strike w:val="1"/>
        </w:rPr>
        <w:t>Except as may otherwise be provided in this Restated Certificate of Incorporation or by applicable law, the holders of the 3.75% Series A Convertible Notes due 2012 (as may be amended, supplemented or otherwise modified from time to time, the “Series A Notes”) and the 3.75% Series B Convertible Notes due 2012 (as may be amended, supplemented or otherwise modified from time to time, the “Series B Notes” and, together with the Series A Notes, the “Notes”) which may be issued from time to time by Nasdaq shall be entitled to vote on all matters submitted to a vote of the stockholders of Nasdaq, voting together with the holders of the Common Stock (and of any other shares of capital stock of Nasdaq entitled to vote at a meeting of stockholders) as one class. Each principal amount of Notes shall be entitled to a number of votes equal to the number of votes represented by the Common Stock of Nasdaq that could then be acquired upon conversion of such principal amount of Notes into Common Stock, subject to adjustments as provided in the Notes and the Indenture dated as of April 22, 2005 between Nasdaq and Law Debenture Trust Company of New York, as trustee, as such Indenture may be amended, supplemented or otherwise modified from time to time. Holders of the Notes shall be deemed to be stockholders of Nasdaq, and the Notes shall be deemed to be shares of stock, solely for the purpose of any provision of the General Corporation Law of the State of Delaware or this Restated Certificate of Incorporation that requires the vote of stockholders as a prerequisite to any corporate action.</w:t>
      </w:r>
    </w:p>
    <w:p>
      <w:pPr>
        <w:spacing w:after="0" w:line="148" w:lineRule="exact"/>
        <w:rPr>
          <w:sz w:val="20"/>
          <w:szCs w:val="20"/>
          <w:color w:val="auto"/>
        </w:rPr>
      </w:pPr>
    </w:p>
    <w:p>
      <w:pPr>
        <w:jc w:val="both"/>
        <w:ind w:left="1700" w:hanging="895"/>
        <w:spacing w:after="0" w:line="277" w:lineRule="auto"/>
        <w:tabs>
          <w:tab w:leader="none" w:pos="17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Restated Certificate of Incorporation, but subject to subparagraph 6 of this paragraph C. of this Article Fourth, in no event shall </w:t>
      </w:r>
      <w:r>
        <w:rPr>
          <w:rFonts w:ascii="Arial" w:cs="Arial" w:eastAsia="Arial" w:hAnsi="Arial"/>
          <w:sz w:val="19"/>
          <w:szCs w:val="19"/>
          <w:color w:val="auto"/>
          <w:strike w:val="1"/>
        </w:rPr>
        <w:t>(i)</w:t>
      </w:r>
      <w:r>
        <w:rPr>
          <w:rFonts w:ascii="Arial" w:cs="Arial" w:eastAsia="Arial" w:hAnsi="Arial"/>
          <w:sz w:val="19"/>
          <w:szCs w:val="19"/>
          <w:color w:val="auto"/>
        </w:rPr>
        <w:t xml:space="preserve"> any record owner of any outstanding Common Stock or Preferred Stock which is beneficially owned, directly or indirectly, as of any record date for the determination of stockholders </w:t>
      </w:r>
      <w:r>
        <w:rPr>
          <w:rFonts w:ascii="Arial" w:cs="Arial" w:eastAsia="Arial" w:hAnsi="Arial"/>
          <w:sz w:val="19"/>
          <w:szCs w:val="19"/>
          <w:color w:val="auto"/>
          <w:strike w:val="1"/>
        </w:rPr>
        <w:t>and/or holders of Notes entitled to vote on any matter, or (ii) any holder of any</w:t>
      </w:r>
      <w:r>
        <w:rPr>
          <w:rFonts w:ascii="Arial" w:cs="Arial" w:eastAsia="Arial" w:hAnsi="Arial"/>
          <w:sz w:val="19"/>
          <w:szCs w:val="19"/>
          <w:color w:val="auto"/>
        </w:rPr>
        <w:t xml:space="preserve"> </w:t>
      </w:r>
      <w:r>
        <w:rPr>
          <w:rFonts w:ascii="Arial" w:cs="Arial" w:eastAsia="Arial" w:hAnsi="Arial"/>
          <w:sz w:val="19"/>
          <w:szCs w:val="19"/>
          <w:color w:val="auto"/>
          <w:strike w:val="1"/>
        </w:rPr>
        <w:t xml:space="preserve">Notes which are beneficially owned, directly or indirectly, as of any record date for the determination of stockholders and/or holders of Notes entitled to vote on any matter, by a person (other than an Exempt Person) who beneficially owns shares of Common Stock, </w:t>
      </w:r>
      <w:r>
        <w:rPr>
          <w:rFonts w:ascii="Arial" w:cs="Arial" w:eastAsia="Arial" w:hAnsi="Arial"/>
          <w:sz w:val="19"/>
          <w:szCs w:val="19"/>
          <w:u w:val="single" w:color="auto"/>
          <w:color w:val="auto"/>
          <w:strike w:val="1"/>
        </w:rPr>
        <w:t>and/or</w:t>
      </w:r>
      <w:r>
        <w:rPr>
          <w:rFonts w:ascii="Arial" w:cs="Arial" w:eastAsia="Arial" w:hAnsi="Arial"/>
          <w:sz w:val="19"/>
          <w:szCs w:val="19"/>
          <w:color w:val="auto"/>
          <w:strike w:val="1"/>
        </w:rPr>
        <w:t xml:space="preserve"> Preferred Stock and/or Notes in excess of five</w:t>
      </w:r>
    </w:p>
    <w:p>
      <w:pPr>
        <w:spacing w:after="0" w:line="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1700"/>
        <w:spacing w:after="0" w:line="277" w:lineRule="auto"/>
        <w:rPr>
          <w:sz w:val="20"/>
          <w:szCs w:val="20"/>
          <w:color w:val="auto"/>
        </w:rPr>
      </w:pPr>
      <w:r>
        <w:rPr>
          <w:rFonts w:ascii="Arial" w:cs="Arial" w:eastAsia="Arial" w:hAnsi="Arial"/>
          <w:sz w:val="19"/>
          <w:szCs w:val="19"/>
          <w:color w:val="auto"/>
        </w:rPr>
        <w:t xml:space="preserve">percent (5%) of the then-outstanding shares of stock generally entitled to vote as of the record date in respect of such matter (“Excess Shares </w:t>
      </w:r>
      <w:r>
        <w:rPr>
          <w:rFonts w:ascii="Arial" w:cs="Arial" w:eastAsia="Arial" w:hAnsi="Arial"/>
          <w:sz w:val="19"/>
          <w:szCs w:val="19"/>
          <w:color w:val="auto"/>
          <w:strike w:val="1"/>
        </w:rPr>
        <w:t>and/or Notes</w:t>
      </w:r>
      <w:r>
        <w:rPr>
          <w:rFonts w:ascii="Arial" w:cs="Arial" w:eastAsia="Arial" w:hAnsi="Arial"/>
          <w:sz w:val="19"/>
          <w:szCs w:val="19"/>
          <w:color w:val="auto"/>
        </w:rPr>
        <w:t xml:space="preserve">”), be entitled or permitted to vote any Excess Shares </w:t>
      </w:r>
      <w:r>
        <w:rPr>
          <w:rFonts w:ascii="Arial" w:cs="Arial" w:eastAsia="Arial" w:hAnsi="Arial"/>
          <w:sz w:val="19"/>
          <w:szCs w:val="19"/>
          <w:color w:val="auto"/>
          <w:strike w:val="1"/>
        </w:rPr>
        <w:t>and/or Notes</w:t>
      </w:r>
      <w:r>
        <w:rPr>
          <w:rFonts w:ascii="Arial" w:cs="Arial" w:eastAsia="Arial" w:hAnsi="Arial"/>
          <w:sz w:val="19"/>
          <w:szCs w:val="19"/>
          <w:color w:val="auto"/>
        </w:rPr>
        <w:t xml:space="preserve"> on such matter. For all purposes hereof, any calculation of the number of shares of stock outstanding at any particular time, including for purposes of determining the particular percentage of such outstanding shares of stock of which any person is the beneficial owner, shall be made in accordance with the last sentence of Rule 13d-3(d)(1)(i) of the General Rules and Regulations under the Securities Exchange Act of 1934, as amended (the “Exchange Act”), as in effect on the date of filing this Restated Certificate of Incorporation.</w:t>
      </w:r>
    </w:p>
    <w:p>
      <w:pPr>
        <w:spacing w:after="0" w:line="139" w:lineRule="exact"/>
        <w:rPr>
          <w:sz w:val="20"/>
          <w:szCs w:val="20"/>
          <w:color w:val="auto"/>
        </w:rPr>
      </w:pPr>
    </w:p>
    <w:p>
      <w:pPr>
        <w:ind w:left="1700" w:hanging="895"/>
        <w:spacing w:after="0"/>
        <w:tabs>
          <w:tab w:leader="none" w:pos="17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following definitions shall apply to this paragraph C. of this Article Fourth:</w:t>
      </w:r>
    </w:p>
    <w:p>
      <w:pPr>
        <w:spacing w:after="0" w:line="193" w:lineRule="exact"/>
        <w:rPr>
          <w:sz w:val="20"/>
          <w:szCs w:val="20"/>
          <w:color w:val="auto"/>
        </w:rPr>
      </w:pPr>
    </w:p>
    <w:p>
      <w:pPr>
        <w:ind w:left="1700" w:hanging="895"/>
        <w:spacing w:after="0" w:line="328" w:lineRule="auto"/>
        <w:tabs>
          <w:tab w:leader="none" w:pos="17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“Affiliate” shall have the meaning ascribed to that term in Rule 12b-2 of the General Rules and Regulations under the Exchange Act, as in effect on the date of filing this Restated Certificate of Incorporation.</w:t>
      </w:r>
    </w:p>
    <w:p>
      <w:pPr>
        <w:spacing w:after="0" w:line="91" w:lineRule="exact"/>
        <w:rPr>
          <w:rFonts w:ascii="Arial" w:cs="Arial" w:eastAsia="Arial" w:hAnsi="Arial"/>
          <w:sz w:val="19"/>
          <w:szCs w:val="19"/>
          <w:color w:val="auto"/>
        </w:rPr>
      </w:pPr>
    </w:p>
    <w:p>
      <w:pPr>
        <w:ind w:left="1700" w:hanging="895"/>
        <w:spacing w:after="0" w:line="251" w:lineRule="auto"/>
        <w:tabs>
          <w:tab w:leader="none" w:pos="17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 person shall be deemed the “beneficial owner” of, shall be deemed to have “beneficial ownership” of and shall be deemed to “beneficially own” any securities:</w:t>
      </w:r>
    </w:p>
    <w:p>
      <w:pPr>
        <w:spacing w:after="0" w:line="159" w:lineRule="exact"/>
        <w:rPr>
          <w:rFonts w:ascii="Arial" w:cs="Arial" w:eastAsia="Arial" w:hAnsi="Arial"/>
          <w:sz w:val="22"/>
          <w:szCs w:val="22"/>
          <w:color w:val="auto"/>
        </w:rPr>
      </w:pPr>
    </w:p>
    <w:p>
      <w:pPr>
        <w:jc w:val="both"/>
        <w:ind w:left="2620" w:hanging="910"/>
        <w:spacing w:after="0" w:line="258" w:lineRule="auto"/>
        <w:tabs>
          <w:tab w:leader="none" w:pos="2620" w:val="left"/>
        </w:tabs>
        <w:numPr>
          <w:ilvl w:val="1"/>
          <w:numId w:val="89"/>
        </w:numPr>
        <w:rPr>
          <w:rFonts w:ascii="Arial" w:cs="Arial" w:eastAsia="Arial" w:hAnsi="Arial"/>
          <w:sz w:val="21"/>
          <w:szCs w:val="21"/>
          <w:color w:val="auto"/>
        </w:rPr>
      </w:pPr>
      <w:r>
        <w:rPr>
          <w:rFonts w:ascii="Arial" w:cs="Arial" w:eastAsia="Arial" w:hAnsi="Arial"/>
          <w:sz w:val="21"/>
          <w:szCs w:val="21"/>
          <w:color w:val="auto"/>
        </w:rPr>
        <w:t>which such person or any of such person’s Affiliates is deemed to beneficially own, directly or indirectly, within the meaning of Rule l3d-3 of the General Rules and Regulations under the Exchange Act as in effect on the date of the filing of this Restated Certificate of Incorporation;</w:t>
      </w:r>
    </w:p>
    <w:p>
      <w:pPr>
        <w:spacing w:after="0" w:line="153" w:lineRule="exact"/>
        <w:rPr>
          <w:rFonts w:ascii="Arial" w:cs="Arial" w:eastAsia="Arial" w:hAnsi="Arial"/>
          <w:sz w:val="21"/>
          <w:szCs w:val="21"/>
          <w:color w:val="auto"/>
        </w:rPr>
      </w:pPr>
    </w:p>
    <w:p>
      <w:pPr>
        <w:jc w:val="both"/>
        <w:ind w:left="2620" w:hanging="910"/>
        <w:spacing w:after="0" w:line="272" w:lineRule="auto"/>
        <w:tabs>
          <w:tab w:leader="none" w:pos="2620" w:val="left"/>
        </w:tabs>
        <w:numPr>
          <w:ilvl w:val="1"/>
          <w:numId w:val="89"/>
        </w:numPr>
        <w:rPr>
          <w:rFonts w:ascii="Arial" w:cs="Arial" w:eastAsia="Arial" w:hAnsi="Arial"/>
          <w:sz w:val="19"/>
          <w:szCs w:val="19"/>
          <w:color w:val="auto"/>
        </w:rPr>
      </w:pPr>
      <w:r>
        <w:rPr>
          <w:rFonts w:ascii="Arial" w:cs="Arial" w:eastAsia="Arial" w:hAnsi="Arial"/>
          <w:sz w:val="19"/>
          <w:szCs w:val="19"/>
          <w:color w:val="auto"/>
        </w:rPr>
        <w:t>which such person or any of such person’s Affiliates has (A)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or upon the exercise of conversion rights, exchange rights, rights, warrants or options, or otherwise; provided, however, that a person shall not be deemed the beneficial owner of, or to beneficially own, securities tendered pursuant to a tender or exchange offer made by or on behalf of such person or any of such person’s Affiliates until such tendered securities are accepted for purchase; or (B) the right to vote pursuant to any agreement, arrangement or understanding; provided, however, that a person shall not be deemed the beneficial owner of, or to beneficially own, any security by reason of such agreement, arrangement or understanding if the agreement, arrangement or understanding to vote such security (1) arises solely from a revocable proxy or consent given to such person</w:t>
      </w:r>
    </w:p>
    <w:p>
      <w:pPr>
        <w:spacing w:after="0" w:line="119"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2620"/>
        <w:spacing w:after="0" w:line="297" w:lineRule="auto"/>
        <w:rPr>
          <w:sz w:val="20"/>
          <w:szCs w:val="20"/>
          <w:color w:val="auto"/>
        </w:rPr>
      </w:pPr>
      <w:r>
        <w:rPr>
          <w:rFonts w:ascii="Arial" w:cs="Arial" w:eastAsia="Arial" w:hAnsi="Arial"/>
          <w:sz w:val="19"/>
          <w:szCs w:val="19"/>
          <w:color w:val="auto"/>
        </w:rPr>
        <w:t>in response to a public proxy or consent solicitation made pursuant to, and in accordance with, the applicable rules and regulations promulgated under the Exchange Act and (2) is not also then reportable on Schedule 13D under the Exchange Act (or any comparable or successor report); or</w:t>
      </w:r>
    </w:p>
    <w:p>
      <w:pPr>
        <w:spacing w:after="0" w:line="121" w:lineRule="exact"/>
        <w:rPr>
          <w:sz w:val="20"/>
          <w:szCs w:val="20"/>
          <w:color w:val="auto"/>
        </w:rPr>
      </w:pPr>
    </w:p>
    <w:p>
      <w:pPr>
        <w:jc w:val="both"/>
        <w:ind w:left="2620" w:hanging="910"/>
        <w:spacing w:after="0" w:line="271" w:lineRule="auto"/>
        <w:tabs>
          <w:tab w:leader="none" w:pos="2620"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which are beneficially owned, directly or indirectly, by any other person and with respect to which such person or any of such person’s Affiliates has any agreement, arrangement or understanding (other than customary agreements with and between underwriters and selling group members with respect to a bona fide public offering of securities) for the purpose of acquiring, holding, voting (except to the extent contemplated by the proviso to (b)(ii)(B) above) or disposing of such securities; provided, however, that </w:t>
      </w:r>
      <w:r>
        <w:rPr>
          <w:rFonts w:ascii="Arial" w:cs="Arial" w:eastAsia="Arial" w:hAnsi="Arial"/>
          <w:sz w:val="19"/>
          <w:szCs w:val="19"/>
          <w:color w:val="auto"/>
          <w:strike w:val="1"/>
        </w:rPr>
        <w:t>(A)</w:t>
      </w:r>
      <w:r>
        <w:rPr>
          <w:rFonts w:ascii="Arial" w:cs="Arial" w:eastAsia="Arial" w:hAnsi="Arial"/>
          <w:sz w:val="19"/>
          <w:szCs w:val="19"/>
          <w:color w:val="auto"/>
        </w:rPr>
        <w:t xml:space="preserve"> 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herein), including, without limitation, in a fiduciary capacity, by an Exempt Person or by any other such officer, director or employee of an Exempt Person</w:t>
      </w:r>
      <w:r>
        <w:rPr>
          <w:rFonts w:ascii="Arial" w:cs="Arial" w:eastAsia="Arial" w:hAnsi="Arial"/>
          <w:sz w:val="19"/>
          <w:szCs w:val="19"/>
          <w:color w:val="auto"/>
          <w:strike w:val="1"/>
        </w:rPr>
        <w:t>, and (B) the</w:t>
      </w:r>
      <w:r>
        <w:rPr>
          <w:rFonts w:ascii="Arial" w:cs="Arial" w:eastAsia="Arial" w:hAnsi="Arial"/>
          <w:sz w:val="19"/>
          <w:szCs w:val="19"/>
          <w:color w:val="auto"/>
        </w:rPr>
        <w:t xml:space="preserve"> </w:t>
      </w:r>
      <w:r>
        <w:rPr>
          <w:rFonts w:ascii="Arial" w:cs="Arial" w:eastAsia="Arial" w:hAnsi="Arial"/>
          <w:sz w:val="19"/>
          <w:szCs w:val="19"/>
          <w:color w:val="auto"/>
          <w:strike w:val="1"/>
        </w:rPr>
        <w:t>Voting Trustee, as defined in the Voting Trust Agreement by and among Nasdaq, the National Association of Securities Dealers, Inc., a Delaware corporation (the “NASD”), and The Bank of New York, a New York banking corporation, as such may be amended from time to time (the “Voting Trust Agreement”), shall not be deemed, solely by reason of such person’s status or authority as such, to be the “beneficial owner” of, to have “beneficial ownership” of or to “beneficially own” any securities that are governed by and held in accordance with the Voting Trust Agreement.</w:t>
      </w:r>
    </w:p>
    <w:p>
      <w:pPr>
        <w:spacing w:after="0" w:line="144" w:lineRule="exact"/>
        <w:rPr>
          <w:rFonts w:ascii="Arial" w:cs="Arial" w:eastAsia="Arial" w:hAnsi="Arial"/>
          <w:sz w:val="19"/>
          <w:szCs w:val="19"/>
          <w:color w:val="auto"/>
        </w:rPr>
      </w:pPr>
    </w:p>
    <w:p>
      <w:pPr>
        <w:ind w:left="1700" w:hanging="895"/>
        <w:spacing w:after="0"/>
        <w:tabs>
          <w:tab w:leader="none" w:pos="17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 “person” shall mean any individual, firm, corporation, partnership, limited liability company or other entity.</w:t>
      </w:r>
    </w:p>
    <w:p>
      <w:pPr>
        <w:spacing w:after="0" w:line="227" w:lineRule="exact"/>
        <w:rPr>
          <w:rFonts w:ascii="Arial" w:cs="Arial" w:eastAsia="Arial" w:hAnsi="Arial"/>
          <w:sz w:val="19"/>
          <w:szCs w:val="19"/>
          <w:color w:val="auto"/>
        </w:rPr>
      </w:pPr>
    </w:p>
    <w:p>
      <w:pPr>
        <w:jc w:val="both"/>
        <w:ind w:left="1700" w:hanging="895"/>
        <w:spacing w:after="0" w:line="287" w:lineRule="auto"/>
        <w:tabs>
          <w:tab w:leader="none" w:pos="17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“Exempt Person” shall mean Nasdaq or any Subsidiary of Nasdaq, in each case including, without limitation, in its fiduciary capacity, or any employee benefit plan of Nasdaq or of any Subsidiary of Nasdaq, or any entity or trustee holding stock for or pursuant to the terms of any such plan or for the purpose of funding any such plan or funding other employee benefits for employees of Nasdaq or of any Subsidiary of Nasdaq.</w:t>
      </w:r>
    </w:p>
    <w:p>
      <w:pPr>
        <w:spacing w:after="0" w:line="129" w:lineRule="exact"/>
        <w:rPr>
          <w:rFonts w:ascii="Arial" w:cs="Arial" w:eastAsia="Arial" w:hAnsi="Arial"/>
          <w:sz w:val="19"/>
          <w:szCs w:val="19"/>
          <w:color w:val="auto"/>
        </w:rPr>
      </w:pPr>
    </w:p>
    <w:p>
      <w:pPr>
        <w:jc w:val="both"/>
        <w:ind w:left="1700" w:hanging="895"/>
        <w:spacing w:after="0" w:line="238" w:lineRule="auto"/>
        <w:tabs>
          <w:tab w:leader="none" w:pos="17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“Subsidiary” of any person shall mean any corporation or other entity of which securities or other ownership interests having ordinary voting power sufficient to elect a majority of the board of directors or other persons performing similar functions are beneficially owned, directly or indirectly, by such person, and any corporation or other entity that is otherwise controlled by such person.</w:t>
      </w:r>
    </w:p>
    <w:p>
      <w:pPr>
        <w:spacing w:after="0" w:line="142" w:lineRule="exact"/>
        <w:rPr>
          <w:sz w:val="20"/>
          <w:szCs w:val="20"/>
          <w:color w:val="auto"/>
        </w:rPr>
      </w:pPr>
    </w:p>
    <w:p>
      <w:pPr>
        <w:ind w:left="8220"/>
        <w:spacing w:after="0"/>
        <w:tabs>
          <w:tab w:leader="none" w:pos="1110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1700" w:hanging="895"/>
        <w:spacing w:after="0" w:line="234" w:lineRule="auto"/>
        <w:tabs>
          <w:tab w:leader="none" w:pos="17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The Board shall have the power to construe and apply the provisions of this paragraph C. of this Article Fourth and to make all determinations necessary or desirable to implement such provisions, including, but not limited to, matters with respect to (1) the number of shares of stock beneficially owned by any person, (2) </w:t>
      </w:r>
      <w:r>
        <w:rPr>
          <w:rFonts w:ascii="Arial" w:cs="Arial" w:eastAsia="Arial" w:hAnsi="Arial"/>
          <w:sz w:val="22"/>
          <w:szCs w:val="22"/>
          <w:color w:val="auto"/>
          <w:strike w:val="1"/>
        </w:rPr>
        <w:t>the number</w:t>
      </w:r>
      <w:r>
        <w:rPr>
          <w:rFonts w:ascii="Arial" w:cs="Arial" w:eastAsia="Arial" w:hAnsi="Arial"/>
          <w:sz w:val="22"/>
          <w:szCs w:val="22"/>
          <w:color w:val="auto"/>
        </w:rPr>
        <w:t xml:space="preserve"> </w:t>
      </w:r>
      <w:r>
        <w:rPr>
          <w:rFonts w:ascii="Arial" w:cs="Arial" w:eastAsia="Arial" w:hAnsi="Arial"/>
          <w:sz w:val="22"/>
          <w:szCs w:val="22"/>
          <w:color w:val="auto"/>
          <w:strike w:val="1"/>
        </w:rPr>
        <w:t>of Notes beneficially owned by any person, (3)</w:t>
      </w:r>
      <w:r>
        <w:rPr>
          <w:rFonts w:ascii="Arial" w:cs="Arial" w:eastAsia="Arial" w:hAnsi="Arial"/>
          <w:sz w:val="22"/>
          <w:szCs w:val="22"/>
          <w:color w:val="auto"/>
        </w:rPr>
        <w:t xml:space="preserve"> whether a person is an Affiliate of another, (</w:t>
      </w:r>
      <w:r>
        <w:rPr>
          <w:rFonts w:ascii="Arial" w:cs="Arial" w:eastAsia="Arial" w:hAnsi="Arial"/>
          <w:sz w:val="22"/>
          <w:szCs w:val="22"/>
          <w:color w:val="auto"/>
          <w:strike w:val="1"/>
        </w:rPr>
        <w:t>4</w:t>
      </w:r>
      <w:r>
        <w:rPr>
          <w:rFonts w:ascii="Arial" w:cs="Arial" w:eastAsia="Arial" w:hAnsi="Arial"/>
          <w:sz w:val="22"/>
          <w:szCs w:val="22"/>
          <w:u w:val="single" w:color="auto"/>
          <w:color w:val="auto"/>
        </w:rPr>
        <w:t>3</w:t>
      </w:r>
      <w:r>
        <w:rPr>
          <w:rFonts w:ascii="Arial" w:cs="Arial" w:eastAsia="Arial" w:hAnsi="Arial"/>
          <w:sz w:val="22"/>
          <w:szCs w:val="22"/>
          <w:color w:val="auto"/>
        </w:rPr>
        <w:t>) whether a person has an agreement, arrangement or understanding with another as to the matters referred to in the definition of beneficial ownership, (</w:t>
      </w:r>
      <w:r>
        <w:rPr>
          <w:rFonts w:ascii="Arial" w:cs="Arial" w:eastAsia="Arial" w:hAnsi="Arial"/>
          <w:sz w:val="22"/>
          <w:szCs w:val="22"/>
          <w:color w:val="auto"/>
          <w:strike w:val="1"/>
        </w:rPr>
        <w:t>5</w:t>
      </w:r>
      <w:r>
        <w:rPr>
          <w:rFonts w:ascii="Arial" w:cs="Arial" w:eastAsia="Arial" w:hAnsi="Arial"/>
          <w:sz w:val="22"/>
          <w:szCs w:val="22"/>
          <w:u w:val="single" w:color="auto"/>
          <w:color w:val="auto"/>
        </w:rPr>
        <w:t>4</w:t>
      </w:r>
      <w:r>
        <w:rPr>
          <w:rFonts w:ascii="Arial" w:cs="Arial" w:eastAsia="Arial" w:hAnsi="Arial"/>
          <w:sz w:val="22"/>
          <w:szCs w:val="22"/>
          <w:color w:val="auto"/>
        </w:rPr>
        <w:t>) the application of any other definition or operative provision hereof to the given facts, or (</w:t>
      </w:r>
      <w:r>
        <w:rPr>
          <w:rFonts w:ascii="Arial" w:cs="Arial" w:eastAsia="Arial" w:hAnsi="Arial"/>
          <w:sz w:val="22"/>
          <w:szCs w:val="22"/>
          <w:color w:val="auto"/>
          <w:strike w:val="1"/>
        </w:rPr>
        <w:t>6</w:t>
      </w:r>
      <w:r>
        <w:rPr>
          <w:rFonts w:ascii="Arial" w:cs="Arial" w:eastAsia="Arial" w:hAnsi="Arial"/>
          <w:sz w:val="22"/>
          <w:szCs w:val="22"/>
          <w:u w:val="single" w:color="auto"/>
          <w:color w:val="auto"/>
        </w:rPr>
        <w:t>5</w:t>
      </w:r>
      <w:r>
        <w:rPr>
          <w:rFonts w:ascii="Arial" w:cs="Arial" w:eastAsia="Arial" w:hAnsi="Arial"/>
          <w:sz w:val="22"/>
          <w:szCs w:val="22"/>
          <w:color w:val="auto"/>
        </w:rPr>
        <w:t>) any other matter relating to the applicability or effect of this paragraph C. of this Article Fourth.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6524625</wp:posOffset>
            </wp:positionH>
            <wp:positionV relativeFrom="paragraph">
              <wp:posOffset>-647065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-312420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-158115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left="1700" w:hanging="895"/>
        <w:spacing w:after="0" w:line="249" w:lineRule="auto"/>
        <w:tabs>
          <w:tab w:leader="none" w:pos="1700"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The Board shall have the right to demand that any person who is reasonably believed to hold of record or beneficially own Excess Shares </w:t>
      </w:r>
      <w:r>
        <w:rPr>
          <w:rFonts w:ascii="Arial" w:cs="Arial" w:eastAsia="Arial" w:hAnsi="Arial"/>
          <w:sz w:val="21"/>
          <w:szCs w:val="21"/>
          <w:color w:val="auto"/>
          <w:strike w:val="1"/>
        </w:rPr>
        <w:t>and/or Notes</w:t>
      </w:r>
      <w:r>
        <w:rPr>
          <w:rFonts w:ascii="Arial" w:cs="Arial" w:eastAsia="Arial" w:hAnsi="Arial"/>
          <w:sz w:val="21"/>
          <w:szCs w:val="21"/>
          <w:color w:val="auto"/>
        </w:rPr>
        <w:t xml:space="preserve"> supply Nasdaq with complete information as to (a) the record owner(s) of all shares and/or Notes beneficially owned by such person who is reasonably believed to own Excess Shares and/or Notes, and (b) any other factual matter relating to the applicability or effect of this paragraph C. of this Article Fourth as may reasonably be requested of such person.</w:t>
      </w:r>
    </w:p>
    <w:p>
      <w:pPr>
        <w:spacing w:after="0" w:line="165" w:lineRule="exact"/>
        <w:rPr>
          <w:rFonts w:ascii="Arial" w:cs="Arial" w:eastAsia="Arial" w:hAnsi="Arial"/>
          <w:sz w:val="21"/>
          <w:szCs w:val="21"/>
          <w:color w:val="auto"/>
        </w:rPr>
      </w:pPr>
    </w:p>
    <w:p>
      <w:pPr>
        <w:jc w:val="both"/>
        <w:ind w:left="1700" w:hanging="895"/>
        <w:spacing w:after="0" w:line="238" w:lineRule="auto"/>
        <w:tabs>
          <w:tab w:leader="none" w:pos="17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constructions, applications, or determinations made by the Board, pursuant to this paragraph C. of this Article Fourth, in good faith and on the basis of such information and assistance as was then reasonably available for such purpose, shall be conclusive and binding upon Nasdaq</w:t>
      </w:r>
      <w:r>
        <w:rPr>
          <w:rFonts w:ascii="Arial" w:cs="Arial" w:eastAsia="Arial" w:hAnsi="Arial"/>
          <w:sz w:val="22"/>
          <w:szCs w:val="22"/>
          <w:color w:val="auto"/>
          <w:strike w:val="1"/>
        </w:rPr>
        <w:t>,</w:t>
      </w:r>
      <w:r>
        <w:rPr>
          <w:rFonts w:ascii="Arial" w:cs="Arial" w:eastAsia="Arial" w:hAnsi="Arial"/>
          <w:sz w:val="22"/>
          <w:szCs w:val="22"/>
          <w:color w:val="auto"/>
        </w:rPr>
        <w:t xml:space="preserve"> and its stockholders and the holders </w:t>
      </w:r>
      <w:r>
        <w:rPr>
          <w:rFonts w:ascii="Arial" w:cs="Arial" w:eastAsia="Arial" w:hAnsi="Arial"/>
          <w:sz w:val="22"/>
          <w:szCs w:val="22"/>
          <w:color w:val="auto"/>
          <w:strike w:val="1"/>
        </w:rPr>
        <w:t>of the Notes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1700" w:hanging="895"/>
        <w:spacing w:after="0" w:line="268" w:lineRule="auto"/>
        <w:tabs>
          <w:tab w:leader="none" w:pos="17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subparagraph 2 of this paragraph C. of this Article Fourth shall not be applicable to any Excess Shares </w:t>
      </w:r>
      <w:r>
        <w:rPr>
          <w:rFonts w:ascii="Arial" w:cs="Arial" w:eastAsia="Arial" w:hAnsi="Arial"/>
          <w:sz w:val="19"/>
          <w:szCs w:val="19"/>
          <w:color w:val="auto"/>
          <w:strike w:val="1"/>
        </w:rPr>
        <w:t>and/or Notes beneficially owned by (a) the NASD or its Affiliates until</w:t>
      </w:r>
      <w:r>
        <w:rPr>
          <w:rFonts w:ascii="Arial" w:cs="Arial" w:eastAsia="Arial" w:hAnsi="Arial"/>
          <w:sz w:val="19"/>
          <w:szCs w:val="19"/>
          <w:color w:val="auto"/>
        </w:rPr>
        <w:t xml:space="preserve"> </w:t>
      </w:r>
      <w:r>
        <w:rPr>
          <w:rFonts w:ascii="Arial" w:cs="Arial" w:eastAsia="Arial" w:hAnsi="Arial"/>
          <w:sz w:val="19"/>
          <w:szCs w:val="19"/>
          <w:color w:val="auto"/>
          <w:strike w:val="1"/>
        </w:rPr>
        <w:t>such time as the NASD beneficially owns five percent (5%) or less of the outstanding shares of stock and/or Notes entitled to vote on the election of a majority of directors at such time, (b) any other</w:t>
      </w:r>
      <w:r>
        <w:rPr>
          <w:rFonts w:ascii="Arial" w:cs="Arial" w:eastAsia="Arial" w:hAnsi="Arial"/>
          <w:sz w:val="19"/>
          <w:szCs w:val="19"/>
          <w:u w:val="single" w:color="auto"/>
          <w:color w:val="auto"/>
          <w:strike w:val="1"/>
        </w:rPr>
        <w:t>beneficially owned by</w:t>
      </w:r>
      <w:r>
        <w:rPr>
          <w:rFonts w:ascii="Arial" w:cs="Arial" w:eastAsia="Arial" w:hAnsi="Arial"/>
          <w:sz w:val="19"/>
          <w:szCs w:val="19"/>
          <w:color w:val="auto"/>
          <w:strike w:val="1"/>
        </w:rPr>
        <w:t xml:space="preserve"> </w:t>
      </w:r>
      <w:r>
        <w:rPr>
          <w:rFonts w:ascii="Arial" w:cs="Arial" w:eastAsia="Arial" w:hAnsi="Arial"/>
          <w:sz w:val="19"/>
          <w:szCs w:val="19"/>
          <w:u w:val="single" w:color="auto"/>
          <w:color w:val="auto"/>
          <w:strike w:val="1"/>
        </w:rPr>
        <w:t>any</w:t>
      </w:r>
      <w:r>
        <w:rPr>
          <w:rFonts w:ascii="Arial" w:cs="Arial" w:eastAsia="Arial" w:hAnsi="Arial"/>
          <w:sz w:val="19"/>
          <w:szCs w:val="19"/>
          <w:color w:val="auto"/>
          <w:strike w:val="1"/>
        </w:rPr>
        <w:t xml:space="preserve"> person as may be approved for such exemption by the Board prior to the time such person beneficially owns more than five percent (5%) of the outstanding shares of stock and/or Notes entitled to vote on the election of a majority of directors at such time or (c) Hellman &amp; Friedman Capital Partners IV, L.P., H &amp; F International Partners IV-A, L.P., H &amp; F International Partners IV-B, L.P., H&amp; F Executive Fund, IV L.P.; Silver Lake Partners II TSA, L.P., Silver Lake Technology Investors II, L.L.C., Silver Lake Partners TSA, L.P., and Silver Lake Investors, L.P. or their respective affiliated investment funds that are: (i) under common management and control, (ii) comprised of members or partners with the same ultimate ownership, and</w:t>
      </w:r>
    </w:p>
    <w:p>
      <w:pPr>
        <w:spacing w:after="0" w:line="8" w:lineRule="exact"/>
        <w:rPr>
          <w:rFonts w:ascii="Arial" w:cs="Arial" w:eastAsia="Arial" w:hAnsi="Arial"/>
          <w:sz w:val="19"/>
          <w:szCs w:val="19"/>
          <w:color w:val="auto"/>
        </w:rPr>
      </w:pPr>
    </w:p>
    <w:p>
      <w:pPr>
        <w:jc w:val="both"/>
        <w:ind w:left="1700" w:firstLine="10"/>
        <w:spacing w:after="0" w:line="233" w:lineRule="auto"/>
        <w:tabs>
          <w:tab w:leader="none" w:pos="2108" w:val="left"/>
        </w:tabs>
        <w:numPr>
          <w:ilvl w:val="1"/>
          <w:numId w:val="93"/>
        </w:numPr>
        <w:rPr>
          <w:rFonts w:ascii="Arial" w:cs="Arial" w:eastAsia="Arial" w:hAnsi="Arial"/>
          <w:sz w:val="22"/>
          <w:szCs w:val="22"/>
          <w:color w:val="auto"/>
          <w:strike w:val="1"/>
        </w:rPr>
      </w:pPr>
      <w:r>
        <w:rPr>
          <w:rFonts w:ascii="Arial" w:cs="Arial" w:eastAsia="Arial" w:hAnsi="Arial"/>
          <w:sz w:val="22"/>
          <w:szCs w:val="22"/>
          <w:color w:val="auto"/>
          <w:strike w:val="1"/>
        </w:rPr>
        <w:t>subject to terms and conditions that are substantially identical in all material respects, if the Board has approved an exemption for any other person pursuant to Section 6(b) of this paragraph C. of this Article Fourth (other than an exemption granted in connection with the establishment of a strategic alliance with another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-3571240</wp:posOffset>
            </wp:positionV>
            <wp:extent cx="78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82320" cy="889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-3416935</wp:posOffset>
            </wp:positionV>
            <wp:extent cx="7905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90575"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-2602230</wp:posOffset>
            </wp:positionV>
            <wp:extent cx="24003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-2619375</wp:posOffset>
            </wp:positionV>
            <wp:extent cx="24066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40665" cy="8890"/>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-2670810</wp:posOffset>
            </wp:positionV>
            <wp:extent cx="8985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98525" cy="8890"/>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-1315720</wp:posOffset>
            </wp:positionV>
            <wp:extent cx="35007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500755" cy="8890"/>
                    </a:xfrm>
                    <a:prstGeom prst="rect">
                      <a:avLst/>
                    </a:prstGeom>
                    <a:noFill/>
                  </pic:spPr>
                </pic:pic>
              </a:graphicData>
            </a:graphic>
          </wp:anchor>
        </w:drawing>
      </w:r>
    </w:p>
    <w:p>
      <w:pPr>
        <w:spacing w:after="0" w:line="98"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1700"/>
        <w:spacing w:after="0" w:line="271" w:lineRule="auto"/>
        <w:rPr>
          <w:sz w:val="20"/>
          <w:szCs w:val="20"/>
          <w:color w:val="auto"/>
        </w:rPr>
      </w:pPr>
      <w:r>
        <w:rPr>
          <w:rFonts w:ascii="Arial" w:cs="Arial" w:eastAsia="Arial" w:hAnsi="Arial"/>
          <w:sz w:val="19"/>
          <w:szCs w:val="19"/>
          <w:color w:val="auto"/>
          <w:strike w:val="1"/>
        </w:rPr>
        <w:t>or similar market) provided that in no event shall the exemption contained in Section 6(c) cause a registered broker or dealer or an Affiliate thereof (a “Broker Affiliate,” provided that, a Broker Affiliate shall not include an entity that either owns ten percent or less of the equity of a broker or dealer, or for which the broker or dealer accounts for one percent or less of the gross revenues received by the consolidated entity) to receive an exemption for a greater percentage of voting securities than has been granted to another Broker Affiliate by the Board. The Board, however, may not approve an exemption under Section 6(b): (i) for a Broker</w:t>
      </w:r>
      <w:r>
        <w:rPr>
          <w:rFonts w:ascii="Arial" w:cs="Arial" w:eastAsia="Arial" w:hAnsi="Arial"/>
          <w:sz w:val="19"/>
          <w:szCs w:val="19"/>
          <w:u w:val="single" w:color="auto"/>
          <w:color w:val="auto"/>
          <w:strike w:val="1"/>
        </w:rPr>
        <w:t>registered</w:t>
      </w:r>
      <w:r>
        <w:rPr>
          <w:rFonts w:ascii="Arial" w:cs="Arial" w:eastAsia="Arial" w:hAnsi="Arial"/>
          <w:sz w:val="19"/>
          <w:szCs w:val="19"/>
          <w:color w:val="auto"/>
          <w:strike w:val="1"/>
        </w:rPr>
        <w:t xml:space="preserve"> </w:t>
      </w:r>
      <w:r>
        <w:rPr>
          <w:rFonts w:ascii="Arial" w:cs="Arial" w:eastAsia="Arial" w:hAnsi="Arial"/>
          <w:sz w:val="19"/>
          <w:szCs w:val="19"/>
          <w:u w:val="single" w:color="auto"/>
          <w:color w:val="auto"/>
          <w:strike w:val="1"/>
        </w:rPr>
        <w:t>broker or dealer or an</w:t>
      </w:r>
      <w:r>
        <w:rPr>
          <w:rFonts w:ascii="Arial" w:cs="Arial" w:eastAsia="Arial" w:hAnsi="Arial"/>
          <w:sz w:val="19"/>
          <w:szCs w:val="19"/>
          <w:color w:val="auto"/>
          <w:strike w:val="1"/>
        </w:rPr>
        <w:t xml:space="preserve"> Affiliate </w:t>
      </w:r>
      <w:r>
        <w:rPr>
          <w:rFonts w:ascii="Arial" w:cs="Arial" w:eastAsia="Arial" w:hAnsi="Arial"/>
          <w:sz w:val="19"/>
          <w:szCs w:val="19"/>
          <w:u w:val="single" w:color="auto"/>
          <w:color w:val="auto"/>
          <w:strike w:val="1"/>
        </w:rPr>
        <w:t>thereof</w:t>
      </w:r>
      <w:r>
        <w:rPr>
          <w:rFonts w:ascii="Arial" w:cs="Arial" w:eastAsia="Arial" w:hAnsi="Arial"/>
          <w:sz w:val="19"/>
          <w:szCs w:val="19"/>
          <w:color w:val="auto"/>
          <w:strike w:val="1"/>
        </w:rPr>
        <w:t xml:space="preserve"> or (ii) an individual or entity that is subject to a statutory disqualification under Section 3(a)(39) of the Exchange Act. The Board may approve an exemption for any other stockholder or holder of Notes if the Board determines that granting such exemption would (A) not reasonably be expected to diminish the quality of, or public confidence in, Nasdaq or The NASDAQ Stock Market LLC or the other operations of Nasdaq and its subsidiaries, on the ability to prevent fraudulent and manipulative acts and practices and on investors and the public, and (B) promote just and equitable principles of trade, foster cooperation and coordination with persons engaged in regulating, clearing, settling, processing information with respect to and facilitating transactions in securities or assist in the removal of impediments to or perfection of the mechanisms for a free and open market and a national market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7096125</wp:posOffset>
            </wp:positionH>
            <wp:positionV relativeFrom="paragraph">
              <wp:posOffset>-1177925</wp:posOffset>
            </wp:positionV>
            <wp:extent cx="1485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8590" cy="8890"/>
                    </a:xfrm>
                    <a:prstGeom prst="rect">
                      <a:avLst/>
                    </a:prstGeom>
                    <a:noFill/>
                  </pic:spPr>
                </pic:pic>
              </a:graphicData>
            </a:graphic>
          </wp:anchor>
        </w:drawing>
      </w:r>
    </w:p>
    <w:p>
      <w:pPr>
        <w:spacing w:after="0" w:line="115" w:lineRule="exact"/>
        <w:rPr>
          <w:sz w:val="20"/>
          <w:szCs w:val="20"/>
          <w:color w:val="auto"/>
        </w:rPr>
      </w:pPr>
    </w:p>
    <w:p>
      <w:pPr>
        <w:jc w:val="both"/>
        <w:ind w:left="1700" w:hanging="895"/>
        <w:spacing w:after="0" w:line="233" w:lineRule="auto"/>
        <w:tabs>
          <w:tab w:leader="none" w:pos="17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the event any provision (or portion thereof) of this paragraph C. of this Article Fourth shall be found to be invalid, prohibited or unenforceable for any reason, the remaining provisions (or portions thereof) of this paragraph C. of this Article Fourth shall remain in full force and effect, and shall be construed as if such invalid, prohibited or unenforceable provision (or portion hereof) had been stricken herefrom or otherwise rendered inapplicable, it being the intent of Nasdaq</w:t>
      </w:r>
      <w:r>
        <w:rPr>
          <w:rFonts w:ascii="Arial" w:cs="Arial" w:eastAsia="Arial" w:hAnsi="Arial"/>
          <w:sz w:val="22"/>
          <w:szCs w:val="22"/>
          <w:color w:val="auto"/>
          <w:strike w:val="1"/>
        </w:rPr>
        <w:t>,</w:t>
      </w:r>
      <w:r>
        <w:rPr>
          <w:rFonts w:ascii="Arial" w:cs="Arial" w:eastAsia="Arial" w:hAnsi="Arial"/>
          <w:sz w:val="22"/>
          <w:szCs w:val="22"/>
          <w:color w:val="auto"/>
        </w:rPr>
        <w:t xml:space="preserve"> and its stockholders and the holders of the Notes that each such remaining provision (or portion thereof) of this paragraph C. of this Article Fourth remains, to the fullest extent permitted by law, applicable and enforceable as to all stockholders and all holders of Notes, including stockholders and holders of Notes that beneficially own Excess Shares </w:t>
      </w:r>
      <w:r>
        <w:rPr>
          <w:rFonts w:ascii="Arial" w:cs="Arial" w:eastAsia="Arial" w:hAnsi="Arial"/>
          <w:sz w:val="22"/>
          <w:szCs w:val="22"/>
          <w:color w:val="auto"/>
          <w:strike w:val="1"/>
        </w:rPr>
        <w:t>and/or Notes</w:t>
      </w:r>
      <w:r>
        <w:rPr>
          <w:rFonts w:ascii="Arial" w:cs="Arial" w:eastAsia="Arial" w:hAnsi="Arial"/>
          <w:sz w:val="22"/>
          <w:szCs w:val="22"/>
          <w:color w:val="auto"/>
        </w:rPr>
        <w:t>, notwithstanding any such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-626110</wp:posOffset>
            </wp:positionV>
            <wp:extent cx="2317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-643255</wp:posOffset>
            </wp:positionV>
            <wp:extent cx="2324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241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-694690</wp:posOffset>
            </wp:positionV>
            <wp:extent cx="161163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611630" cy="889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-386080</wp:posOffset>
            </wp:positionV>
            <wp:extent cx="141351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1351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-231775</wp:posOffset>
            </wp:positionV>
            <wp:extent cx="11906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90625" cy="88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FIFTH</w:t>
      </w:r>
    </w:p>
    <w:p>
      <w:pPr>
        <w:spacing w:after="0" w:line="193" w:lineRule="exact"/>
        <w:rPr>
          <w:sz w:val="20"/>
          <w:szCs w:val="20"/>
          <w:color w:val="auto"/>
        </w:rPr>
      </w:pPr>
    </w:p>
    <w:p>
      <w:pPr>
        <w:ind w:left="800" w:hanging="792"/>
        <w:spacing w:after="0" w:line="251" w:lineRule="auto"/>
        <w:tabs>
          <w:tab w:leader="none" w:pos="8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The business and affairs of Nasdaq shall be managed by, or under the direction of, the Board. The total number of directors constituting the entire Board shall </w:t>
      </w:r>
      <w:r>
        <w:rPr>
          <w:rFonts w:ascii="Arial" w:cs="Arial" w:eastAsia="Arial" w:hAnsi="Arial"/>
          <w:sz w:val="22"/>
          <w:szCs w:val="22"/>
          <w:color w:val="auto"/>
          <w:strike w:val="1"/>
        </w:rPr>
        <w:t>he</w:t>
      </w:r>
      <w:r>
        <w:rPr>
          <w:rFonts w:ascii="Arial" w:cs="Arial" w:eastAsia="Arial" w:hAnsi="Arial"/>
          <w:sz w:val="22"/>
          <w:szCs w:val="22"/>
          <w:u w:val="single" w:color="auto"/>
          <w:color w:val="auto"/>
        </w:rPr>
        <w:t>be</w:t>
      </w:r>
      <w:r>
        <w:rPr>
          <w:rFonts w:ascii="Arial" w:cs="Arial" w:eastAsia="Arial" w:hAnsi="Arial"/>
          <w:sz w:val="22"/>
          <w:szCs w:val="22"/>
          <w:color w:val="auto"/>
        </w:rPr>
        <w:t xml:space="preserve"> fixed from time to time by the Board.</w:t>
      </w:r>
    </w:p>
    <w:p>
      <w:pPr>
        <w:spacing w:after="0" w:line="132" w:lineRule="exact"/>
        <w:rPr>
          <w:rFonts w:ascii="Arial" w:cs="Arial" w:eastAsia="Arial" w:hAnsi="Arial"/>
          <w:sz w:val="22"/>
          <w:szCs w:val="22"/>
          <w:color w:val="auto"/>
        </w:rPr>
      </w:pPr>
    </w:p>
    <w:p>
      <w:pPr>
        <w:jc w:val="both"/>
        <w:ind w:left="800" w:hanging="792"/>
        <w:spacing w:after="0"/>
        <w:tabs>
          <w:tab w:leader="none" w:pos="800" w:val="left"/>
        </w:tabs>
        <w:numPr>
          <w:ilvl w:val="0"/>
          <w:numId w:val="95"/>
        </w:numPr>
        <w:rPr>
          <w:rFonts w:ascii="Arial" w:cs="Arial" w:eastAsia="Arial" w:hAnsi="Arial"/>
          <w:sz w:val="22"/>
          <w:szCs w:val="22"/>
          <w:color w:val="auto"/>
        </w:rPr>
      </w:pPr>
      <w:r>
        <w:rPr>
          <w:rFonts w:ascii="Arial" w:cs="Arial" w:eastAsia="Arial" w:hAnsi="Arial"/>
          <w:sz w:val="22"/>
          <w:szCs w:val="22"/>
          <w:color w:val="auto"/>
          <w:strike w:val="1"/>
        </w:rPr>
        <w:t>Subject to the provisions of this paragraph B, the Board</w:t>
      </w:r>
      <w:r>
        <w:rPr>
          <w:rFonts w:ascii="Arial" w:cs="Arial" w:eastAsia="Arial" w:hAnsi="Arial"/>
          <w:sz w:val="22"/>
          <w:szCs w:val="22"/>
          <w:u w:val="single" w:color="auto"/>
          <w:color w:val="auto"/>
        </w:rPr>
        <w:t>The directors</w:t>
      </w:r>
      <w:r>
        <w:rPr>
          <w:rFonts w:ascii="Arial" w:cs="Arial" w:eastAsia="Arial" w:hAnsi="Arial"/>
          <w:sz w:val="22"/>
          <w:szCs w:val="22"/>
          <w:color w:val="auto"/>
        </w:rPr>
        <w:t xml:space="preserve"> (other than those directors elected by the holders of any series of Preferred Stock provided for, or fixed pursuant to the provisions of Article Fourth hereof (the “Preferred Stock Directors”))</w:t>
      </w:r>
    </w:p>
    <w:p>
      <w:pPr>
        <w:spacing w:after="0" w:line="130"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800"/>
        <w:spacing w:after="0" w:line="271" w:lineRule="auto"/>
        <w:rPr>
          <w:sz w:val="20"/>
          <w:szCs w:val="20"/>
          <w:color w:val="auto"/>
        </w:rPr>
      </w:pPr>
      <w:r>
        <w:rPr>
          <w:rFonts w:ascii="Arial" w:cs="Arial" w:eastAsia="Arial" w:hAnsi="Arial"/>
          <w:sz w:val="19"/>
          <w:szCs w:val="19"/>
          <w:color w:val="auto"/>
        </w:rPr>
        <w:t xml:space="preserve">shall be </w:t>
      </w:r>
      <w:r>
        <w:rPr>
          <w:rFonts w:ascii="Arial" w:cs="Arial" w:eastAsia="Arial" w:hAnsi="Arial"/>
          <w:sz w:val="19"/>
          <w:szCs w:val="19"/>
          <w:color w:val="auto"/>
          <w:strike w:val="1"/>
        </w:rPr>
        <w:t>divided into three classes, as nearly equal in number as possible, designated Class I, Class II and Class III. Each</w:t>
      </w:r>
      <w:r>
        <w:rPr>
          <w:rFonts w:ascii="Arial" w:cs="Arial" w:eastAsia="Arial" w:hAnsi="Arial"/>
          <w:sz w:val="19"/>
          <w:szCs w:val="19"/>
          <w:color w:val="auto"/>
        </w:rPr>
        <w:t xml:space="preserve"> </w:t>
      </w:r>
      <w:r>
        <w:rPr>
          <w:rFonts w:ascii="Arial" w:cs="Arial" w:eastAsia="Arial" w:hAnsi="Arial"/>
          <w:sz w:val="19"/>
          <w:szCs w:val="19"/>
          <w:color w:val="auto"/>
          <w:strike w:val="1"/>
        </w:rPr>
        <w:t>director elected or appointed prior to this effectiveness of this Certificate of Amendment under the General Corporation Law of the State of Delaware shall serve for his or her full term, such that the term of each Class I director shall expire at the 2007 annual meeting of stockholders; the term of each Class II director shall expire at the 2005 annual meeting of stockholders; and the term of each Class III director shall expire at the 2006 annual meeting of stockholders. In case of any increase or decrease, from time to time, in the number of directors (other than Preferred Stock Directors), the number of directors in each class shall be apportioned as nearly equal as possible. The term of each director elected at the 2005 annual meeting of stockholders and at each subsequent annual meeting of stockholders shall expire at the first annual meeting of stockholders following his or her election. Commencing with the 2007 annual meeting of stockholders, the foregoing classification of the Board shall cease, and the directors, other than the Preferred Stock Directors, shall be elected at an annual meeting of stockholders, or at a special meeting called for such purpose in lieu of the annual meeting, by the holders of the Voting Stock (as hereinafter defined) and shall hold office until the next annual meeting of stockholders and until their respective successors shall have been duly elected and qualified, subject, however, to prior death, resignation, retirement, disqualification or removal from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-1638935</wp:posOffset>
            </wp:positionV>
            <wp:extent cx="44024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0245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-480695</wp:posOffset>
            </wp:positionV>
            <wp:extent cx="63544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-506730</wp:posOffset>
            </wp:positionV>
            <wp:extent cx="634873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348730" cy="8890"/>
                    </a:xfrm>
                    <a:prstGeom prst="rect">
                      <a:avLst/>
                    </a:prstGeom>
                    <a:noFill/>
                  </pic:spPr>
                </pic:pic>
              </a:graphicData>
            </a:graphic>
          </wp:anchor>
        </w:drawing>
      </w:r>
    </w:p>
    <w:p>
      <w:pPr>
        <w:spacing w:after="0" w:line="118" w:lineRule="exact"/>
        <w:rPr>
          <w:sz w:val="20"/>
          <w:szCs w:val="20"/>
          <w:color w:val="auto"/>
        </w:rPr>
      </w:pPr>
    </w:p>
    <w:p>
      <w:pPr>
        <w:jc w:val="both"/>
        <w:ind w:left="800" w:hanging="792"/>
        <w:spacing w:after="0" w:line="252" w:lineRule="auto"/>
        <w:tabs>
          <w:tab w:leader="none" w:pos="800" w:val="left"/>
        </w:tabs>
        <w:numPr>
          <w:ilvl w:val="0"/>
          <w:numId w:val="96"/>
        </w:numPr>
        <w:rPr>
          <w:rFonts w:ascii="Arial" w:cs="Arial" w:eastAsia="Arial" w:hAnsi="Arial"/>
          <w:sz w:val="21"/>
          <w:szCs w:val="21"/>
          <w:color w:val="auto"/>
        </w:rPr>
      </w:pPr>
      <w:r>
        <w:rPr>
          <w:rFonts w:ascii="Arial" w:cs="Arial" w:eastAsia="Arial" w:hAnsi="Arial"/>
          <w:sz w:val="21"/>
          <w:szCs w:val="21"/>
          <w:color w:val="auto"/>
        </w:rPr>
        <w:t>Subject to the rights of the holders of any one or more series of Preferred Stock then outstanding, newly created directorships resulting from any increase in the authorized number of directors or any vacancies in the Board resulting from death, resignation, retirement, disqualification, removal from office or other cause shall only be filled by the Board. No decrease in the number of directors shall shorten the term of any incumbent director.</w:t>
      </w:r>
    </w:p>
    <w:p>
      <w:pPr>
        <w:spacing w:after="0" w:line="160" w:lineRule="exact"/>
        <w:rPr>
          <w:rFonts w:ascii="Arial" w:cs="Arial" w:eastAsia="Arial" w:hAnsi="Arial"/>
          <w:sz w:val="21"/>
          <w:szCs w:val="21"/>
          <w:color w:val="auto"/>
        </w:rPr>
      </w:pPr>
    </w:p>
    <w:p>
      <w:pPr>
        <w:jc w:val="both"/>
        <w:ind w:left="800" w:hanging="792"/>
        <w:spacing w:after="0" w:line="297" w:lineRule="auto"/>
        <w:tabs>
          <w:tab w:leader="none" w:pos="8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Except for Preferred Stock Directors, any director, or the entire Board, may be removed from office at any time, but only by the affirmative vote of </w:t>
      </w:r>
      <w:r>
        <w:rPr>
          <w:rFonts w:ascii="Arial" w:cs="Arial" w:eastAsia="Arial" w:hAnsi="Arial"/>
          <w:sz w:val="19"/>
          <w:szCs w:val="19"/>
          <w:color w:val="auto"/>
          <w:strike w:val="1"/>
        </w:rPr>
        <w:t>at least 66 2/3% of the total voting power</w:t>
      </w:r>
      <w:r>
        <w:rPr>
          <w:rFonts w:ascii="Arial" w:cs="Arial" w:eastAsia="Arial" w:hAnsi="Arial"/>
          <w:sz w:val="19"/>
          <w:szCs w:val="19"/>
          <w:u w:val="single" w:color="auto"/>
          <w:color w:val="auto"/>
        </w:rPr>
        <w:t>a majority</w:t>
      </w:r>
      <w:r>
        <w:rPr>
          <w:rFonts w:ascii="Arial" w:cs="Arial" w:eastAsia="Arial" w:hAnsi="Arial"/>
          <w:sz w:val="19"/>
          <w:szCs w:val="19"/>
          <w:color w:val="auto"/>
        </w:rPr>
        <w:t xml:space="preserve"> of the outstanding shares of capital stock of Nasdaq entitled to vote generally in the election of directors (“Voting Stock”), voting together as a single class.</w:t>
      </w:r>
    </w:p>
    <w:p>
      <w:pPr>
        <w:spacing w:after="0" w:line="107" w:lineRule="exact"/>
        <w:rPr>
          <w:rFonts w:ascii="Arial" w:cs="Arial" w:eastAsia="Arial" w:hAnsi="Arial"/>
          <w:sz w:val="19"/>
          <w:szCs w:val="19"/>
          <w:color w:val="auto"/>
        </w:rPr>
      </w:pPr>
    </w:p>
    <w:p>
      <w:pPr>
        <w:jc w:val="both"/>
        <w:ind w:left="800" w:hanging="792"/>
        <w:spacing w:after="0" w:line="275" w:lineRule="auto"/>
        <w:tabs>
          <w:tab w:leader="none" w:pos="8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During any period when the holders of any series of Preferred Stock have the right to elect additional directors as provided for or fixed pursuant to the provisions of Article Fourth hereof, then upon commencement and for the duration of the period during which such right continues: (i) the then otherwise total authorized number of directors of Nasdaq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by the Board in the resolution or resolutions</w:t>
      </w:r>
    </w:p>
    <w:p>
      <w:pPr>
        <w:spacing w:after="0" w:line="115"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800"/>
        <w:spacing w:after="0" w:line="236" w:lineRule="auto"/>
        <w:rPr>
          <w:sz w:val="20"/>
          <w:szCs w:val="20"/>
          <w:color w:val="auto"/>
        </w:rPr>
      </w:pPr>
      <w:r>
        <w:rPr>
          <w:rFonts w:ascii="Arial" w:cs="Arial" w:eastAsia="Arial" w:hAnsi="Arial"/>
          <w:sz w:val="22"/>
          <w:szCs w:val="22"/>
          <w:color w:val="auto"/>
        </w:rPr>
        <w:t>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death, resignation, disqualification or removal of such additional directors, shall forthwith terminate and the total authorized number of directors of Nasdaq shall automatically be reduced accordingly.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SIXTH</w:t>
      </w:r>
    </w:p>
    <w:p>
      <w:pPr>
        <w:spacing w:after="0" w:line="193" w:lineRule="exact"/>
        <w:rPr>
          <w:sz w:val="20"/>
          <w:szCs w:val="20"/>
          <w:color w:val="auto"/>
        </w:rPr>
      </w:pPr>
    </w:p>
    <w:p>
      <w:pPr>
        <w:jc w:val="both"/>
        <w:ind w:left="800" w:hanging="792"/>
        <w:spacing w:after="0" w:line="258" w:lineRule="auto"/>
        <w:tabs>
          <w:tab w:leader="none" w:pos="800" w:val="left"/>
        </w:tabs>
        <w:numPr>
          <w:ilvl w:val="0"/>
          <w:numId w:val="97"/>
        </w:numPr>
        <w:rPr>
          <w:rFonts w:ascii="Arial" w:cs="Arial" w:eastAsia="Arial" w:hAnsi="Arial"/>
          <w:sz w:val="21"/>
          <w:szCs w:val="21"/>
          <w:color w:val="auto"/>
        </w:rPr>
      </w:pPr>
      <w:r>
        <w:rPr>
          <w:rFonts w:ascii="Arial" w:cs="Arial" w:eastAsia="Arial" w:hAnsi="Arial"/>
          <w:sz w:val="21"/>
          <w:szCs w:val="21"/>
          <w:color w:val="auto"/>
        </w:rPr>
        <w:t>A director of Nasdaq shall not be liable to Nasdaq or its stockholders for monetary damages for breach of fiduciary duty as a director, except to the extent that such exemption from liability or limitation thereof is not permitted under the General Corporation Law of the State of Delaware as the same exists or may hereafter be amended.</w:t>
      </w:r>
    </w:p>
    <w:p>
      <w:pPr>
        <w:spacing w:after="0" w:line="153" w:lineRule="exact"/>
        <w:rPr>
          <w:rFonts w:ascii="Arial" w:cs="Arial" w:eastAsia="Arial" w:hAnsi="Arial"/>
          <w:sz w:val="21"/>
          <w:szCs w:val="21"/>
          <w:color w:val="auto"/>
        </w:rPr>
      </w:pPr>
    </w:p>
    <w:p>
      <w:pPr>
        <w:ind w:left="800" w:hanging="792"/>
        <w:spacing w:after="0" w:line="251" w:lineRule="auto"/>
        <w:tabs>
          <w:tab w:leader="none" w:pos="8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repeal or modification of paragraph A shall not adversely affect any right or protection of a director of Nasdaq existing hereunder with respect to any act or omission occurring prior to such repeal or modification.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SEVENTH</w:t>
      </w:r>
    </w:p>
    <w:p>
      <w:pPr>
        <w:spacing w:after="0" w:line="152"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No action that is required or permitted to be taken by the stockholders of Nasdaq at any annual or special meeting of stockholders may be effected by written consent of stockholders in lieu of a meeting of stockholders.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EIGHTH</w:t>
      </w:r>
    </w:p>
    <w:p>
      <w:pPr>
        <w:spacing w:after="0" w:line="193" w:lineRule="exact"/>
        <w:rPr>
          <w:sz w:val="20"/>
          <w:szCs w:val="20"/>
          <w:color w:val="auto"/>
        </w:rPr>
      </w:pPr>
    </w:p>
    <w:p>
      <w:pPr>
        <w:jc w:val="both"/>
        <w:ind w:left="800" w:hanging="792"/>
        <w:spacing w:after="0" w:line="233" w:lineRule="auto"/>
        <w:tabs>
          <w:tab w:leader="none" w:pos="8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In furtherance of, and not in limitation of, the powers conferred by law, the Board is expressly authorized and empowered to adopt, amend or repeal the By-Laws of Nasdaq; provided, however, that the By-Laws adopted by the Board under the powers hereby conferred may be amended or repealed by the Board or by the stockholders having voting power with respect thereto, provided further that, notwithstanding any other provision of this Restated Certificate of Incorporation or any provision of law which might otherwise permit a lesser vote or no vote, but in addition to any affirmative vote of the holders of any particular class or series of the stock required by law or this Restated Certificate of Incorporation, the affirmative vote of the holders of </w:t>
      </w:r>
      <w:r>
        <w:rPr>
          <w:rFonts w:ascii="Arial" w:cs="Arial" w:eastAsia="Arial" w:hAnsi="Arial"/>
          <w:sz w:val="22"/>
          <w:szCs w:val="22"/>
          <w:color w:val="auto"/>
          <w:strike w:val="1"/>
        </w:rPr>
        <w:t>at least 66 2/3% percent of the total voting power</w:t>
      </w:r>
      <w:r>
        <w:rPr>
          <w:rFonts w:ascii="Arial" w:cs="Arial" w:eastAsia="Arial" w:hAnsi="Arial"/>
          <w:sz w:val="22"/>
          <w:szCs w:val="22"/>
          <w:u w:val="single" w:color="auto"/>
          <w:color w:val="auto"/>
        </w:rPr>
        <w:t>a majority</w:t>
      </w:r>
      <w:r>
        <w:rPr>
          <w:rFonts w:ascii="Arial" w:cs="Arial" w:eastAsia="Arial" w:hAnsi="Arial"/>
          <w:sz w:val="22"/>
          <w:szCs w:val="22"/>
          <w:color w:val="auto"/>
        </w:rPr>
        <w:t xml:space="preserve"> of the outstanding Voting Stock, voting together as a single class, shall be required in order for the stockholders to adopt, alter, amend or repeal any By-Law.</w:t>
      </w:r>
    </w:p>
    <w:p>
      <w:pPr>
        <w:spacing w:after="0" w:line="166" w:lineRule="exact"/>
        <w:rPr>
          <w:rFonts w:ascii="Arial" w:cs="Arial" w:eastAsia="Arial" w:hAnsi="Arial"/>
          <w:sz w:val="22"/>
          <w:szCs w:val="22"/>
          <w:color w:val="auto"/>
        </w:rPr>
      </w:pPr>
    </w:p>
    <w:p>
      <w:pPr>
        <w:jc w:val="both"/>
        <w:ind w:left="800" w:hanging="792"/>
        <w:spacing w:after="0" w:line="258" w:lineRule="auto"/>
        <w:tabs>
          <w:tab w:leader="none" w:pos="800" w:val="left"/>
        </w:tabs>
        <w:numPr>
          <w:ilvl w:val="0"/>
          <w:numId w:val="98"/>
        </w:numPr>
        <w:rPr>
          <w:rFonts w:ascii="Arial" w:cs="Arial" w:eastAsia="Arial" w:hAnsi="Arial"/>
          <w:sz w:val="21"/>
          <w:szCs w:val="21"/>
          <w:color w:val="auto"/>
        </w:rPr>
      </w:pPr>
      <w:r>
        <w:rPr>
          <w:rFonts w:ascii="Arial" w:cs="Arial" w:eastAsia="Arial" w:hAnsi="Arial"/>
          <w:sz w:val="21"/>
          <w:szCs w:val="21"/>
          <w:color w:val="auto"/>
        </w:rPr>
        <w:t>For so long as Nasdaq shall control, directly or indirectly, The NASDAQ Stock Market LLC, any proposed adoption, alteration, amendment, change or repeal (an “amendment”) of any By-Law shall be submitted to the Board of Directors of The NASDAQ Stock Market LLC (the “Exchange Board”), and if the Exchange Board</w:t>
      </w:r>
    </w:p>
    <w:p>
      <w:pPr>
        <w:spacing w:after="0" w:line="124"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800"/>
        <w:spacing w:after="0" w:line="238" w:lineRule="auto"/>
        <w:rPr>
          <w:sz w:val="20"/>
          <w:szCs w:val="20"/>
          <w:color w:val="auto"/>
        </w:rPr>
      </w:pPr>
      <w:r>
        <w:rPr>
          <w:rFonts w:ascii="Arial" w:cs="Arial" w:eastAsia="Arial" w:hAnsi="Arial"/>
          <w:sz w:val="22"/>
          <w:szCs w:val="22"/>
          <w:color w:val="auto"/>
        </w:rPr>
        <w:t>determines that such amendment is required, under Section 19 of the Exchange Act and the rules promulgated thereunder, to be filed with, or filed with and approved by, the Securities and Exchange Commission (the “Commission”) before such amendment may be effective, then such amendment shall not be effective until filed with, or filed with and approved by, the Commission, as the case may be.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NINTH</w:t>
      </w:r>
    </w:p>
    <w:p>
      <w:pPr>
        <w:spacing w:after="0" w:line="193" w:lineRule="exact"/>
        <w:rPr>
          <w:sz w:val="20"/>
          <w:szCs w:val="20"/>
          <w:color w:val="auto"/>
        </w:rPr>
      </w:pPr>
    </w:p>
    <w:p>
      <w:pPr>
        <w:jc w:val="both"/>
        <w:ind w:left="800" w:hanging="792"/>
        <w:spacing w:after="0" w:line="245" w:lineRule="auto"/>
        <w:tabs>
          <w:tab w:leader="none" w:pos="800"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Nasdaq reserves the right to amend, alter, change, or repeal any provisions contained in this Restated Certificate of Incorporation, in the manner now or hereafter prescribed by statute, and all rights conferred herein are granted subject to this reservation; provided, however, that the affirmative vote of the holders of </w:t>
      </w:r>
      <w:r>
        <w:rPr>
          <w:rFonts w:ascii="Arial" w:cs="Arial" w:eastAsia="Arial" w:hAnsi="Arial"/>
          <w:sz w:val="21"/>
          <w:szCs w:val="21"/>
          <w:color w:val="auto"/>
          <w:strike w:val="1"/>
        </w:rPr>
        <w:t>at least 66 2/3% of the voting power</w:t>
      </w:r>
      <w:r>
        <w:rPr>
          <w:rFonts w:ascii="Arial" w:cs="Arial" w:eastAsia="Arial" w:hAnsi="Arial"/>
          <w:sz w:val="21"/>
          <w:szCs w:val="21"/>
          <w:u w:val="single" w:color="auto"/>
          <w:color w:val="auto"/>
        </w:rPr>
        <w:t>a</w:t>
      </w:r>
      <w:r>
        <w:rPr>
          <w:rFonts w:ascii="Arial" w:cs="Arial" w:eastAsia="Arial" w:hAnsi="Arial"/>
          <w:sz w:val="21"/>
          <w:szCs w:val="21"/>
          <w:color w:val="auto"/>
        </w:rPr>
        <w:t xml:space="preserve"> </w:t>
      </w:r>
      <w:r>
        <w:rPr>
          <w:rFonts w:ascii="Arial" w:cs="Arial" w:eastAsia="Arial" w:hAnsi="Arial"/>
          <w:sz w:val="21"/>
          <w:szCs w:val="21"/>
          <w:u w:val="single" w:color="auto"/>
          <w:color w:val="auto"/>
        </w:rPr>
        <w:t>majority</w:t>
      </w:r>
      <w:r>
        <w:rPr>
          <w:rFonts w:ascii="Arial" w:cs="Arial" w:eastAsia="Arial" w:hAnsi="Arial"/>
          <w:sz w:val="21"/>
          <w:szCs w:val="21"/>
          <w:color w:val="auto"/>
        </w:rPr>
        <w:t xml:space="preserve"> of the outstanding Voting Stock, voting together as a single class, shall be required to amend, repeal or adopt any provision inconsistent with paragraph C. of Article Fourth, Article Fifth, Article Seventh, Article Eighth or this Article Ninth</w:t>
      </w:r>
      <w:r>
        <w:rPr>
          <w:rFonts w:ascii="Arial" w:cs="Arial" w:eastAsia="Arial" w:hAnsi="Arial"/>
          <w:sz w:val="21"/>
          <w:szCs w:val="21"/>
          <w:color w:val="auto"/>
          <w:strike w:val="1"/>
        </w:rPr>
        <w:t>; provided further, however, the affirmative vote of at least 66 2/3% of the voting power of the holders of the</w:t>
      </w:r>
      <w:r>
        <w:rPr>
          <w:rFonts w:ascii="Arial" w:cs="Arial" w:eastAsia="Arial" w:hAnsi="Arial"/>
          <w:sz w:val="21"/>
          <w:szCs w:val="21"/>
          <w:color w:val="auto"/>
        </w:rPr>
        <w:t xml:space="preserve"> </w:t>
      </w:r>
      <w:r>
        <w:rPr>
          <w:rFonts w:ascii="Arial" w:cs="Arial" w:eastAsia="Arial" w:hAnsi="Arial"/>
          <w:sz w:val="21"/>
          <w:szCs w:val="21"/>
          <w:color w:val="auto"/>
          <w:strike w:val="1"/>
        </w:rPr>
        <w:t>outstanding Notes shall also be required to (i) amend paragraph C. of Article Fourth in a manner that would adversely affect the rights of the holders of the Notes thereunder without similarly affecting the rights of the holders of the Common Stock thereunder or (ii) amend this clause.</w:t>
      </w:r>
    </w:p>
    <w:p>
      <w:pPr>
        <w:spacing w:after="0" w:line="158" w:lineRule="exact"/>
        <w:rPr>
          <w:rFonts w:ascii="Arial" w:cs="Arial" w:eastAsia="Arial" w:hAnsi="Arial"/>
          <w:sz w:val="21"/>
          <w:szCs w:val="21"/>
          <w:color w:val="auto"/>
        </w:rPr>
      </w:pPr>
    </w:p>
    <w:p>
      <w:pPr>
        <w:jc w:val="both"/>
        <w:ind w:left="800" w:hanging="792"/>
        <w:spacing w:after="0" w:line="279" w:lineRule="auto"/>
        <w:tabs>
          <w:tab w:leader="none" w:pos="8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For so long as Nasdaq shall control, directly or indirectly, The NASDAQ Stock Market LLC, any proposed amendment of any provisions contained in this Restated Certificate of Incorporation shall be submitted to the Exchange Board, and if the Exchange Board determines that such amendment is required, under Section 19 of the Exchange Act and the rules promulgated thereunder, to be filed with, or filed with and approved by, the Commission before such amendment may be effective, then such amendment shall not be filed with the Secretary of State of the State of Delaware until filed with, or filed with and approved by, the Commission, as the case may be.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TENTH</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Nasdaq shall have perpetual existence.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ELEVENTH</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In light of the unique nature of Nasdaq and its subsidiaries, including the status of The NASDAQ Stock Market LLC as a self regulatory organization, the Board of Directors, when evaluating (A) any tender or exchange offer or invitation for tenders or exchanges, or proposal to make a tender or exchange offer or request or invitation for tenders or exchanges, by another party, for any equity security of Nasdaq, (B) any proposal or offer by another party to (1) merge or consolidate Nasdaq or any subsidiary with another corporation or other entity, (2) purchase or otherwise acquire all or a substantial portion of the properties or assets of Nasdaq or any subsidiary, or sell or otherwise dispose of to Nasdaq or any subsidiary all or a substantial portion of the properties or assets of such other party, or (3) liquidate, dissolve,</w:t>
      </w:r>
    </w:p>
    <w:p>
      <w:pPr>
        <w:spacing w:after="0" w:line="135"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reclassify the securities of, declare an extraordinary dividend of, recapitalize or reorganize Nasdaq, (C) any action, or any failure to act, with respect to any holder or potential holder of Excess Shares </w:t>
      </w:r>
      <w:r>
        <w:rPr>
          <w:rFonts w:ascii="Arial" w:cs="Arial" w:eastAsia="Arial" w:hAnsi="Arial"/>
          <w:sz w:val="19"/>
          <w:szCs w:val="19"/>
          <w:color w:val="auto"/>
          <w:strike w:val="1"/>
        </w:rPr>
        <w:t>and/or Notes</w:t>
      </w:r>
      <w:r>
        <w:rPr>
          <w:rFonts w:ascii="Arial" w:cs="Arial" w:eastAsia="Arial" w:hAnsi="Arial"/>
          <w:sz w:val="19"/>
          <w:szCs w:val="19"/>
          <w:color w:val="auto"/>
        </w:rPr>
        <w:t xml:space="preserve"> subject to the limitations set forth in subparagraph 2 of paragraph C. of Article Fourth, (D) any demand or proposal, precatory or otherwise, on behalf of or by a holder or potential holder of Excess Shares </w:t>
      </w:r>
      <w:r>
        <w:rPr>
          <w:rFonts w:ascii="Arial" w:cs="Arial" w:eastAsia="Arial" w:hAnsi="Arial"/>
          <w:sz w:val="19"/>
          <w:szCs w:val="19"/>
          <w:color w:val="auto"/>
          <w:strike w:val="1"/>
        </w:rPr>
        <w:t>and/or Notes</w:t>
      </w:r>
      <w:r>
        <w:rPr>
          <w:rFonts w:ascii="Arial" w:cs="Arial" w:eastAsia="Arial" w:hAnsi="Arial"/>
          <w:sz w:val="19"/>
          <w:szCs w:val="19"/>
          <w:color w:val="auto"/>
        </w:rPr>
        <w:t xml:space="preserve"> subject to the limitations set forth in subparagraph 2 of paragraph C. of Article Fourth or</w:t>
      </w:r>
    </w:p>
    <w:p>
      <w:pPr>
        <w:spacing w:after="0" w:line="4" w:lineRule="exact"/>
        <w:rPr>
          <w:sz w:val="20"/>
          <w:szCs w:val="20"/>
          <w:color w:val="auto"/>
        </w:rPr>
      </w:pPr>
    </w:p>
    <w:p>
      <w:pPr>
        <w:jc w:val="both"/>
        <w:ind w:firstLine="8"/>
        <w:spacing w:after="0" w:line="273" w:lineRule="auto"/>
        <w:tabs>
          <w:tab w:leader="none" w:pos="33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other issue, shall, to the fullest extent permitted by applicable law, take into account all factors that the Board of Directors deems relevant, including, without limitation, to the extent deemed relevant, (i) the potential impact thereof on the integrity, continuity and stability of Nasdaq and The NASDAQ Stock Market LLC and the other operations of Nasdaq and its subsidiaries, on the ability to prevent fraudulent and manipulative acts and practices and on investors and the public, and (ii) whether such would promote just and equitable principles of trade, foster cooperation and coordination with persons engaged in regulating, clearing, settling, processing information with respect to and facilitating transactions in securities or assist in the removal of impediments to or perfection of the mechanisms for a free and open market and a national market system.</w:t>
      </w:r>
    </w:p>
    <w:p>
      <w:pPr>
        <w:spacing w:after="0" w:line="106" w:lineRule="exact"/>
        <w:rPr>
          <w:sz w:val="20"/>
          <w:szCs w:val="20"/>
          <w:color w:val="auto"/>
        </w:rPr>
      </w:pPr>
    </w:p>
    <w:p>
      <w:pPr>
        <w:jc w:val="both"/>
        <w:ind w:right="20" w:firstLine="799"/>
        <w:spacing w:after="0" w:line="251" w:lineRule="auto"/>
        <w:rPr>
          <w:sz w:val="20"/>
          <w:szCs w:val="20"/>
          <w:color w:val="auto"/>
        </w:rPr>
      </w:pPr>
      <w:r>
        <w:rPr>
          <w:rFonts w:ascii="Arial" w:cs="Arial" w:eastAsia="Arial" w:hAnsi="Arial"/>
          <w:sz w:val="22"/>
          <w:szCs w:val="22"/>
          <w:color w:val="auto"/>
          <w:strike w:val="1"/>
        </w:rPr>
        <w:t>THIRD: That such Restated Certificate of Incorporation has been duly adopted by Nasdaq in accordance with the applicable provisions of Sections 245 of the General Corporation Law of the State of Delaware;</w:t>
      </w:r>
    </w:p>
    <w:p>
      <w:pPr>
        <w:spacing w:after="0" w:line="119" w:lineRule="exact"/>
        <w:rPr>
          <w:sz w:val="20"/>
          <w:szCs w:val="20"/>
          <w:color w:val="auto"/>
        </w:rPr>
      </w:pPr>
    </w:p>
    <w:p>
      <w:pPr>
        <w:jc w:val="both"/>
        <w:ind w:firstLine="799"/>
        <w:spacing w:after="0"/>
        <w:rPr>
          <w:sz w:val="20"/>
          <w:szCs w:val="20"/>
          <w:color w:val="auto"/>
        </w:rPr>
      </w:pPr>
      <w:r>
        <w:rPr>
          <w:rFonts w:ascii="Arial" w:cs="Arial" w:eastAsia="Arial" w:hAnsi="Arial"/>
          <w:sz w:val="22"/>
          <w:szCs w:val="22"/>
          <w:color w:val="auto"/>
          <w:strike w:val="1"/>
        </w:rPr>
        <w:t>FOURTH: That such Restated Certificate of Incorporation only restates and integrates and does not further amend the provisions of Nasdaq’s certificate of incorporation as heretofore amended or supplemented, and that there is no discrepancy between those provisions and the provisions of such Restated Certificate of Incorporation.</w:t>
      </w:r>
    </w:p>
    <w:p>
      <w:pPr>
        <w:spacing w:after="0" w:line="144"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00"/>
        <w:spacing w:after="0"/>
        <w:tabs>
          <w:tab w:leader="none" w:pos="7940" w:val="left"/>
          <w:tab w:leader="none" w:pos="9160" w:val="left"/>
          <w:tab w:leader="none" w:pos="10140" w:val="left"/>
        </w:tabs>
        <w:rPr>
          <w:sz w:val="20"/>
          <w:szCs w:val="20"/>
          <w:color w:val="auto"/>
        </w:rPr>
      </w:pPr>
      <w:r>
        <w:rPr>
          <w:rFonts w:ascii="Arial" w:cs="Arial" w:eastAsia="Arial" w:hAnsi="Arial"/>
          <w:sz w:val="22"/>
          <w:szCs w:val="22"/>
          <w:color w:val="auto"/>
        </w:rPr>
        <w:t xml:space="preserve">IN WITNESS WHEREOF, the undersigned has executed this certificate this </w:t>
      </w:r>
      <w:r>
        <w:rPr>
          <w:rFonts w:ascii="Arial" w:cs="Arial" w:eastAsia="Arial" w:hAnsi="Arial"/>
          <w:sz w:val="22"/>
          <w:szCs w:val="22"/>
          <w:color w:val="auto"/>
          <w:strike w:val="1"/>
        </w:rPr>
        <w:t>11</w:t>
      </w:r>
      <w:r>
        <w:rPr>
          <w:rFonts w:ascii="Arial" w:cs="Arial" w:eastAsia="Arial" w:hAnsi="Arial"/>
          <w:sz w:val="11"/>
          <w:szCs w:val="11"/>
          <w:color w:val="auto"/>
          <w:strike w:val="1"/>
        </w:rPr>
        <w:t>th</w:t>
      </w:r>
      <w:r>
        <w:rPr>
          <w:rFonts w:ascii="Arial" w:cs="Arial" w:eastAsia="Arial" w:hAnsi="Arial"/>
          <w:sz w:val="22"/>
          <w:szCs w:val="22"/>
          <w:color w:val="auto"/>
        </w:rPr>
        <w:tab/>
        <w:t xml:space="preserve">day of </w:t>
      </w:r>
      <w:r>
        <w:rPr>
          <w:rFonts w:ascii="Arial" w:cs="Arial" w:eastAsia="Arial" w:hAnsi="Arial"/>
          <w:sz w:val="22"/>
          <w:szCs w:val="22"/>
          <w:color w:val="auto"/>
          <w:strike w:val="1"/>
        </w:rPr>
        <w:t>May</w:t>
      </w:r>
      <w:r>
        <w:rPr>
          <w:rFonts w:ascii="Arial" w:cs="Arial" w:eastAsia="Arial" w:hAnsi="Arial"/>
          <w:sz w:val="22"/>
          <w:szCs w:val="22"/>
          <w:color w:val="auto"/>
        </w:rPr>
        <w:tab/>
        <w:t xml:space="preserve">, </w:t>
      </w:r>
      <w:r>
        <w:rPr>
          <w:rFonts w:ascii="Arial" w:cs="Arial" w:eastAsia="Arial" w:hAnsi="Arial"/>
          <w:sz w:val="22"/>
          <w:szCs w:val="22"/>
          <w:color w:val="auto"/>
          <w:strike w:val="1"/>
        </w:rPr>
        <w:t>2009</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7620</wp:posOffset>
            </wp:positionV>
            <wp:extent cx="1371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4922520</wp:posOffset>
            </wp:positionH>
            <wp:positionV relativeFrom="paragraph">
              <wp:posOffset>-17780</wp:posOffset>
            </wp:positionV>
            <wp:extent cx="1371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7620</wp:posOffset>
            </wp:positionV>
            <wp:extent cx="1371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-17780</wp:posOffset>
            </wp:positionV>
            <wp:extent cx="1371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7620</wp:posOffset>
            </wp:positionV>
            <wp:extent cx="274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-17780</wp:posOffset>
            </wp:positionV>
            <wp:extent cx="274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7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THE NASDAQ OMX GROUP, INC.</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color w:val="auto"/>
          <w:strike w:val="1"/>
        </w:rPr>
        <w:t>/s/ Joan C.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7620</wp:posOffset>
            </wp:positionV>
            <wp:extent cx="268414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color w:val="auto"/>
          <w:strike w:val="1"/>
        </w:rPr>
        <w:t>Joan C. Conley</w:t>
      </w:r>
    </w:p>
    <w:p>
      <w:pPr>
        <w:ind w:left="7240"/>
        <w:spacing w:after="0"/>
        <w:rPr>
          <w:sz w:val="20"/>
          <w:szCs w:val="20"/>
          <w:color w:val="auto"/>
        </w:rPr>
      </w:pPr>
      <w:r>
        <w:rPr>
          <w:rFonts w:ascii="Arial" w:cs="Arial" w:eastAsia="Arial" w:hAnsi="Arial"/>
          <w:sz w:val="21"/>
          <w:szCs w:val="21"/>
          <w:color w:val="auto"/>
        </w:rPr>
        <w:t xml:space="preserve">Office: </w:t>
      </w:r>
      <w:r>
        <w:rPr>
          <w:rFonts w:ascii="Arial" w:cs="Arial" w:eastAsia="Arial" w:hAnsi="Arial"/>
          <w:sz w:val="21"/>
          <w:szCs w:val="21"/>
          <w:color w:val="auto"/>
          <w:strike w:val="1"/>
        </w:rPr>
        <w:t>Senior Vice President and Corporate</w:t>
      </w:r>
    </w:p>
    <w:p>
      <w:pPr>
        <w:spacing w:after="0" w:line="2" w:lineRule="exact"/>
        <w:rPr>
          <w:sz w:val="20"/>
          <w:szCs w:val="20"/>
          <w:color w:val="auto"/>
        </w:rPr>
      </w:pPr>
    </w:p>
    <w:p>
      <w:pPr>
        <w:ind w:left="7900"/>
        <w:spacing w:after="0"/>
        <w:rPr>
          <w:sz w:val="20"/>
          <w:szCs w:val="20"/>
          <w:color w:val="auto"/>
        </w:rPr>
      </w:pPr>
      <w:r>
        <w:rPr>
          <w:rFonts w:ascii="Arial" w:cs="Arial" w:eastAsia="Arial" w:hAnsi="Arial"/>
          <w:sz w:val="22"/>
          <w:szCs w:val="22"/>
          <w:color w:val="auto"/>
          <w:strike w:val="1"/>
        </w:rPr>
        <w:t>Secretary</w:t>
      </w:r>
    </w:p>
    <w:p>
      <w:pPr>
        <w:spacing w:after="0" w:line="145"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8"/>
          <w:szCs w:val="18"/>
          <w:color w:val="0088A6"/>
        </w:rPr>
        <w:t>THE NASDAQ OMX GROUP, INC.</w:t>
      </w:r>
      <w:r>
        <w:rPr>
          <w:sz w:val="20"/>
          <w:szCs w:val="20"/>
          <w:color w:val="auto"/>
        </w:rPr>
        <w:tab/>
      </w:r>
      <w:r>
        <w:rPr>
          <w:rFonts w:ascii="Arial" w:cs="Arial" w:eastAsia="Arial" w:hAnsi="Arial"/>
          <w:sz w:val="16"/>
          <w:szCs w:val="16"/>
          <w:color w:val="0088A6"/>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220345</wp:posOffset>
            </wp:positionV>
            <wp:extent cx="1946910" cy="4718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946910" cy="471805"/>
                    </a:xfrm>
                    <a:prstGeom prst="rect">
                      <a:avLst/>
                    </a:prstGeom>
                    <a:noFill/>
                  </pic:spPr>
                </pic:pic>
              </a:graphicData>
            </a:graphic>
          </wp:anchor>
        </w:drawing>
      </w:r>
    </w:p>
    <w:p>
      <w:pPr>
        <w:sectPr>
          <w:pgSz w:w="11900" w:h="16838" w:orient="portrait"/>
          <w:cols w:equalWidth="0" w:num="1">
            <w:col w:w="11420"/>
          </w:cols>
          <w:pgMar w:left="240" w:top="459" w:right="239"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12"/>
          <w:szCs w:val="12"/>
          <w:b w:val="1"/>
          <w:bCs w:val="1"/>
          <w:i w:val="1"/>
          <w:iCs w:val="1"/>
          <w:color w:val="auto"/>
        </w:rPr>
        <w:t>THE NASDAQ OMX GROUP, INC.</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ONE LIBERTY PLAZA</w:t>
      </w:r>
    </w:p>
    <w:p>
      <w:pPr>
        <w:ind w:left="440"/>
        <w:spacing w:after="0" w:line="221" w:lineRule="auto"/>
        <w:rPr>
          <w:sz w:val="20"/>
          <w:szCs w:val="20"/>
          <w:color w:val="auto"/>
        </w:rPr>
      </w:pPr>
      <w:r>
        <w:rPr>
          <w:rFonts w:ascii="Arial" w:cs="Arial" w:eastAsia="Arial" w:hAnsi="Arial"/>
          <w:sz w:val="14"/>
          <w:szCs w:val="14"/>
          <w:b w:val="1"/>
          <w:bCs w:val="1"/>
          <w:i w:val="1"/>
          <w:iCs w:val="1"/>
          <w:color w:val="auto"/>
        </w:rPr>
        <w:t>49TH FLOOR</w:t>
      </w:r>
    </w:p>
    <w:p>
      <w:pPr>
        <w:ind w:left="440"/>
        <w:spacing w:after="0" w:line="221" w:lineRule="auto"/>
        <w:rPr>
          <w:sz w:val="20"/>
          <w:szCs w:val="20"/>
          <w:color w:val="auto"/>
        </w:rPr>
      </w:pPr>
      <w:r>
        <w:rPr>
          <w:rFonts w:ascii="Arial" w:cs="Arial" w:eastAsia="Arial" w:hAnsi="Arial"/>
          <w:sz w:val="14"/>
          <w:szCs w:val="14"/>
          <w:b w:val="1"/>
          <w:bCs w:val="1"/>
          <w:i w:val="1"/>
          <w:iCs w:val="1"/>
          <w:color w:val="auto"/>
        </w:rPr>
        <w:t>NEW YORK, NY 10006</w:t>
      </w:r>
    </w:p>
    <w:p>
      <w:pPr>
        <w:ind w:left="440"/>
        <w:spacing w:after="0"/>
        <w:rPr>
          <w:sz w:val="20"/>
          <w:szCs w:val="20"/>
          <w:color w:val="auto"/>
        </w:rPr>
      </w:pPr>
      <w:r>
        <w:rPr>
          <w:rFonts w:ascii="Arial" w:cs="Arial" w:eastAsia="Arial" w:hAnsi="Arial"/>
          <w:sz w:val="14"/>
          <w:szCs w:val="14"/>
          <w:b w:val="1"/>
          <w:bCs w:val="1"/>
          <w:i w:val="1"/>
          <w:iCs w:val="1"/>
          <w:color w:val="auto"/>
        </w:rPr>
        <w:t>ATTN: EDWARD DITMIRE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r>
        <w:rPr>
          <w:rFonts w:ascii="Arial" w:cs="Arial" w:eastAsia="Arial" w:hAnsi="Arial"/>
          <w:sz w:val="14"/>
          <w:szCs w:val="14"/>
          <w:b w:val="1"/>
          <w:bCs w:val="1"/>
          <w:color w:val="auto"/>
        </w:rPr>
        <w:t xml:space="preserve"> or scan the QR Barcode above</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Follow the instructions to obtain your records and to create an electronic voting instruction form.</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120"/>
        <w:spacing w:after="0" w:line="297"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340" w:space="720"/>
            <w:col w:w="5360"/>
          </w:cols>
          <w:pgMar w:left="240" w:top="459" w:right="239" w:bottom="16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15" w:lineRule="exact"/>
        <w:rPr>
          <w:sz w:val="20"/>
          <w:szCs w:val="20"/>
          <w:color w:val="auto"/>
        </w:rPr>
      </w:pPr>
    </w:p>
    <w:p>
      <w:pPr>
        <w:jc w:val="right"/>
        <w:spacing w:after="0"/>
        <w:tabs>
          <w:tab w:leader="none" w:pos="2620" w:val="left"/>
        </w:tabs>
        <w:rPr>
          <w:sz w:val="20"/>
          <w:szCs w:val="20"/>
          <w:color w:val="auto"/>
        </w:rPr>
      </w:pPr>
      <w:r>
        <w:rPr>
          <w:rFonts w:ascii="Arial" w:cs="Arial" w:eastAsia="Arial" w:hAnsi="Arial"/>
          <w:sz w:val="14"/>
          <w:szCs w:val="14"/>
          <w:color w:val="auto"/>
        </w:rPr>
        <w:t>M57301-P33529</w:t>
      </w:r>
      <w:r>
        <w:rPr>
          <w:sz w:val="20"/>
          <w:szCs w:val="20"/>
          <w:color w:val="auto"/>
        </w:rPr>
        <w:tab/>
      </w:r>
      <w:r>
        <w:rPr>
          <w:rFonts w:ascii="Arial" w:cs="Arial" w:eastAsia="Arial" w:hAnsi="Arial"/>
          <w:sz w:val="12"/>
          <w:szCs w:val="12"/>
          <w:u w:val="single" w:color="auto"/>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5420995</wp:posOffset>
            </wp:positionH>
            <wp:positionV relativeFrom="paragraph">
              <wp:posOffset>-13335</wp:posOffset>
            </wp:positionV>
            <wp:extent cx="16256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62560" cy="34290"/>
                    </a:xfrm>
                    <a:prstGeom prst="rect">
                      <a:avLst/>
                    </a:prstGeom>
                    <a:noFill/>
                  </pic:spPr>
                </pic:pic>
              </a:graphicData>
            </a:graphic>
          </wp:anchor>
        </w:drawing>
      </w:r>
    </w:p>
    <w:p>
      <w:pPr>
        <w:jc w:val="right"/>
        <w:spacing w:after="0" w:line="200" w:lineRule="auto"/>
        <w:rPr>
          <w:sz w:val="20"/>
          <w:szCs w:val="20"/>
          <w:color w:val="auto"/>
        </w:rPr>
      </w:pPr>
      <w:r>
        <w:rPr>
          <w:rFonts w:ascii="Arial" w:cs="Arial" w:eastAsia="Arial" w:hAnsi="Arial"/>
          <w:sz w:val="14"/>
          <w:szCs w:val="14"/>
          <w:color w:val="auto"/>
        </w:rPr>
        <w:t>DETACH AND RETURN THIS PORTION ONLY</w:t>
      </w:r>
    </w:p>
    <w:p>
      <w:pPr>
        <w:ind w:left="384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263765" cy="52400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3765" cy="5240020"/>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NASDAQ OMX GROUP, INC.</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The Board of Directors recommends you vote FOR the</w:t>
      </w:r>
    </w:p>
    <w:p>
      <w:pPr>
        <w:ind w:left="260"/>
        <w:spacing w:after="0"/>
        <w:rPr>
          <w:sz w:val="20"/>
          <w:szCs w:val="20"/>
          <w:color w:val="auto"/>
        </w:rPr>
      </w:pPr>
      <w:r>
        <w:rPr>
          <w:rFonts w:ascii="Arial" w:cs="Arial" w:eastAsia="Arial" w:hAnsi="Arial"/>
          <w:sz w:val="14"/>
          <w:szCs w:val="14"/>
          <w:b w:val="1"/>
          <w:bCs w:val="1"/>
          <w:color w:val="auto"/>
        </w:rPr>
        <w:t>following:</w:t>
      </w:r>
    </w:p>
    <w:p>
      <w:pPr>
        <w:sectPr>
          <w:pgSz w:w="11900" w:h="16838" w:orient="portrait"/>
          <w:cols w:equalWidth="0" w:num="1">
            <w:col w:w="11420"/>
          </w:cols>
          <w:pgMar w:left="240" w:top="459" w:right="239" w:bottom="169" w:gutter="0" w:footer="0" w:header="0"/>
          <w:type w:val="continuous"/>
        </w:sectPr>
      </w:pP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1340" w:type="dxa"/>
            <w:vAlign w:val="bottom"/>
          </w:tcPr>
          <w:p>
            <w:pPr>
              <w:jc w:val="center"/>
              <w:ind w:left="952"/>
              <w:spacing w:after="0"/>
              <w:rPr>
                <w:sz w:val="20"/>
                <w:szCs w:val="20"/>
                <w:color w:val="auto"/>
              </w:rPr>
            </w:pPr>
            <w:r>
              <w:rPr>
                <w:rFonts w:ascii="Arial" w:cs="Arial" w:eastAsia="Arial" w:hAnsi="Arial"/>
                <w:sz w:val="14"/>
                <w:szCs w:val="14"/>
                <w:b w:val="1"/>
                <w:bCs w:val="1"/>
                <w:color w:val="auto"/>
                <w:w w:val="88"/>
              </w:rPr>
              <w:t>For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174"/>
        </w:trPr>
        <w:tc>
          <w:tcPr>
            <w:tcW w:w="27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Nominees</w:t>
            </w: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25"/>
        </w:trPr>
        <w:tc>
          <w:tcPr>
            <w:tcW w:w="520" w:type="dxa"/>
            <w:vAlign w:val="bottom"/>
          </w:tcPr>
          <w:p>
            <w:pPr>
              <w:ind w:left="300"/>
              <w:spacing w:after="0"/>
              <w:rPr>
                <w:sz w:val="20"/>
                <w:szCs w:val="20"/>
                <w:color w:val="auto"/>
              </w:rPr>
            </w:pPr>
            <w:r>
              <w:rPr>
                <w:rFonts w:ascii="Arial" w:cs="Arial" w:eastAsia="Arial" w:hAnsi="Arial"/>
                <w:sz w:val="14"/>
                <w:szCs w:val="14"/>
                <w:color w:val="auto"/>
              </w:rPr>
              <w:t>1a.</w:t>
            </w:r>
          </w:p>
        </w:tc>
        <w:tc>
          <w:tcPr>
            <w:tcW w:w="2220" w:type="dxa"/>
            <w:vAlign w:val="bottom"/>
          </w:tcPr>
          <w:p>
            <w:pPr>
              <w:ind w:left="80"/>
              <w:spacing w:after="0"/>
              <w:rPr>
                <w:sz w:val="20"/>
                <w:szCs w:val="20"/>
                <w:color w:val="auto"/>
              </w:rPr>
            </w:pPr>
            <w:r>
              <w:rPr>
                <w:rFonts w:ascii="Arial" w:cs="Arial" w:eastAsia="Arial" w:hAnsi="Arial"/>
                <w:sz w:val="14"/>
                <w:szCs w:val="14"/>
                <w:color w:val="auto"/>
              </w:rPr>
              <w:t>Steven D. Black</w:t>
            </w:r>
          </w:p>
        </w:tc>
        <w:tc>
          <w:tcPr>
            <w:tcW w:w="1340" w:type="dxa"/>
            <w:vAlign w:val="bottom"/>
          </w:tcPr>
          <w:p>
            <w:pPr>
              <w:jc w:val="center"/>
              <w:ind w:left="9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13"/>
        </w:trPr>
        <w:tc>
          <w:tcPr>
            <w:tcW w:w="520" w:type="dxa"/>
            <w:vAlign w:val="bottom"/>
          </w:tcPr>
          <w:p>
            <w:pPr>
              <w:ind w:left="300"/>
              <w:spacing w:after="0"/>
              <w:rPr>
                <w:sz w:val="20"/>
                <w:szCs w:val="20"/>
                <w:color w:val="auto"/>
              </w:rPr>
            </w:pPr>
            <w:r>
              <w:rPr>
                <w:rFonts w:ascii="Arial" w:cs="Arial" w:eastAsia="Arial" w:hAnsi="Arial"/>
                <w:sz w:val="14"/>
                <w:szCs w:val="14"/>
                <w:color w:val="auto"/>
              </w:rPr>
              <w:t>1b.</w:t>
            </w:r>
          </w:p>
        </w:tc>
        <w:tc>
          <w:tcPr>
            <w:tcW w:w="2220" w:type="dxa"/>
            <w:vAlign w:val="bottom"/>
          </w:tcPr>
          <w:p>
            <w:pPr>
              <w:ind w:left="80"/>
              <w:spacing w:after="0"/>
              <w:rPr>
                <w:sz w:val="20"/>
                <w:szCs w:val="20"/>
                <w:color w:val="auto"/>
              </w:rPr>
            </w:pPr>
            <w:r>
              <w:rPr>
                <w:rFonts w:ascii="Arial" w:cs="Arial" w:eastAsia="Arial" w:hAnsi="Arial"/>
                <w:sz w:val="14"/>
                <w:szCs w:val="14"/>
                <w:color w:val="auto"/>
              </w:rPr>
              <w:t>Börje E. Ekholm</w:t>
            </w:r>
          </w:p>
        </w:tc>
        <w:tc>
          <w:tcPr>
            <w:tcW w:w="1340" w:type="dxa"/>
            <w:vAlign w:val="bottom"/>
          </w:tcPr>
          <w:p>
            <w:pPr>
              <w:jc w:val="center"/>
              <w:ind w:left="9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13"/>
        </w:trPr>
        <w:tc>
          <w:tcPr>
            <w:tcW w:w="520" w:type="dxa"/>
            <w:vAlign w:val="bottom"/>
          </w:tcPr>
          <w:p>
            <w:pPr>
              <w:ind w:left="300"/>
              <w:spacing w:after="0"/>
              <w:rPr>
                <w:sz w:val="20"/>
                <w:szCs w:val="20"/>
                <w:color w:val="auto"/>
              </w:rPr>
            </w:pPr>
            <w:r>
              <w:rPr>
                <w:rFonts w:ascii="Arial" w:cs="Arial" w:eastAsia="Arial" w:hAnsi="Arial"/>
                <w:sz w:val="14"/>
                <w:szCs w:val="14"/>
                <w:color w:val="auto"/>
              </w:rPr>
              <w:t>1c.</w:t>
            </w:r>
          </w:p>
        </w:tc>
        <w:tc>
          <w:tcPr>
            <w:tcW w:w="2220" w:type="dxa"/>
            <w:vAlign w:val="bottom"/>
          </w:tcPr>
          <w:p>
            <w:pPr>
              <w:ind w:left="80"/>
              <w:spacing w:after="0"/>
              <w:rPr>
                <w:sz w:val="20"/>
                <w:szCs w:val="20"/>
                <w:color w:val="auto"/>
              </w:rPr>
            </w:pPr>
            <w:r>
              <w:rPr>
                <w:rFonts w:ascii="Arial" w:cs="Arial" w:eastAsia="Arial" w:hAnsi="Arial"/>
                <w:sz w:val="14"/>
                <w:szCs w:val="14"/>
                <w:color w:val="auto"/>
              </w:rPr>
              <w:t>Robert Greifeld</w:t>
            </w:r>
          </w:p>
        </w:tc>
        <w:tc>
          <w:tcPr>
            <w:tcW w:w="1340" w:type="dxa"/>
            <w:vAlign w:val="bottom"/>
          </w:tcPr>
          <w:p>
            <w:pPr>
              <w:jc w:val="center"/>
              <w:ind w:left="9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13"/>
        </w:trPr>
        <w:tc>
          <w:tcPr>
            <w:tcW w:w="520" w:type="dxa"/>
            <w:vAlign w:val="bottom"/>
          </w:tcPr>
          <w:p>
            <w:pPr>
              <w:ind w:left="300"/>
              <w:spacing w:after="0"/>
              <w:rPr>
                <w:sz w:val="20"/>
                <w:szCs w:val="20"/>
                <w:color w:val="auto"/>
              </w:rPr>
            </w:pPr>
            <w:r>
              <w:rPr>
                <w:rFonts w:ascii="Arial" w:cs="Arial" w:eastAsia="Arial" w:hAnsi="Arial"/>
                <w:sz w:val="14"/>
                <w:szCs w:val="14"/>
                <w:color w:val="auto"/>
              </w:rPr>
              <w:t>1d.</w:t>
            </w:r>
          </w:p>
        </w:tc>
        <w:tc>
          <w:tcPr>
            <w:tcW w:w="2220" w:type="dxa"/>
            <w:vAlign w:val="bottom"/>
          </w:tcPr>
          <w:p>
            <w:pPr>
              <w:ind w:left="80"/>
              <w:spacing w:after="0"/>
              <w:rPr>
                <w:sz w:val="20"/>
                <w:szCs w:val="20"/>
                <w:color w:val="auto"/>
              </w:rPr>
            </w:pPr>
            <w:r>
              <w:rPr>
                <w:rFonts w:ascii="Arial" w:cs="Arial" w:eastAsia="Arial" w:hAnsi="Arial"/>
                <w:sz w:val="14"/>
                <w:szCs w:val="14"/>
                <w:color w:val="auto"/>
              </w:rPr>
              <w:t>Glenn H. Hutchins</w:t>
            </w:r>
          </w:p>
        </w:tc>
        <w:tc>
          <w:tcPr>
            <w:tcW w:w="1340" w:type="dxa"/>
            <w:vAlign w:val="bottom"/>
          </w:tcPr>
          <w:p>
            <w:pPr>
              <w:jc w:val="center"/>
              <w:ind w:left="9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13"/>
        </w:trPr>
        <w:tc>
          <w:tcPr>
            <w:tcW w:w="520" w:type="dxa"/>
            <w:vAlign w:val="bottom"/>
          </w:tcPr>
          <w:p>
            <w:pPr>
              <w:ind w:left="300"/>
              <w:spacing w:after="0"/>
              <w:rPr>
                <w:sz w:val="20"/>
                <w:szCs w:val="20"/>
                <w:color w:val="auto"/>
              </w:rPr>
            </w:pPr>
            <w:r>
              <w:rPr>
                <w:rFonts w:ascii="Arial" w:cs="Arial" w:eastAsia="Arial" w:hAnsi="Arial"/>
                <w:sz w:val="14"/>
                <w:szCs w:val="14"/>
                <w:color w:val="auto"/>
              </w:rPr>
              <w:t>1e.</w:t>
            </w:r>
          </w:p>
        </w:tc>
        <w:tc>
          <w:tcPr>
            <w:tcW w:w="2220" w:type="dxa"/>
            <w:vAlign w:val="bottom"/>
          </w:tcPr>
          <w:p>
            <w:pPr>
              <w:ind w:left="80"/>
              <w:spacing w:after="0"/>
              <w:rPr>
                <w:sz w:val="20"/>
                <w:szCs w:val="20"/>
                <w:color w:val="auto"/>
              </w:rPr>
            </w:pPr>
            <w:r>
              <w:rPr>
                <w:rFonts w:ascii="Arial" w:cs="Arial" w:eastAsia="Arial" w:hAnsi="Arial"/>
                <w:sz w:val="14"/>
                <w:szCs w:val="14"/>
                <w:color w:val="auto"/>
              </w:rPr>
              <w:t>Essa Kazim</w:t>
            </w:r>
          </w:p>
        </w:tc>
        <w:tc>
          <w:tcPr>
            <w:tcW w:w="1340" w:type="dxa"/>
            <w:vAlign w:val="bottom"/>
          </w:tcPr>
          <w:p>
            <w:pPr>
              <w:jc w:val="center"/>
              <w:ind w:left="9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13"/>
        </w:trPr>
        <w:tc>
          <w:tcPr>
            <w:tcW w:w="520" w:type="dxa"/>
            <w:vAlign w:val="bottom"/>
          </w:tcPr>
          <w:p>
            <w:pPr>
              <w:ind w:left="300"/>
              <w:spacing w:after="0"/>
              <w:rPr>
                <w:sz w:val="20"/>
                <w:szCs w:val="20"/>
                <w:color w:val="auto"/>
              </w:rPr>
            </w:pPr>
            <w:r>
              <w:rPr>
                <w:rFonts w:ascii="Arial" w:cs="Arial" w:eastAsia="Arial" w:hAnsi="Arial"/>
                <w:sz w:val="14"/>
                <w:szCs w:val="14"/>
                <w:color w:val="auto"/>
              </w:rPr>
              <w:t>1f.</w:t>
            </w:r>
          </w:p>
        </w:tc>
        <w:tc>
          <w:tcPr>
            <w:tcW w:w="2220" w:type="dxa"/>
            <w:vAlign w:val="bottom"/>
          </w:tcPr>
          <w:p>
            <w:pPr>
              <w:ind w:left="60"/>
              <w:spacing w:after="0"/>
              <w:rPr>
                <w:sz w:val="20"/>
                <w:szCs w:val="20"/>
                <w:color w:val="auto"/>
              </w:rPr>
            </w:pPr>
            <w:r>
              <w:rPr>
                <w:rFonts w:ascii="Arial" w:cs="Arial" w:eastAsia="Arial" w:hAnsi="Arial"/>
                <w:sz w:val="14"/>
                <w:szCs w:val="14"/>
                <w:color w:val="auto"/>
              </w:rPr>
              <w:t>John D. Markese</w:t>
            </w:r>
          </w:p>
        </w:tc>
        <w:tc>
          <w:tcPr>
            <w:tcW w:w="1340" w:type="dxa"/>
            <w:vAlign w:val="bottom"/>
          </w:tcPr>
          <w:p>
            <w:pPr>
              <w:jc w:val="center"/>
              <w:ind w:left="9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13"/>
        </w:trPr>
        <w:tc>
          <w:tcPr>
            <w:tcW w:w="520" w:type="dxa"/>
            <w:vAlign w:val="bottom"/>
          </w:tcPr>
          <w:p>
            <w:pPr>
              <w:ind w:left="300"/>
              <w:spacing w:after="0"/>
              <w:rPr>
                <w:sz w:val="20"/>
                <w:szCs w:val="20"/>
                <w:color w:val="auto"/>
              </w:rPr>
            </w:pPr>
            <w:r>
              <w:rPr>
                <w:rFonts w:ascii="Arial" w:cs="Arial" w:eastAsia="Arial" w:hAnsi="Arial"/>
                <w:sz w:val="14"/>
                <w:szCs w:val="14"/>
                <w:color w:val="auto"/>
              </w:rPr>
              <w:t>1g.</w:t>
            </w:r>
          </w:p>
        </w:tc>
        <w:tc>
          <w:tcPr>
            <w:tcW w:w="2220" w:type="dxa"/>
            <w:vAlign w:val="bottom"/>
          </w:tcPr>
          <w:p>
            <w:pPr>
              <w:ind w:left="80"/>
              <w:spacing w:after="0"/>
              <w:rPr>
                <w:sz w:val="20"/>
                <w:szCs w:val="20"/>
                <w:color w:val="auto"/>
              </w:rPr>
            </w:pPr>
            <w:r>
              <w:rPr>
                <w:rFonts w:ascii="Arial" w:cs="Arial" w:eastAsia="Arial" w:hAnsi="Arial"/>
                <w:sz w:val="14"/>
                <w:szCs w:val="14"/>
                <w:color w:val="auto"/>
              </w:rPr>
              <w:t>Ellyn A. McColgan</w:t>
            </w:r>
          </w:p>
        </w:tc>
        <w:tc>
          <w:tcPr>
            <w:tcW w:w="1340" w:type="dxa"/>
            <w:vAlign w:val="bottom"/>
          </w:tcPr>
          <w:p>
            <w:pPr>
              <w:jc w:val="center"/>
              <w:ind w:left="9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13"/>
        </w:trPr>
        <w:tc>
          <w:tcPr>
            <w:tcW w:w="520" w:type="dxa"/>
            <w:vAlign w:val="bottom"/>
          </w:tcPr>
          <w:p>
            <w:pPr>
              <w:ind w:left="300"/>
              <w:spacing w:after="0"/>
              <w:rPr>
                <w:sz w:val="20"/>
                <w:szCs w:val="20"/>
                <w:color w:val="auto"/>
              </w:rPr>
            </w:pPr>
            <w:r>
              <w:rPr>
                <w:rFonts w:ascii="Arial" w:cs="Arial" w:eastAsia="Arial" w:hAnsi="Arial"/>
                <w:sz w:val="14"/>
                <w:szCs w:val="14"/>
                <w:color w:val="auto"/>
              </w:rPr>
              <w:t>1h.</w:t>
            </w:r>
          </w:p>
        </w:tc>
        <w:tc>
          <w:tcPr>
            <w:tcW w:w="2220" w:type="dxa"/>
            <w:vAlign w:val="bottom"/>
          </w:tcPr>
          <w:p>
            <w:pPr>
              <w:ind w:left="80"/>
              <w:spacing w:after="0"/>
              <w:rPr>
                <w:sz w:val="20"/>
                <w:szCs w:val="20"/>
                <w:color w:val="auto"/>
              </w:rPr>
            </w:pPr>
            <w:r>
              <w:rPr>
                <w:rFonts w:ascii="Arial" w:cs="Arial" w:eastAsia="Arial" w:hAnsi="Arial"/>
                <w:sz w:val="14"/>
                <w:szCs w:val="14"/>
                <w:color w:val="auto"/>
              </w:rPr>
              <w:t>Thomas F. O’Neill</w:t>
            </w:r>
          </w:p>
        </w:tc>
        <w:tc>
          <w:tcPr>
            <w:tcW w:w="1340" w:type="dxa"/>
            <w:vAlign w:val="bottom"/>
          </w:tcPr>
          <w:p>
            <w:pPr>
              <w:jc w:val="center"/>
              <w:ind w:left="9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13"/>
        </w:trPr>
        <w:tc>
          <w:tcPr>
            <w:tcW w:w="520" w:type="dxa"/>
            <w:vAlign w:val="bottom"/>
          </w:tcPr>
          <w:p>
            <w:pPr>
              <w:ind w:left="300"/>
              <w:spacing w:after="0"/>
              <w:rPr>
                <w:sz w:val="20"/>
                <w:szCs w:val="20"/>
                <w:color w:val="auto"/>
              </w:rPr>
            </w:pPr>
            <w:r>
              <w:rPr>
                <w:rFonts w:ascii="Arial" w:cs="Arial" w:eastAsia="Arial" w:hAnsi="Arial"/>
                <w:sz w:val="14"/>
                <w:szCs w:val="14"/>
                <w:color w:val="auto"/>
              </w:rPr>
              <w:t>1i.</w:t>
            </w:r>
          </w:p>
        </w:tc>
        <w:tc>
          <w:tcPr>
            <w:tcW w:w="2220" w:type="dxa"/>
            <w:vAlign w:val="bottom"/>
          </w:tcPr>
          <w:p>
            <w:pPr>
              <w:ind w:left="60"/>
              <w:spacing w:after="0"/>
              <w:rPr>
                <w:sz w:val="20"/>
                <w:szCs w:val="20"/>
                <w:color w:val="auto"/>
              </w:rPr>
            </w:pPr>
            <w:r>
              <w:rPr>
                <w:rFonts w:ascii="Arial" w:cs="Arial" w:eastAsia="Arial" w:hAnsi="Arial"/>
                <w:sz w:val="14"/>
                <w:szCs w:val="14"/>
                <w:color w:val="auto"/>
              </w:rPr>
              <w:t>James S. Riepe</w:t>
            </w:r>
          </w:p>
        </w:tc>
        <w:tc>
          <w:tcPr>
            <w:tcW w:w="1340" w:type="dxa"/>
            <w:vAlign w:val="bottom"/>
          </w:tcPr>
          <w:p>
            <w:pPr>
              <w:jc w:val="center"/>
              <w:ind w:left="9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13"/>
        </w:trPr>
        <w:tc>
          <w:tcPr>
            <w:tcW w:w="520" w:type="dxa"/>
            <w:vAlign w:val="bottom"/>
          </w:tcPr>
          <w:p>
            <w:pPr>
              <w:ind w:left="300"/>
              <w:spacing w:after="0"/>
              <w:rPr>
                <w:sz w:val="20"/>
                <w:szCs w:val="20"/>
                <w:color w:val="auto"/>
              </w:rPr>
            </w:pPr>
            <w:r>
              <w:rPr>
                <w:rFonts w:ascii="Arial" w:cs="Arial" w:eastAsia="Arial" w:hAnsi="Arial"/>
                <w:sz w:val="14"/>
                <w:szCs w:val="14"/>
                <w:color w:val="auto"/>
              </w:rPr>
              <w:t>1j.</w:t>
            </w:r>
          </w:p>
        </w:tc>
        <w:tc>
          <w:tcPr>
            <w:tcW w:w="2220" w:type="dxa"/>
            <w:vAlign w:val="bottom"/>
          </w:tcPr>
          <w:p>
            <w:pPr>
              <w:ind w:left="60"/>
              <w:spacing w:after="0"/>
              <w:rPr>
                <w:sz w:val="20"/>
                <w:szCs w:val="20"/>
                <w:color w:val="auto"/>
              </w:rPr>
            </w:pPr>
            <w:r>
              <w:rPr>
                <w:rFonts w:ascii="Arial" w:cs="Arial" w:eastAsia="Arial" w:hAnsi="Arial"/>
                <w:sz w:val="14"/>
                <w:szCs w:val="14"/>
                <w:color w:val="auto"/>
              </w:rPr>
              <w:t>Michael R. Splinter</w:t>
            </w:r>
          </w:p>
        </w:tc>
        <w:tc>
          <w:tcPr>
            <w:tcW w:w="1340" w:type="dxa"/>
            <w:vAlign w:val="bottom"/>
          </w:tcPr>
          <w:p>
            <w:pPr>
              <w:jc w:val="center"/>
              <w:ind w:left="9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
        <w:spacing w:after="0" w:line="241" w:lineRule="auto"/>
        <w:rPr>
          <w:sz w:val="20"/>
          <w:szCs w:val="20"/>
          <w:color w:val="auto"/>
        </w:rPr>
      </w:pPr>
      <w:r>
        <w:rPr>
          <w:rFonts w:ascii="Arial" w:cs="Arial" w:eastAsia="Arial" w:hAnsi="Arial"/>
          <w:sz w:val="14"/>
          <w:szCs w:val="14"/>
          <w:b w:val="1"/>
          <w:bCs w:val="1"/>
          <w:color w:val="auto"/>
        </w:rPr>
        <w:t>The Board of Directors recommends you vote FOR proposals 2, 3, 4 and 5.</w:t>
      </w:r>
    </w:p>
    <w:p>
      <w:pPr>
        <w:spacing w:after="0" w:line="205" w:lineRule="exact"/>
        <w:rPr>
          <w:sz w:val="20"/>
          <w:szCs w:val="20"/>
          <w:color w:val="auto"/>
        </w:rPr>
      </w:pPr>
    </w:p>
    <w:p>
      <w:pPr>
        <w:ind w:left="326" w:right="80" w:hanging="326"/>
        <w:spacing w:after="0" w:line="288" w:lineRule="auto"/>
        <w:tabs>
          <w:tab w:leader="none" w:pos="371"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To ratify the appointment of Ernst &amp; Young LLP as NASDAQ OMX’s independent registered public accounting firm for the fiscal year ending December 31, 2013.</w:t>
      </w:r>
    </w:p>
    <w:p>
      <w:pPr>
        <w:spacing w:after="0" w:line="219" w:lineRule="exact"/>
        <w:rPr>
          <w:rFonts w:ascii="Arial" w:cs="Arial" w:eastAsia="Arial" w:hAnsi="Arial"/>
          <w:sz w:val="12"/>
          <w:szCs w:val="12"/>
          <w:color w:val="auto"/>
        </w:rPr>
      </w:pPr>
    </w:p>
    <w:p>
      <w:pPr>
        <w:ind w:left="326" w:right="200" w:hanging="326"/>
        <w:spacing w:after="0" w:line="239" w:lineRule="auto"/>
        <w:tabs>
          <w:tab w:leader="none" w:pos="37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approve the company’s executive compensation on an advisory basis.</w:t>
      </w:r>
    </w:p>
    <w:p>
      <w:pPr>
        <w:spacing w:after="0" w:line="206" w:lineRule="exact"/>
        <w:rPr>
          <w:rFonts w:ascii="Arial" w:cs="Arial" w:eastAsia="Arial" w:hAnsi="Arial"/>
          <w:sz w:val="14"/>
          <w:szCs w:val="14"/>
          <w:color w:val="auto"/>
        </w:rPr>
      </w:pPr>
    </w:p>
    <w:p>
      <w:pPr>
        <w:ind w:left="326" w:right="220" w:hanging="326"/>
        <w:spacing w:after="0" w:line="233" w:lineRule="auto"/>
        <w:tabs>
          <w:tab w:leader="none" w:pos="37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approve an amendment of NASDAQ OMX’s restated certificate of incorporation to remove and replace the supermajority voting requirements.</w:t>
      </w:r>
    </w:p>
    <w:p>
      <w:pPr>
        <w:spacing w:after="0" w:line="200" w:lineRule="exact"/>
        <w:rPr>
          <w:rFonts w:ascii="Arial" w:cs="Arial" w:eastAsia="Arial" w:hAnsi="Arial"/>
          <w:sz w:val="14"/>
          <w:szCs w:val="14"/>
          <w:color w:val="auto"/>
        </w:rPr>
      </w:pPr>
    </w:p>
    <w:p>
      <w:pPr>
        <w:spacing w:after="0" w:line="303" w:lineRule="exact"/>
        <w:rPr>
          <w:rFonts w:ascii="Arial" w:cs="Arial" w:eastAsia="Arial" w:hAnsi="Arial"/>
          <w:sz w:val="14"/>
          <w:szCs w:val="14"/>
          <w:color w:val="auto"/>
        </w:rPr>
      </w:pPr>
    </w:p>
    <w:p>
      <w:pPr>
        <w:jc w:val="both"/>
        <w:ind w:left="326" w:right="220" w:hanging="326"/>
        <w:spacing w:after="0" w:line="288" w:lineRule="auto"/>
        <w:tabs>
          <w:tab w:leader="none" w:pos="371"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To approve an amendment and restatement of NASDAQ OMX’s restated certificate of incorporation to make other non-substantive changes.</w:t>
      </w:r>
    </w:p>
    <w:p>
      <w:pPr>
        <w:spacing w:after="0" w:line="200" w:lineRule="exact"/>
        <w:rPr>
          <w:sz w:val="20"/>
          <w:szCs w:val="20"/>
          <w:color w:val="auto"/>
        </w:rPr>
      </w:pPr>
    </w:p>
    <w:p>
      <w:pPr>
        <w:spacing w:after="0" w:line="274" w:lineRule="exact"/>
        <w:rPr>
          <w:sz w:val="20"/>
          <w:szCs w:val="20"/>
          <w:color w:val="auto"/>
        </w:rPr>
      </w:pPr>
    </w:p>
    <w:p>
      <w:pPr>
        <w:ind w:left="6" w:right="80"/>
        <w:spacing w:after="0" w:line="234"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To transact such other business as may properly come</w:t>
      </w:r>
      <w:r>
        <w:rPr>
          <w:rFonts w:ascii="Arial" w:cs="Arial" w:eastAsia="Arial" w:hAnsi="Arial"/>
          <w:sz w:val="14"/>
          <w:szCs w:val="14"/>
          <w:b w:val="1"/>
          <w:bCs w:val="1"/>
          <w:color w:val="auto"/>
        </w:rPr>
        <w:t xml:space="preserve"> </w:t>
      </w:r>
      <w:r>
        <w:rPr>
          <w:rFonts w:ascii="Arial" w:cs="Arial" w:eastAsia="Arial" w:hAnsi="Arial"/>
          <w:sz w:val="14"/>
          <w:szCs w:val="14"/>
          <w:color w:val="auto"/>
        </w:rPr>
        <w:t>before the annual meeting or any adjournment or postponement of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1"/>
          <w:szCs w:val="11"/>
          <w:b w:val="1"/>
          <w:bCs w:val="1"/>
          <w:color w:val="auto"/>
        </w:rPr>
        <w:t>Against</w:t>
      </w:r>
    </w:p>
    <w:p>
      <w:pPr>
        <w:spacing w:after="0" w:line="55" w:lineRule="exact"/>
        <w:rPr>
          <w:sz w:val="20"/>
          <w:szCs w:val="20"/>
          <w:color w:val="auto"/>
        </w:rPr>
      </w:pPr>
    </w:p>
    <w:p>
      <w:pPr>
        <w:jc w:val="right"/>
        <w:ind w:right="300"/>
        <w:spacing w:after="0"/>
        <w:rPr>
          <w:sz w:val="20"/>
          <w:szCs w:val="20"/>
          <w:color w:val="auto"/>
        </w:rPr>
      </w:pPr>
      <w:r>
        <w:rPr>
          <w:rFonts w:ascii="Arial" w:cs="Arial" w:eastAsia="Arial" w:hAnsi="Arial"/>
          <w:sz w:val="14"/>
          <w:szCs w:val="14"/>
          <w:b w:val="1"/>
          <w:bCs w:val="1"/>
          <w:color w:val="auto"/>
        </w:rPr>
        <w:t>Abstain</w:t>
      </w:r>
    </w:p>
    <w:p>
      <w:pPr>
        <w:spacing w:after="0" w:line="235" w:lineRule="exact"/>
        <w:rPr>
          <w:sz w:val="20"/>
          <w:szCs w:val="20"/>
          <w:color w:val="auto"/>
        </w:rPr>
      </w:pPr>
    </w:p>
    <w:p>
      <w:pPr>
        <w:ind w:left="20"/>
        <w:spacing w:after="0" w:line="141" w:lineRule="exact"/>
        <w:tabs>
          <w:tab w:leader="none" w:pos="4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76" w:lineRule="exact"/>
        <w:rPr>
          <w:sz w:val="20"/>
          <w:szCs w:val="20"/>
          <w:color w:val="auto"/>
        </w:r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line="141" w:lineRule="exact"/>
        <w:tabs>
          <w:tab w:leader="none" w:pos="4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76" w:lineRule="exact"/>
        <w:rPr>
          <w:sz w:val="20"/>
          <w:szCs w:val="20"/>
          <w:color w:val="auto"/>
        </w:r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0"/>
          <w:szCs w:val="20"/>
          <w:color w:val="auto"/>
        </w:rPr>
      </w:pPr>
    </w:p>
    <w:p>
      <w:pPr>
        <w:ind w:left="20"/>
        <w:spacing w:after="0" w:line="141" w:lineRule="exact"/>
        <w:tabs>
          <w:tab w:leader="none" w:pos="4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76" w:lineRule="exact"/>
        <w:rPr>
          <w:sz w:val="20"/>
          <w:szCs w:val="20"/>
          <w:color w:val="auto"/>
        </w:r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line="141" w:lineRule="exact"/>
        <w:tabs>
          <w:tab w:leader="none" w:pos="4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76" w:lineRule="exact"/>
        <w:rPr>
          <w:sz w:val="20"/>
          <w:szCs w:val="20"/>
          <w:color w:val="auto"/>
        </w:r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973" w:lineRule="exact"/>
        <w:rPr>
          <w:sz w:val="20"/>
          <w:szCs w:val="20"/>
          <w:color w:val="auto"/>
        </w:rPr>
      </w:pPr>
    </w:p>
    <w:p>
      <w:pPr>
        <w:sectPr>
          <w:pgSz w:w="11900" w:h="16838" w:orient="portrait"/>
          <w:cols w:equalWidth="0" w:num="3">
            <w:col w:w="5400" w:space="334"/>
            <w:col w:w="3666" w:space="400"/>
            <w:col w:w="1620"/>
          </w:cols>
          <w:pgMar w:left="240" w:top="459" w:right="239" w:bottom="169" w:gutter="0" w:footer="0" w:header="0"/>
          <w:type w:val="continuous"/>
        </w:sectPr>
      </w:pPr>
    </w:p>
    <w:p>
      <w:pPr>
        <w:spacing w:after="0" w:line="102" w:lineRule="exact"/>
        <w:rPr>
          <w:sz w:val="20"/>
          <w:szCs w:val="20"/>
          <w:color w:val="auto"/>
        </w:rPr>
      </w:pPr>
    </w:p>
    <w:p>
      <w:pPr>
        <w:ind w:left="560"/>
        <w:spacing w:after="0" w:line="161" w:lineRule="exact"/>
        <w:tabs>
          <w:tab w:leader="none" w:pos="840" w:val="left"/>
          <w:tab w:leader="none" w:pos="4100" w:val="left"/>
          <w:tab w:leader="none" w:pos="4540" w:val="left"/>
          <w:tab w:leader="none" w:pos="5100" w:val="left"/>
        </w:tabs>
        <w:rPr>
          <w:sz w:val="20"/>
          <w:szCs w:val="20"/>
          <w:color w:val="auto"/>
        </w:rPr>
      </w:pPr>
      <w:r>
        <w:rPr>
          <w:rFonts w:ascii="Arial" w:cs="Arial" w:eastAsia="Arial" w:hAnsi="Arial"/>
          <w:sz w:val="14"/>
          <w:szCs w:val="14"/>
          <w:color w:val="auto"/>
        </w:rPr>
        <w:t>1k.</w:t>
        <w:tab/>
        <w:t>Lars R. Wedenborn</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right="2340"/>
        <w:spacing w:after="0" w:line="318"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26" w:lineRule="exact"/>
        <w:rPr>
          <w:sz w:val="20"/>
          <w:szCs w:val="20"/>
          <w:color w:val="auto"/>
        </w:rPr>
      </w:pPr>
    </w:p>
    <w:p>
      <w:pPr>
        <w:ind w:left="260"/>
        <w:spacing w:after="0"/>
        <w:tabs>
          <w:tab w:leader="none" w:pos="3140" w:val="left"/>
          <w:tab w:leader="none" w:pos="5720" w:val="left"/>
          <w:tab w:leader="none" w:pos="88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69"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Annual Report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M57302-P33529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wp:posOffset>
            </wp:positionV>
            <wp:extent cx="7263765" cy="40220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3765" cy="402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NASDAQ OMX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Meeting of Stockholders</w:t>
      </w:r>
    </w:p>
    <w:p>
      <w:pPr>
        <w:jc w:val="center"/>
        <w:spacing w:after="0" w:line="230" w:lineRule="auto"/>
        <w:rPr>
          <w:sz w:val="20"/>
          <w:szCs w:val="20"/>
          <w:color w:val="auto"/>
        </w:rPr>
      </w:pPr>
      <w:r>
        <w:rPr>
          <w:rFonts w:ascii="Arial" w:cs="Arial" w:eastAsia="Arial" w:hAnsi="Arial"/>
          <w:sz w:val="22"/>
          <w:szCs w:val="22"/>
          <w:b w:val="1"/>
          <w:bCs w:val="1"/>
          <w:color w:val="auto"/>
        </w:rPr>
        <w:t>May 22, 2013 9:00 AM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269" w:lineRule="exact"/>
        <w:rPr>
          <w:sz w:val="20"/>
          <w:szCs w:val="20"/>
          <w:color w:val="auto"/>
        </w:rPr>
      </w:pPr>
    </w:p>
    <w:p>
      <w:pPr>
        <w:ind w:left="260" w:right="300"/>
        <w:spacing w:after="0" w:line="294" w:lineRule="auto"/>
        <w:rPr>
          <w:sz w:val="20"/>
          <w:szCs w:val="20"/>
          <w:color w:val="auto"/>
        </w:rPr>
      </w:pPr>
      <w:r>
        <w:rPr>
          <w:rFonts w:ascii="Arial" w:cs="Arial" w:eastAsia="Arial" w:hAnsi="Arial"/>
          <w:sz w:val="16"/>
          <w:szCs w:val="16"/>
          <w:color w:val="auto"/>
        </w:rPr>
        <w:t>The stockholder(s) hereby appoint(s) Edward S. Knight and Joan C. Conley, or either of them, as proxies, each with the power to appoint his or her substitute, and hereby authorize(s) them to represent and to vote, as designated on the reverse side of this ballot, all of the shares of common stock of THE NASDAQ OMX GROUP, INC. that the stockholder(s) is/are entitled to vote at the Annual Meeting of Stockholders to be held at 9:00 AM, EDT on 5/22/2013, at NASDAQ OMX’s principal executive offices located at One Liberty Plaza, 50th floor, New York, NY 10006 and any adjournment or postponement thereof. Directions: Available at http://ir.nasdaqomx.com/annuals.cfm.</w:t>
      </w:r>
    </w:p>
    <w:p>
      <w:pPr>
        <w:spacing w:after="0" w:line="164" w:lineRule="exact"/>
        <w:rPr>
          <w:sz w:val="20"/>
          <w:szCs w:val="20"/>
          <w:color w:val="auto"/>
        </w:rPr>
      </w:pPr>
    </w:p>
    <w:p>
      <w:pPr>
        <w:ind w:left="260" w:right="100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lvl w:ilvl="1">
      <w:lvlJc w:val="left"/>
      <w:lvlText w:val="(%2)"/>
      <w:numFmt w:val="decimal"/>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1."/>
      <w:numFmt w:val="decimal"/>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1)"/>
      <w:numFmt w:val="decimal"/>
      <w:start w:val="1"/>
    </w:lvl>
  </w:abstractNum>
  <w:abstractNum w:abstractNumId="20">
    <w:nsid w:val="10233C99"/>
    <w:multiLevelType w:val="hybridMultilevel"/>
    <w:lvl w:ilvl="0">
      <w:lvlJc w:val="left"/>
      <w:lvlText w:val="(%1)"/>
      <w:numFmt w:val="decimal"/>
      <w:start w:val="4"/>
    </w:lvl>
  </w:abstractNum>
  <w:abstractNum w:abstractNumId="21">
    <w:nsid w:val="3F6AB60F"/>
    <w:multiLevelType w:val="hybridMultilevel"/>
    <w:lvl w:ilvl="0">
      <w:lvlJc w:val="left"/>
      <w:lvlText w:val="(%1)"/>
      <w:numFmt w:val="upperLetter"/>
      <w:start w:val="1"/>
    </w:lvl>
  </w:abstractNum>
  <w:abstractNum w:abstractNumId="22">
    <w:nsid w:val="61574095"/>
    <w:multiLevelType w:val="hybridMultilevel"/>
    <w:lvl w:ilvl="0">
      <w:lvlJc w:val="left"/>
      <w:lvlText w:val="(%1)"/>
      <w:numFmt w:val="decimal"/>
      <w:start w:val="6"/>
    </w:lvl>
  </w:abstractNum>
  <w:abstractNum w:abstractNumId="23">
    <w:nsid w:val="7E0C57B1"/>
    <w:multiLevelType w:val="hybridMultilevel"/>
    <w:lvl w:ilvl="0">
      <w:lvlJc w:val="left"/>
      <w:lvlText w:val="(%1)"/>
      <w:numFmt w:val="decimal"/>
      <w:start w:val="9"/>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decimal"/>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6">
    <w:nsid w:val="6590700B"/>
    <w:multiLevelType w:val="hybridMultilevel"/>
    <w:lvl w:ilvl="0">
      <w:lvlJc w:val="left"/>
      <w:lvlText w:val="•"/>
      <w:numFmt w:val="bullet"/>
      <w:start w:val="1"/>
    </w:lvl>
    <w:lvl w:ilvl="1">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
      <w:numFmt w:val="bullet"/>
      <w:start w:val="1"/>
    </w:lvl>
    <w:lvl w:ilvl="1">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lowerLetter"/>
      <w:start w:val="2"/>
    </w:lvl>
  </w:abstractNum>
  <w:abstractNum w:abstractNumId="48">
    <w:nsid w:val="7BD3EE7B"/>
    <w:multiLevelType w:val="hybridMultilevel"/>
    <w:lvl w:ilvl="0">
      <w:lvlJc w:val="left"/>
      <w:lvlText w:val="(%1)"/>
      <w:numFmt w:val="decimal"/>
      <w:start w:val="4"/>
    </w:lvl>
  </w:abstractNum>
  <w:abstractNum w:abstractNumId="49">
    <w:nsid w:val="51D9C564"/>
    <w:multiLevelType w:val="hybridMultilevel"/>
    <w:lvl w:ilvl="0">
      <w:lvlJc w:val="left"/>
      <w:lvlText w:val="%1"/>
      <w:numFmt w:val="decimal"/>
      <w:start w:val="1"/>
    </w:lvl>
    <w:lvl w:ilvl="1">
      <w:lvlJc w:val="left"/>
      <w:lvlText w:val="(%2)"/>
      <w:numFmt w:val="lowerLetter"/>
      <w:start w:val="2"/>
    </w:lvl>
  </w:abstractNum>
  <w:abstractNum w:abstractNumId="50">
    <w:nsid w:val="613EFDC5"/>
    <w:multiLevelType w:val="hybridMultilevel"/>
    <w:lvl w:ilvl="0">
      <w:lvlJc w:val="left"/>
      <w:lvlText w:val="(%1)"/>
      <w:numFmt w:val="decimal"/>
      <w:start w:val="8"/>
    </w:lvl>
    <w:lvl w:ilvl="1">
      <w:lvlJc w:val="left"/>
      <w:lvlText w:val="%2"/>
      <w:numFmt w:val="lowerLetter"/>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lvl w:ilvl="1">
      <w:lvlJc w:val="left"/>
      <w:lvlText w:val="•"/>
      <w:numFmt w:val="bullet"/>
      <w:start w:val="1"/>
    </w:lvl>
  </w:abstractNum>
  <w:abstractNum w:abstractNumId="71">
    <w:nsid w:val="885E1B"/>
    <w:multiLevelType w:val="hybridMultilevel"/>
    <w:lvl w:ilvl="0">
      <w:lvlJc w:val="left"/>
      <w:lvlText w:val="•"/>
      <w:numFmt w:val="bullet"/>
      <w:start w:val="1"/>
    </w:lvl>
    <w:lvl w:ilvl="1">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1)"/>
      <w:numFmt w:val="decimal"/>
      <w:start w:val="1"/>
    </w:lvl>
  </w:abstractNum>
  <w:abstractNum w:abstractNumId="74">
    <w:nsid w:val="1716703B"/>
    <w:multiLevelType w:val="hybridMultilevel"/>
    <w:lvl w:ilvl="0">
      <w:lvlJc w:val="left"/>
      <w:lvlText w:val="(%1)"/>
      <w:numFmt w:val="decimal"/>
      <w:start w:val="2"/>
    </w:lvl>
  </w:abstractNum>
  <w:abstractNum w:abstractNumId="75">
    <w:nsid w:val="14E17E33"/>
    <w:multiLevelType w:val="hybridMultilevel"/>
    <w:lvl w:ilvl="0">
      <w:lvlJc w:val="left"/>
      <w:lvlText w:val="(%1)"/>
      <w:numFmt w:val="decimal"/>
      <w:start w:val="4"/>
    </w:lvl>
  </w:abstractNum>
  <w:abstractNum w:abstractNumId="76">
    <w:nsid w:val="3222E7CD"/>
    <w:multiLevelType w:val="hybridMultilevel"/>
    <w:lvl w:ilvl="0">
      <w:lvlJc w:val="left"/>
      <w:lvlText w:val="(%1)"/>
      <w:numFmt w:val="decimal"/>
      <w:start w:val="14"/>
    </w:lvl>
  </w:abstractNum>
  <w:abstractNum w:abstractNumId="77">
    <w:nsid w:val="74DE0EE3"/>
    <w:multiLevelType w:val="hybridMultilevel"/>
    <w:lvl w:ilvl="0">
      <w:lvlJc w:val="left"/>
      <w:lvlText w:val="•"/>
      <w:numFmt w:val="bullet"/>
      <w:start w:val="1"/>
    </w:lvl>
    <w:lvl w:ilvl="1">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lvl w:ilvl="1">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1."/>
      <w:numFmt w:val="upperLetter"/>
      <w:start w:val="1"/>
    </w:lvl>
    <w:lvl w:ilvl="1">
      <w:lvlJc w:val="left"/>
      <w:lvlText w:val="(%2)"/>
      <w:numFmt w:val="decimal"/>
      <w:start w:val="1"/>
    </w:lvl>
  </w:abstractNum>
  <w:abstractNum w:abstractNumId="83">
    <w:nsid w:val="57FC4FBB"/>
    <w:multiLevelType w:val="hybridMultilevel"/>
    <w:lvl w:ilvl="0">
      <w:lvlJc w:val="left"/>
      <w:lvlText w:val="%1"/>
      <w:numFmt w:val="upperLetter"/>
      <w:start w:val="1"/>
    </w:lvl>
    <w:lvl w:ilvl="1">
      <w:lvlJc w:val="left"/>
      <w:lvlText w:val="(%2)"/>
      <w:numFmt w:val="decimal"/>
      <w:start w:val="9"/>
    </w:lvl>
  </w:abstractNum>
  <w:abstractNum w:abstractNumId="84">
    <w:nsid w:val="CC1016F"/>
    <w:multiLevelType w:val="hybridMultilevel"/>
    <w:lvl w:ilvl="0">
      <w:lvlJc w:val="left"/>
      <w:lvlText w:val="%1."/>
      <w:numFmt w:val="upperLetter"/>
      <w:start w:val="3"/>
    </w:lvl>
    <w:lvl w:ilvl="1">
      <w:lvlJc w:val="left"/>
      <w:lvlText w:val="%2"/>
      <w:numFmt w:val="decimal"/>
      <w:start w:val="1"/>
    </w:lvl>
  </w:abstractNum>
  <w:abstractNum w:abstractNumId="85">
    <w:nsid w:val="43F18422"/>
    <w:multiLevelType w:val="hybridMultilevel"/>
    <w:lvl w:ilvl="0">
      <w:lvlJc w:val="left"/>
      <w:lvlText w:val="(%1)"/>
      <w:numFmt w:val="lowerLetter"/>
      <w:start w:val="2"/>
    </w:lvl>
  </w:abstractNum>
  <w:abstractNum w:abstractNumId="86">
    <w:nsid w:val="60EF0119"/>
    <w:multiLevelType w:val="hybridMultilevel"/>
    <w:lvl w:ilvl="0">
      <w:lvlJc w:val="left"/>
      <w:lvlText w:val="%1."/>
      <w:numFmt w:val="decimal"/>
      <w:start w:val="2"/>
    </w:lvl>
  </w:abstractNum>
  <w:abstractNum w:abstractNumId="87">
    <w:nsid w:val="26F324BA"/>
    <w:multiLevelType w:val="hybridMultilevel"/>
    <w:lvl w:ilvl="0">
      <w:lvlJc w:val="left"/>
      <w:lvlText w:val="%1."/>
      <w:numFmt w:val="decimal"/>
      <w:start w:val="3"/>
    </w:lvl>
  </w:abstractNum>
  <w:abstractNum w:abstractNumId="88">
    <w:nsid w:val="7F01579B"/>
    <w:multiLevelType w:val="hybridMultilevel"/>
    <w:lvl w:ilvl="0">
      <w:lvlJc w:val="left"/>
      <w:lvlText w:val="(%1)"/>
      <w:numFmt w:val="lowerLetter"/>
      <w:start w:val="1"/>
    </w:lvl>
    <w:lvl w:ilvl="1">
      <w:lvlJc w:val="left"/>
      <w:lvlText w:val="(%2)"/>
      <w:numFmt w:val="lowerRoman"/>
      <w:start w:val="1"/>
    </w:lvl>
  </w:abstractNum>
  <w:abstractNum w:abstractNumId="89">
    <w:nsid w:val="49DA307D"/>
    <w:multiLevelType w:val="hybridMultilevel"/>
    <w:lvl w:ilvl="0">
      <w:lvlJc w:val="left"/>
      <w:lvlText w:val="%1"/>
      <w:numFmt w:val="lowerLetter"/>
      <w:start w:val="1"/>
    </w:lvl>
    <w:lvl w:ilvl="1">
      <w:lvlJc w:val="left"/>
      <w:lvlText w:val="(%2)"/>
      <w:numFmt w:val="lowerLetter"/>
      <w:start w:val="61"/>
    </w:lvl>
  </w:abstractNum>
  <w:abstractNum w:abstractNumId="90">
    <w:nsid w:val="7055A5F5"/>
    <w:multiLevelType w:val="hybridMultilevel"/>
    <w:lvl w:ilvl="0">
      <w:lvlJc w:val="left"/>
      <w:lvlText w:val="(%1)"/>
      <w:numFmt w:val="lowerLetter"/>
      <w:start w:val="3"/>
    </w:lvl>
    <w:lvl w:ilvl="1">
      <w:lvlJc w:val="left"/>
      <w:lvlText w:val="%2"/>
      <w:numFmt w:val="lowerLetter"/>
      <w:start w:val="1"/>
    </w:lvl>
  </w:abstractNum>
  <w:abstractNum w:abstractNumId="91">
    <w:nsid w:val="5FB8370B"/>
    <w:multiLevelType w:val="hybridMultilevel"/>
    <w:lvl w:ilvl="0">
      <w:lvlJc w:val="left"/>
      <w:lvlText w:val="(%1)"/>
      <w:numFmt w:val="lowerLetter"/>
      <w:start w:val="6"/>
    </w:lvl>
  </w:abstractNum>
  <w:abstractNum w:abstractNumId="92">
    <w:nsid w:val="50801EE1"/>
    <w:multiLevelType w:val="hybridMultilevel"/>
    <w:lvl w:ilvl="0">
      <w:lvlJc w:val="left"/>
      <w:lvlText w:val="%1."/>
      <w:numFmt w:val="decimal"/>
      <w:start w:val="4"/>
    </w:lvl>
    <w:lvl w:ilvl="1">
      <w:lvlJc w:val="left"/>
      <w:lvlText w:val="(%2)"/>
      <w:numFmt w:val="lowerRoman"/>
      <w:start w:val="3"/>
    </w:lvl>
  </w:abstractNum>
  <w:abstractNum w:abstractNumId="93">
    <w:nsid w:val="488AC1A"/>
    <w:multiLevelType w:val="hybridMultilevel"/>
    <w:lvl w:ilvl="0">
      <w:lvlJc w:val="left"/>
      <w:lvlText w:val="%1."/>
      <w:numFmt w:val="decimal"/>
      <w:start w:val="7"/>
    </w:lvl>
  </w:abstractNum>
  <w:abstractNum w:abstractNumId="94">
    <w:nsid w:val="5FB8011C"/>
    <w:multiLevelType w:val="hybridMultilevel"/>
    <w:lvl w:ilvl="0">
      <w:lvlJc w:val="left"/>
      <w:lvlText w:val="%1."/>
      <w:numFmt w:val="upperLetter"/>
      <w:start w:val="1"/>
    </w:lvl>
  </w:abstractNum>
  <w:abstractNum w:abstractNumId="95">
    <w:nsid w:val="6AA78F7F"/>
    <w:multiLevelType w:val="hybridMultilevel"/>
    <w:lvl w:ilvl="0">
      <w:lvlJc w:val="left"/>
      <w:lvlText w:val="%1."/>
      <w:numFmt w:val="upperLetter"/>
      <w:start w:val="3"/>
    </w:lvl>
  </w:abstractNum>
  <w:abstractNum w:abstractNumId="96">
    <w:nsid w:val="7672BD23"/>
    <w:multiLevelType w:val="hybridMultilevel"/>
    <w:lvl w:ilvl="0">
      <w:lvlJc w:val="left"/>
      <w:lvlText w:val="%1."/>
      <w:numFmt w:val="upperLetter"/>
      <w:start w:val="1"/>
    </w:lvl>
  </w:abstractNum>
  <w:abstractNum w:abstractNumId="97">
    <w:nsid w:val="6FC75AF8"/>
    <w:multiLevelType w:val="hybridMultilevel"/>
    <w:lvl w:ilvl="0">
      <w:lvlJc w:val="left"/>
      <w:lvlText w:val="%1."/>
      <w:numFmt w:val="upperLetter"/>
      <w:start w:val="1"/>
    </w:lvl>
  </w:abstractNum>
  <w:abstractNum w:abstractNumId="98">
    <w:nsid w:val="6A5F7029"/>
    <w:multiLevelType w:val="hybridMultilevel"/>
    <w:lvl w:ilvl="0">
      <w:lvlJc w:val="left"/>
      <w:lvlText w:val="%1."/>
      <w:numFmt w:val="upperLetter"/>
      <w:start w:val="1"/>
    </w:lvl>
  </w:abstractNum>
  <w:abstractNum w:abstractNumId="99">
    <w:nsid w:val="7D5E18F8"/>
    <w:multiLevelType w:val="hybridMultilevel"/>
    <w:lvl w:ilvl="0">
      <w:lvlJc w:val="left"/>
      <w:lvlText w:val="(%1)"/>
      <w:numFmt w:val="upperLetter"/>
      <w:start w:val="5"/>
    </w:lvl>
  </w:abstractNum>
  <w:abstractNum w:abstractNumId="100">
    <w:nsid w:val="5F3534A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2019-12-07T01:01:14Z</dcterms:created>
  <dcterms:modified xsi:type="dcterms:W3CDTF">2019-12-07T01:01:14Z</dcterms:modified>
</cp:coreProperties>
</file>