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16"/>
        <w:spacing w:after="0"/>
        <w:rPr>
          <w:sz w:val="20"/>
          <w:szCs w:val="20"/>
          <w:color w:val="auto"/>
        </w:rPr>
      </w:pPr>
      <w:r>
        <w:rPr>
          <w:rFonts w:ascii="Arial" w:cs="Arial" w:eastAsia="Arial" w:hAnsi="Arial"/>
          <w:sz w:val="19"/>
          <w:szCs w:val="19"/>
          <w:b w:val="1"/>
          <w:bCs w:val="1"/>
          <w:color w:val="auto"/>
        </w:rPr>
        <w:t>Date of Report (Date of earliest event reported): December 3, 2020 (December 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238760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Nasdaq, Inc.</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001-38855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52-1165937</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ind w:left="3684"/>
        <w:spacing w:after="0"/>
        <w:rPr>
          <w:sz w:val="20"/>
          <w:szCs w:val="20"/>
          <w:color w:val="auto"/>
        </w:rPr>
      </w:pPr>
      <w:r>
        <w:rPr>
          <w:rFonts w:ascii="Arial" w:cs="Arial" w:eastAsia="Arial" w:hAnsi="Arial"/>
          <w:sz w:val="18"/>
          <w:szCs w:val="18"/>
          <w:b w:val="1"/>
          <w:bCs w:val="1"/>
          <w:color w:val="auto"/>
        </w:rPr>
        <w:t>151 W. 42nd Street, New York, New York 10036</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51"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Registrant’s telephone number, including area code: +1 212 401 8700</w:t>
      </w:r>
    </w:p>
    <w:p>
      <w:pPr>
        <w:spacing w:after="0" w:line="221"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No change since last report</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29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$0.01 par value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8"/>
              </w:rPr>
              <w:t>NDAQ</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The Nasdaq Stock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0.875% Senior Notes due 2030</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NDAQ30</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2"/>
              </w:rPr>
              <w:t>The Nasdaq Stock Market</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1.75% Senior Notes due 2029</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NDAQ29</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2"/>
              </w:rPr>
              <w:t>The Nasdaq Stock Market</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1.75% Senior Notes due 2023</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NDAQ23</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2"/>
              </w:rPr>
              <w:t>The Nasdaq Stock Market</w:t>
            </w:r>
          </w:p>
        </w:tc>
        <w:tc>
          <w:tcPr>
            <w:tcW w:w="0" w:type="dxa"/>
            <w:vAlign w:val="bottom"/>
          </w:tcPr>
          <w:p>
            <w:pPr>
              <w:spacing w:after="0"/>
              <w:rPr>
                <w:sz w:val="1"/>
                <w:szCs w:val="1"/>
                <w:color w:val="auto"/>
              </w:rPr>
            </w:pPr>
          </w:p>
        </w:tc>
      </w:tr>
    </w:tbl>
    <w:p>
      <w:pPr>
        <w:spacing w:after="0" w:line="161"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3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Introductory Note.</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As previously announced in its Current Report on Form 8-K filed on November 19, 2020, on November 18, 2020, Nasdaq, Inc.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Nasdaq</w:t>
      </w:r>
      <w:r>
        <w:rPr>
          <w:rFonts w:ascii="Arial" w:cs="Arial" w:eastAsia="Arial" w:hAnsi="Arial"/>
          <w:sz w:val="16"/>
          <w:szCs w:val="16"/>
          <w:color w:val="auto"/>
        </w:rPr>
        <w:t>”) entered into a share purchase agreement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 with Osprey Acquisition Corporation, a wholly owned subsidiary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Nasdaq (“</w:t>
      </w:r>
      <w:r>
        <w:rPr>
          <w:rFonts w:ascii="Arial" w:cs="Arial" w:eastAsia="Arial" w:hAnsi="Arial"/>
          <w:sz w:val="17"/>
          <w:szCs w:val="17"/>
          <w:u w:val="single" w:color="auto"/>
          <w:color w:val="auto"/>
        </w:rPr>
        <w:t>Buyer</w:t>
      </w:r>
      <w:r>
        <w:rPr>
          <w:rFonts w:ascii="Arial" w:cs="Arial" w:eastAsia="Arial" w:hAnsi="Arial"/>
          <w:sz w:val="17"/>
          <w:szCs w:val="17"/>
          <w:color w:val="auto"/>
        </w:rPr>
        <w:t>”), Verafin Holdings Inc. (“</w:t>
      </w:r>
      <w:r>
        <w:rPr>
          <w:rFonts w:ascii="Arial" w:cs="Arial" w:eastAsia="Arial" w:hAnsi="Arial"/>
          <w:sz w:val="17"/>
          <w:szCs w:val="17"/>
          <w:u w:val="single" w:color="auto"/>
          <w:color w:val="auto"/>
        </w:rPr>
        <w:t>Verafin</w:t>
      </w:r>
      <w:r>
        <w:rPr>
          <w:rFonts w:ascii="Arial" w:cs="Arial" w:eastAsia="Arial" w:hAnsi="Arial"/>
          <w:sz w:val="17"/>
          <w:szCs w:val="17"/>
          <w:color w:val="auto"/>
        </w:rPr>
        <w:t>”), certain shareholders of Verafin (the “</w:t>
      </w:r>
      <w:r>
        <w:rPr>
          <w:rFonts w:ascii="Arial" w:cs="Arial" w:eastAsia="Arial" w:hAnsi="Arial"/>
          <w:sz w:val="17"/>
          <w:szCs w:val="17"/>
          <w:u w:val="single" w:color="auto"/>
          <w:color w:val="auto"/>
        </w:rPr>
        <w:t>Sellers</w:t>
      </w:r>
      <w:r>
        <w:rPr>
          <w:rFonts w:ascii="Arial" w:cs="Arial" w:eastAsia="Arial" w:hAnsi="Arial"/>
          <w:sz w:val="17"/>
          <w:szCs w:val="17"/>
          <w:color w:val="auto"/>
        </w:rPr>
        <w:t>”), and Shareholder Representative Services LLC,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solely in its capacity as the representative of the Sellers. Pursuant to the Purchase Agreement, Buyer shall purchase and acquire from the Sellers all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outstanding common shares of Verafin for an aggregate purchase price of $2.75 billion (the “</w:t>
      </w:r>
      <w:r>
        <w:rPr>
          <w:rFonts w:ascii="Arial" w:cs="Arial" w:eastAsia="Arial" w:hAnsi="Arial"/>
          <w:sz w:val="16"/>
          <w:szCs w:val="16"/>
          <w:u w:val="single" w:color="auto"/>
          <w:color w:val="auto"/>
        </w:rPr>
        <w:t>Acquisition</w:t>
      </w:r>
      <w:r>
        <w:rPr>
          <w:rFonts w:ascii="Arial" w:cs="Arial" w:eastAsia="Arial" w:hAnsi="Arial"/>
          <w:sz w:val="16"/>
          <w:szCs w:val="16"/>
          <w:color w:val="auto"/>
        </w:rPr>
        <w:t>”), subject to certain customary post-closing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adjustments. The closing of the Acquisition is subject to the satisfaction or waiver of certain customary closing conditions as set forth in the Purchase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35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On December 1, 2020, Nasdaq entered into Amendment No. 1 to Credit Agreement (the “</w:t>
      </w:r>
      <w:r>
        <w:rPr>
          <w:rFonts w:ascii="Arial" w:cs="Arial" w:eastAsia="Arial" w:hAnsi="Arial"/>
          <w:sz w:val="18"/>
          <w:szCs w:val="18"/>
          <w:u w:val="single" w:color="auto"/>
          <w:color w:val="auto"/>
        </w:rPr>
        <w:t>Amendment Agreement</w:t>
      </w:r>
      <w:r>
        <w:rPr>
          <w:rFonts w:ascii="Arial" w:cs="Arial" w:eastAsia="Arial" w:hAnsi="Arial"/>
          <w:sz w:val="18"/>
          <w:szCs w:val="18"/>
          <w:color w:val="auto"/>
        </w:rPr>
        <w:t>”) with the lenders party thereto and Bank of America, N.A., as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amending that certain Credit Agreement, dated as of April 25, 2017 (as in effect prior to the Amendment Agreement, the “</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by and among Nasdaq, the lenders and other parties from time to time party thereto and the Administrative Agent.</w:t>
      </w:r>
    </w:p>
    <w:p>
      <w:pPr>
        <w:spacing w:after="0" w:line="187"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The Amendment Agreement amends the Existing Credit Agreement to, among other things, (i) provide that, subject to closing of the Acquisition in accordance with the Purchase Agreement and the satisfaction of certain other customary conditions, Nasdaq may borrow revolving loans thereunder for the purpose of financing the Acquisition, repaying certain existing indebtedness of Verafin and paying fees, costs and expenses in connection with the foregoing, (ii) increase the maximum leverage ratio permitted thereunder from 3.50 to 1.00 to 4.50 to 1.00 upon consummation of the Acquisition (stepping down to 4.00 to 1.00 over time), (iii) remove the interest coverage ratio financial covenant and (iv) make certain other changes set forth therein.</w:t>
      </w:r>
    </w:p>
    <w:p>
      <w:pPr>
        <w:spacing w:after="0" w:line="192" w:lineRule="exact"/>
        <w:rPr>
          <w:sz w:val="20"/>
          <w:szCs w:val="20"/>
          <w:color w:val="auto"/>
        </w:rPr>
      </w:pPr>
    </w:p>
    <w:p>
      <w:pPr>
        <w:ind w:right="100" w:firstLine="440"/>
        <w:spacing w:after="0" w:line="342" w:lineRule="auto"/>
        <w:rPr>
          <w:sz w:val="20"/>
          <w:szCs w:val="20"/>
          <w:color w:val="auto"/>
        </w:rPr>
      </w:pPr>
      <w:r>
        <w:rPr>
          <w:rFonts w:ascii="Arial" w:cs="Arial" w:eastAsia="Arial" w:hAnsi="Arial"/>
          <w:sz w:val="16"/>
          <w:szCs w:val="16"/>
          <w:color w:val="auto"/>
        </w:rPr>
        <w:t>The foregoing description of the Amendment Agreement does not purport to be complete and is qualified in its entirety by reference to the terms of the Amendment Agreement, a copy of which is filed as Exhibit 10.1 to this Current Report on Form 8-K and is incorporated herein by reference.</w:t>
      </w:r>
    </w:p>
    <w:p>
      <w:pPr>
        <w:spacing w:after="0" w:line="26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disclosure in Item 1.01 of this Current Report on Form 8-K is incorporated by reference under this Item 2.03.</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 Exhibits.</w:t>
      </w:r>
    </w:p>
    <w:p>
      <w:pPr>
        <w:spacing w:after="0" w:line="256" w:lineRule="exact"/>
        <w:rPr>
          <w:sz w:val="20"/>
          <w:szCs w:val="20"/>
          <w:color w:val="auto"/>
        </w:rPr>
      </w:pPr>
    </w:p>
    <w:p>
      <w:pPr>
        <w:ind w:left="660" w:right="340" w:hanging="660"/>
        <w:spacing w:after="0" w:line="277" w:lineRule="auto"/>
        <w:tabs>
          <w:tab w:leader="none" w:pos="64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w:anchor="page5">
        <w:r>
          <w:rPr>
            <w:rFonts w:ascii="Arial" w:cs="Arial" w:eastAsia="Arial" w:hAnsi="Arial"/>
            <w:sz w:val="18"/>
            <w:szCs w:val="18"/>
            <w:u w:val="single" w:color="auto"/>
            <w:color w:val="0000EE"/>
          </w:rPr>
          <w:t>Amendment No. 1 to Credit Agreement, dated as of December 1, 2020, by and among Nasdaq, Inc., the lenders party thereto, and Bank of</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America, N.A., as Administrative Agent.</w:t>
        </w:r>
      </w:hyperlink>
    </w:p>
    <w:p>
      <w:pPr>
        <w:spacing w:after="0" w:line="6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 the cover page XBRL tags are embedded within the Inline XBRL document.</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This Current Report on Form 8-K (this “</w:t>
      </w:r>
      <w:r>
        <w:rPr>
          <w:rFonts w:ascii="Arial" w:cs="Arial" w:eastAsia="Arial" w:hAnsi="Arial"/>
          <w:sz w:val="17"/>
          <w:szCs w:val="17"/>
          <w:u w:val="single" w:color="auto"/>
          <w:color w:val="auto"/>
        </w:rPr>
        <w:t>Report</w:t>
      </w:r>
      <w:r>
        <w:rPr>
          <w:rFonts w:ascii="Arial" w:cs="Arial" w:eastAsia="Arial" w:hAnsi="Arial"/>
          <w:sz w:val="17"/>
          <w:szCs w:val="17"/>
          <w:color w:val="auto"/>
        </w:rPr>
        <w:t>”) contains forward-looking information related to Nasdaq, Verafin and the proposed Acquisition that involves substantial risks, uncertainties and assumptions that could cause actual results to differ materially from those expressed or implied by such statements. When used in this Report, words such as “intends”, “plans”, “will”, “believes”, “expected”, “projected” and similar expressions and any other statements that are not historical facts are intended to identify forward-looking statements. Forward-looking</w:t>
      </w:r>
    </w:p>
    <w:p>
      <w:pPr>
        <w:sectPr>
          <w:pgSz w:w="11900" w:h="16838" w:orient="portrait"/>
          <w:cols w:equalWidth="0" w:num="1">
            <w:col w:w="10960"/>
          </w:cols>
          <w:pgMar w:left="440" w:top="297" w:right="499" w:bottom="1440" w:gutter="0" w:footer="0" w:header="0"/>
        </w:sectPr>
      </w:pPr>
    </w:p>
    <w:bookmarkStart w:id="2" w:name="page3"/>
    <w:bookmarkEnd w:id="2"/>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statements in this Report include, among other things, statements about the potential benefits of the proposed Acquisition, Nasdaq’s plans, objectives, expectations and intentions, the financial condition, results of operations and business of Nasdaq or Verafin, and the anticipated timing of closing of the proposed Acquisition. Risks and uncertainties include, among other things, risks related to the ability of Nasdaq to consummate the proposed Acquisition on a timely basis or at all; Nasdaq’s ability to secure regulatory approvals on the terms expected, in a timely manner or at all; Nasdaq’s ability to successfully integrate Verafin’s operations; Nasdaq’s ability to implement its plans, forecasts and other expectations with respect to Verafin’s business after the completion of the Acquisition and realize expected synergies; the ability to realize the anticipated benefits of the proposed Acquisition, including the possibility that the expected benefits from the proposed Acquisition will not be realized or will not be realized within the expected time period; the impact of Verafin’s business model on Nasdaq’s ability to forecast revenue results; disruption from the proposed Acquisition making it more difficult to maintain business and operational relationships; risks related to diverting management’s attention from Nasdaq’s ongoing business operations; the negative effects of the announcement or the consummation of the proposed Acquisition on the market price of Nasdaq’s common stock or on Nasdaq’s operating results; significant transaction costs; unknown liabilities; the risk of litigation or regulatory actions related to the proposed Acquisition; future levels of Nasdaq’s indebtedness, including additional indebtedness that may be incurred in connection with the proposed Acquisition; and the effect of the announcement or pendency of the Acquisition on Verafin’s business relationships, operating results, and business generally.</w:t>
      </w:r>
    </w:p>
    <w:p>
      <w:pPr>
        <w:spacing w:after="0" w:line="184"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Further information on these and other risks and uncertainties relating to Nasdaq can be found in its reports filed on Forms 10-K, 10-Q and 8-K and in other filings Nasdaq makes with the SEC from time to time and available at www.sec.gov. These documents are also available under the Investor Relations section of Nasdaq’s website at http://ir.nasdaq.com/investor-relations. The forward-looking statements included in this Report are made only as of the date hereof. Nasdaq and Verafin disclaim any obligation to update these forward-looking statements, except as required by law.</w:t>
      </w:r>
    </w:p>
    <w:p>
      <w:pPr>
        <w:sectPr>
          <w:pgSz w:w="11900" w:h="16838" w:orient="portrait"/>
          <w:cols w:equalWidth="0" w:num="1">
            <w:col w:w="10900"/>
          </w:cols>
          <w:pgMar w:left="440" w:top="301" w:right="5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318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440"/>
        <w:spacing w:after="0"/>
        <w:tabs>
          <w:tab w:leader="none" w:pos="5500" w:val="left"/>
        </w:tabs>
        <w:rPr>
          <w:sz w:val="20"/>
          <w:szCs w:val="20"/>
          <w:color w:val="auto"/>
        </w:rPr>
      </w:pPr>
      <w:r>
        <w:rPr>
          <w:rFonts w:ascii="Arial" w:cs="Arial" w:eastAsia="Arial" w:hAnsi="Arial"/>
          <w:sz w:val="18"/>
          <w:szCs w:val="18"/>
          <w:color w:val="auto"/>
        </w:rPr>
        <w:t>Dated: December 3, 2020</w:t>
      </w:r>
      <w:r>
        <w:rPr>
          <w:sz w:val="20"/>
          <w:szCs w:val="20"/>
          <w:color w:val="auto"/>
        </w:rPr>
        <w:tab/>
      </w:r>
      <w:r>
        <w:rPr>
          <w:rFonts w:ascii="Arial" w:cs="Arial" w:eastAsia="Arial" w:hAnsi="Arial"/>
          <w:sz w:val="17"/>
          <w:szCs w:val="17"/>
          <w:color w:val="auto"/>
        </w:rPr>
        <w:t>NASDAQ, INC.</w:t>
      </w:r>
    </w:p>
    <w:p>
      <w:pPr>
        <w:spacing w:after="0" w:line="225" w:lineRule="exact"/>
        <w:rPr>
          <w:sz w:val="20"/>
          <w:szCs w:val="20"/>
          <w:color w:val="auto"/>
        </w:rPr>
      </w:pPr>
    </w:p>
    <w:tbl>
      <w:tblPr>
        <w:tblLayout w:type="fixed"/>
        <w:tblInd w:w="552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A. Zecca</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John A. Zecca</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64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Chief Legal Officer</w:t>
            </w:r>
          </w:p>
        </w:tc>
      </w:tr>
    </w:tbl>
    <w:p>
      <w:pPr>
        <w:sectPr>
          <w:pgSz w:w="11900" w:h="16838" w:orient="portrait"/>
          <w:cols w:equalWidth="0" w:num="1">
            <w:col w:w="11020"/>
          </w:cols>
          <w:pgMar w:left="440" w:top="297"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1 TO CREDIT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AMENDMENT NO. 1, dated as of December 1, 2020 (this “</w:t>
      </w:r>
      <w:r>
        <w:rPr>
          <w:rFonts w:ascii="Arial" w:cs="Arial" w:eastAsia="Arial" w:hAnsi="Arial"/>
          <w:sz w:val="17"/>
          <w:szCs w:val="17"/>
          <w:u w:val="single" w:color="auto"/>
          <w:color w:val="auto"/>
        </w:rPr>
        <w:t>Amendment Agreement</w:t>
      </w:r>
      <w:r>
        <w:rPr>
          <w:rFonts w:ascii="Arial" w:cs="Arial" w:eastAsia="Arial" w:hAnsi="Arial"/>
          <w:sz w:val="17"/>
          <w:szCs w:val="17"/>
          <w:color w:val="auto"/>
        </w:rPr>
        <w:t>”), to that certain Credit Agreement, dated as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April 25, 2017, among Nasdaq, Inc., a Delaware corporation (the “</w:t>
      </w:r>
      <w:r>
        <w:rPr>
          <w:rFonts w:ascii="Arial" w:cs="Arial" w:eastAsia="Arial" w:hAnsi="Arial"/>
          <w:sz w:val="16"/>
          <w:szCs w:val="16"/>
          <w:u w:val="single" w:color="auto"/>
          <w:color w:val="auto"/>
        </w:rPr>
        <w:t>Borrower</w:t>
      </w:r>
      <w:r>
        <w:rPr>
          <w:rFonts w:ascii="Arial" w:cs="Arial" w:eastAsia="Arial" w:hAnsi="Arial"/>
          <w:sz w:val="16"/>
          <w:szCs w:val="16"/>
          <w:color w:val="auto"/>
        </w:rPr>
        <w:t>”), the lenders party thereto (the “</w:t>
      </w:r>
      <w:r>
        <w:rPr>
          <w:rFonts w:ascii="Arial" w:cs="Arial" w:eastAsia="Arial" w:hAnsi="Arial"/>
          <w:sz w:val="16"/>
          <w:szCs w:val="16"/>
          <w:u w:val="single" w:color="auto"/>
          <w:color w:val="auto"/>
        </w:rPr>
        <w:t>Lenders</w:t>
      </w:r>
      <w:r>
        <w:rPr>
          <w:rFonts w:ascii="Arial" w:cs="Arial" w:eastAsia="Arial" w:hAnsi="Arial"/>
          <w:sz w:val="16"/>
          <w:szCs w:val="16"/>
          <w:color w:val="auto"/>
        </w:rPr>
        <w:t>”) and Bank of America, N.A.,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Agent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and the other parties thereto (the “</w:t>
      </w:r>
      <w:r>
        <w:rPr>
          <w:rFonts w:ascii="Arial" w:cs="Arial" w:eastAsia="Arial" w:hAnsi="Arial"/>
          <w:sz w:val="16"/>
          <w:szCs w:val="16"/>
          <w:u w:val="single" w:color="auto"/>
          <w:color w:val="auto"/>
        </w:rPr>
        <w:t>Existing Credit Agreement</w:t>
      </w:r>
      <w:r>
        <w:rPr>
          <w:rFonts w:ascii="Arial" w:cs="Arial" w:eastAsia="Arial" w:hAnsi="Arial"/>
          <w:sz w:val="16"/>
          <w:szCs w:val="16"/>
          <w:color w:val="auto"/>
        </w:rPr>
        <w:t>” and as amended by this Amendment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the “</w:t>
      </w:r>
      <w:r>
        <w:rPr>
          <w:rFonts w:ascii="Arial" w:cs="Arial" w:eastAsia="Arial" w:hAnsi="Arial"/>
          <w:sz w:val="16"/>
          <w:szCs w:val="16"/>
          <w:u w:val="single" w:color="auto"/>
          <w:color w:val="auto"/>
        </w:rPr>
        <w:t>Amended Credit Agreement</w:t>
      </w:r>
      <w:r>
        <w:rPr>
          <w:rFonts w:ascii="Arial" w:cs="Arial" w:eastAsia="Arial" w:hAnsi="Arial"/>
          <w:sz w:val="16"/>
          <w:szCs w:val="16"/>
          <w:color w:val="auto"/>
        </w:rPr>
        <w:t>”). Unless otherwise defined herein, terms defined in the Amended Credit Agreement and used herein shall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have the meanings given to them in the Amended Credit Agreement.</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parties hereto desire to amend the Existing Credit Agreement on the terms set forth herein;</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NOW, THEREFORE, in consideration of the premises contained herein and for other good and valuable consideration, the receipt and sufficiency of which are hereby acknowledged, the parties hereto, intending to be legally bound hereby, agree as follows:</w:t>
      </w:r>
    </w:p>
    <w:p>
      <w:pPr>
        <w:spacing w:after="0" w:line="170"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b w:val="1"/>
          <w:bCs w:val="1"/>
          <w:i w:val="1"/>
          <w:iCs w:val="1"/>
          <w:color w:val="auto"/>
        </w:rPr>
        <w:t>Section 1</w:t>
      </w:r>
      <w:r>
        <w:rPr>
          <w:rFonts w:ascii="Arial" w:cs="Arial" w:eastAsia="Arial" w:hAnsi="Arial"/>
          <w:sz w:val="18"/>
          <w:szCs w:val="18"/>
          <w:i w:val="1"/>
          <w:iCs w:val="1"/>
          <w:color w:val="auto"/>
        </w:rPr>
        <w:t>. Amendment of the Existing Credit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only to the satisfaction of the conditions set forth in Section 2 below, the Existing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Credit Agreement is hereby amended to delete the stricken text (indicated textually in the same manner as the following example: </w:t>
      </w:r>
      <w:r>
        <w:rPr>
          <w:rFonts w:ascii="Arial" w:cs="Arial" w:eastAsia="Arial" w:hAnsi="Arial"/>
          <w:sz w:val="18"/>
          <w:szCs w:val="18"/>
          <w:color w:val="FF4338"/>
          <w:strike w:val="1"/>
        </w:rPr>
        <w:t>stricken text</w:t>
      </w:r>
      <w:r>
        <w:rPr>
          <w:rFonts w:ascii="Arial" w:cs="Arial" w:eastAsia="Arial" w:hAnsi="Arial"/>
          <w:sz w:val="18"/>
          <w:szCs w:val="18"/>
          <w:color w:val="auto"/>
        </w:rPr>
        <w:t xml:space="preserve">) and to add the double-underlined text (indicated textually in the same manner as the following example: </w:t>
      </w:r>
      <w:r>
        <w:rPr>
          <w:rFonts w:ascii="Arial" w:cs="Arial" w:eastAsia="Arial" w:hAnsi="Arial"/>
          <w:sz w:val="18"/>
          <w:szCs w:val="18"/>
          <w:u w:val="single" w:color="auto"/>
          <w:color w:val="0000FF"/>
        </w:rPr>
        <w:t>double-underlined text</w:t>
      </w:r>
      <w:r>
        <w:rPr>
          <w:rFonts w:ascii="Arial" w:cs="Arial" w:eastAsia="Arial" w:hAnsi="Arial"/>
          <w:sz w:val="18"/>
          <w:szCs w:val="18"/>
          <w:color w:val="auto"/>
        </w:rPr>
        <w:t>) as set forth in the Amended Credit Agreement attached as Exhibit A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-137795</wp:posOffset>
            </wp:positionV>
            <wp:extent cx="10369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167"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b w:val="1"/>
          <w:bCs w:val="1"/>
          <w:i w:val="1"/>
          <w:iCs w:val="1"/>
          <w:color w:val="auto"/>
        </w:rPr>
        <w:t>Section 2</w:t>
      </w:r>
      <w:r>
        <w:rPr>
          <w:rFonts w:ascii="Arial" w:cs="Arial" w:eastAsia="Arial" w:hAnsi="Arial"/>
          <w:sz w:val="18"/>
          <w:szCs w:val="18"/>
          <w:i w:val="1"/>
          <w:iCs w:val="1"/>
          <w:color w:val="auto"/>
        </w:rPr>
        <w:t>. Effectiveness</w:t>
      </w:r>
      <w:r>
        <w:rPr>
          <w:rFonts w:ascii="Arial" w:cs="Arial" w:eastAsia="Arial" w:hAnsi="Arial"/>
          <w:sz w:val="18"/>
          <w:szCs w:val="18"/>
          <w:color w:val="auto"/>
        </w:rPr>
        <w:t>. This Amendment Agreement shall become effective on the date (such date and time of effectiveness, the “</w:t>
      </w:r>
      <w:r>
        <w:rPr>
          <w:rFonts w:ascii="Arial" w:cs="Arial" w:eastAsia="Arial" w:hAnsi="Arial"/>
          <w:sz w:val="18"/>
          <w:szCs w:val="18"/>
          <w:u w:val="single" w:color="auto"/>
          <w:color w:val="auto"/>
        </w:rPr>
        <w:t>Amendment</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Effective Date</w:t>
      </w:r>
      <w:r>
        <w:rPr>
          <w:rFonts w:ascii="Arial" w:cs="Arial" w:eastAsia="Arial" w:hAnsi="Arial"/>
          <w:sz w:val="18"/>
          <w:szCs w:val="18"/>
          <w:color w:val="auto"/>
        </w:rPr>
        <w:t>”) that each of the conditions set forth below shall have been satisfied:</w:t>
      </w:r>
    </w:p>
    <w:p>
      <w:pPr>
        <w:spacing w:after="0" w:line="62" w:lineRule="exact"/>
        <w:rPr>
          <w:sz w:val="20"/>
          <w:szCs w:val="20"/>
          <w:color w:val="auto"/>
        </w:rPr>
      </w:pPr>
    </w:p>
    <w:p>
      <w:pPr>
        <w:ind w:right="160" w:firstLine="436"/>
        <w:spacing w:after="0" w:line="277" w:lineRule="auto"/>
        <w:tabs>
          <w:tab w:leader="none" w:pos="68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Administrative Agent shall have received executed counterparts hereof from the Borrower and Lenders constituting the Required Lenders (as defined in the Existing Credit Agreement); and</w:t>
      </w:r>
    </w:p>
    <w:p>
      <w:pPr>
        <w:spacing w:after="0" w:line="62" w:lineRule="exact"/>
        <w:rPr>
          <w:rFonts w:ascii="Arial" w:cs="Arial" w:eastAsia="Arial" w:hAnsi="Arial"/>
          <w:sz w:val="18"/>
          <w:szCs w:val="18"/>
          <w:color w:val="auto"/>
        </w:rPr>
      </w:pPr>
    </w:p>
    <w:p>
      <w:pPr>
        <w:ind w:right="20" w:firstLine="436"/>
        <w:spacing w:after="0" w:line="277" w:lineRule="auto"/>
        <w:tabs>
          <w:tab w:leader="none" w:pos="69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Borrower shall have paid, or concurrently herewith shall pay, to the Administrative Agent, to the extent invoiced prior to the date hereof, its reasonable and documented out-of-pocket expenses incurred in connection with this Amendment Agreement</w:t>
      </w:r>
    </w:p>
    <w:p>
      <w:pPr>
        <w:spacing w:after="0" w:line="170"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b w:val="1"/>
          <w:bCs w:val="1"/>
          <w:i w:val="1"/>
          <w:iCs w:val="1"/>
          <w:color w:val="auto"/>
        </w:rPr>
        <w:t>Section 3</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In order to induce the Lenders party hereto and the Administrative Agent to enter into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Amendment Agreement, the Borrower hereby represents and warrants to each of the Lenders and the Administrative Agent that, as of the Amendment Effective Date, both before and after giving effect to this Amendment Agreement:</w:t>
      </w:r>
    </w:p>
    <w:p>
      <w:pPr>
        <w:spacing w:after="0" w:line="76" w:lineRule="exact"/>
        <w:rPr>
          <w:sz w:val="20"/>
          <w:szCs w:val="20"/>
          <w:color w:val="auto"/>
        </w:rPr>
      </w:pPr>
    </w:p>
    <w:p>
      <w:pPr>
        <w:ind w:left="680" w:hanging="244"/>
        <w:spacing w:after="0"/>
        <w:tabs>
          <w:tab w:leader="none" w:pos="6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Default (as defined in the Existing Credit Agreement) shall have occurred or be continuing; and</w:t>
      </w:r>
    </w:p>
    <w:p>
      <w:pPr>
        <w:spacing w:after="0" w:line="117" w:lineRule="exact"/>
        <w:rPr>
          <w:rFonts w:ascii="Arial" w:cs="Arial" w:eastAsia="Arial" w:hAnsi="Arial"/>
          <w:sz w:val="18"/>
          <w:szCs w:val="18"/>
          <w:color w:val="auto"/>
        </w:rPr>
      </w:pPr>
    </w:p>
    <w:p>
      <w:pPr>
        <w:ind w:right="40" w:firstLine="436"/>
        <w:spacing w:after="0" w:line="311" w:lineRule="auto"/>
        <w:tabs>
          <w:tab w:leader="none" w:pos="695"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the representations and warranties of the Borrower set forth in the Loan Documents shall be true and correct in all material respects (other than the representations and warranties made in </w:t>
      </w:r>
      <w:r>
        <w:rPr>
          <w:rFonts w:ascii="Arial" w:cs="Arial" w:eastAsia="Arial" w:hAnsi="Arial"/>
          <w:sz w:val="16"/>
          <w:szCs w:val="16"/>
          <w:u w:val="single" w:color="auto"/>
          <w:color w:val="auto"/>
        </w:rPr>
        <w:t>Sections 3.04(b)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3.06(a)</w:t>
      </w:r>
      <w:r>
        <w:rPr>
          <w:rFonts w:ascii="Arial" w:cs="Arial" w:eastAsia="Arial" w:hAnsi="Arial"/>
          <w:sz w:val="16"/>
          <w:szCs w:val="16"/>
          <w:color w:val="auto"/>
        </w:rPr>
        <w:t>), except to the extent that any representation and warranty expressly relates to an earlier date, in which case such representation and warranty shall have been true and correct in all material respects as of such earlier date.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5" w:name="page6"/>
    <w:bookmarkEnd w:id="5"/>
    <w:p>
      <w:pPr>
        <w:ind w:left="22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4</w:t>
      </w:r>
      <w:r>
        <w:rPr>
          <w:rFonts w:ascii="Arial" w:cs="Arial" w:eastAsia="Arial" w:hAnsi="Arial"/>
          <w:sz w:val="18"/>
          <w:szCs w:val="18"/>
          <w:i w:val="1"/>
          <w:iCs w:val="1"/>
          <w:color w:val="auto"/>
        </w:rPr>
        <w:t>. Effect of Amendment.</w:t>
      </w:r>
    </w:p>
    <w:p>
      <w:pPr>
        <w:spacing w:after="0" w:line="117" w:lineRule="exact"/>
        <w:rPr>
          <w:sz w:val="20"/>
          <w:szCs w:val="20"/>
          <w:color w:val="auto"/>
        </w:rPr>
      </w:pPr>
    </w:p>
    <w:p>
      <w:pPr>
        <w:ind w:firstLine="436"/>
        <w:spacing w:after="0" w:line="291" w:lineRule="auto"/>
        <w:tabs>
          <w:tab w:leader="none" w:pos="685" w:val="left"/>
        </w:tabs>
        <w:numPr>
          <w:ilvl w:val="0"/>
          <w:numId w:val="4"/>
        </w:numPr>
        <w:rPr>
          <w:rFonts w:ascii="Arial" w:cs="Arial" w:eastAsia="Arial" w:hAnsi="Arial"/>
          <w:sz w:val="16"/>
          <w:szCs w:val="16"/>
          <w:color w:val="auto"/>
        </w:rPr>
      </w:pPr>
      <w:r>
        <w:rPr>
          <w:rFonts w:ascii="Arial" w:cs="Arial" w:eastAsia="Arial" w:hAnsi="Arial"/>
          <w:sz w:val="16"/>
          <w:szCs w:val="16"/>
          <w:color w:val="auto"/>
        </w:rPr>
        <w:t>Except as expressly set forth herein, this Amendment Agreement shall not by implication or otherwise limit, impair, constitute a waiver of or otherwise affect the rights and remedies of the Lenders or the Administrative Agent under the Existing Credit Agreement or any other Loan Document and shall not alter, modify, amend or in any way affect any of the terms, conditions, obligations, covenants or agreements contained in the Existing Credit Agreement or any other provision of the Existing Credit Agreement or of any other Loan Document, all of which, subject to the terms of this Amendment Agreement, are ratified and affirmed in all respects and shall continue in full force and effect. Nothing herein shall be deemed to entitle the Borrower to a consent to, or a waiver, amendment, modification or other change of, any of the terms, conditions, obligations, covenants or agreements contained in the Existing Credit Agreement, Amended Credit Agreement or any other Loan Document in similar or different circumstances.</w:t>
      </w:r>
    </w:p>
    <w:p>
      <w:pPr>
        <w:spacing w:after="0" w:line="58" w:lineRule="exact"/>
        <w:rPr>
          <w:rFonts w:ascii="Arial" w:cs="Arial" w:eastAsia="Arial" w:hAnsi="Arial"/>
          <w:sz w:val="16"/>
          <w:szCs w:val="16"/>
          <w:color w:val="auto"/>
        </w:rPr>
      </w:pPr>
    </w:p>
    <w:p>
      <w:pPr>
        <w:ind w:right="100" w:firstLine="436"/>
        <w:spacing w:after="0" w:line="259" w:lineRule="auto"/>
        <w:tabs>
          <w:tab w:leader="none" w:pos="695"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and after the Amendment Effective Date, each reference in the Existing Credit Agreement to “this Agreement”, “hereunder”, “hereof’, “herein”, or words of like import, and each reference to the “Credit Agreement” in any other Loan Document shall be deemed a reference to the Amended Credit Agreement. This Amendment Agreement shall constitute a “Loan Document” for all purposes of the Amended Credit Agreement and the other Loan Documents.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Section 5</w:t>
      </w:r>
      <w:r>
        <w:rPr>
          <w:rFonts w:ascii="Arial" w:cs="Arial" w:eastAsia="Arial" w:hAnsi="Arial"/>
          <w:sz w:val="16"/>
          <w:szCs w:val="16"/>
          <w:i w:val="1"/>
          <w:iCs w:val="1"/>
          <w:color w:val="auto"/>
        </w:rPr>
        <w:t>. Governing Law.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Amendment Agreement shall be governed by, and construed in accordance with, the laws of the State of New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211"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b w:val="1"/>
          <w:bCs w:val="1"/>
          <w:i w:val="1"/>
          <w:iCs w:val="1"/>
          <w:color w:val="auto"/>
        </w:rPr>
        <w:t>Section 6</w:t>
      </w:r>
      <w:r>
        <w:rPr>
          <w:rFonts w:ascii="Arial" w:cs="Arial" w:eastAsia="Arial" w:hAnsi="Arial"/>
          <w:sz w:val="18"/>
          <w:szCs w:val="18"/>
          <w:i w:val="1"/>
          <w:iCs w:val="1"/>
          <w:color w:val="auto"/>
        </w:rPr>
        <w:t>. Counterparts.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Amendment Agreement may be executed in any number of counterparts (and by different parties hereto in separate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counterparts), each of which shall constitute an original, but all of which when taken together shall constitute a single contract. Delivery of an executed counterpart of a signature page of this Amendment Agreement by telecopy or electronic transmission shall be as effective as delivery of a manually executed counterpart hereof.</w:t>
      </w:r>
    </w:p>
    <w:p>
      <w:pPr>
        <w:spacing w:after="0" w:line="187" w:lineRule="exact"/>
        <w:rPr>
          <w:sz w:val="20"/>
          <w:szCs w:val="20"/>
          <w:color w:val="auto"/>
        </w:rPr>
      </w:pPr>
    </w:p>
    <w:p>
      <w:pPr>
        <w:ind w:right="920" w:firstLine="440"/>
        <w:spacing w:after="0" w:line="277" w:lineRule="auto"/>
        <w:rPr>
          <w:sz w:val="20"/>
          <w:szCs w:val="20"/>
          <w:color w:val="auto"/>
        </w:rPr>
      </w:pPr>
      <w:r>
        <w:rPr>
          <w:rFonts w:ascii="Arial" w:cs="Arial" w:eastAsia="Arial" w:hAnsi="Arial"/>
          <w:sz w:val="18"/>
          <w:szCs w:val="18"/>
          <w:b w:val="1"/>
          <w:bCs w:val="1"/>
          <w:i w:val="1"/>
          <w:iCs w:val="1"/>
          <w:color w:val="auto"/>
        </w:rPr>
        <w:t>Section 7</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Headings</w:t>
      </w:r>
      <w:r>
        <w:rPr>
          <w:rFonts w:ascii="Arial" w:cs="Arial" w:eastAsia="Arial" w:hAnsi="Arial"/>
          <w:sz w:val="18"/>
          <w:szCs w:val="18"/>
          <w:color w:val="auto"/>
        </w:rPr>
        <w:t>. Section headings in this Amendment Agreement are for convenience of reference only, and shall not govern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interpretation of any of the provisions of this Amendment Agreement.</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[Remainder of page intentionally blank; signature pages follow]</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440" w:top="274" w:right="51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executed this Amendment Agreement as of the date first written above.</w:t>
      </w:r>
    </w:p>
    <w:p>
      <w:pPr>
        <w:spacing w:after="0" w:line="252" w:lineRule="exact"/>
        <w:rPr>
          <w:sz w:val="20"/>
          <w:szCs w:val="20"/>
          <w:color w:val="auto"/>
        </w:rPr>
      </w:pPr>
    </w:p>
    <w:p>
      <w:pPr>
        <w:jc w:val="right"/>
        <w:ind w:right="2940"/>
        <w:spacing w:after="0"/>
        <w:rPr>
          <w:sz w:val="20"/>
          <w:szCs w:val="20"/>
          <w:color w:val="auto"/>
        </w:rPr>
      </w:pPr>
      <w:r>
        <w:rPr>
          <w:rFonts w:ascii="Arial" w:cs="Arial" w:eastAsia="Arial" w:hAnsi="Arial"/>
          <w:sz w:val="18"/>
          <w:szCs w:val="18"/>
          <w:color w:val="auto"/>
        </w:rPr>
        <w:t>NASDAQ, INC.,</w:t>
      </w:r>
    </w:p>
    <w:p>
      <w:pPr>
        <w:spacing w:after="0" w:line="23" w:lineRule="exact"/>
        <w:rPr>
          <w:sz w:val="20"/>
          <w:szCs w:val="20"/>
          <w:color w:val="auto"/>
        </w:rPr>
      </w:pPr>
    </w:p>
    <w:p>
      <w:pPr>
        <w:jc w:val="right"/>
        <w:ind w:right="2960"/>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Michael Ptasznik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14605</wp:posOffset>
            </wp:positionV>
            <wp:extent cx="25717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Michael Ptasznik</w:t>
      </w:r>
    </w:p>
    <w:p>
      <w:pPr>
        <w:spacing w:after="0" w:line="23" w:lineRule="exact"/>
        <w:rPr>
          <w:sz w:val="20"/>
          <w:szCs w:val="20"/>
          <w:color w:val="auto"/>
        </w:rPr>
      </w:pPr>
    </w:p>
    <w:p>
      <w:pPr>
        <w:jc w:val="both"/>
        <w:ind w:left="6520"/>
        <w:spacing w:after="0"/>
        <w:tabs>
          <w:tab w:leader="none" w:pos="7080" w:val="left"/>
        </w:tabs>
        <w:rPr>
          <w:sz w:val="20"/>
          <w:szCs w:val="20"/>
          <w:color w:val="auto"/>
        </w:rPr>
      </w:pPr>
      <w:r>
        <w:rPr>
          <w:rFonts w:ascii="Arial" w:cs="Arial" w:eastAsia="Arial" w:hAnsi="Arial"/>
          <w:sz w:val="18"/>
          <w:szCs w:val="18"/>
          <w:color w:val="auto"/>
        </w:rPr>
        <w:t>Title:</w:t>
        <w:tab/>
        <w:t>Executive Vice President, Corporate Strategy</w:t>
      </w:r>
    </w:p>
    <w:p>
      <w:pPr>
        <w:spacing w:after="0" w:line="9"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and Chief Financial Officer</w:t>
      </w:r>
    </w:p>
    <w:p>
      <w:pPr>
        <w:spacing w:after="0" w:line="21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[Signature Page to NASDAQ Amendment No. 1]</w:t>
      </w:r>
    </w:p>
    <w:p>
      <w:pPr>
        <w:sectPr>
          <w:pgSz w:w="11900" w:h="16838" w:orient="portrait"/>
          <w:cols w:equalWidth="0" w:num="1">
            <w:col w:w="10360"/>
          </w:cols>
          <w:pgMar w:left="880" w:top="274" w:right="659" w:bottom="1440" w:gutter="0" w:footer="0" w:header="0"/>
        </w:sectPr>
      </w:pPr>
    </w:p>
    <w:bookmarkStart w:id="7" w:name="page8"/>
    <w:bookmarkEnd w:id="7"/>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BANK OF AMERICA, N.A.,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as Administrative Agent and individually as a Lender</w:t>
      </w:r>
    </w:p>
    <w:p>
      <w:pPr>
        <w:spacing w:after="0" w:line="24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Sherman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Sherman Wong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[Signature Page to NASDAQ Amendment No. 1]</w:t>
      </w:r>
    </w:p>
    <w:p>
      <w:pPr>
        <w:sectPr>
          <w:pgSz w:w="11900" w:h="16838" w:orient="portrait"/>
          <w:cols w:equalWidth="0" w:num="1">
            <w:col w:w="9460"/>
          </w:cols>
          <w:pgMar w:left="1440" w:top="274" w:right="999" w:bottom="1440" w:gutter="0" w:footer="0" w:header="0"/>
        </w:sectPr>
      </w:pPr>
    </w:p>
    <w:bookmarkStart w:id="8" w:name="page9"/>
    <w:bookmarkEnd w:id="8"/>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JPMorgan Chase Bank, N.A.,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Jennifer M. Dunneback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jc w:val="right"/>
        <w:ind w:right="819"/>
        <w:spacing w:after="0"/>
        <w:rPr>
          <w:sz w:val="20"/>
          <w:szCs w:val="20"/>
          <w:color w:val="auto"/>
        </w:rPr>
      </w:pPr>
      <w:r>
        <w:rPr>
          <w:rFonts w:ascii="Arial" w:cs="Arial" w:eastAsia="Arial" w:hAnsi="Arial"/>
          <w:sz w:val="18"/>
          <w:szCs w:val="18"/>
          <w:color w:val="auto"/>
        </w:rPr>
        <w:t>Name: Jennifer M. Dunneback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NASDAQ Amendment No. 1]</w:t>
      </w:r>
    </w:p>
    <w:p>
      <w:pPr>
        <w:sectPr>
          <w:pgSz w:w="11900" w:h="16838" w:orient="portrait"/>
          <w:cols w:equalWidth="0" w:num="1">
            <w:col w:w="9019"/>
          </w:cols>
          <w:pgMar w:left="1440" w:top="274" w:right="1440" w:bottom="1440" w:gutter="0" w:footer="0" w:header="0"/>
        </w:sectPr>
      </w:pPr>
    </w:p>
    <w:bookmarkStart w:id="9" w:name="page10"/>
    <w:bookmarkEnd w:id="9"/>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MIZUHO BANK, LTD.,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Donna DeMagistris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Name: Donna DeMagistris</w:t>
      </w:r>
    </w:p>
    <w:p>
      <w:pPr>
        <w:spacing w:after="0" w:line="35"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Title:  Authorized Signatory</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NASDAQ Amendment No. 1]</w:t>
      </w:r>
    </w:p>
    <w:p>
      <w:pPr>
        <w:sectPr>
          <w:pgSz w:w="11900" w:h="16838" w:orient="portrait"/>
          <w:cols w:equalWidth="0" w:num="1">
            <w:col w:w="9019"/>
          </w:cols>
          <w:pgMar w:left="1440" w:top="274" w:right="1440" w:bottom="1440" w:gutter="0" w:footer="0" w:header="0"/>
        </w:sectPr>
      </w:pPr>
    </w:p>
    <w:bookmarkStart w:id="10" w:name="page11"/>
    <w:bookmarkEnd w:id="10"/>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Wells Fargo Bank, National Association,</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Jocelyn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Jocelyn Boll</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NASDAQ Amendment No. 1]</w:t>
      </w:r>
    </w:p>
    <w:p>
      <w:pPr>
        <w:sectPr>
          <w:pgSz w:w="11900" w:h="16838" w:orient="portrait"/>
          <w:cols w:equalWidth="0" w:num="1">
            <w:col w:w="9019"/>
          </w:cols>
          <w:pgMar w:left="1440" w:top="274" w:right="1440" w:bottom="1440" w:gutter="0" w:footer="0" w:header="0"/>
        </w:sectPr>
      </w:pPr>
    </w:p>
    <w:bookmarkStart w:id="11" w:name="page12"/>
    <w:bookmarkEnd w:id="11"/>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Skandinaviska Enskilda Banken AB (publ),</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Penny Neville-Park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Duncan Nash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Penny Neville-Park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Duncan Nash</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Titles: Authorized Signatories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NASDAQ Amendment No. 1]</w:t>
      </w:r>
    </w:p>
    <w:p>
      <w:pPr>
        <w:sectPr>
          <w:pgSz w:w="11900" w:h="16838" w:orient="portrait"/>
          <w:cols w:equalWidth="0" w:num="1">
            <w:col w:w="9019"/>
          </w:cols>
          <w:pgMar w:left="1440" w:top="274" w:right="1440" w:bottom="1440" w:gutter="0" w:footer="0" w:header="0"/>
        </w:sectPr>
      </w:pPr>
    </w:p>
    <w:bookmarkStart w:id="12" w:name="page13"/>
    <w:bookmarkEnd w:id="12"/>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Nordea Bank Abp, New York Branch (as successor to</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Nordea Bank AB (publ), New York Branch),</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Henrik M. Steffensen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Henrik M. Steffensen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Executive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Christopher G. Spitler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Christopher G. Spitler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[Signature Page to NASDAQ Amendment No. 1]</w:t>
      </w:r>
    </w:p>
    <w:p>
      <w:pPr>
        <w:sectPr>
          <w:pgSz w:w="11900" w:h="16838" w:orient="portrait"/>
          <w:cols w:equalWidth="0" w:num="1">
            <w:col w:w="9480"/>
          </w:cols>
          <w:pgMar w:left="1440" w:top="274" w:right="979" w:bottom="1440" w:gutter="0" w:footer="0" w:header="0"/>
        </w:sectPr>
      </w:pPr>
    </w:p>
    <w:bookmarkStart w:id="13" w:name="page14"/>
    <w:bookmarkEnd w:id="13"/>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HSBC Bank USA, N.A.,</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James Stovell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jc w:val="right"/>
        <w:ind w:right="1519"/>
        <w:spacing w:after="0"/>
        <w:rPr>
          <w:sz w:val="20"/>
          <w:szCs w:val="20"/>
          <w:color w:val="auto"/>
        </w:rPr>
      </w:pPr>
      <w:r>
        <w:rPr>
          <w:rFonts w:ascii="Arial" w:cs="Arial" w:eastAsia="Arial" w:hAnsi="Arial"/>
          <w:sz w:val="18"/>
          <w:szCs w:val="18"/>
          <w:color w:val="auto"/>
        </w:rPr>
        <w:t>Name: James Stovell</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NASDAQ Amendment No. 1]</w:t>
      </w:r>
    </w:p>
    <w:p>
      <w:pPr>
        <w:sectPr>
          <w:pgSz w:w="11900" w:h="16838" w:orient="portrait"/>
          <w:cols w:equalWidth="0" w:num="1">
            <w:col w:w="9019"/>
          </w:cols>
          <w:pgMar w:left="1440" w:top="274" w:right="1440" w:bottom="1440" w:gutter="0" w:footer="0" w:header="0"/>
        </w:sectPr>
      </w:pPr>
    </w:p>
    <w:bookmarkStart w:id="14" w:name="page15"/>
    <w:bookmarkEnd w:id="14"/>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Svenska Handelsbanken AB (publ), New York Branch,</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Anna Gustafsson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Anna Gustafsson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VP – Head of Corporate Banking</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Johan Sander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Johan Sander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[Signature Page to NASDAQ Amendment No. 1]</w:t>
      </w:r>
    </w:p>
    <w:p>
      <w:pPr>
        <w:sectPr>
          <w:pgSz w:w="11900" w:h="16838" w:orient="portrait"/>
          <w:cols w:equalWidth="0" w:num="1">
            <w:col w:w="9580"/>
          </w:cols>
          <w:pgMar w:left="1440" w:top="274" w:right="879" w:bottom="1440" w:gutter="0" w:footer="0" w:header="0"/>
        </w:sectPr>
      </w:pPr>
    </w:p>
    <w:bookmarkStart w:id="15" w:name="page16"/>
    <w:bookmarkEnd w:id="15"/>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TD BANK, N.A.,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Craig Welch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Craig Welch</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Title:  Senior Vice President</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NASDAQ Amendment No. 1]</w:t>
      </w:r>
    </w:p>
    <w:p>
      <w:pPr>
        <w:sectPr>
          <w:pgSz w:w="11900" w:h="16838" w:orient="portrait"/>
          <w:cols w:equalWidth="0" w:num="1">
            <w:col w:w="9019"/>
          </w:cols>
          <w:pgMar w:left="1440" w:top="274" w:right="1440"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FF4338"/>
          <w:strike w:val="1"/>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EXECUTION VERSION</w:t>
      </w:r>
      <w:r>
        <w:rPr>
          <w:rFonts w:ascii="Arial" w:cs="Arial" w:eastAsia="Arial" w:hAnsi="Arial"/>
          <w:sz w:val="18"/>
          <w:szCs w:val="18"/>
          <w:b w:val="1"/>
          <w:bCs w:val="1"/>
          <w:u w:val="single" w:color="auto"/>
          <w:color w:val="0000FF"/>
          <w:strike w:val="1"/>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180340</wp:posOffset>
            </wp:positionV>
            <wp:extent cx="69951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222885</wp:posOffset>
            </wp:positionV>
            <wp:extent cx="6995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6379845</wp:posOffset>
            </wp:positionH>
            <wp:positionV relativeFrom="paragraph">
              <wp:posOffset>26035</wp:posOffset>
            </wp:positionV>
            <wp:extent cx="6000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CREDIT AGREEMENT</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xml:space="preserve">dated as of April 25, </w:t>
      </w:r>
      <w:r>
        <w:rPr>
          <w:rFonts w:ascii="Arial" w:cs="Arial" w:eastAsia="Arial" w:hAnsi="Arial"/>
          <w:sz w:val="18"/>
          <w:szCs w:val="18"/>
          <w:color w:val="FF4338"/>
          <w:strike w:val="1"/>
        </w:rPr>
        <w:t>2017</w:t>
      </w:r>
      <w:r>
        <w:rPr>
          <w:rFonts w:ascii="Arial" w:cs="Arial" w:eastAsia="Arial" w:hAnsi="Arial"/>
          <w:sz w:val="18"/>
          <w:szCs w:val="18"/>
          <w:u w:val="single" w:color="auto"/>
          <w:color w:val="0000FF"/>
        </w:rPr>
        <w:t>2017,</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0000FF"/>
        </w:rPr>
        <w:t>as amended by Amendment No. 1, dated as of December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3945255</wp:posOffset>
            </wp:positionH>
            <wp:positionV relativeFrom="paragraph">
              <wp:posOffset>-121920</wp:posOffset>
            </wp:positionV>
            <wp:extent cx="25717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1998980</wp:posOffset>
            </wp:positionH>
            <wp:positionV relativeFrom="paragraph">
              <wp:posOffset>14605</wp:posOffset>
            </wp:positionV>
            <wp:extent cx="296608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1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NASDAQ,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Lenders Party Hereto</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BANK OF AMERICA, N.A.,</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Administrative Agent and Issuing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2745105</wp:posOffset>
            </wp:positionH>
            <wp:positionV relativeFrom="paragraph">
              <wp:posOffset>228600</wp:posOffset>
            </wp:positionV>
            <wp:extent cx="1474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MERRILL LYNCH, PIERCE, FENNER &amp; SMITH INCORPORATED, JPMORGAN CHASE BANK, N.A., INVESTMENT BANKING,</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SKANDINAVISKA ENSKILDA BANKEN AB (publ.), MIZUHO BANK, LTD., NORDEA BANK AB (PUBL), NEW YORK BRANCH and WELLS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FARGO SECURITIES, LLC,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Joint Lead Arrangers and Joint Bookrunning Managers</w:t>
      </w:r>
    </w:p>
    <w:p>
      <w:pPr>
        <w:spacing w:after="0" w:line="211" w:lineRule="exact"/>
        <w:rPr>
          <w:sz w:val="20"/>
          <w:szCs w:val="20"/>
          <w:color w:val="auto"/>
        </w:rPr>
      </w:pPr>
    </w:p>
    <w:p>
      <w:pPr>
        <w:jc w:val="center"/>
        <w:ind w:right="40"/>
        <w:spacing w:after="0" w:line="263" w:lineRule="auto"/>
        <w:rPr>
          <w:sz w:val="20"/>
          <w:szCs w:val="20"/>
          <w:color w:val="auto"/>
        </w:rPr>
      </w:pPr>
      <w:r>
        <w:rPr>
          <w:rFonts w:ascii="Arial" w:cs="Arial" w:eastAsia="Arial" w:hAnsi="Arial"/>
          <w:sz w:val="18"/>
          <w:szCs w:val="18"/>
          <w:color w:val="auto"/>
        </w:rPr>
        <w:t>JPMORGAN CHASE BANK, N.A., INVESTMENT BANKING, SKANDINAVISKA ENSKILDA BANKEN AB (publ.), MIZUHO BANK, LTD., NORDEA BANK AB (PUBL), NEW YORK BRANCH and WELLS FARGO BANK, NATIONAL ASSOCIATION, as Syndication Agents</w:t>
      </w:r>
    </w:p>
    <w:p>
      <w:pPr>
        <w:spacing w:after="0" w:line="184" w:lineRule="exact"/>
        <w:rPr>
          <w:sz w:val="20"/>
          <w:szCs w:val="20"/>
          <w:color w:val="auto"/>
        </w:rPr>
      </w:pPr>
    </w:p>
    <w:p>
      <w:pPr>
        <w:jc w:val="center"/>
        <w:ind w:right="20"/>
        <w:spacing w:after="0" w:line="277" w:lineRule="auto"/>
        <w:rPr>
          <w:sz w:val="20"/>
          <w:szCs w:val="20"/>
          <w:color w:val="auto"/>
        </w:rPr>
      </w:pPr>
      <w:r>
        <w:rPr>
          <w:rFonts w:ascii="Arial" w:cs="Arial" w:eastAsia="Arial" w:hAnsi="Arial"/>
          <w:sz w:val="18"/>
          <w:szCs w:val="18"/>
          <w:color w:val="auto"/>
        </w:rPr>
        <w:t>HSBC BANK USA, N.A., INDUSTRIAL AND COMMERCIAL BANK OF CHINA, NEW YORK BRANCH and TD BANK, N.A., as Documentation Agents</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Cahill Gordon &amp; Reindel LLP</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80 Pine Street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New York, New York 10005</w:t>
      </w:r>
    </w:p>
    <w:p>
      <w:pPr>
        <w:sectPr>
          <w:pgSz w:w="11900" w:h="16838" w:orient="portrait"/>
          <w:cols w:equalWidth="0" w:num="1">
            <w:col w:w="11000"/>
          </w:cols>
          <w:pgMar w:left="460" w:top="270" w:right="4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9400" w:type="dxa"/>
            <w:vAlign w:val="bottom"/>
            <w:gridSpan w:val="3"/>
          </w:tcPr>
          <w:p>
            <w:pPr>
              <w:jc w:val="center"/>
              <w:ind w:right="900"/>
              <w:spacing w:after="0"/>
              <w:rPr>
                <w:sz w:val="20"/>
                <w:szCs w:val="20"/>
                <w:color w:val="auto"/>
              </w:rPr>
            </w:pPr>
            <w:r>
              <w:rPr>
                <w:rFonts w:ascii="Arial" w:cs="Arial" w:eastAsia="Arial" w:hAnsi="Arial"/>
                <w:sz w:val="18"/>
                <w:szCs w:val="18"/>
                <w:color w:val="auto"/>
                <w:w w:val="95"/>
              </w:rPr>
              <w:t>TABLE OF CONTENTS</w:t>
            </w:r>
          </w:p>
        </w:tc>
        <w:tc>
          <w:tcPr>
            <w:tcW w:w="300" w:type="dxa"/>
            <w:vAlign w:val="bottom"/>
          </w:tcPr>
          <w:p>
            <w:pPr>
              <w:spacing w:after="0"/>
              <w:rPr>
                <w:sz w:val="17"/>
                <w:szCs w:val="17"/>
                <w:color w:val="auto"/>
              </w:rPr>
            </w:pPr>
          </w:p>
        </w:tc>
      </w:tr>
      <w:tr>
        <w:trPr>
          <w:trHeight w:val="412"/>
        </w:trPr>
        <w:tc>
          <w:tcPr>
            <w:tcW w:w="12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4240" w:type="dxa"/>
            <w:vAlign w:val="bottom"/>
          </w:tcPr>
          <w:p>
            <w:pPr>
              <w:spacing w:after="0"/>
              <w:rPr>
                <w:sz w:val="24"/>
                <w:szCs w:val="2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304"/>
        </w:trPr>
        <w:tc>
          <w:tcPr>
            <w:tcW w:w="12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060" w:type="dxa"/>
            <w:vAlign w:val="bottom"/>
            <w:gridSpan w:val="2"/>
          </w:tcPr>
          <w:p>
            <w:pPr>
              <w:jc w:val="center"/>
              <w:ind w:right="4300"/>
              <w:spacing w:after="0"/>
              <w:rPr>
                <w:sz w:val="20"/>
                <w:szCs w:val="20"/>
                <w:color w:val="auto"/>
              </w:rPr>
            </w:pPr>
            <w:r>
              <w:rPr>
                <w:rFonts w:ascii="Arial" w:cs="Arial" w:eastAsia="Arial" w:hAnsi="Arial"/>
                <w:sz w:val="18"/>
                <w:szCs w:val="18"/>
                <w:color w:val="auto"/>
                <w:w w:val="97"/>
              </w:rPr>
              <w:t>ARTICLE I</w:t>
            </w:r>
          </w:p>
        </w:tc>
        <w:tc>
          <w:tcPr>
            <w:tcW w:w="300" w:type="dxa"/>
            <w:vAlign w:val="bottom"/>
          </w:tcPr>
          <w:p>
            <w:pPr>
              <w:spacing w:after="0"/>
              <w:rPr>
                <w:sz w:val="24"/>
                <w:szCs w:val="24"/>
                <w:color w:val="auto"/>
              </w:rPr>
            </w:pPr>
          </w:p>
        </w:tc>
      </w:tr>
      <w:tr>
        <w:trPr>
          <w:trHeight w:val="324"/>
        </w:trPr>
        <w:tc>
          <w:tcPr>
            <w:tcW w:w="12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060" w:type="dxa"/>
            <w:vAlign w:val="bottom"/>
            <w:gridSpan w:val="2"/>
          </w:tcPr>
          <w:p>
            <w:pPr>
              <w:jc w:val="center"/>
              <w:ind w:right="4300"/>
              <w:spacing w:after="0"/>
              <w:rPr>
                <w:sz w:val="20"/>
                <w:szCs w:val="20"/>
                <w:color w:val="auto"/>
              </w:rPr>
            </w:pPr>
            <w:r>
              <w:rPr>
                <w:rFonts w:ascii="Arial" w:cs="Arial" w:eastAsia="Arial" w:hAnsi="Arial"/>
                <w:sz w:val="18"/>
                <w:szCs w:val="18"/>
                <w:color w:val="auto"/>
                <w:w w:val="98"/>
              </w:rPr>
              <w:t>DEFINITIONS</w:t>
            </w:r>
          </w:p>
        </w:tc>
        <w:tc>
          <w:tcPr>
            <w:tcW w:w="300" w:type="dxa"/>
            <w:vAlign w:val="bottom"/>
          </w:tcPr>
          <w:p>
            <w:pPr>
              <w:spacing w:after="0"/>
              <w:rPr>
                <w:sz w:val="24"/>
                <w:szCs w:val="24"/>
                <w:color w:val="auto"/>
              </w:rPr>
            </w:pPr>
          </w:p>
        </w:tc>
      </w:tr>
      <w:tr>
        <w:trPr>
          <w:trHeight w:val="310"/>
        </w:trPr>
        <w:tc>
          <w:tcPr>
            <w:tcW w:w="1260" w:type="dxa"/>
            <w:vAlign w:val="bottom"/>
          </w:tcPr>
          <w:p>
            <w:pPr>
              <w:spacing w:after="0"/>
              <w:rPr>
                <w:sz w:val="20"/>
                <w:szCs w:val="20"/>
                <w:color w:val="auto"/>
              </w:rPr>
            </w:pPr>
            <w:r>
              <w:rPr>
                <w:rFonts w:ascii="Arial" w:cs="Arial" w:eastAsia="Arial" w:hAnsi="Arial"/>
                <w:sz w:val="18"/>
                <w:szCs w:val="18"/>
                <w:color w:val="auto"/>
              </w:rPr>
              <w:t>SECTION 1.01</w:t>
            </w:r>
          </w:p>
        </w:tc>
        <w:tc>
          <w:tcPr>
            <w:tcW w:w="9400" w:type="dxa"/>
            <w:vAlign w:val="bottom"/>
            <w:gridSpan w:val="3"/>
          </w:tcPr>
          <w:p>
            <w:pPr>
              <w:ind w:left="140"/>
              <w:spacing w:after="0"/>
              <w:rPr>
                <w:sz w:val="20"/>
                <w:szCs w:val="20"/>
                <w:color w:val="auto"/>
              </w:rPr>
            </w:pPr>
            <w:r>
              <w:rPr>
                <w:rFonts w:ascii="Arial" w:cs="Arial" w:eastAsia="Arial" w:hAnsi="Arial"/>
                <w:sz w:val="18"/>
                <w:szCs w:val="18"/>
                <w:color w:val="auto"/>
              </w:rPr>
              <w:t>Defined Terms</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660" w:type="dxa"/>
            <w:vAlign w:val="bottom"/>
            <w:gridSpan w:val="4"/>
          </w:tcPr>
          <w:p>
            <w:pPr>
              <w:spacing w:after="0"/>
              <w:rPr>
                <w:sz w:val="20"/>
                <w:szCs w:val="20"/>
                <w:color w:val="auto"/>
              </w:rPr>
            </w:pPr>
            <w:r>
              <w:rPr>
                <w:rFonts w:ascii="Arial" w:cs="Arial" w:eastAsia="Arial" w:hAnsi="Arial"/>
                <w:sz w:val="18"/>
                <w:szCs w:val="18"/>
                <w:color w:val="auto"/>
              </w:rPr>
              <w:t>SECTION 1.02   Classification of Loans and Borrowings</w:t>
            </w:r>
          </w:p>
        </w:tc>
        <w:tc>
          <w:tcPr>
            <w:tcW w:w="3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660" w:type="dxa"/>
            <w:vAlign w:val="bottom"/>
            <w:gridSpan w:val="4"/>
          </w:tcPr>
          <w:p>
            <w:pPr>
              <w:spacing w:after="0"/>
              <w:rPr>
                <w:sz w:val="20"/>
                <w:szCs w:val="20"/>
                <w:color w:val="auto"/>
              </w:rPr>
            </w:pPr>
            <w:r>
              <w:rPr>
                <w:rFonts w:ascii="Arial" w:cs="Arial" w:eastAsia="Arial" w:hAnsi="Arial"/>
                <w:sz w:val="18"/>
                <w:szCs w:val="18"/>
                <w:color w:val="auto"/>
              </w:rPr>
              <w:t>SECTION 1.03   Terms Generally; Times of Day</w:t>
            </w:r>
          </w:p>
        </w:tc>
        <w:tc>
          <w:tcPr>
            <w:tcW w:w="3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0660" w:type="dxa"/>
            <w:vAlign w:val="bottom"/>
            <w:gridSpan w:val="4"/>
          </w:tcPr>
          <w:p>
            <w:pPr>
              <w:spacing w:after="0"/>
              <w:rPr>
                <w:sz w:val="20"/>
                <w:szCs w:val="20"/>
                <w:color w:val="auto"/>
              </w:rPr>
            </w:pPr>
            <w:r>
              <w:rPr>
                <w:rFonts w:ascii="Arial" w:cs="Arial" w:eastAsia="Arial" w:hAnsi="Arial"/>
                <w:sz w:val="18"/>
                <w:szCs w:val="18"/>
                <w:color w:val="auto"/>
              </w:rPr>
              <w:t>SECTION 1.04   Accounting Terms; GAAP</w:t>
            </w:r>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660" w:type="dxa"/>
            <w:vAlign w:val="bottom"/>
            <w:gridSpan w:val="4"/>
          </w:tcPr>
          <w:p>
            <w:pPr>
              <w:spacing w:after="0"/>
              <w:rPr>
                <w:sz w:val="20"/>
                <w:szCs w:val="20"/>
                <w:color w:val="auto"/>
              </w:rPr>
            </w:pPr>
            <w:r>
              <w:rPr>
                <w:rFonts w:ascii="Arial" w:cs="Arial" w:eastAsia="Arial" w:hAnsi="Arial"/>
                <w:sz w:val="18"/>
                <w:szCs w:val="18"/>
                <w:color w:val="auto"/>
              </w:rPr>
              <w:t>SECTION 1.05   Pro Forma Calculations</w:t>
            </w:r>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660" w:type="dxa"/>
            <w:vAlign w:val="bottom"/>
            <w:gridSpan w:val="4"/>
          </w:tcPr>
          <w:p>
            <w:pPr>
              <w:spacing w:after="0"/>
              <w:rPr>
                <w:sz w:val="20"/>
                <w:szCs w:val="20"/>
                <w:color w:val="auto"/>
              </w:rPr>
            </w:pPr>
            <w:r>
              <w:rPr>
                <w:rFonts w:ascii="Arial" w:cs="Arial" w:eastAsia="Arial" w:hAnsi="Arial"/>
                <w:sz w:val="18"/>
                <w:szCs w:val="18"/>
                <w:color w:val="auto"/>
              </w:rPr>
              <w:t>SECTION 1.06   Letter of Credit Amounts</w:t>
            </w:r>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660" w:type="dxa"/>
            <w:vAlign w:val="bottom"/>
            <w:gridSpan w:val="4"/>
          </w:tcPr>
          <w:p>
            <w:pPr>
              <w:spacing w:after="0"/>
              <w:rPr>
                <w:sz w:val="20"/>
                <w:szCs w:val="20"/>
                <w:color w:val="auto"/>
              </w:rPr>
            </w:pPr>
            <w:r>
              <w:rPr>
                <w:rFonts w:ascii="Arial" w:cs="Arial" w:eastAsia="Arial" w:hAnsi="Arial"/>
                <w:sz w:val="18"/>
                <w:szCs w:val="18"/>
                <w:color w:val="auto"/>
              </w:rPr>
              <w:t>SECTION 1.07   Exchange Rates; Currency Equivalents</w:t>
            </w:r>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660" w:type="dxa"/>
            <w:vAlign w:val="bottom"/>
            <w:gridSpan w:val="4"/>
          </w:tcPr>
          <w:p>
            <w:pPr>
              <w:spacing w:after="0"/>
              <w:rPr>
                <w:sz w:val="20"/>
                <w:szCs w:val="20"/>
                <w:color w:val="auto"/>
              </w:rPr>
            </w:pPr>
            <w:r>
              <w:rPr>
                <w:rFonts w:ascii="Arial" w:cs="Arial" w:eastAsia="Arial" w:hAnsi="Arial"/>
                <w:sz w:val="18"/>
                <w:szCs w:val="18"/>
                <w:color w:val="auto"/>
              </w:rPr>
              <w:t>SECTION 1.08   Additional Alternative Currencies</w:t>
            </w: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660" w:type="dxa"/>
            <w:vAlign w:val="bottom"/>
            <w:gridSpan w:val="4"/>
          </w:tcPr>
          <w:p>
            <w:pPr>
              <w:spacing w:after="0"/>
              <w:rPr>
                <w:sz w:val="20"/>
                <w:szCs w:val="20"/>
                <w:color w:val="auto"/>
              </w:rPr>
            </w:pPr>
            <w:r>
              <w:rPr>
                <w:rFonts w:ascii="Arial" w:cs="Arial" w:eastAsia="Arial" w:hAnsi="Arial"/>
                <w:sz w:val="18"/>
                <w:szCs w:val="18"/>
                <w:color w:val="auto"/>
              </w:rPr>
              <w:t>SECTION 1.09   Change of Currency</w:t>
            </w: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1.10</w:t>
            </w:r>
          </w:p>
        </w:tc>
        <w:tc>
          <w:tcPr>
            <w:tcW w:w="9400" w:type="dxa"/>
            <w:vAlign w:val="bottom"/>
            <w:gridSpan w:val="3"/>
          </w:tcPr>
          <w:p>
            <w:pPr>
              <w:ind w:left="140"/>
              <w:spacing w:after="0"/>
              <w:rPr>
                <w:sz w:val="20"/>
                <w:szCs w:val="20"/>
                <w:color w:val="auto"/>
              </w:rPr>
            </w:pPr>
            <w:r>
              <w:rPr>
                <w:rFonts w:ascii="Arial" w:cs="Arial" w:eastAsia="Arial" w:hAnsi="Arial"/>
                <w:sz w:val="18"/>
                <w:szCs w:val="18"/>
                <w:color w:val="auto"/>
              </w:rPr>
              <w:t>Additional Borrowers</w:t>
            </w: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12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060" w:type="dxa"/>
            <w:vAlign w:val="bottom"/>
            <w:gridSpan w:val="2"/>
          </w:tcPr>
          <w:p>
            <w:pPr>
              <w:jc w:val="center"/>
              <w:ind w:right="4300"/>
              <w:spacing w:after="0"/>
              <w:rPr>
                <w:sz w:val="20"/>
                <w:szCs w:val="20"/>
                <w:color w:val="auto"/>
              </w:rPr>
            </w:pPr>
            <w:r>
              <w:rPr>
                <w:rFonts w:ascii="Arial" w:cs="Arial" w:eastAsia="Arial" w:hAnsi="Arial"/>
                <w:sz w:val="18"/>
                <w:szCs w:val="18"/>
                <w:color w:val="auto"/>
              </w:rPr>
              <w:t>ARTICLE II</w:t>
            </w:r>
          </w:p>
        </w:tc>
        <w:tc>
          <w:tcPr>
            <w:tcW w:w="300" w:type="dxa"/>
            <w:vAlign w:val="bottom"/>
          </w:tcPr>
          <w:p>
            <w:pPr>
              <w:spacing w:after="0"/>
              <w:rPr>
                <w:sz w:val="24"/>
                <w:szCs w:val="24"/>
                <w:color w:val="auto"/>
              </w:rPr>
            </w:pPr>
          </w:p>
        </w:tc>
      </w:tr>
      <w:tr>
        <w:trPr>
          <w:trHeight w:val="324"/>
        </w:trPr>
        <w:tc>
          <w:tcPr>
            <w:tcW w:w="12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060" w:type="dxa"/>
            <w:vAlign w:val="bottom"/>
            <w:gridSpan w:val="2"/>
          </w:tcPr>
          <w:p>
            <w:pPr>
              <w:jc w:val="center"/>
              <w:ind w:right="4320"/>
              <w:spacing w:after="0"/>
              <w:rPr>
                <w:sz w:val="20"/>
                <w:szCs w:val="20"/>
                <w:color w:val="auto"/>
              </w:rPr>
            </w:pPr>
            <w:r>
              <w:rPr>
                <w:rFonts w:ascii="Arial" w:cs="Arial" w:eastAsia="Arial" w:hAnsi="Arial"/>
                <w:sz w:val="18"/>
                <w:szCs w:val="18"/>
                <w:color w:val="auto"/>
                <w:w w:val="94"/>
              </w:rPr>
              <w:t>THE CREDITS</w:t>
            </w:r>
          </w:p>
        </w:tc>
        <w:tc>
          <w:tcPr>
            <w:tcW w:w="300" w:type="dxa"/>
            <w:vAlign w:val="bottom"/>
          </w:tcPr>
          <w:p>
            <w:pPr>
              <w:spacing w:after="0"/>
              <w:rPr>
                <w:sz w:val="24"/>
                <w:szCs w:val="24"/>
                <w:color w:val="auto"/>
              </w:rPr>
            </w:pPr>
          </w:p>
        </w:tc>
      </w:tr>
      <w:tr>
        <w:trPr>
          <w:trHeight w:val="310"/>
        </w:trPr>
        <w:tc>
          <w:tcPr>
            <w:tcW w:w="1260" w:type="dxa"/>
            <w:vAlign w:val="bottom"/>
          </w:tcPr>
          <w:p>
            <w:pPr>
              <w:spacing w:after="0"/>
              <w:rPr>
                <w:sz w:val="20"/>
                <w:szCs w:val="20"/>
                <w:color w:val="auto"/>
              </w:rPr>
            </w:pPr>
            <w:r>
              <w:rPr>
                <w:rFonts w:ascii="Arial" w:cs="Arial" w:eastAsia="Arial" w:hAnsi="Arial"/>
                <w:sz w:val="18"/>
                <w:szCs w:val="18"/>
                <w:color w:val="auto"/>
              </w:rPr>
              <w:t>SECTION 2.01</w:t>
            </w:r>
          </w:p>
        </w:tc>
        <w:tc>
          <w:tcPr>
            <w:tcW w:w="9400" w:type="dxa"/>
            <w:vAlign w:val="bottom"/>
            <w:gridSpan w:val="3"/>
          </w:tcPr>
          <w:p>
            <w:pPr>
              <w:ind w:left="140"/>
              <w:spacing w:after="0"/>
              <w:rPr>
                <w:sz w:val="20"/>
                <w:szCs w:val="20"/>
                <w:color w:val="auto"/>
              </w:rPr>
            </w:pPr>
            <w:r>
              <w:rPr>
                <w:rFonts w:ascii="Arial" w:cs="Arial" w:eastAsia="Arial" w:hAnsi="Arial"/>
                <w:sz w:val="18"/>
                <w:szCs w:val="18"/>
                <w:color w:val="auto"/>
              </w:rPr>
              <w:t>Commitments</w:t>
            </w: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2.02</w:t>
            </w:r>
          </w:p>
        </w:tc>
        <w:tc>
          <w:tcPr>
            <w:tcW w:w="9400" w:type="dxa"/>
            <w:vAlign w:val="bottom"/>
            <w:gridSpan w:val="3"/>
          </w:tcPr>
          <w:p>
            <w:pPr>
              <w:ind w:left="140"/>
              <w:spacing w:after="0"/>
              <w:rPr>
                <w:sz w:val="20"/>
                <w:szCs w:val="20"/>
                <w:color w:val="auto"/>
              </w:rPr>
            </w:pPr>
            <w:r>
              <w:rPr>
                <w:rFonts w:ascii="Arial" w:cs="Arial" w:eastAsia="Arial" w:hAnsi="Arial"/>
                <w:sz w:val="18"/>
                <w:szCs w:val="18"/>
                <w:color w:val="auto"/>
              </w:rPr>
              <w:t>Funding of Loans</w:t>
            </w: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660" w:type="dxa"/>
            <w:vAlign w:val="bottom"/>
            <w:gridSpan w:val="4"/>
          </w:tcPr>
          <w:p>
            <w:pPr>
              <w:spacing w:after="0"/>
              <w:rPr>
                <w:sz w:val="20"/>
                <w:szCs w:val="20"/>
                <w:color w:val="auto"/>
              </w:rPr>
            </w:pPr>
            <w:r>
              <w:rPr>
                <w:rFonts w:ascii="Arial" w:cs="Arial" w:eastAsia="Arial" w:hAnsi="Arial"/>
                <w:sz w:val="18"/>
                <w:szCs w:val="18"/>
                <w:color w:val="auto"/>
              </w:rPr>
              <w:t>SECTION 2.03   Requests for Borrowings</w:t>
            </w:r>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2.04</w:t>
            </w:r>
          </w:p>
        </w:tc>
        <w:tc>
          <w:tcPr>
            <w:tcW w:w="9400" w:type="dxa"/>
            <w:vAlign w:val="bottom"/>
            <w:gridSpan w:val="3"/>
          </w:tcPr>
          <w:p>
            <w:pPr>
              <w:ind w:left="140"/>
              <w:spacing w:after="0"/>
              <w:rPr>
                <w:sz w:val="20"/>
                <w:szCs w:val="20"/>
                <w:color w:val="auto"/>
              </w:rPr>
            </w:pPr>
            <w:r>
              <w:rPr>
                <w:rFonts w:ascii="Arial" w:cs="Arial" w:eastAsia="Arial" w:hAnsi="Arial"/>
                <w:sz w:val="18"/>
                <w:szCs w:val="18"/>
                <w:color w:val="auto"/>
              </w:rPr>
              <w:t>Tranche Conversions</w:t>
            </w:r>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2.05</w:t>
            </w:r>
          </w:p>
        </w:tc>
        <w:tc>
          <w:tcPr>
            <w:tcW w:w="9400" w:type="dxa"/>
            <w:vAlign w:val="bottom"/>
            <w:gridSpan w:val="3"/>
          </w:tcPr>
          <w:p>
            <w:pPr>
              <w:ind w:left="140"/>
              <w:spacing w:after="0"/>
              <w:rPr>
                <w:sz w:val="20"/>
                <w:szCs w:val="20"/>
                <w:color w:val="auto"/>
              </w:rPr>
            </w:pPr>
            <w:r>
              <w:rPr>
                <w:rFonts w:ascii="Arial" w:cs="Arial" w:eastAsia="Arial" w:hAnsi="Arial"/>
                <w:sz w:val="18"/>
                <w:szCs w:val="18"/>
                <w:color w:val="auto"/>
              </w:rPr>
              <w:t>Letters of Credit</w:t>
            </w:r>
          </w:p>
        </w:tc>
        <w:tc>
          <w:tcPr>
            <w:tcW w:w="3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0660" w:type="dxa"/>
            <w:vAlign w:val="bottom"/>
            <w:gridSpan w:val="4"/>
          </w:tcPr>
          <w:p>
            <w:pPr>
              <w:spacing w:after="0"/>
              <w:rPr>
                <w:sz w:val="20"/>
                <w:szCs w:val="20"/>
                <w:color w:val="auto"/>
              </w:rPr>
            </w:pPr>
            <w:r>
              <w:rPr>
                <w:rFonts w:ascii="Arial" w:cs="Arial" w:eastAsia="Arial" w:hAnsi="Arial"/>
                <w:sz w:val="18"/>
                <w:szCs w:val="18"/>
                <w:color w:val="auto"/>
              </w:rPr>
              <w:t>SECTION 2.06   Termination and Reduction of Commitments</w:t>
            </w:r>
          </w:p>
        </w:tc>
        <w:tc>
          <w:tcPr>
            <w:tcW w:w="3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0660" w:type="dxa"/>
            <w:vAlign w:val="bottom"/>
            <w:gridSpan w:val="4"/>
          </w:tcPr>
          <w:p>
            <w:pPr>
              <w:spacing w:after="0"/>
              <w:rPr>
                <w:sz w:val="20"/>
                <w:szCs w:val="20"/>
                <w:color w:val="auto"/>
              </w:rPr>
            </w:pPr>
            <w:r>
              <w:rPr>
                <w:rFonts w:ascii="Arial" w:cs="Arial" w:eastAsia="Arial" w:hAnsi="Arial"/>
                <w:sz w:val="18"/>
                <w:szCs w:val="18"/>
                <w:color w:val="auto"/>
              </w:rPr>
              <w:t>SECTION 2.07   Repayment of Loans; Evidence of Debt</w:t>
            </w:r>
          </w:p>
        </w:tc>
        <w:tc>
          <w:tcPr>
            <w:tcW w:w="3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2.08</w:t>
            </w:r>
          </w:p>
        </w:tc>
        <w:tc>
          <w:tcPr>
            <w:tcW w:w="9400" w:type="dxa"/>
            <w:vAlign w:val="bottom"/>
            <w:gridSpan w:val="3"/>
          </w:tcPr>
          <w:p>
            <w:pPr>
              <w:ind w:left="140"/>
              <w:spacing w:after="0"/>
              <w:rPr>
                <w:sz w:val="20"/>
                <w:szCs w:val="20"/>
                <w:color w:val="auto"/>
              </w:rPr>
            </w:pPr>
            <w:r>
              <w:rPr>
                <w:rFonts w:ascii="Arial" w:cs="Arial" w:eastAsia="Arial" w:hAnsi="Arial"/>
                <w:sz w:val="18"/>
                <w:szCs w:val="18"/>
                <w:color w:val="auto"/>
              </w:rPr>
              <w:t>[Reserved]</w:t>
            </w:r>
          </w:p>
        </w:tc>
        <w:tc>
          <w:tcPr>
            <w:tcW w:w="3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660" w:type="dxa"/>
            <w:vAlign w:val="bottom"/>
            <w:gridSpan w:val="4"/>
          </w:tcPr>
          <w:p>
            <w:pPr>
              <w:spacing w:after="0"/>
              <w:rPr>
                <w:sz w:val="20"/>
                <w:szCs w:val="20"/>
                <w:color w:val="auto"/>
              </w:rPr>
            </w:pPr>
            <w:r>
              <w:rPr>
                <w:rFonts w:ascii="Arial" w:cs="Arial" w:eastAsia="Arial" w:hAnsi="Arial"/>
                <w:sz w:val="18"/>
                <w:szCs w:val="18"/>
                <w:color w:val="auto"/>
              </w:rPr>
              <w:t>SECTION 2.09   Prepayment of Loans</w:t>
            </w:r>
          </w:p>
        </w:tc>
        <w:tc>
          <w:tcPr>
            <w:tcW w:w="3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2.10</w:t>
            </w:r>
          </w:p>
        </w:tc>
        <w:tc>
          <w:tcPr>
            <w:tcW w:w="9400" w:type="dxa"/>
            <w:vAlign w:val="bottom"/>
            <w:gridSpan w:val="3"/>
          </w:tcPr>
          <w:p>
            <w:pPr>
              <w:ind w:left="140"/>
              <w:spacing w:after="0"/>
              <w:rPr>
                <w:sz w:val="20"/>
                <w:szCs w:val="20"/>
                <w:color w:val="auto"/>
              </w:rPr>
            </w:pPr>
            <w:r>
              <w:rPr>
                <w:rFonts w:ascii="Arial" w:cs="Arial" w:eastAsia="Arial" w:hAnsi="Arial"/>
                <w:sz w:val="18"/>
                <w:szCs w:val="18"/>
                <w:color w:val="auto"/>
              </w:rPr>
              <w:t>Fees</w:t>
            </w:r>
          </w:p>
        </w:tc>
        <w:tc>
          <w:tcPr>
            <w:tcW w:w="3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2.11</w:t>
            </w:r>
          </w:p>
        </w:tc>
        <w:tc>
          <w:tcPr>
            <w:tcW w:w="9400" w:type="dxa"/>
            <w:vAlign w:val="bottom"/>
            <w:gridSpan w:val="3"/>
          </w:tcPr>
          <w:p>
            <w:pPr>
              <w:ind w:left="140"/>
              <w:spacing w:after="0"/>
              <w:rPr>
                <w:sz w:val="20"/>
                <w:szCs w:val="20"/>
                <w:color w:val="auto"/>
              </w:rPr>
            </w:pPr>
            <w:r>
              <w:rPr>
                <w:rFonts w:ascii="Arial" w:cs="Arial" w:eastAsia="Arial" w:hAnsi="Arial"/>
                <w:sz w:val="18"/>
                <w:szCs w:val="18"/>
                <w:color w:val="auto"/>
              </w:rPr>
              <w:t>Interest</w:t>
            </w:r>
          </w:p>
        </w:tc>
        <w:tc>
          <w:tcPr>
            <w:tcW w:w="3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660" w:type="dxa"/>
            <w:vAlign w:val="bottom"/>
            <w:gridSpan w:val="4"/>
          </w:tcPr>
          <w:p>
            <w:pPr>
              <w:spacing w:after="0"/>
              <w:rPr>
                <w:sz w:val="20"/>
                <w:szCs w:val="20"/>
                <w:color w:val="auto"/>
              </w:rPr>
            </w:pPr>
            <w:r>
              <w:rPr>
                <w:rFonts w:ascii="Arial" w:cs="Arial" w:eastAsia="Arial" w:hAnsi="Arial"/>
                <w:sz w:val="18"/>
                <w:szCs w:val="18"/>
                <w:color w:val="auto"/>
              </w:rPr>
              <w:t>SECTION 2.12   Alternate Rate of Interest</w:t>
            </w:r>
          </w:p>
        </w:tc>
        <w:tc>
          <w:tcPr>
            <w:tcW w:w="3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2.13</w:t>
            </w:r>
          </w:p>
        </w:tc>
        <w:tc>
          <w:tcPr>
            <w:tcW w:w="9400" w:type="dxa"/>
            <w:vAlign w:val="bottom"/>
            <w:gridSpan w:val="3"/>
          </w:tcPr>
          <w:p>
            <w:pPr>
              <w:ind w:left="140"/>
              <w:spacing w:after="0"/>
              <w:rPr>
                <w:sz w:val="20"/>
                <w:szCs w:val="20"/>
                <w:color w:val="auto"/>
              </w:rPr>
            </w:pPr>
            <w:r>
              <w:rPr>
                <w:rFonts w:ascii="Arial" w:cs="Arial" w:eastAsia="Arial" w:hAnsi="Arial"/>
                <w:sz w:val="18"/>
                <w:szCs w:val="18"/>
                <w:color w:val="auto"/>
              </w:rPr>
              <w:t>Increased Costs</w:t>
            </w:r>
          </w:p>
        </w:tc>
        <w:tc>
          <w:tcPr>
            <w:tcW w:w="3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0660" w:type="dxa"/>
            <w:vAlign w:val="bottom"/>
            <w:gridSpan w:val="4"/>
          </w:tcPr>
          <w:p>
            <w:pPr>
              <w:spacing w:after="0"/>
              <w:rPr>
                <w:sz w:val="20"/>
                <w:szCs w:val="20"/>
                <w:color w:val="auto"/>
              </w:rPr>
            </w:pPr>
            <w:r>
              <w:rPr>
                <w:rFonts w:ascii="Arial" w:cs="Arial" w:eastAsia="Arial" w:hAnsi="Arial"/>
                <w:sz w:val="18"/>
                <w:szCs w:val="18"/>
                <w:color w:val="auto"/>
              </w:rPr>
              <w:t>SECTION 2.14   Break Funding Payments</w:t>
            </w:r>
          </w:p>
        </w:tc>
        <w:tc>
          <w:tcPr>
            <w:tcW w:w="3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2.15</w:t>
            </w:r>
          </w:p>
        </w:tc>
        <w:tc>
          <w:tcPr>
            <w:tcW w:w="9400" w:type="dxa"/>
            <w:vAlign w:val="bottom"/>
            <w:gridSpan w:val="3"/>
          </w:tcPr>
          <w:p>
            <w:pPr>
              <w:ind w:left="140"/>
              <w:spacing w:after="0"/>
              <w:rPr>
                <w:sz w:val="20"/>
                <w:szCs w:val="20"/>
                <w:color w:val="auto"/>
              </w:rPr>
            </w:pPr>
            <w:r>
              <w:rPr>
                <w:rFonts w:ascii="Arial" w:cs="Arial" w:eastAsia="Arial" w:hAnsi="Arial"/>
                <w:sz w:val="18"/>
                <w:szCs w:val="18"/>
                <w:color w:val="auto"/>
              </w:rPr>
              <w:t>Taxes</w:t>
            </w:r>
          </w:p>
        </w:tc>
        <w:tc>
          <w:tcPr>
            <w:tcW w:w="3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0660" w:type="dxa"/>
            <w:vAlign w:val="bottom"/>
            <w:gridSpan w:val="4"/>
          </w:tcPr>
          <w:p>
            <w:pPr>
              <w:spacing w:after="0"/>
              <w:rPr>
                <w:sz w:val="20"/>
                <w:szCs w:val="20"/>
                <w:color w:val="auto"/>
              </w:rPr>
            </w:pPr>
            <w:r>
              <w:rPr>
                <w:rFonts w:ascii="Arial" w:cs="Arial" w:eastAsia="Arial" w:hAnsi="Arial"/>
                <w:sz w:val="18"/>
                <w:szCs w:val="18"/>
                <w:color w:val="auto"/>
              </w:rPr>
              <w:t>SECTION 2.16   Payments Generally; Pro Rata Treatment; Sharing of Setoffs</w:t>
            </w:r>
          </w:p>
        </w:tc>
        <w:tc>
          <w:tcPr>
            <w:tcW w:w="3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0660" w:type="dxa"/>
            <w:vAlign w:val="bottom"/>
            <w:gridSpan w:val="4"/>
          </w:tcPr>
          <w:p>
            <w:pPr>
              <w:spacing w:after="0"/>
              <w:rPr>
                <w:sz w:val="20"/>
                <w:szCs w:val="20"/>
                <w:color w:val="auto"/>
              </w:rPr>
            </w:pPr>
            <w:r>
              <w:rPr>
                <w:rFonts w:ascii="Arial" w:cs="Arial" w:eastAsia="Arial" w:hAnsi="Arial"/>
                <w:sz w:val="18"/>
                <w:szCs w:val="18"/>
                <w:color w:val="auto"/>
              </w:rPr>
              <w:t>SECTION 2.17   Mitigation Obligations; Replacement of Lenders</w:t>
            </w:r>
          </w:p>
        </w:tc>
        <w:tc>
          <w:tcPr>
            <w:tcW w:w="3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10660" w:type="dxa"/>
            <w:vAlign w:val="bottom"/>
            <w:gridSpan w:val="4"/>
          </w:tcPr>
          <w:p>
            <w:pPr>
              <w:spacing w:after="0"/>
              <w:rPr>
                <w:sz w:val="20"/>
                <w:szCs w:val="20"/>
                <w:color w:val="auto"/>
              </w:rPr>
            </w:pPr>
            <w:r>
              <w:rPr>
                <w:rFonts w:ascii="Arial" w:cs="Arial" w:eastAsia="Arial" w:hAnsi="Arial"/>
                <w:sz w:val="18"/>
                <w:szCs w:val="18"/>
                <w:color w:val="auto"/>
              </w:rPr>
              <w:t>SECTION 2.18   Incremental Revolving Commitments</w:t>
            </w:r>
          </w:p>
        </w:tc>
        <w:tc>
          <w:tcPr>
            <w:tcW w:w="3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2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060" w:type="dxa"/>
            <w:vAlign w:val="bottom"/>
            <w:gridSpan w:val="2"/>
          </w:tcPr>
          <w:p>
            <w:pPr>
              <w:jc w:val="center"/>
              <w:ind w:right="4300"/>
              <w:spacing w:after="0"/>
              <w:rPr>
                <w:sz w:val="20"/>
                <w:szCs w:val="20"/>
                <w:color w:val="auto"/>
              </w:rPr>
            </w:pPr>
            <w:r>
              <w:rPr>
                <w:rFonts w:ascii="Arial" w:cs="Arial" w:eastAsia="Arial" w:hAnsi="Arial"/>
                <w:sz w:val="18"/>
                <w:szCs w:val="18"/>
                <w:color w:val="auto"/>
                <w:w w:val="99"/>
              </w:rPr>
              <w:t>ARTICLE III</w:t>
            </w:r>
          </w:p>
        </w:tc>
        <w:tc>
          <w:tcPr>
            <w:tcW w:w="300" w:type="dxa"/>
            <w:vAlign w:val="bottom"/>
          </w:tcPr>
          <w:p>
            <w:pPr>
              <w:spacing w:after="0"/>
              <w:rPr>
                <w:sz w:val="24"/>
                <w:szCs w:val="24"/>
                <w:color w:val="auto"/>
              </w:rPr>
            </w:pPr>
          </w:p>
        </w:tc>
      </w:tr>
      <w:tr>
        <w:trPr>
          <w:trHeight w:val="324"/>
        </w:trPr>
        <w:tc>
          <w:tcPr>
            <w:tcW w:w="1260" w:type="dxa"/>
            <w:vAlign w:val="bottom"/>
          </w:tcPr>
          <w:p>
            <w:pPr>
              <w:spacing w:after="0"/>
              <w:rPr>
                <w:sz w:val="24"/>
                <w:szCs w:val="24"/>
                <w:color w:val="auto"/>
              </w:rPr>
            </w:pPr>
          </w:p>
        </w:tc>
        <w:tc>
          <w:tcPr>
            <w:tcW w:w="9400" w:type="dxa"/>
            <w:vAlign w:val="bottom"/>
            <w:gridSpan w:val="3"/>
          </w:tcPr>
          <w:p>
            <w:pPr>
              <w:jc w:val="center"/>
              <w:ind w:right="960"/>
              <w:spacing w:after="0"/>
              <w:rPr>
                <w:sz w:val="20"/>
                <w:szCs w:val="20"/>
                <w:color w:val="auto"/>
              </w:rPr>
            </w:pPr>
            <w:r>
              <w:rPr>
                <w:rFonts w:ascii="Arial" w:cs="Arial" w:eastAsia="Arial" w:hAnsi="Arial"/>
                <w:sz w:val="18"/>
                <w:szCs w:val="18"/>
                <w:color w:val="auto"/>
                <w:w w:val="95"/>
              </w:rPr>
              <w:t>REPRESENTATIONS AND WARRANTIES</w:t>
            </w:r>
          </w:p>
        </w:tc>
        <w:tc>
          <w:tcPr>
            <w:tcW w:w="300" w:type="dxa"/>
            <w:vAlign w:val="bottom"/>
          </w:tcPr>
          <w:p>
            <w:pPr>
              <w:spacing w:after="0"/>
              <w:rPr>
                <w:sz w:val="24"/>
                <w:szCs w:val="24"/>
                <w:color w:val="auto"/>
              </w:rPr>
            </w:pPr>
          </w:p>
        </w:tc>
      </w:tr>
      <w:tr>
        <w:trPr>
          <w:trHeight w:val="310"/>
        </w:trPr>
        <w:tc>
          <w:tcPr>
            <w:tcW w:w="1260" w:type="dxa"/>
            <w:vAlign w:val="bottom"/>
          </w:tcPr>
          <w:p>
            <w:pPr>
              <w:spacing w:after="0"/>
              <w:rPr>
                <w:sz w:val="20"/>
                <w:szCs w:val="20"/>
                <w:color w:val="auto"/>
              </w:rPr>
            </w:pPr>
            <w:r>
              <w:rPr>
                <w:rFonts w:ascii="Arial" w:cs="Arial" w:eastAsia="Arial" w:hAnsi="Arial"/>
                <w:sz w:val="18"/>
                <w:szCs w:val="18"/>
                <w:color w:val="auto"/>
              </w:rPr>
              <w:t>SECTION 3.01</w:t>
            </w:r>
          </w:p>
        </w:tc>
        <w:tc>
          <w:tcPr>
            <w:tcW w:w="9400" w:type="dxa"/>
            <w:vAlign w:val="bottom"/>
            <w:gridSpan w:val="3"/>
          </w:tcPr>
          <w:p>
            <w:pPr>
              <w:ind w:left="140"/>
              <w:spacing w:after="0"/>
              <w:rPr>
                <w:sz w:val="20"/>
                <w:szCs w:val="20"/>
                <w:color w:val="auto"/>
              </w:rPr>
            </w:pPr>
            <w:r>
              <w:rPr>
                <w:rFonts w:ascii="Arial" w:cs="Arial" w:eastAsia="Arial" w:hAnsi="Arial"/>
                <w:sz w:val="18"/>
                <w:szCs w:val="18"/>
                <w:color w:val="auto"/>
              </w:rPr>
              <w:t>Organization; Powers</w:t>
            </w:r>
          </w:p>
        </w:tc>
        <w:tc>
          <w:tcPr>
            <w:tcW w:w="3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3.02</w:t>
            </w:r>
          </w:p>
        </w:tc>
        <w:tc>
          <w:tcPr>
            <w:tcW w:w="9400" w:type="dxa"/>
            <w:vAlign w:val="bottom"/>
            <w:gridSpan w:val="3"/>
          </w:tcPr>
          <w:p>
            <w:pPr>
              <w:ind w:left="140"/>
              <w:spacing w:after="0"/>
              <w:rPr>
                <w:sz w:val="20"/>
                <w:szCs w:val="20"/>
                <w:color w:val="auto"/>
              </w:rPr>
            </w:pPr>
            <w:r>
              <w:rPr>
                <w:rFonts w:ascii="Arial" w:cs="Arial" w:eastAsia="Arial" w:hAnsi="Arial"/>
                <w:sz w:val="18"/>
                <w:szCs w:val="18"/>
                <w:color w:val="auto"/>
              </w:rPr>
              <w:t>Authorization; Enforceability</w:t>
            </w:r>
          </w:p>
        </w:tc>
        <w:tc>
          <w:tcPr>
            <w:tcW w:w="3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0660" w:type="dxa"/>
            <w:vAlign w:val="bottom"/>
            <w:gridSpan w:val="4"/>
          </w:tcPr>
          <w:p>
            <w:pPr>
              <w:spacing w:after="0"/>
              <w:rPr>
                <w:sz w:val="20"/>
                <w:szCs w:val="20"/>
                <w:color w:val="auto"/>
              </w:rPr>
            </w:pPr>
            <w:r>
              <w:rPr>
                <w:rFonts w:ascii="Arial" w:cs="Arial" w:eastAsia="Arial" w:hAnsi="Arial"/>
                <w:sz w:val="18"/>
                <w:szCs w:val="18"/>
                <w:color w:val="auto"/>
              </w:rPr>
              <w:t>SECTION 3.03   Governmental Approvals; No Conflicts</w:t>
            </w:r>
          </w:p>
        </w:tc>
        <w:tc>
          <w:tcPr>
            <w:tcW w:w="3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10660" w:type="dxa"/>
            <w:vAlign w:val="bottom"/>
            <w:gridSpan w:val="4"/>
          </w:tcPr>
          <w:p>
            <w:pPr>
              <w:spacing w:after="0"/>
              <w:rPr>
                <w:sz w:val="20"/>
                <w:szCs w:val="20"/>
                <w:color w:val="auto"/>
              </w:rPr>
            </w:pPr>
            <w:r>
              <w:rPr>
                <w:rFonts w:ascii="Arial" w:cs="Arial" w:eastAsia="Arial" w:hAnsi="Arial"/>
                <w:sz w:val="18"/>
                <w:szCs w:val="18"/>
                <w:color w:val="auto"/>
              </w:rPr>
              <w:t>SECTION 3.04   Financial Condition; No Material Adverse Change</w:t>
            </w:r>
          </w:p>
        </w:tc>
        <w:tc>
          <w:tcPr>
            <w:tcW w:w="300" w:type="dxa"/>
            <w:vAlign w:val="bottom"/>
          </w:tcPr>
          <w:p>
            <w:pPr>
              <w:jc w:val="right"/>
              <w:spacing w:after="0"/>
              <w:rPr>
                <w:sz w:val="20"/>
                <w:szCs w:val="20"/>
                <w:color w:val="auto"/>
              </w:rPr>
            </w:pPr>
            <w:r>
              <w:rPr>
                <w:rFonts w:ascii="Arial" w:cs="Arial" w:eastAsia="Arial" w:hAnsi="Arial"/>
                <w:sz w:val="18"/>
                <w:szCs w:val="18"/>
                <w:color w:val="auto"/>
              </w:rPr>
              <w:t>60</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57" w:right="49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71"/>
        </w:trPr>
        <w:tc>
          <w:tcPr>
            <w:tcW w:w="1260" w:type="dxa"/>
            <w:vAlign w:val="bottom"/>
            <w:vMerge w:val="restart"/>
          </w:tcPr>
          <w:p>
            <w:pPr>
              <w:spacing w:after="0"/>
              <w:rPr>
                <w:sz w:val="20"/>
                <w:szCs w:val="20"/>
                <w:color w:val="auto"/>
              </w:rPr>
            </w:pPr>
            <w:r>
              <w:rPr>
                <w:rFonts w:ascii="Arial" w:cs="Arial" w:eastAsia="Arial" w:hAnsi="Arial"/>
                <w:sz w:val="18"/>
                <w:szCs w:val="18"/>
                <w:color w:val="auto"/>
              </w:rPr>
              <w:t>SECTION 3.05</w:t>
            </w:r>
          </w:p>
        </w:tc>
        <w:tc>
          <w:tcPr>
            <w:tcW w:w="9400" w:type="dxa"/>
            <w:vAlign w:val="bottom"/>
            <w:vMerge w:val="restart"/>
          </w:tcPr>
          <w:p>
            <w:pPr>
              <w:ind w:left="140"/>
              <w:spacing w:after="0"/>
              <w:rPr>
                <w:sz w:val="20"/>
                <w:szCs w:val="20"/>
                <w:color w:val="auto"/>
              </w:rPr>
            </w:pPr>
            <w:r>
              <w:rPr>
                <w:rFonts w:ascii="Arial" w:cs="Arial" w:eastAsia="Arial" w:hAnsi="Arial"/>
                <w:sz w:val="18"/>
                <w:szCs w:val="18"/>
                <w:color w:val="auto"/>
              </w:rPr>
              <w:t>Properties</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5"/>
        </w:trPr>
        <w:tc>
          <w:tcPr>
            <w:tcW w:w="1260" w:type="dxa"/>
            <w:vAlign w:val="bottom"/>
            <w:vMerge w:val="continue"/>
          </w:tcPr>
          <w:p>
            <w:pPr>
              <w:spacing w:after="0"/>
              <w:rPr>
                <w:sz w:val="16"/>
                <w:szCs w:val="16"/>
                <w:color w:val="auto"/>
              </w:rPr>
            </w:pPr>
          </w:p>
        </w:tc>
        <w:tc>
          <w:tcPr>
            <w:tcW w:w="9400" w:type="dxa"/>
            <w:vAlign w:val="bottom"/>
            <w:vMerge w:val="continue"/>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Arial" w:cs="Arial" w:eastAsia="Arial" w:hAnsi="Arial"/>
                <w:sz w:val="18"/>
                <w:szCs w:val="18"/>
                <w:color w:val="auto"/>
              </w:rPr>
              <w:t>SECTION 3.06   Litigation and Environmental Matters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Arial" w:cs="Arial" w:eastAsia="Arial" w:hAnsi="Arial"/>
                <w:sz w:val="18"/>
                <w:szCs w:val="18"/>
                <w:color w:val="auto"/>
              </w:rPr>
              <w:t>SECTION 3.07   Compliance with Laws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Arial" w:cs="Arial" w:eastAsia="Arial" w:hAnsi="Arial"/>
                <w:sz w:val="18"/>
                <w:szCs w:val="18"/>
                <w:color w:val="auto"/>
              </w:rPr>
              <w:t>SECTION 3.08   Investment Company Status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3.09</w:t>
            </w:r>
          </w:p>
        </w:tc>
        <w:tc>
          <w:tcPr>
            <w:tcW w:w="9400" w:type="dxa"/>
            <w:vAlign w:val="bottom"/>
          </w:tcPr>
          <w:p>
            <w:pPr>
              <w:ind w:left="140"/>
              <w:spacing w:after="0"/>
              <w:rPr>
                <w:sz w:val="20"/>
                <w:szCs w:val="20"/>
                <w:color w:val="auto"/>
              </w:rPr>
            </w:pPr>
            <w:r>
              <w:rPr>
                <w:rFonts w:ascii="Arial" w:cs="Arial" w:eastAsia="Arial" w:hAnsi="Arial"/>
                <w:sz w:val="18"/>
                <w:szCs w:val="18"/>
                <w:color w:val="auto"/>
              </w:rPr>
              <w:t>Taxes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3.10</w:t>
            </w:r>
          </w:p>
        </w:tc>
        <w:tc>
          <w:tcPr>
            <w:tcW w:w="9400" w:type="dxa"/>
            <w:vAlign w:val="bottom"/>
          </w:tcPr>
          <w:p>
            <w:pPr>
              <w:ind w:left="140"/>
              <w:spacing w:after="0"/>
              <w:rPr>
                <w:sz w:val="20"/>
                <w:szCs w:val="20"/>
                <w:color w:val="auto"/>
              </w:rPr>
            </w:pPr>
            <w:r>
              <w:rPr>
                <w:rFonts w:ascii="Arial" w:cs="Arial" w:eastAsia="Arial" w:hAnsi="Arial"/>
                <w:sz w:val="18"/>
                <w:szCs w:val="18"/>
                <w:color w:val="auto"/>
              </w:rPr>
              <w:t>ERISA</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3.11</w:t>
            </w:r>
          </w:p>
        </w:tc>
        <w:tc>
          <w:tcPr>
            <w:tcW w:w="9400" w:type="dxa"/>
            <w:vAlign w:val="bottom"/>
          </w:tcPr>
          <w:p>
            <w:pPr>
              <w:ind w:left="140"/>
              <w:spacing w:after="0"/>
              <w:rPr>
                <w:sz w:val="20"/>
                <w:szCs w:val="20"/>
                <w:color w:val="auto"/>
              </w:rPr>
            </w:pPr>
            <w:r>
              <w:rPr>
                <w:rFonts w:ascii="Arial" w:cs="Arial" w:eastAsia="Arial" w:hAnsi="Arial"/>
                <w:sz w:val="18"/>
                <w:szCs w:val="18"/>
                <w:color w:val="auto"/>
              </w:rPr>
              <w:t>Disclosure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3.12</w:t>
            </w:r>
          </w:p>
        </w:tc>
        <w:tc>
          <w:tcPr>
            <w:tcW w:w="9400" w:type="dxa"/>
            <w:vAlign w:val="bottom"/>
          </w:tcPr>
          <w:p>
            <w:pPr>
              <w:ind w:left="140"/>
              <w:spacing w:after="0"/>
              <w:rPr>
                <w:sz w:val="20"/>
                <w:szCs w:val="20"/>
                <w:color w:val="auto"/>
              </w:rPr>
            </w:pPr>
            <w:r>
              <w:rPr>
                <w:rFonts w:ascii="Arial" w:cs="Arial" w:eastAsia="Arial" w:hAnsi="Arial"/>
                <w:sz w:val="18"/>
                <w:szCs w:val="18"/>
                <w:color w:val="auto"/>
              </w:rPr>
              <w:t>Subsidiaries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3.13</w:t>
            </w:r>
          </w:p>
        </w:tc>
        <w:tc>
          <w:tcPr>
            <w:tcW w:w="9400" w:type="dxa"/>
            <w:vAlign w:val="bottom"/>
          </w:tcPr>
          <w:p>
            <w:pPr>
              <w:ind w:left="140"/>
              <w:spacing w:after="0"/>
              <w:rPr>
                <w:sz w:val="20"/>
                <w:szCs w:val="20"/>
                <w:color w:val="auto"/>
              </w:rPr>
            </w:pPr>
            <w:r>
              <w:rPr>
                <w:rFonts w:ascii="Arial" w:cs="Arial" w:eastAsia="Arial" w:hAnsi="Arial"/>
                <w:sz w:val="18"/>
                <w:szCs w:val="18"/>
                <w:color w:val="auto"/>
              </w:rPr>
              <w:t>Insurance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Arial" w:cs="Arial" w:eastAsia="Arial" w:hAnsi="Arial"/>
                <w:sz w:val="18"/>
                <w:szCs w:val="18"/>
                <w:color w:val="auto"/>
              </w:rPr>
              <w:t>SECTION 3.14   Federal Reserve Regulations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3.15</w:t>
            </w:r>
          </w:p>
        </w:tc>
        <w:tc>
          <w:tcPr>
            <w:tcW w:w="9400" w:type="dxa"/>
            <w:vAlign w:val="bottom"/>
          </w:tcPr>
          <w:p>
            <w:pPr>
              <w:ind w:left="140"/>
              <w:spacing w:after="0"/>
              <w:rPr>
                <w:sz w:val="20"/>
                <w:szCs w:val="20"/>
                <w:color w:val="auto"/>
              </w:rPr>
            </w:pPr>
            <w:r>
              <w:rPr>
                <w:rFonts w:ascii="Arial" w:cs="Arial" w:eastAsia="Arial" w:hAnsi="Arial"/>
                <w:sz w:val="18"/>
                <w:szCs w:val="18"/>
                <w:color w:val="auto"/>
              </w:rPr>
              <w:t>OFAC</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10660" w:type="dxa"/>
            <w:vAlign w:val="bottom"/>
            <w:gridSpan w:val="2"/>
          </w:tcPr>
          <w:p>
            <w:pPr>
              <w:spacing w:after="0"/>
              <w:rPr>
                <w:sz w:val="20"/>
                <w:szCs w:val="20"/>
                <w:color w:val="auto"/>
              </w:rPr>
            </w:pPr>
            <w:r>
              <w:rPr>
                <w:rFonts w:ascii="Arial" w:cs="Arial" w:eastAsia="Arial" w:hAnsi="Arial"/>
                <w:sz w:val="18"/>
                <w:szCs w:val="18"/>
                <w:color w:val="auto"/>
              </w:rPr>
              <w:t>SECTION 3.16   Anti-Corruption Laws and Patriot Act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24"/>
        </w:trPr>
        <w:tc>
          <w:tcPr>
            <w:tcW w:w="1260" w:type="dxa"/>
            <w:vAlign w:val="bottom"/>
          </w:tcPr>
          <w:p>
            <w:pPr>
              <w:spacing w:after="0"/>
              <w:rPr>
                <w:sz w:val="24"/>
                <w:szCs w:val="24"/>
                <w:color w:val="auto"/>
              </w:rPr>
            </w:pPr>
          </w:p>
        </w:tc>
        <w:tc>
          <w:tcPr>
            <w:tcW w:w="9400" w:type="dxa"/>
            <w:vAlign w:val="bottom"/>
          </w:tcPr>
          <w:p>
            <w:pPr>
              <w:jc w:val="center"/>
              <w:ind w:right="890"/>
              <w:spacing w:after="0"/>
              <w:rPr>
                <w:sz w:val="20"/>
                <w:szCs w:val="20"/>
                <w:color w:val="auto"/>
              </w:rPr>
            </w:pPr>
            <w:r>
              <w:rPr>
                <w:rFonts w:ascii="Arial" w:cs="Arial" w:eastAsia="Arial" w:hAnsi="Arial"/>
                <w:sz w:val="18"/>
                <w:szCs w:val="18"/>
                <w:color w:val="auto"/>
                <w:w w:val="99"/>
              </w:rPr>
              <w:t>ARTICLE IV</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60" w:type="dxa"/>
            <w:vAlign w:val="bottom"/>
          </w:tcPr>
          <w:p>
            <w:pPr>
              <w:spacing w:after="0"/>
              <w:rPr>
                <w:sz w:val="24"/>
                <w:szCs w:val="24"/>
                <w:color w:val="auto"/>
              </w:rPr>
            </w:pPr>
          </w:p>
        </w:tc>
        <w:tc>
          <w:tcPr>
            <w:tcW w:w="9400" w:type="dxa"/>
            <w:vAlign w:val="bottom"/>
          </w:tcPr>
          <w:p>
            <w:pPr>
              <w:jc w:val="center"/>
              <w:ind w:right="890"/>
              <w:spacing w:after="0"/>
              <w:rPr>
                <w:sz w:val="20"/>
                <w:szCs w:val="20"/>
                <w:color w:val="auto"/>
              </w:rPr>
            </w:pPr>
            <w:r>
              <w:rPr>
                <w:rFonts w:ascii="Arial" w:cs="Arial" w:eastAsia="Arial" w:hAnsi="Arial"/>
                <w:sz w:val="18"/>
                <w:szCs w:val="18"/>
                <w:color w:val="auto"/>
                <w:w w:val="97"/>
              </w:rPr>
              <w:t>CONDITIONS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660" w:type="dxa"/>
            <w:vAlign w:val="bottom"/>
            <w:gridSpan w:val="2"/>
          </w:tcPr>
          <w:p>
            <w:pPr>
              <w:spacing w:after="0"/>
              <w:rPr>
                <w:sz w:val="20"/>
                <w:szCs w:val="20"/>
                <w:color w:val="auto"/>
              </w:rPr>
            </w:pPr>
            <w:r>
              <w:rPr>
                <w:rFonts w:ascii="Arial" w:cs="Arial" w:eastAsia="Arial" w:hAnsi="Arial"/>
                <w:sz w:val="18"/>
                <w:szCs w:val="18"/>
                <w:color w:val="auto"/>
              </w:rPr>
              <w:t>SECTION 4.01   Conditions to the Closing Date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4.02</w:t>
            </w:r>
          </w:p>
        </w:tc>
        <w:tc>
          <w:tcPr>
            <w:tcW w:w="9400" w:type="dxa"/>
            <w:vAlign w:val="bottom"/>
          </w:tcPr>
          <w:p>
            <w:pPr>
              <w:ind w:left="140"/>
              <w:spacing w:after="0"/>
              <w:rPr>
                <w:sz w:val="20"/>
                <w:szCs w:val="20"/>
                <w:color w:val="auto"/>
              </w:rPr>
            </w:pPr>
            <w:r>
              <w:rPr>
                <w:rFonts w:ascii="Arial" w:cs="Arial" w:eastAsia="Arial" w:hAnsi="Arial"/>
                <w:sz w:val="18"/>
                <w:szCs w:val="18"/>
                <w:color w:val="auto"/>
              </w:rPr>
              <w:t>Each Credit Event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24"/>
        </w:trPr>
        <w:tc>
          <w:tcPr>
            <w:tcW w:w="1260" w:type="dxa"/>
            <w:vAlign w:val="bottom"/>
          </w:tcPr>
          <w:p>
            <w:pPr>
              <w:spacing w:after="0"/>
              <w:rPr>
                <w:sz w:val="24"/>
                <w:szCs w:val="24"/>
                <w:color w:val="auto"/>
              </w:rPr>
            </w:pPr>
          </w:p>
        </w:tc>
        <w:tc>
          <w:tcPr>
            <w:tcW w:w="9400" w:type="dxa"/>
            <w:vAlign w:val="bottom"/>
          </w:tcPr>
          <w:p>
            <w:pPr>
              <w:jc w:val="center"/>
              <w:ind w:right="870"/>
              <w:spacing w:after="0"/>
              <w:rPr>
                <w:sz w:val="20"/>
                <w:szCs w:val="20"/>
                <w:color w:val="auto"/>
              </w:rPr>
            </w:pPr>
            <w:r>
              <w:rPr>
                <w:rFonts w:ascii="Arial" w:cs="Arial" w:eastAsia="Arial" w:hAnsi="Arial"/>
                <w:sz w:val="18"/>
                <w:szCs w:val="18"/>
                <w:color w:val="auto"/>
                <w:w w:val="98"/>
              </w:rPr>
              <w:t>ARTICLE V</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60" w:type="dxa"/>
            <w:vAlign w:val="bottom"/>
          </w:tcPr>
          <w:p>
            <w:pPr>
              <w:spacing w:after="0"/>
              <w:rPr>
                <w:sz w:val="24"/>
                <w:szCs w:val="24"/>
                <w:color w:val="auto"/>
              </w:rPr>
            </w:pPr>
          </w:p>
        </w:tc>
        <w:tc>
          <w:tcPr>
            <w:tcW w:w="9400" w:type="dxa"/>
            <w:vAlign w:val="bottom"/>
          </w:tcPr>
          <w:p>
            <w:pPr>
              <w:jc w:val="center"/>
              <w:ind w:right="870"/>
              <w:spacing w:after="0"/>
              <w:rPr>
                <w:sz w:val="20"/>
                <w:szCs w:val="20"/>
                <w:color w:val="auto"/>
              </w:rPr>
            </w:pPr>
            <w:r>
              <w:rPr>
                <w:rFonts w:ascii="Arial" w:cs="Arial" w:eastAsia="Arial" w:hAnsi="Arial"/>
                <w:sz w:val="18"/>
                <w:szCs w:val="18"/>
                <w:color w:val="auto"/>
                <w:w w:val="98"/>
              </w:rPr>
              <w:t>AFFIRMATIVE COVENANTS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660" w:type="dxa"/>
            <w:vAlign w:val="bottom"/>
            <w:gridSpan w:val="2"/>
          </w:tcPr>
          <w:p>
            <w:pPr>
              <w:spacing w:after="0"/>
              <w:rPr>
                <w:sz w:val="20"/>
                <w:szCs w:val="20"/>
                <w:color w:val="auto"/>
              </w:rPr>
            </w:pPr>
            <w:r>
              <w:rPr>
                <w:rFonts w:ascii="Arial" w:cs="Arial" w:eastAsia="Arial" w:hAnsi="Arial"/>
                <w:sz w:val="18"/>
                <w:szCs w:val="18"/>
                <w:color w:val="auto"/>
              </w:rPr>
              <w:t>SECTION 5.01   Financial Statements and Other Information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Arial" w:cs="Arial" w:eastAsia="Arial" w:hAnsi="Arial"/>
                <w:sz w:val="18"/>
                <w:szCs w:val="18"/>
                <w:color w:val="auto"/>
              </w:rPr>
              <w:t>SECTION 5.02   Notices of Material Events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Arial" w:cs="Arial" w:eastAsia="Arial" w:hAnsi="Arial"/>
                <w:sz w:val="18"/>
                <w:szCs w:val="18"/>
                <w:color w:val="auto"/>
              </w:rPr>
              <w:t>SECTION 5.03   Existence; Conduct of Business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5.04</w:t>
            </w:r>
          </w:p>
        </w:tc>
        <w:tc>
          <w:tcPr>
            <w:tcW w:w="9400" w:type="dxa"/>
            <w:vAlign w:val="bottom"/>
          </w:tcPr>
          <w:p>
            <w:pPr>
              <w:ind w:left="140"/>
              <w:spacing w:after="0"/>
              <w:rPr>
                <w:sz w:val="20"/>
                <w:szCs w:val="20"/>
                <w:color w:val="auto"/>
              </w:rPr>
            </w:pPr>
            <w:r>
              <w:rPr>
                <w:rFonts w:ascii="Arial" w:cs="Arial" w:eastAsia="Arial" w:hAnsi="Arial"/>
                <w:sz w:val="18"/>
                <w:szCs w:val="18"/>
                <w:color w:val="auto"/>
              </w:rPr>
              <w:t>Payment of Taxes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Arial" w:cs="Arial" w:eastAsia="Arial" w:hAnsi="Arial"/>
                <w:sz w:val="18"/>
                <w:szCs w:val="18"/>
                <w:color w:val="auto"/>
              </w:rPr>
              <w:t>SECTION 5.05   Maintenance of Properties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5.06</w:t>
            </w:r>
          </w:p>
        </w:tc>
        <w:tc>
          <w:tcPr>
            <w:tcW w:w="9400" w:type="dxa"/>
            <w:vAlign w:val="bottom"/>
          </w:tcPr>
          <w:p>
            <w:pPr>
              <w:ind w:left="140"/>
              <w:spacing w:after="0"/>
              <w:rPr>
                <w:sz w:val="20"/>
                <w:szCs w:val="20"/>
                <w:color w:val="auto"/>
              </w:rPr>
            </w:pPr>
            <w:r>
              <w:rPr>
                <w:rFonts w:ascii="Arial" w:cs="Arial" w:eastAsia="Arial" w:hAnsi="Arial"/>
                <w:sz w:val="18"/>
                <w:szCs w:val="18"/>
                <w:color w:val="auto"/>
              </w:rPr>
              <w:t>Insurance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Arial" w:cs="Arial" w:eastAsia="Arial" w:hAnsi="Arial"/>
                <w:sz w:val="18"/>
                <w:szCs w:val="18"/>
                <w:color w:val="auto"/>
              </w:rPr>
              <w:t>SECTION 5.07   Books and Records; Inspection and Audit Rights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30"/>
        </w:trPr>
        <w:tc>
          <w:tcPr>
            <w:tcW w:w="10660" w:type="dxa"/>
            <w:vAlign w:val="bottom"/>
            <w:gridSpan w:val="2"/>
          </w:tcPr>
          <w:p>
            <w:pPr>
              <w:spacing w:after="0"/>
              <w:rPr>
                <w:sz w:val="20"/>
                <w:szCs w:val="20"/>
                <w:color w:val="auto"/>
              </w:rPr>
            </w:pPr>
            <w:r>
              <w:rPr>
                <w:rFonts w:ascii="Arial" w:cs="Arial" w:eastAsia="Arial" w:hAnsi="Arial"/>
                <w:sz w:val="18"/>
                <w:szCs w:val="18"/>
                <w:color w:val="auto"/>
              </w:rPr>
              <w:t>SECTION 5.08   Compliance with Laws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324"/>
        </w:trPr>
        <w:tc>
          <w:tcPr>
            <w:tcW w:w="1260" w:type="dxa"/>
            <w:vAlign w:val="bottom"/>
          </w:tcPr>
          <w:p>
            <w:pPr>
              <w:spacing w:after="0"/>
              <w:rPr>
                <w:sz w:val="24"/>
                <w:szCs w:val="24"/>
                <w:color w:val="auto"/>
              </w:rPr>
            </w:pPr>
          </w:p>
        </w:tc>
        <w:tc>
          <w:tcPr>
            <w:tcW w:w="9400" w:type="dxa"/>
            <w:vAlign w:val="bottom"/>
          </w:tcPr>
          <w:p>
            <w:pPr>
              <w:jc w:val="center"/>
              <w:ind w:right="890"/>
              <w:spacing w:after="0"/>
              <w:rPr>
                <w:sz w:val="20"/>
                <w:szCs w:val="20"/>
                <w:color w:val="auto"/>
              </w:rPr>
            </w:pPr>
            <w:r>
              <w:rPr>
                <w:rFonts w:ascii="Arial" w:cs="Arial" w:eastAsia="Arial" w:hAnsi="Arial"/>
                <w:sz w:val="18"/>
                <w:szCs w:val="18"/>
                <w:color w:val="auto"/>
                <w:w w:val="99"/>
              </w:rPr>
              <w:t>ARTICLE VI</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60" w:type="dxa"/>
            <w:vAlign w:val="bottom"/>
          </w:tcPr>
          <w:p>
            <w:pPr>
              <w:spacing w:after="0"/>
              <w:rPr>
                <w:sz w:val="24"/>
                <w:szCs w:val="24"/>
                <w:color w:val="auto"/>
              </w:rPr>
            </w:pPr>
          </w:p>
        </w:tc>
        <w:tc>
          <w:tcPr>
            <w:tcW w:w="9400" w:type="dxa"/>
            <w:vAlign w:val="bottom"/>
          </w:tcPr>
          <w:p>
            <w:pPr>
              <w:jc w:val="center"/>
              <w:ind w:right="890"/>
              <w:spacing w:after="0"/>
              <w:rPr>
                <w:sz w:val="20"/>
                <w:szCs w:val="20"/>
                <w:color w:val="auto"/>
              </w:rPr>
            </w:pPr>
            <w:r>
              <w:rPr>
                <w:rFonts w:ascii="Arial" w:cs="Arial" w:eastAsia="Arial" w:hAnsi="Arial"/>
                <w:sz w:val="18"/>
                <w:szCs w:val="18"/>
                <w:color w:val="auto"/>
                <w:w w:val="97"/>
              </w:rPr>
              <w:t>NEGATIVE COVENANTS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660" w:type="dxa"/>
            <w:vAlign w:val="bottom"/>
            <w:gridSpan w:val="2"/>
          </w:tcPr>
          <w:p>
            <w:pPr>
              <w:spacing w:after="0"/>
              <w:rPr>
                <w:sz w:val="20"/>
                <w:szCs w:val="20"/>
                <w:color w:val="auto"/>
              </w:rPr>
            </w:pPr>
            <w:r>
              <w:rPr>
                <w:rFonts w:ascii="Arial" w:cs="Arial" w:eastAsia="Arial" w:hAnsi="Arial"/>
                <w:sz w:val="18"/>
                <w:szCs w:val="18"/>
                <w:color w:val="auto"/>
              </w:rPr>
              <w:t>SECTION 6.01   Indebtedness of Subsidiaries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6.02</w:t>
            </w:r>
          </w:p>
        </w:tc>
        <w:tc>
          <w:tcPr>
            <w:tcW w:w="9400" w:type="dxa"/>
            <w:vAlign w:val="bottom"/>
          </w:tcPr>
          <w:p>
            <w:pPr>
              <w:ind w:left="140"/>
              <w:spacing w:after="0"/>
              <w:rPr>
                <w:sz w:val="20"/>
                <w:szCs w:val="20"/>
                <w:color w:val="auto"/>
              </w:rPr>
            </w:pPr>
            <w:r>
              <w:rPr>
                <w:rFonts w:ascii="Arial" w:cs="Arial" w:eastAsia="Arial" w:hAnsi="Arial"/>
                <w:sz w:val="18"/>
                <w:szCs w:val="18"/>
                <w:color w:val="auto"/>
              </w:rPr>
              <w:t>Liens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Arial" w:cs="Arial" w:eastAsia="Arial" w:hAnsi="Arial"/>
                <w:sz w:val="18"/>
                <w:szCs w:val="18"/>
                <w:color w:val="auto"/>
              </w:rPr>
              <w:t>SECTION 6.03   Fundamental Changes and Lines of Business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Arial" w:cs="Arial" w:eastAsia="Arial" w:hAnsi="Arial"/>
                <w:sz w:val="18"/>
                <w:szCs w:val="18"/>
                <w:color w:val="auto"/>
              </w:rPr>
              <w:t>SECTION 6.04   Use of Proceeds and Letters of Credit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6.05</w:t>
            </w:r>
          </w:p>
        </w:tc>
        <w:tc>
          <w:tcPr>
            <w:tcW w:w="9400" w:type="dxa"/>
            <w:vAlign w:val="bottom"/>
          </w:tcPr>
          <w:p>
            <w:pPr>
              <w:ind w:left="140"/>
              <w:spacing w:after="0"/>
              <w:rPr>
                <w:sz w:val="20"/>
                <w:szCs w:val="20"/>
                <w:color w:val="auto"/>
              </w:rPr>
            </w:pPr>
            <w:r>
              <w:rPr>
                <w:rFonts w:ascii="Arial" w:cs="Arial" w:eastAsia="Arial" w:hAnsi="Arial"/>
                <w:sz w:val="18"/>
                <w:szCs w:val="18"/>
                <w:color w:val="auto"/>
              </w:rPr>
              <w:t>Asset Sales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6.06</w:t>
            </w:r>
          </w:p>
        </w:tc>
        <w:tc>
          <w:tcPr>
            <w:tcW w:w="9400" w:type="dxa"/>
            <w:vAlign w:val="bottom"/>
          </w:tcPr>
          <w:p>
            <w:pPr>
              <w:ind w:left="140"/>
              <w:spacing w:after="0"/>
              <w:rPr>
                <w:sz w:val="20"/>
                <w:szCs w:val="20"/>
                <w:color w:val="auto"/>
              </w:rPr>
            </w:pPr>
            <w:r>
              <w:rPr>
                <w:rFonts w:ascii="Arial" w:cs="Arial" w:eastAsia="Arial" w:hAnsi="Arial"/>
                <w:sz w:val="18"/>
                <w:szCs w:val="18"/>
                <w:color w:val="auto"/>
              </w:rPr>
              <w:t>Restricted Payments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Arial" w:cs="Arial" w:eastAsia="Arial" w:hAnsi="Arial"/>
                <w:sz w:val="18"/>
                <w:szCs w:val="18"/>
                <w:color w:val="auto"/>
              </w:rPr>
              <w:t>SECTION 6.07   Interest Expense Coverage Ratio</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6.08</w:t>
            </w:r>
          </w:p>
        </w:tc>
        <w:tc>
          <w:tcPr>
            <w:tcW w:w="9400" w:type="dxa"/>
            <w:vAlign w:val="bottom"/>
          </w:tcPr>
          <w:p>
            <w:pPr>
              <w:ind w:left="140"/>
              <w:spacing w:after="0"/>
              <w:rPr>
                <w:sz w:val="20"/>
                <w:szCs w:val="20"/>
                <w:color w:val="auto"/>
              </w:rPr>
            </w:pPr>
            <w:r>
              <w:rPr>
                <w:rFonts w:ascii="Arial" w:cs="Arial" w:eastAsia="Arial" w:hAnsi="Arial"/>
                <w:sz w:val="18"/>
                <w:szCs w:val="18"/>
                <w:color w:val="auto"/>
              </w:rPr>
              <w:t>Leverage Ratio</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ARTICLE VII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EVENTS OF DEFAULT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65" w:right="49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71"/>
        </w:trPr>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304"/>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000" w:type="dxa"/>
            <w:vAlign w:val="bottom"/>
          </w:tcPr>
          <w:p>
            <w:pPr>
              <w:jc w:val="center"/>
              <w:ind w:right="3290"/>
              <w:spacing w:after="0"/>
              <w:rPr>
                <w:sz w:val="20"/>
                <w:szCs w:val="20"/>
                <w:color w:val="auto"/>
              </w:rPr>
            </w:pPr>
            <w:r>
              <w:rPr>
                <w:rFonts w:ascii="Arial" w:cs="Arial" w:eastAsia="Arial" w:hAnsi="Arial"/>
                <w:sz w:val="18"/>
                <w:szCs w:val="18"/>
                <w:color w:val="auto"/>
              </w:rPr>
              <w:t>ARTICLE VIII</w:t>
            </w:r>
          </w:p>
        </w:tc>
        <w:tc>
          <w:tcPr>
            <w:tcW w:w="300" w:type="dxa"/>
            <w:vAlign w:val="bottom"/>
          </w:tcPr>
          <w:p>
            <w:pPr>
              <w:spacing w:after="0"/>
              <w:rPr>
                <w:sz w:val="24"/>
                <w:szCs w:val="24"/>
                <w:color w:val="auto"/>
              </w:rPr>
            </w:pPr>
          </w:p>
        </w:tc>
      </w:tr>
      <w:tr>
        <w:trPr>
          <w:trHeight w:val="324"/>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120" w:type="dxa"/>
            <w:vAlign w:val="bottom"/>
            <w:gridSpan w:val="2"/>
          </w:tcPr>
          <w:p>
            <w:pPr>
              <w:jc w:val="center"/>
              <w:ind w:right="1150"/>
              <w:spacing w:after="0"/>
              <w:rPr>
                <w:sz w:val="20"/>
                <w:szCs w:val="20"/>
                <w:color w:val="auto"/>
              </w:rPr>
            </w:pPr>
            <w:r>
              <w:rPr>
                <w:rFonts w:ascii="Arial" w:cs="Arial" w:eastAsia="Arial" w:hAnsi="Arial"/>
                <w:sz w:val="18"/>
                <w:szCs w:val="18"/>
                <w:color w:val="auto"/>
                <w:w w:val="98"/>
              </w:rPr>
              <w:t>REGARDING THE ADMINISTRATIVE AGENT</w:t>
            </w:r>
          </w:p>
        </w:tc>
        <w:tc>
          <w:tcPr>
            <w:tcW w:w="300" w:type="dxa"/>
            <w:vAlign w:val="bottom"/>
          </w:tcPr>
          <w:p>
            <w:pPr>
              <w:spacing w:after="0"/>
              <w:rPr>
                <w:sz w:val="24"/>
                <w:szCs w:val="24"/>
                <w:color w:val="auto"/>
              </w:rPr>
            </w:pPr>
          </w:p>
        </w:tc>
      </w:tr>
      <w:tr>
        <w:trPr>
          <w:trHeight w:val="324"/>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000" w:type="dxa"/>
            <w:vAlign w:val="bottom"/>
          </w:tcPr>
          <w:p>
            <w:pPr>
              <w:jc w:val="center"/>
              <w:ind w:right="3290"/>
              <w:spacing w:after="0"/>
              <w:rPr>
                <w:sz w:val="20"/>
                <w:szCs w:val="20"/>
                <w:color w:val="auto"/>
              </w:rPr>
            </w:pPr>
            <w:r>
              <w:rPr>
                <w:rFonts w:ascii="Arial" w:cs="Arial" w:eastAsia="Arial" w:hAnsi="Arial"/>
                <w:sz w:val="18"/>
                <w:szCs w:val="18"/>
                <w:color w:val="auto"/>
                <w:w w:val="99"/>
              </w:rPr>
              <w:t>ARTICLE IX</w:t>
            </w:r>
          </w:p>
        </w:tc>
        <w:tc>
          <w:tcPr>
            <w:tcW w:w="300" w:type="dxa"/>
            <w:vAlign w:val="bottom"/>
          </w:tcPr>
          <w:p>
            <w:pPr>
              <w:spacing w:after="0"/>
              <w:rPr>
                <w:sz w:val="24"/>
                <w:szCs w:val="24"/>
                <w:color w:val="auto"/>
              </w:rPr>
            </w:pPr>
          </w:p>
        </w:tc>
      </w:tr>
      <w:tr>
        <w:trPr>
          <w:trHeight w:val="324"/>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000" w:type="dxa"/>
            <w:vAlign w:val="bottom"/>
          </w:tcPr>
          <w:p>
            <w:pPr>
              <w:jc w:val="center"/>
              <w:ind w:right="3290"/>
              <w:spacing w:after="0"/>
              <w:rPr>
                <w:sz w:val="20"/>
                <w:szCs w:val="20"/>
                <w:color w:val="auto"/>
              </w:rPr>
            </w:pPr>
            <w:r>
              <w:rPr>
                <w:rFonts w:ascii="Arial" w:cs="Arial" w:eastAsia="Arial" w:hAnsi="Arial"/>
                <w:sz w:val="18"/>
                <w:szCs w:val="18"/>
                <w:color w:val="auto"/>
                <w:w w:val="97"/>
              </w:rPr>
              <w:t>MISCELLANEOUS</w:t>
            </w:r>
          </w:p>
        </w:tc>
        <w:tc>
          <w:tcPr>
            <w:tcW w:w="300" w:type="dxa"/>
            <w:vAlign w:val="bottom"/>
          </w:tcPr>
          <w:p>
            <w:pPr>
              <w:spacing w:after="0"/>
              <w:rPr>
                <w:sz w:val="24"/>
                <w:szCs w:val="24"/>
                <w:color w:val="auto"/>
              </w:rPr>
            </w:pPr>
          </w:p>
        </w:tc>
      </w:tr>
      <w:tr>
        <w:trPr>
          <w:trHeight w:val="310"/>
        </w:trPr>
        <w:tc>
          <w:tcPr>
            <w:tcW w:w="1220" w:type="dxa"/>
            <w:vAlign w:val="bottom"/>
            <w:gridSpan w:val="4"/>
          </w:tcPr>
          <w:p>
            <w:pPr>
              <w:spacing w:after="0"/>
              <w:rPr>
                <w:sz w:val="20"/>
                <w:szCs w:val="20"/>
                <w:color w:val="auto"/>
              </w:rPr>
            </w:pPr>
            <w:r>
              <w:rPr>
                <w:rFonts w:ascii="Arial" w:cs="Arial" w:eastAsia="Arial" w:hAnsi="Arial"/>
                <w:sz w:val="18"/>
                <w:szCs w:val="18"/>
                <w:color w:val="auto"/>
                <w:w w:val="99"/>
              </w:rPr>
              <w:t>SECTION 9.01</w:t>
            </w:r>
          </w:p>
        </w:tc>
        <w:tc>
          <w:tcPr>
            <w:tcW w:w="120" w:type="dxa"/>
            <w:vAlign w:val="bottom"/>
          </w:tcPr>
          <w:p>
            <w:pPr>
              <w:spacing w:after="0"/>
              <w:rPr>
                <w:sz w:val="24"/>
                <w:szCs w:val="24"/>
                <w:color w:val="auto"/>
              </w:rPr>
            </w:pPr>
          </w:p>
        </w:tc>
        <w:tc>
          <w:tcPr>
            <w:tcW w:w="9320" w:type="dxa"/>
            <w:vAlign w:val="bottom"/>
            <w:gridSpan w:val="4"/>
          </w:tcPr>
          <w:p>
            <w:pPr>
              <w:ind w:left="60"/>
              <w:spacing w:after="0"/>
              <w:rPr>
                <w:sz w:val="20"/>
                <w:szCs w:val="20"/>
                <w:color w:val="auto"/>
              </w:rPr>
            </w:pPr>
            <w:r>
              <w:rPr>
                <w:rFonts w:ascii="Arial" w:cs="Arial" w:eastAsia="Arial" w:hAnsi="Arial"/>
                <w:sz w:val="18"/>
                <w:szCs w:val="18"/>
                <w:color w:val="auto"/>
              </w:rPr>
              <w:t>Notices</w:t>
            </w:r>
          </w:p>
        </w:tc>
        <w:tc>
          <w:tcPr>
            <w:tcW w:w="3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220" w:type="dxa"/>
            <w:vAlign w:val="bottom"/>
            <w:gridSpan w:val="4"/>
          </w:tcPr>
          <w:p>
            <w:pPr>
              <w:spacing w:after="0"/>
              <w:rPr>
                <w:sz w:val="20"/>
                <w:szCs w:val="20"/>
                <w:color w:val="auto"/>
              </w:rPr>
            </w:pPr>
            <w:r>
              <w:rPr>
                <w:rFonts w:ascii="Arial" w:cs="Arial" w:eastAsia="Arial" w:hAnsi="Arial"/>
                <w:sz w:val="18"/>
                <w:szCs w:val="18"/>
                <w:color w:val="auto"/>
                <w:w w:val="99"/>
              </w:rPr>
              <w:t>SECTION 9.02</w:t>
            </w:r>
          </w:p>
        </w:tc>
        <w:tc>
          <w:tcPr>
            <w:tcW w:w="120" w:type="dxa"/>
            <w:vAlign w:val="bottom"/>
          </w:tcPr>
          <w:p>
            <w:pPr>
              <w:spacing w:after="0"/>
              <w:rPr>
                <w:sz w:val="18"/>
                <w:szCs w:val="18"/>
                <w:color w:val="auto"/>
              </w:rPr>
            </w:pPr>
          </w:p>
        </w:tc>
        <w:tc>
          <w:tcPr>
            <w:tcW w:w="9320" w:type="dxa"/>
            <w:vAlign w:val="bottom"/>
            <w:gridSpan w:val="4"/>
          </w:tcPr>
          <w:p>
            <w:pPr>
              <w:ind w:left="60"/>
              <w:spacing w:after="0"/>
              <w:rPr>
                <w:sz w:val="20"/>
                <w:szCs w:val="20"/>
                <w:color w:val="auto"/>
              </w:rPr>
            </w:pPr>
            <w:r>
              <w:rPr>
                <w:rFonts w:ascii="Arial" w:cs="Arial" w:eastAsia="Arial" w:hAnsi="Arial"/>
                <w:sz w:val="18"/>
                <w:szCs w:val="18"/>
                <w:color w:val="auto"/>
              </w:rPr>
              <w:t>Waivers; Amendments</w:t>
            </w:r>
          </w:p>
        </w:tc>
        <w:tc>
          <w:tcPr>
            <w:tcW w:w="3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220" w:type="dxa"/>
            <w:vAlign w:val="bottom"/>
            <w:gridSpan w:val="4"/>
          </w:tcPr>
          <w:p>
            <w:pPr>
              <w:spacing w:after="0"/>
              <w:rPr>
                <w:sz w:val="20"/>
                <w:szCs w:val="20"/>
                <w:color w:val="auto"/>
              </w:rPr>
            </w:pPr>
            <w:r>
              <w:rPr>
                <w:rFonts w:ascii="Arial" w:cs="Arial" w:eastAsia="Arial" w:hAnsi="Arial"/>
                <w:sz w:val="18"/>
                <w:szCs w:val="18"/>
                <w:color w:val="auto"/>
                <w:w w:val="99"/>
              </w:rPr>
              <w:t>SECTION 9.03</w:t>
            </w:r>
          </w:p>
        </w:tc>
        <w:tc>
          <w:tcPr>
            <w:tcW w:w="120" w:type="dxa"/>
            <w:vAlign w:val="bottom"/>
          </w:tcPr>
          <w:p>
            <w:pPr>
              <w:spacing w:after="0"/>
              <w:rPr>
                <w:sz w:val="18"/>
                <w:szCs w:val="18"/>
                <w:color w:val="auto"/>
              </w:rPr>
            </w:pPr>
          </w:p>
        </w:tc>
        <w:tc>
          <w:tcPr>
            <w:tcW w:w="9320" w:type="dxa"/>
            <w:vAlign w:val="bottom"/>
            <w:gridSpan w:val="4"/>
          </w:tcPr>
          <w:p>
            <w:pPr>
              <w:ind w:left="60"/>
              <w:spacing w:after="0"/>
              <w:rPr>
                <w:sz w:val="20"/>
                <w:szCs w:val="20"/>
                <w:color w:val="auto"/>
              </w:rPr>
            </w:pPr>
            <w:r>
              <w:rPr>
                <w:rFonts w:ascii="Arial" w:cs="Arial" w:eastAsia="Arial" w:hAnsi="Arial"/>
                <w:sz w:val="18"/>
                <w:szCs w:val="18"/>
                <w:color w:val="auto"/>
              </w:rPr>
              <w:t>Expenses; Indemnity; Damage Waiver</w:t>
            </w:r>
          </w:p>
        </w:tc>
        <w:tc>
          <w:tcPr>
            <w:tcW w:w="3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220" w:type="dxa"/>
            <w:vAlign w:val="bottom"/>
            <w:gridSpan w:val="4"/>
          </w:tcPr>
          <w:p>
            <w:pPr>
              <w:spacing w:after="0"/>
              <w:rPr>
                <w:sz w:val="20"/>
                <w:szCs w:val="20"/>
                <w:color w:val="auto"/>
              </w:rPr>
            </w:pPr>
            <w:r>
              <w:rPr>
                <w:rFonts w:ascii="Arial" w:cs="Arial" w:eastAsia="Arial" w:hAnsi="Arial"/>
                <w:sz w:val="18"/>
                <w:szCs w:val="18"/>
                <w:color w:val="auto"/>
                <w:w w:val="99"/>
              </w:rPr>
              <w:t>SECTION 9.04</w:t>
            </w:r>
          </w:p>
        </w:tc>
        <w:tc>
          <w:tcPr>
            <w:tcW w:w="120" w:type="dxa"/>
            <w:vAlign w:val="bottom"/>
          </w:tcPr>
          <w:p>
            <w:pPr>
              <w:spacing w:after="0"/>
              <w:rPr>
                <w:sz w:val="18"/>
                <w:szCs w:val="18"/>
                <w:color w:val="auto"/>
              </w:rPr>
            </w:pPr>
          </w:p>
        </w:tc>
        <w:tc>
          <w:tcPr>
            <w:tcW w:w="9320" w:type="dxa"/>
            <w:vAlign w:val="bottom"/>
            <w:gridSpan w:val="4"/>
          </w:tcPr>
          <w:p>
            <w:pPr>
              <w:ind w:left="60"/>
              <w:spacing w:after="0"/>
              <w:rPr>
                <w:sz w:val="20"/>
                <w:szCs w:val="20"/>
                <w:color w:val="auto"/>
              </w:rPr>
            </w:pPr>
            <w:r>
              <w:rPr>
                <w:rFonts w:ascii="Arial" w:cs="Arial" w:eastAsia="Arial" w:hAnsi="Arial"/>
                <w:sz w:val="18"/>
                <w:szCs w:val="18"/>
                <w:color w:val="auto"/>
              </w:rPr>
              <w:t>Successors and Assigns</w:t>
            </w:r>
          </w:p>
        </w:tc>
        <w:tc>
          <w:tcPr>
            <w:tcW w:w="3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220" w:type="dxa"/>
            <w:vAlign w:val="bottom"/>
            <w:gridSpan w:val="4"/>
          </w:tcPr>
          <w:p>
            <w:pPr>
              <w:spacing w:after="0"/>
              <w:rPr>
                <w:sz w:val="20"/>
                <w:szCs w:val="20"/>
                <w:color w:val="auto"/>
              </w:rPr>
            </w:pPr>
            <w:r>
              <w:rPr>
                <w:rFonts w:ascii="Arial" w:cs="Arial" w:eastAsia="Arial" w:hAnsi="Arial"/>
                <w:sz w:val="18"/>
                <w:szCs w:val="18"/>
                <w:color w:val="auto"/>
                <w:w w:val="99"/>
              </w:rPr>
              <w:t>SECTION 9.05</w:t>
            </w:r>
          </w:p>
        </w:tc>
        <w:tc>
          <w:tcPr>
            <w:tcW w:w="120" w:type="dxa"/>
            <w:vAlign w:val="bottom"/>
          </w:tcPr>
          <w:p>
            <w:pPr>
              <w:spacing w:after="0"/>
              <w:rPr>
                <w:sz w:val="18"/>
                <w:szCs w:val="18"/>
                <w:color w:val="auto"/>
              </w:rPr>
            </w:pPr>
          </w:p>
        </w:tc>
        <w:tc>
          <w:tcPr>
            <w:tcW w:w="9320" w:type="dxa"/>
            <w:vAlign w:val="bottom"/>
            <w:gridSpan w:val="4"/>
          </w:tcPr>
          <w:p>
            <w:pPr>
              <w:ind w:left="60"/>
              <w:spacing w:after="0"/>
              <w:rPr>
                <w:sz w:val="20"/>
                <w:szCs w:val="20"/>
                <w:color w:val="auto"/>
              </w:rPr>
            </w:pPr>
            <w:r>
              <w:rPr>
                <w:rFonts w:ascii="Arial" w:cs="Arial" w:eastAsia="Arial" w:hAnsi="Arial"/>
                <w:sz w:val="18"/>
                <w:szCs w:val="18"/>
                <w:color w:val="auto"/>
              </w:rPr>
              <w:t>Survival</w:t>
            </w:r>
          </w:p>
        </w:tc>
        <w:tc>
          <w:tcPr>
            <w:tcW w:w="3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220" w:type="dxa"/>
            <w:vAlign w:val="bottom"/>
            <w:gridSpan w:val="4"/>
          </w:tcPr>
          <w:p>
            <w:pPr>
              <w:spacing w:after="0"/>
              <w:rPr>
                <w:sz w:val="20"/>
                <w:szCs w:val="20"/>
                <w:color w:val="auto"/>
              </w:rPr>
            </w:pPr>
            <w:r>
              <w:rPr>
                <w:rFonts w:ascii="Arial" w:cs="Arial" w:eastAsia="Arial" w:hAnsi="Arial"/>
                <w:sz w:val="18"/>
                <w:szCs w:val="18"/>
                <w:color w:val="auto"/>
                <w:w w:val="99"/>
              </w:rPr>
              <w:t>SECTION 9.06</w:t>
            </w:r>
          </w:p>
        </w:tc>
        <w:tc>
          <w:tcPr>
            <w:tcW w:w="120" w:type="dxa"/>
            <w:vAlign w:val="bottom"/>
          </w:tcPr>
          <w:p>
            <w:pPr>
              <w:spacing w:after="0"/>
              <w:rPr>
                <w:sz w:val="18"/>
                <w:szCs w:val="18"/>
                <w:color w:val="auto"/>
              </w:rPr>
            </w:pPr>
          </w:p>
        </w:tc>
        <w:tc>
          <w:tcPr>
            <w:tcW w:w="9320" w:type="dxa"/>
            <w:vAlign w:val="bottom"/>
            <w:gridSpan w:val="4"/>
          </w:tcPr>
          <w:p>
            <w:pPr>
              <w:ind w:left="60"/>
              <w:spacing w:after="0"/>
              <w:rPr>
                <w:sz w:val="20"/>
                <w:szCs w:val="20"/>
                <w:color w:val="auto"/>
              </w:rPr>
            </w:pPr>
            <w:r>
              <w:rPr>
                <w:rFonts w:ascii="Arial" w:cs="Arial" w:eastAsia="Arial" w:hAnsi="Arial"/>
                <w:sz w:val="18"/>
                <w:szCs w:val="18"/>
                <w:color w:val="auto"/>
              </w:rPr>
              <w:t>Counterparts; Integration; Effectiveness</w:t>
            </w:r>
          </w:p>
        </w:tc>
        <w:tc>
          <w:tcPr>
            <w:tcW w:w="3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220" w:type="dxa"/>
            <w:vAlign w:val="bottom"/>
            <w:gridSpan w:val="4"/>
          </w:tcPr>
          <w:p>
            <w:pPr>
              <w:spacing w:after="0"/>
              <w:rPr>
                <w:sz w:val="20"/>
                <w:szCs w:val="20"/>
                <w:color w:val="auto"/>
              </w:rPr>
            </w:pPr>
            <w:r>
              <w:rPr>
                <w:rFonts w:ascii="Arial" w:cs="Arial" w:eastAsia="Arial" w:hAnsi="Arial"/>
                <w:sz w:val="18"/>
                <w:szCs w:val="18"/>
                <w:color w:val="auto"/>
                <w:w w:val="99"/>
              </w:rPr>
              <w:t>SECTION 9.07</w:t>
            </w:r>
          </w:p>
        </w:tc>
        <w:tc>
          <w:tcPr>
            <w:tcW w:w="120" w:type="dxa"/>
            <w:vAlign w:val="bottom"/>
          </w:tcPr>
          <w:p>
            <w:pPr>
              <w:spacing w:after="0"/>
              <w:rPr>
                <w:sz w:val="18"/>
                <w:szCs w:val="18"/>
                <w:color w:val="auto"/>
              </w:rPr>
            </w:pPr>
          </w:p>
        </w:tc>
        <w:tc>
          <w:tcPr>
            <w:tcW w:w="9320" w:type="dxa"/>
            <w:vAlign w:val="bottom"/>
            <w:gridSpan w:val="4"/>
          </w:tcPr>
          <w:p>
            <w:pPr>
              <w:ind w:left="60"/>
              <w:spacing w:after="0"/>
              <w:rPr>
                <w:sz w:val="20"/>
                <w:szCs w:val="20"/>
                <w:color w:val="auto"/>
              </w:rPr>
            </w:pPr>
            <w:r>
              <w:rPr>
                <w:rFonts w:ascii="Arial" w:cs="Arial" w:eastAsia="Arial" w:hAnsi="Arial"/>
                <w:sz w:val="18"/>
                <w:szCs w:val="18"/>
                <w:color w:val="auto"/>
              </w:rPr>
              <w:t>Severability</w:t>
            </w:r>
          </w:p>
        </w:tc>
        <w:tc>
          <w:tcPr>
            <w:tcW w:w="3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220" w:type="dxa"/>
            <w:vAlign w:val="bottom"/>
            <w:gridSpan w:val="4"/>
          </w:tcPr>
          <w:p>
            <w:pPr>
              <w:spacing w:after="0"/>
              <w:rPr>
                <w:sz w:val="20"/>
                <w:szCs w:val="20"/>
                <w:color w:val="auto"/>
              </w:rPr>
            </w:pPr>
            <w:r>
              <w:rPr>
                <w:rFonts w:ascii="Arial" w:cs="Arial" w:eastAsia="Arial" w:hAnsi="Arial"/>
                <w:sz w:val="18"/>
                <w:szCs w:val="18"/>
                <w:color w:val="auto"/>
                <w:w w:val="99"/>
              </w:rPr>
              <w:t>SECTION 9.08</w:t>
            </w:r>
          </w:p>
        </w:tc>
        <w:tc>
          <w:tcPr>
            <w:tcW w:w="120" w:type="dxa"/>
            <w:vAlign w:val="bottom"/>
          </w:tcPr>
          <w:p>
            <w:pPr>
              <w:spacing w:after="0"/>
              <w:rPr>
                <w:sz w:val="18"/>
                <w:szCs w:val="18"/>
                <w:color w:val="auto"/>
              </w:rPr>
            </w:pPr>
          </w:p>
        </w:tc>
        <w:tc>
          <w:tcPr>
            <w:tcW w:w="9320" w:type="dxa"/>
            <w:vAlign w:val="bottom"/>
            <w:gridSpan w:val="4"/>
          </w:tcPr>
          <w:p>
            <w:pPr>
              <w:ind w:left="60"/>
              <w:spacing w:after="0"/>
              <w:rPr>
                <w:sz w:val="20"/>
                <w:szCs w:val="20"/>
                <w:color w:val="auto"/>
              </w:rPr>
            </w:pPr>
            <w:r>
              <w:rPr>
                <w:rFonts w:ascii="Arial" w:cs="Arial" w:eastAsia="Arial" w:hAnsi="Arial"/>
                <w:sz w:val="18"/>
                <w:szCs w:val="18"/>
                <w:color w:val="auto"/>
              </w:rPr>
              <w:t>Right of Setoff</w:t>
            </w:r>
          </w:p>
        </w:tc>
        <w:tc>
          <w:tcPr>
            <w:tcW w:w="3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2"/>
        </w:trPr>
        <w:tc>
          <w:tcPr>
            <w:tcW w:w="1220" w:type="dxa"/>
            <w:vAlign w:val="bottom"/>
            <w:gridSpan w:val="4"/>
          </w:tcPr>
          <w:p>
            <w:pPr>
              <w:spacing w:after="0"/>
              <w:rPr>
                <w:sz w:val="20"/>
                <w:szCs w:val="20"/>
                <w:color w:val="auto"/>
              </w:rPr>
            </w:pPr>
            <w:r>
              <w:rPr>
                <w:rFonts w:ascii="Arial" w:cs="Arial" w:eastAsia="Arial" w:hAnsi="Arial"/>
                <w:sz w:val="18"/>
                <w:szCs w:val="18"/>
                <w:color w:val="auto"/>
                <w:w w:val="99"/>
              </w:rPr>
              <w:t>SECTION 9.09</w:t>
            </w:r>
          </w:p>
        </w:tc>
        <w:tc>
          <w:tcPr>
            <w:tcW w:w="120" w:type="dxa"/>
            <w:vAlign w:val="bottom"/>
          </w:tcPr>
          <w:p>
            <w:pPr>
              <w:spacing w:after="0"/>
              <w:rPr>
                <w:sz w:val="18"/>
                <w:szCs w:val="18"/>
                <w:color w:val="auto"/>
              </w:rPr>
            </w:pPr>
          </w:p>
        </w:tc>
        <w:tc>
          <w:tcPr>
            <w:tcW w:w="9320" w:type="dxa"/>
            <w:vAlign w:val="bottom"/>
            <w:gridSpan w:val="4"/>
          </w:tcPr>
          <w:p>
            <w:pPr>
              <w:ind w:left="60"/>
              <w:spacing w:after="0"/>
              <w:rPr>
                <w:sz w:val="20"/>
                <w:szCs w:val="20"/>
                <w:color w:val="auto"/>
              </w:rPr>
            </w:pPr>
            <w:r>
              <w:rPr>
                <w:rFonts w:ascii="Arial" w:cs="Arial" w:eastAsia="Arial" w:hAnsi="Arial"/>
                <w:sz w:val="18"/>
                <w:szCs w:val="18"/>
                <w:color w:val="auto"/>
              </w:rPr>
              <w:t>Governing Law; Jurisdiction; Consent to Service of Process</w:t>
            </w:r>
          </w:p>
        </w:tc>
        <w:tc>
          <w:tcPr>
            <w:tcW w:w="3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20"/>
        </w:trPr>
        <w:tc>
          <w:tcPr>
            <w:tcW w:w="1220" w:type="dxa"/>
            <w:vAlign w:val="bottom"/>
            <w:gridSpan w:val="4"/>
          </w:tcPr>
          <w:p>
            <w:pPr>
              <w:spacing w:after="0"/>
              <w:rPr>
                <w:sz w:val="20"/>
                <w:szCs w:val="20"/>
                <w:color w:val="auto"/>
              </w:rPr>
            </w:pPr>
            <w:r>
              <w:rPr>
                <w:rFonts w:ascii="Arial" w:cs="Arial" w:eastAsia="Arial" w:hAnsi="Arial"/>
                <w:sz w:val="18"/>
                <w:szCs w:val="18"/>
                <w:color w:val="auto"/>
                <w:w w:val="99"/>
              </w:rPr>
              <w:t>SECTION 9.10</w:t>
            </w:r>
          </w:p>
        </w:tc>
        <w:tc>
          <w:tcPr>
            <w:tcW w:w="120" w:type="dxa"/>
            <w:vAlign w:val="bottom"/>
          </w:tcPr>
          <w:p>
            <w:pPr>
              <w:spacing w:after="0"/>
              <w:rPr>
                <w:sz w:val="19"/>
                <w:szCs w:val="19"/>
                <w:color w:val="auto"/>
              </w:rPr>
            </w:pPr>
          </w:p>
        </w:tc>
        <w:tc>
          <w:tcPr>
            <w:tcW w:w="9320" w:type="dxa"/>
            <w:vAlign w:val="bottom"/>
            <w:gridSpan w:val="4"/>
          </w:tcPr>
          <w:p>
            <w:pPr>
              <w:ind w:left="60"/>
              <w:spacing w:after="0"/>
              <w:rPr>
                <w:sz w:val="20"/>
                <w:szCs w:val="20"/>
                <w:color w:val="auto"/>
              </w:rPr>
            </w:pPr>
            <w:r>
              <w:rPr>
                <w:rFonts w:ascii="Arial" w:cs="Arial" w:eastAsia="Arial" w:hAnsi="Arial"/>
                <w:sz w:val="18"/>
                <w:szCs w:val="18"/>
                <w:b w:val="1"/>
                <w:bCs w:val="1"/>
                <w:color w:val="auto"/>
              </w:rPr>
              <w:t>WAIVER OF JURY TRIAL</w:t>
            </w:r>
          </w:p>
        </w:tc>
        <w:tc>
          <w:tcPr>
            <w:tcW w:w="3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220" w:type="dxa"/>
            <w:vAlign w:val="bottom"/>
            <w:gridSpan w:val="4"/>
          </w:tcPr>
          <w:p>
            <w:pPr>
              <w:spacing w:after="0"/>
              <w:rPr>
                <w:sz w:val="20"/>
                <w:szCs w:val="20"/>
                <w:color w:val="auto"/>
              </w:rPr>
            </w:pPr>
            <w:r>
              <w:rPr>
                <w:rFonts w:ascii="Arial" w:cs="Arial" w:eastAsia="Arial" w:hAnsi="Arial"/>
                <w:sz w:val="18"/>
                <w:szCs w:val="18"/>
                <w:color w:val="auto"/>
                <w:w w:val="99"/>
              </w:rPr>
              <w:t>SECTION 9.11</w:t>
            </w:r>
          </w:p>
        </w:tc>
        <w:tc>
          <w:tcPr>
            <w:tcW w:w="120" w:type="dxa"/>
            <w:vAlign w:val="bottom"/>
          </w:tcPr>
          <w:p>
            <w:pPr>
              <w:spacing w:after="0"/>
              <w:rPr>
                <w:sz w:val="18"/>
                <w:szCs w:val="18"/>
                <w:color w:val="auto"/>
              </w:rPr>
            </w:pPr>
          </w:p>
        </w:tc>
        <w:tc>
          <w:tcPr>
            <w:tcW w:w="9320" w:type="dxa"/>
            <w:vAlign w:val="bottom"/>
            <w:gridSpan w:val="4"/>
          </w:tcPr>
          <w:p>
            <w:pPr>
              <w:ind w:left="60"/>
              <w:spacing w:after="0"/>
              <w:rPr>
                <w:sz w:val="20"/>
                <w:szCs w:val="20"/>
                <w:color w:val="auto"/>
              </w:rPr>
            </w:pPr>
            <w:r>
              <w:rPr>
                <w:rFonts w:ascii="Arial" w:cs="Arial" w:eastAsia="Arial" w:hAnsi="Arial"/>
                <w:sz w:val="18"/>
                <w:szCs w:val="18"/>
                <w:color w:val="auto"/>
              </w:rPr>
              <w:t>Headings</w:t>
            </w:r>
          </w:p>
        </w:tc>
        <w:tc>
          <w:tcPr>
            <w:tcW w:w="3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220" w:type="dxa"/>
            <w:vAlign w:val="bottom"/>
            <w:gridSpan w:val="4"/>
          </w:tcPr>
          <w:p>
            <w:pPr>
              <w:spacing w:after="0"/>
              <w:rPr>
                <w:sz w:val="20"/>
                <w:szCs w:val="20"/>
                <w:color w:val="auto"/>
              </w:rPr>
            </w:pPr>
            <w:r>
              <w:rPr>
                <w:rFonts w:ascii="Arial" w:cs="Arial" w:eastAsia="Arial" w:hAnsi="Arial"/>
                <w:sz w:val="18"/>
                <w:szCs w:val="18"/>
                <w:color w:val="auto"/>
                <w:w w:val="99"/>
              </w:rPr>
              <w:t>SECTION 9.12</w:t>
            </w:r>
          </w:p>
        </w:tc>
        <w:tc>
          <w:tcPr>
            <w:tcW w:w="120" w:type="dxa"/>
            <w:vAlign w:val="bottom"/>
          </w:tcPr>
          <w:p>
            <w:pPr>
              <w:spacing w:after="0"/>
              <w:rPr>
                <w:sz w:val="18"/>
                <w:szCs w:val="18"/>
                <w:color w:val="auto"/>
              </w:rPr>
            </w:pPr>
          </w:p>
        </w:tc>
        <w:tc>
          <w:tcPr>
            <w:tcW w:w="9320" w:type="dxa"/>
            <w:vAlign w:val="bottom"/>
            <w:gridSpan w:val="4"/>
          </w:tcPr>
          <w:p>
            <w:pPr>
              <w:ind w:left="60"/>
              <w:spacing w:after="0"/>
              <w:rPr>
                <w:sz w:val="20"/>
                <w:szCs w:val="20"/>
                <w:color w:val="auto"/>
              </w:rPr>
            </w:pPr>
            <w:r>
              <w:rPr>
                <w:rFonts w:ascii="Arial" w:cs="Arial" w:eastAsia="Arial" w:hAnsi="Arial"/>
                <w:sz w:val="18"/>
                <w:szCs w:val="18"/>
                <w:color w:val="auto"/>
              </w:rPr>
              <w:t>Confidentiality</w:t>
            </w:r>
          </w:p>
        </w:tc>
        <w:tc>
          <w:tcPr>
            <w:tcW w:w="3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220" w:type="dxa"/>
            <w:vAlign w:val="bottom"/>
            <w:gridSpan w:val="4"/>
          </w:tcPr>
          <w:p>
            <w:pPr>
              <w:spacing w:after="0"/>
              <w:rPr>
                <w:sz w:val="20"/>
                <w:szCs w:val="20"/>
                <w:color w:val="auto"/>
              </w:rPr>
            </w:pPr>
            <w:r>
              <w:rPr>
                <w:rFonts w:ascii="Arial" w:cs="Arial" w:eastAsia="Arial" w:hAnsi="Arial"/>
                <w:sz w:val="18"/>
                <w:szCs w:val="18"/>
                <w:color w:val="auto"/>
                <w:w w:val="99"/>
              </w:rPr>
              <w:t>SECTION 9.13</w:t>
            </w:r>
          </w:p>
        </w:tc>
        <w:tc>
          <w:tcPr>
            <w:tcW w:w="120" w:type="dxa"/>
            <w:vAlign w:val="bottom"/>
          </w:tcPr>
          <w:p>
            <w:pPr>
              <w:spacing w:after="0"/>
              <w:rPr>
                <w:sz w:val="18"/>
                <w:szCs w:val="18"/>
                <w:color w:val="auto"/>
              </w:rPr>
            </w:pPr>
          </w:p>
        </w:tc>
        <w:tc>
          <w:tcPr>
            <w:tcW w:w="9320" w:type="dxa"/>
            <w:vAlign w:val="bottom"/>
            <w:gridSpan w:val="4"/>
          </w:tcPr>
          <w:p>
            <w:pPr>
              <w:ind w:left="60"/>
              <w:spacing w:after="0"/>
              <w:rPr>
                <w:sz w:val="20"/>
                <w:szCs w:val="20"/>
                <w:color w:val="auto"/>
              </w:rPr>
            </w:pPr>
            <w:r>
              <w:rPr>
                <w:rFonts w:ascii="Arial" w:cs="Arial" w:eastAsia="Arial" w:hAnsi="Arial"/>
                <w:sz w:val="18"/>
                <w:szCs w:val="18"/>
                <w:color w:val="auto"/>
              </w:rPr>
              <w:t>Interest Rate Limitation</w:t>
            </w:r>
          </w:p>
        </w:tc>
        <w:tc>
          <w:tcPr>
            <w:tcW w:w="3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220" w:type="dxa"/>
            <w:vAlign w:val="bottom"/>
            <w:gridSpan w:val="4"/>
          </w:tcPr>
          <w:p>
            <w:pPr>
              <w:spacing w:after="0"/>
              <w:rPr>
                <w:sz w:val="20"/>
                <w:szCs w:val="20"/>
                <w:color w:val="auto"/>
              </w:rPr>
            </w:pPr>
            <w:r>
              <w:rPr>
                <w:rFonts w:ascii="Arial" w:cs="Arial" w:eastAsia="Arial" w:hAnsi="Arial"/>
                <w:sz w:val="18"/>
                <w:szCs w:val="18"/>
                <w:color w:val="auto"/>
                <w:w w:val="99"/>
              </w:rPr>
              <w:t>SECTION 9.14</w:t>
            </w:r>
          </w:p>
        </w:tc>
        <w:tc>
          <w:tcPr>
            <w:tcW w:w="120" w:type="dxa"/>
            <w:vAlign w:val="bottom"/>
          </w:tcPr>
          <w:p>
            <w:pPr>
              <w:spacing w:after="0"/>
              <w:rPr>
                <w:sz w:val="18"/>
                <w:szCs w:val="18"/>
                <w:color w:val="auto"/>
              </w:rPr>
            </w:pPr>
          </w:p>
        </w:tc>
        <w:tc>
          <w:tcPr>
            <w:tcW w:w="9320" w:type="dxa"/>
            <w:vAlign w:val="bottom"/>
            <w:gridSpan w:val="4"/>
          </w:tcPr>
          <w:p>
            <w:pPr>
              <w:ind w:left="60"/>
              <w:spacing w:after="0"/>
              <w:rPr>
                <w:sz w:val="20"/>
                <w:szCs w:val="20"/>
                <w:color w:val="auto"/>
              </w:rPr>
            </w:pPr>
            <w:r>
              <w:rPr>
                <w:rFonts w:ascii="Arial" w:cs="Arial" w:eastAsia="Arial" w:hAnsi="Arial"/>
                <w:sz w:val="18"/>
                <w:szCs w:val="18"/>
                <w:color w:val="auto"/>
              </w:rPr>
              <w:t>USA Patriot Act</w:t>
            </w:r>
          </w:p>
        </w:tc>
        <w:tc>
          <w:tcPr>
            <w:tcW w:w="3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220" w:type="dxa"/>
            <w:vAlign w:val="bottom"/>
            <w:gridSpan w:val="4"/>
          </w:tcPr>
          <w:p>
            <w:pPr>
              <w:spacing w:after="0"/>
              <w:rPr>
                <w:sz w:val="20"/>
                <w:szCs w:val="20"/>
                <w:color w:val="auto"/>
              </w:rPr>
            </w:pPr>
            <w:r>
              <w:rPr>
                <w:rFonts w:ascii="Arial" w:cs="Arial" w:eastAsia="Arial" w:hAnsi="Arial"/>
                <w:sz w:val="18"/>
                <w:szCs w:val="18"/>
                <w:color w:val="auto"/>
                <w:w w:val="99"/>
              </w:rPr>
              <w:t>SECTION 9.15</w:t>
            </w:r>
          </w:p>
        </w:tc>
        <w:tc>
          <w:tcPr>
            <w:tcW w:w="120" w:type="dxa"/>
            <w:vAlign w:val="bottom"/>
          </w:tcPr>
          <w:p>
            <w:pPr>
              <w:spacing w:after="0"/>
              <w:rPr>
                <w:sz w:val="18"/>
                <w:szCs w:val="18"/>
                <w:color w:val="auto"/>
              </w:rPr>
            </w:pPr>
          </w:p>
        </w:tc>
        <w:tc>
          <w:tcPr>
            <w:tcW w:w="9320" w:type="dxa"/>
            <w:vAlign w:val="bottom"/>
            <w:gridSpan w:val="4"/>
          </w:tcPr>
          <w:p>
            <w:pPr>
              <w:ind w:left="60"/>
              <w:spacing w:after="0"/>
              <w:rPr>
                <w:sz w:val="20"/>
                <w:szCs w:val="20"/>
                <w:color w:val="auto"/>
              </w:rPr>
            </w:pPr>
            <w:r>
              <w:rPr>
                <w:rFonts w:ascii="Arial" w:cs="Arial" w:eastAsia="Arial" w:hAnsi="Arial"/>
                <w:sz w:val="18"/>
                <w:szCs w:val="18"/>
                <w:color w:val="auto"/>
              </w:rPr>
              <w:t>No Advisory or Fiduciary Responsibility</w:t>
            </w:r>
          </w:p>
        </w:tc>
        <w:tc>
          <w:tcPr>
            <w:tcW w:w="3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1220" w:type="dxa"/>
            <w:vAlign w:val="bottom"/>
            <w:gridSpan w:val="4"/>
          </w:tcPr>
          <w:p>
            <w:pPr>
              <w:spacing w:after="0"/>
              <w:rPr>
                <w:sz w:val="20"/>
                <w:szCs w:val="20"/>
                <w:color w:val="auto"/>
              </w:rPr>
            </w:pPr>
            <w:r>
              <w:rPr>
                <w:rFonts w:ascii="Arial" w:cs="Arial" w:eastAsia="Arial" w:hAnsi="Arial"/>
                <w:sz w:val="18"/>
                <w:szCs w:val="18"/>
                <w:color w:val="auto"/>
                <w:w w:val="99"/>
              </w:rPr>
              <w:t>SECTION 9.16</w:t>
            </w:r>
          </w:p>
        </w:tc>
        <w:tc>
          <w:tcPr>
            <w:tcW w:w="120" w:type="dxa"/>
            <w:vAlign w:val="bottom"/>
          </w:tcPr>
          <w:p>
            <w:pPr>
              <w:spacing w:after="0"/>
              <w:rPr>
                <w:sz w:val="18"/>
                <w:szCs w:val="18"/>
                <w:color w:val="auto"/>
              </w:rPr>
            </w:pPr>
          </w:p>
        </w:tc>
        <w:tc>
          <w:tcPr>
            <w:tcW w:w="9320" w:type="dxa"/>
            <w:vAlign w:val="bottom"/>
            <w:gridSpan w:val="4"/>
          </w:tcPr>
          <w:p>
            <w:pPr>
              <w:ind w:left="60"/>
              <w:spacing w:after="0"/>
              <w:rPr>
                <w:sz w:val="20"/>
                <w:szCs w:val="20"/>
                <w:color w:val="auto"/>
              </w:rPr>
            </w:pPr>
            <w:r>
              <w:rPr>
                <w:rFonts w:ascii="Arial" w:cs="Arial" w:eastAsia="Arial" w:hAnsi="Arial"/>
                <w:sz w:val="18"/>
                <w:szCs w:val="18"/>
                <w:color w:val="auto"/>
              </w:rPr>
              <w:t>Judgment Currency</w:t>
            </w:r>
          </w:p>
        </w:tc>
        <w:tc>
          <w:tcPr>
            <w:tcW w:w="3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220" w:type="dxa"/>
            <w:vAlign w:val="bottom"/>
            <w:gridSpan w:val="4"/>
          </w:tcPr>
          <w:p>
            <w:pPr>
              <w:spacing w:after="0"/>
              <w:rPr>
                <w:sz w:val="20"/>
                <w:szCs w:val="20"/>
                <w:color w:val="auto"/>
              </w:rPr>
            </w:pPr>
            <w:r>
              <w:rPr>
                <w:rFonts w:ascii="Arial" w:cs="Arial" w:eastAsia="Arial" w:hAnsi="Arial"/>
                <w:sz w:val="18"/>
                <w:szCs w:val="18"/>
                <w:color w:val="auto"/>
                <w:w w:val="99"/>
              </w:rPr>
              <w:t>SECTION 9.17</w:t>
            </w:r>
          </w:p>
        </w:tc>
        <w:tc>
          <w:tcPr>
            <w:tcW w:w="120" w:type="dxa"/>
            <w:vAlign w:val="bottom"/>
          </w:tcPr>
          <w:p>
            <w:pPr>
              <w:spacing w:after="0"/>
              <w:rPr>
                <w:sz w:val="18"/>
                <w:szCs w:val="18"/>
                <w:color w:val="auto"/>
              </w:rPr>
            </w:pPr>
          </w:p>
        </w:tc>
        <w:tc>
          <w:tcPr>
            <w:tcW w:w="9320" w:type="dxa"/>
            <w:vAlign w:val="bottom"/>
            <w:gridSpan w:val="4"/>
          </w:tcPr>
          <w:p>
            <w:pPr>
              <w:ind w:left="60"/>
              <w:spacing w:after="0"/>
              <w:rPr>
                <w:sz w:val="20"/>
                <w:szCs w:val="20"/>
                <w:color w:val="auto"/>
              </w:rPr>
            </w:pPr>
            <w:r>
              <w:rPr>
                <w:rFonts w:ascii="Arial" w:cs="Arial" w:eastAsia="Arial" w:hAnsi="Arial"/>
                <w:sz w:val="18"/>
                <w:szCs w:val="18"/>
                <w:color w:val="auto"/>
              </w:rPr>
              <w:t>Electronic Execution of Assignments and Certain Other Documents</w:t>
            </w:r>
          </w:p>
        </w:tc>
        <w:tc>
          <w:tcPr>
            <w:tcW w:w="3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1220" w:type="dxa"/>
            <w:vAlign w:val="bottom"/>
            <w:gridSpan w:val="4"/>
          </w:tcPr>
          <w:p>
            <w:pPr>
              <w:spacing w:after="0"/>
              <w:rPr>
                <w:sz w:val="20"/>
                <w:szCs w:val="20"/>
                <w:color w:val="auto"/>
              </w:rPr>
            </w:pPr>
            <w:r>
              <w:rPr>
                <w:rFonts w:ascii="Arial" w:cs="Arial" w:eastAsia="Arial" w:hAnsi="Arial"/>
                <w:sz w:val="18"/>
                <w:szCs w:val="18"/>
                <w:color w:val="auto"/>
                <w:w w:val="99"/>
              </w:rPr>
              <w:t>SECTION 9.18</w:t>
            </w:r>
          </w:p>
        </w:tc>
        <w:tc>
          <w:tcPr>
            <w:tcW w:w="120" w:type="dxa"/>
            <w:vAlign w:val="bottom"/>
          </w:tcPr>
          <w:p>
            <w:pPr>
              <w:spacing w:after="0"/>
              <w:rPr>
                <w:sz w:val="20"/>
                <w:szCs w:val="20"/>
                <w:color w:val="auto"/>
              </w:rPr>
            </w:pPr>
          </w:p>
        </w:tc>
        <w:tc>
          <w:tcPr>
            <w:tcW w:w="9320" w:type="dxa"/>
            <w:vAlign w:val="bottom"/>
            <w:gridSpan w:val="4"/>
          </w:tcPr>
          <w:p>
            <w:pPr>
              <w:ind w:left="60"/>
              <w:spacing w:after="0"/>
              <w:rPr>
                <w:sz w:val="20"/>
                <w:szCs w:val="20"/>
                <w:color w:val="auto"/>
              </w:rPr>
            </w:pPr>
            <w:r>
              <w:rPr>
                <w:rFonts w:ascii="Arial" w:cs="Arial" w:eastAsia="Arial" w:hAnsi="Arial"/>
                <w:sz w:val="18"/>
                <w:szCs w:val="18"/>
                <w:color w:val="auto"/>
              </w:rPr>
              <w:t>Acknowledgement and Consent to Bail-In of EEA Financial Institutions</w:t>
            </w:r>
          </w:p>
        </w:tc>
        <w:tc>
          <w:tcPr>
            <w:tcW w:w="3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418"/>
        </w:trPr>
        <w:tc>
          <w:tcPr>
            <w:tcW w:w="1220" w:type="dxa"/>
            <w:vAlign w:val="bottom"/>
            <w:gridSpan w:val="4"/>
          </w:tcPr>
          <w:p>
            <w:pPr>
              <w:spacing w:after="0"/>
              <w:rPr>
                <w:sz w:val="20"/>
                <w:szCs w:val="20"/>
                <w:color w:val="auto"/>
              </w:rPr>
            </w:pPr>
            <w:r>
              <w:rPr>
                <w:rFonts w:ascii="Arial" w:cs="Arial" w:eastAsia="Arial" w:hAnsi="Arial"/>
                <w:sz w:val="18"/>
                <w:szCs w:val="18"/>
                <w:color w:val="auto"/>
              </w:rPr>
              <w:t>SCHEDULES: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30"/>
        </w:trPr>
        <w:tc>
          <w:tcPr>
            <w:tcW w:w="10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88"/>
              </w:rPr>
              <w:t>Schedule 2.01</w:t>
            </w:r>
          </w:p>
        </w:tc>
        <w:tc>
          <w:tcPr>
            <w:tcW w:w="180" w:type="dxa"/>
            <w:vAlign w:val="bottom"/>
          </w:tcPr>
          <w:p>
            <w:pPr>
              <w:spacing w:after="0"/>
              <w:rPr>
                <w:sz w:val="24"/>
                <w:szCs w:val="24"/>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9240" w:type="dxa"/>
            <w:vAlign w:val="bottom"/>
            <w:gridSpan w:val="3"/>
          </w:tcPr>
          <w:p>
            <w:pPr>
              <w:ind w:left="120"/>
              <w:spacing w:after="0"/>
              <w:rPr>
                <w:sz w:val="20"/>
                <w:szCs w:val="20"/>
                <w:color w:val="auto"/>
              </w:rPr>
            </w:pPr>
            <w:r>
              <w:rPr>
                <w:rFonts w:ascii="Arial" w:cs="Arial" w:eastAsia="Arial" w:hAnsi="Arial"/>
                <w:sz w:val="18"/>
                <w:szCs w:val="18"/>
                <w:color w:val="auto"/>
              </w:rPr>
              <w:t>Commitments</w:t>
            </w:r>
          </w:p>
        </w:tc>
        <w:tc>
          <w:tcPr>
            <w:tcW w:w="300" w:type="dxa"/>
            <w:vAlign w:val="bottom"/>
          </w:tcPr>
          <w:p>
            <w:pPr>
              <w:spacing w:after="0"/>
              <w:rPr>
                <w:sz w:val="24"/>
                <w:szCs w:val="24"/>
                <w:color w:val="auto"/>
              </w:rPr>
            </w:pPr>
          </w:p>
        </w:tc>
      </w:tr>
      <w:tr>
        <w:trPr>
          <w:trHeight w:val="216"/>
        </w:trPr>
        <w:tc>
          <w:tcPr>
            <w:tcW w:w="1220" w:type="dxa"/>
            <w:vAlign w:val="bottom"/>
            <w:gridSpan w:val="4"/>
          </w:tcPr>
          <w:p>
            <w:pPr>
              <w:spacing w:after="0"/>
              <w:rPr>
                <w:sz w:val="20"/>
                <w:szCs w:val="20"/>
                <w:color w:val="auto"/>
              </w:rPr>
            </w:pPr>
            <w:r>
              <w:rPr>
                <w:rFonts w:ascii="Arial" w:cs="Arial" w:eastAsia="Arial" w:hAnsi="Arial"/>
                <w:sz w:val="18"/>
                <w:szCs w:val="18"/>
                <w:color w:val="auto"/>
              </w:rPr>
              <w:t>Schedule 2.05</w:t>
            </w:r>
          </w:p>
        </w:tc>
        <w:tc>
          <w:tcPr>
            <w:tcW w:w="9440" w:type="dxa"/>
            <w:vAlign w:val="bottom"/>
            <w:gridSpan w:val="5"/>
          </w:tcPr>
          <w:p>
            <w:pPr>
              <w:ind w:left="120"/>
              <w:spacing w:after="0"/>
              <w:rPr>
                <w:sz w:val="20"/>
                <w:szCs w:val="20"/>
                <w:color w:val="auto"/>
              </w:rPr>
            </w:pPr>
            <w:r>
              <w:rPr>
                <w:rFonts w:ascii="Arial" w:cs="Arial" w:eastAsia="Arial" w:hAnsi="Arial"/>
                <w:sz w:val="18"/>
                <w:szCs w:val="18"/>
                <w:color w:val="auto"/>
              </w:rPr>
              <w:t>–  Existing Letters of Credit</w:t>
            </w:r>
          </w:p>
        </w:tc>
        <w:tc>
          <w:tcPr>
            <w:tcW w:w="300" w:type="dxa"/>
            <w:vAlign w:val="bottom"/>
          </w:tcPr>
          <w:p>
            <w:pPr>
              <w:spacing w:after="0"/>
              <w:rPr>
                <w:sz w:val="18"/>
                <w:szCs w:val="18"/>
                <w:color w:val="auto"/>
              </w:rPr>
            </w:pPr>
          </w:p>
        </w:tc>
      </w:tr>
      <w:tr>
        <w:trPr>
          <w:trHeight w:val="216"/>
        </w:trPr>
        <w:tc>
          <w:tcPr>
            <w:tcW w:w="1220" w:type="dxa"/>
            <w:vAlign w:val="bottom"/>
            <w:gridSpan w:val="4"/>
          </w:tcPr>
          <w:p>
            <w:pPr>
              <w:spacing w:after="0"/>
              <w:rPr>
                <w:sz w:val="20"/>
                <w:szCs w:val="20"/>
                <w:color w:val="auto"/>
              </w:rPr>
            </w:pPr>
            <w:r>
              <w:rPr>
                <w:rFonts w:ascii="Arial" w:cs="Arial" w:eastAsia="Arial" w:hAnsi="Arial"/>
                <w:sz w:val="18"/>
                <w:szCs w:val="18"/>
                <w:color w:val="auto"/>
              </w:rPr>
              <w:t>Schedule 3.06</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9240" w:type="dxa"/>
            <w:vAlign w:val="bottom"/>
            <w:gridSpan w:val="3"/>
          </w:tcPr>
          <w:p>
            <w:pPr>
              <w:ind w:left="120"/>
              <w:spacing w:after="0"/>
              <w:rPr>
                <w:sz w:val="20"/>
                <w:szCs w:val="20"/>
                <w:color w:val="auto"/>
              </w:rPr>
            </w:pPr>
            <w:r>
              <w:rPr>
                <w:rFonts w:ascii="Arial" w:cs="Arial" w:eastAsia="Arial" w:hAnsi="Arial"/>
                <w:sz w:val="18"/>
                <w:szCs w:val="18"/>
                <w:color w:val="auto"/>
              </w:rPr>
              <w:t>Disclosed Matters</w:t>
            </w:r>
          </w:p>
        </w:tc>
        <w:tc>
          <w:tcPr>
            <w:tcW w:w="300" w:type="dxa"/>
            <w:vAlign w:val="bottom"/>
          </w:tcPr>
          <w:p>
            <w:pPr>
              <w:spacing w:after="0"/>
              <w:rPr>
                <w:sz w:val="18"/>
                <w:szCs w:val="18"/>
                <w:color w:val="auto"/>
              </w:rPr>
            </w:pPr>
          </w:p>
        </w:tc>
      </w:tr>
      <w:tr>
        <w:trPr>
          <w:trHeight w:val="216"/>
        </w:trPr>
        <w:tc>
          <w:tcPr>
            <w:tcW w:w="1220" w:type="dxa"/>
            <w:vAlign w:val="bottom"/>
            <w:gridSpan w:val="4"/>
          </w:tcPr>
          <w:p>
            <w:pPr>
              <w:spacing w:after="0"/>
              <w:rPr>
                <w:sz w:val="20"/>
                <w:szCs w:val="20"/>
                <w:color w:val="auto"/>
              </w:rPr>
            </w:pPr>
            <w:r>
              <w:rPr>
                <w:rFonts w:ascii="Arial" w:cs="Arial" w:eastAsia="Arial" w:hAnsi="Arial"/>
                <w:sz w:val="18"/>
                <w:szCs w:val="18"/>
                <w:color w:val="auto"/>
              </w:rPr>
              <w:t>Schedule 3.12</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9240" w:type="dxa"/>
            <w:vAlign w:val="bottom"/>
            <w:gridSpan w:val="3"/>
          </w:tcPr>
          <w:p>
            <w:pPr>
              <w:ind w:left="120"/>
              <w:spacing w:after="0"/>
              <w:rPr>
                <w:sz w:val="20"/>
                <w:szCs w:val="20"/>
                <w:color w:val="auto"/>
              </w:rPr>
            </w:pPr>
            <w:r>
              <w:rPr>
                <w:rFonts w:ascii="Arial" w:cs="Arial" w:eastAsia="Arial" w:hAnsi="Arial"/>
                <w:sz w:val="18"/>
                <w:szCs w:val="18"/>
                <w:color w:val="auto"/>
              </w:rPr>
              <w:t>Subsidiaries</w:t>
            </w:r>
          </w:p>
        </w:tc>
        <w:tc>
          <w:tcPr>
            <w:tcW w:w="300" w:type="dxa"/>
            <w:vAlign w:val="bottom"/>
          </w:tcPr>
          <w:p>
            <w:pPr>
              <w:spacing w:after="0"/>
              <w:rPr>
                <w:sz w:val="18"/>
                <w:szCs w:val="18"/>
                <w:color w:val="auto"/>
              </w:rPr>
            </w:pPr>
          </w:p>
        </w:tc>
      </w:tr>
      <w:tr>
        <w:trPr>
          <w:trHeight w:val="216"/>
        </w:trPr>
        <w:tc>
          <w:tcPr>
            <w:tcW w:w="1220" w:type="dxa"/>
            <w:vAlign w:val="bottom"/>
            <w:gridSpan w:val="4"/>
          </w:tcPr>
          <w:p>
            <w:pPr>
              <w:spacing w:after="0"/>
              <w:rPr>
                <w:sz w:val="20"/>
                <w:szCs w:val="20"/>
                <w:color w:val="auto"/>
              </w:rPr>
            </w:pPr>
            <w:r>
              <w:rPr>
                <w:rFonts w:ascii="Arial" w:cs="Arial" w:eastAsia="Arial" w:hAnsi="Arial"/>
                <w:sz w:val="18"/>
                <w:szCs w:val="18"/>
                <w:color w:val="auto"/>
              </w:rPr>
              <w:t>Schedule 6.02</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9240" w:type="dxa"/>
            <w:vAlign w:val="bottom"/>
            <w:gridSpan w:val="3"/>
          </w:tcPr>
          <w:p>
            <w:pPr>
              <w:ind w:left="120"/>
              <w:spacing w:after="0"/>
              <w:rPr>
                <w:sz w:val="20"/>
                <w:szCs w:val="20"/>
                <w:color w:val="auto"/>
              </w:rPr>
            </w:pPr>
            <w:r>
              <w:rPr>
                <w:rFonts w:ascii="Arial" w:cs="Arial" w:eastAsia="Arial" w:hAnsi="Arial"/>
                <w:sz w:val="18"/>
                <w:szCs w:val="18"/>
                <w:color w:val="auto"/>
              </w:rPr>
              <w:t>Existing Liens</w:t>
            </w:r>
          </w:p>
        </w:tc>
        <w:tc>
          <w:tcPr>
            <w:tcW w:w="300" w:type="dxa"/>
            <w:vAlign w:val="bottom"/>
          </w:tcPr>
          <w:p>
            <w:pPr>
              <w:spacing w:after="0"/>
              <w:rPr>
                <w:sz w:val="18"/>
                <w:szCs w:val="18"/>
                <w:color w:val="auto"/>
              </w:rPr>
            </w:pPr>
          </w:p>
        </w:tc>
      </w:tr>
      <w:tr>
        <w:trPr>
          <w:trHeight w:val="230"/>
        </w:trPr>
        <w:tc>
          <w:tcPr>
            <w:tcW w:w="1220" w:type="dxa"/>
            <w:vAlign w:val="bottom"/>
            <w:gridSpan w:val="4"/>
          </w:tcPr>
          <w:p>
            <w:pPr>
              <w:spacing w:after="0"/>
              <w:rPr>
                <w:sz w:val="20"/>
                <w:szCs w:val="20"/>
                <w:color w:val="auto"/>
              </w:rPr>
            </w:pPr>
            <w:r>
              <w:rPr>
                <w:rFonts w:ascii="Arial" w:cs="Arial" w:eastAsia="Arial" w:hAnsi="Arial"/>
                <w:sz w:val="18"/>
                <w:szCs w:val="18"/>
                <w:color w:val="auto"/>
              </w:rPr>
              <w:t>Schedule 9.01</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9240" w:type="dxa"/>
            <w:vAlign w:val="bottom"/>
            <w:gridSpan w:val="3"/>
          </w:tcPr>
          <w:p>
            <w:pPr>
              <w:ind w:left="120"/>
              <w:spacing w:after="0"/>
              <w:rPr>
                <w:sz w:val="20"/>
                <w:szCs w:val="20"/>
                <w:color w:val="auto"/>
              </w:rPr>
            </w:pPr>
            <w:r>
              <w:rPr>
                <w:rFonts w:ascii="Arial" w:cs="Arial" w:eastAsia="Arial" w:hAnsi="Arial"/>
                <w:sz w:val="18"/>
                <w:szCs w:val="18"/>
                <w:color w:val="auto"/>
              </w:rPr>
              <w:t>Administrative Agent’s Office</w:t>
            </w:r>
          </w:p>
        </w:tc>
        <w:tc>
          <w:tcPr>
            <w:tcW w:w="300" w:type="dxa"/>
            <w:vAlign w:val="bottom"/>
          </w:tcPr>
          <w:p>
            <w:pPr>
              <w:spacing w:after="0"/>
              <w:rPr>
                <w:sz w:val="20"/>
                <w:szCs w:val="20"/>
                <w:color w:val="auto"/>
              </w:rPr>
            </w:pPr>
          </w:p>
        </w:tc>
      </w:tr>
      <w:tr>
        <w:trPr>
          <w:trHeight w:val="283"/>
        </w:trPr>
        <w:tc>
          <w:tcPr>
            <w:tcW w:w="1220" w:type="dxa"/>
            <w:vAlign w:val="bottom"/>
            <w:gridSpan w:val="4"/>
          </w:tcPr>
          <w:p>
            <w:pPr>
              <w:spacing w:after="0"/>
              <w:rPr>
                <w:sz w:val="20"/>
                <w:szCs w:val="20"/>
                <w:color w:val="auto"/>
              </w:rPr>
            </w:pPr>
            <w:r>
              <w:rPr>
                <w:rFonts w:ascii="Arial" w:cs="Arial" w:eastAsia="Arial" w:hAnsi="Arial"/>
                <w:sz w:val="18"/>
                <w:szCs w:val="18"/>
                <w:color w:val="auto"/>
              </w:rPr>
              <w:t>EXHIBITS: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30"/>
        </w:trPr>
        <w:tc>
          <w:tcPr>
            <w:tcW w:w="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Exhibit A</w:t>
            </w:r>
          </w:p>
        </w:tc>
        <w:tc>
          <w:tcPr>
            <w:tcW w:w="400" w:type="dxa"/>
            <w:vAlign w:val="bottom"/>
            <w:gridSpan w:val="2"/>
          </w:tcPr>
          <w:p>
            <w:pPr>
              <w:spacing w:after="0"/>
              <w:rPr>
                <w:sz w:val="24"/>
                <w:szCs w:val="24"/>
                <w:color w:val="auto"/>
              </w:rPr>
            </w:pPr>
          </w:p>
        </w:tc>
        <w:tc>
          <w:tcPr>
            <w:tcW w:w="9440" w:type="dxa"/>
            <w:vAlign w:val="bottom"/>
            <w:gridSpan w:val="5"/>
          </w:tcPr>
          <w:p>
            <w:pPr>
              <w:ind w:left="120"/>
              <w:spacing w:after="0"/>
              <w:rPr>
                <w:sz w:val="20"/>
                <w:szCs w:val="20"/>
                <w:color w:val="auto"/>
              </w:rPr>
            </w:pPr>
            <w:r>
              <w:rPr>
                <w:rFonts w:ascii="Arial" w:cs="Arial" w:eastAsia="Arial" w:hAnsi="Arial"/>
                <w:sz w:val="18"/>
                <w:szCs w:val="18"/>
                <w:color w:val="auto"/>
              </w:rPr>
              <w:t>–  Form of Assignment and Assumption</w:t>
            </w:r>
          </w:p>
        </w:tc>
        <w:tc>
          <w:tcPr>
            <w:tcW w:w="300" w:type="dxa"/>
            <w:vAlign w:val="bottom"/>
          </w:tcPr>
          <w:p>
            <w:pPr>
              <w:spacing w:after="0"/>
              <w:rPr>
                <w:sz w:val="24"/>
                <w:szCs w:val="24"/>
                <w:color w:val="auto"/>
              </w:rPr>
            </w:pPr>
          </w:p>
        </w:tc>
      </w:tr>
      <w:tr>
        <w:trPr>
          <w:trHeight w:val="216"/>
        </w:trPr>
        <w:tc>
          <w:tcPr>
            <w:tcW w:w="1220" w:type="dxa"/>
            <w:vAlign w:val="bottom"/>
            <w:gridSpan w:val="4"/>
          </w:tcPr>
          <w:p>
            <w:pPr>
              <w:spacing w:after="0"/>
              <w:rPr>
                <w:sz w:val="20"/>
                <w:szCs w:val="20"/>
                <w:color w:val="auto"/>
              </w:rPr>
            </w:pPr>
            <w:r>
              <w:rPr>
                <w:rFonts w:ascii="Arial" w:cs="Arial" w:eastAsia="Arial" w:hAnsi="Arial"/>
                <w:sz w:val="18"/>
                <w:szCs w:val="18"/>
                <w:color w:val="auto"/>
              </w:rPr>
              <w:t>Exhibit B</w:t>
            </w:r>
          </w:p>
        </w:tc>
        <w:tc>
          <w:tcPr>
            <w:tcW w:w="9440" w:type="dxa"/>
            <w:vAlign w:val="bottom"/>
            <w:gridSpan w:val="5"/>
          </w:tcPr>
          <w:p>
            <w:pPr>
              <w:ind w:left="120"/>
              <w:spacing w:after="0"/>
              <w:rPr>
                <w:sz w:val="20"/>
                <w:szCs w:val="20"/>
                <w:color w:val="auto"/>
              </w:rPr>
            </w:pPr>
            <w:r>
              <w:rPr>
                <w:rFonts w:ascii="Arial" w:cs="Arial" w:eastAsia="Arial" w:hAnsi="Arial"/>
                <w:sz w:val="18"/>
                <w:szCs w:val="18"/>
                <w:color w:val="auto"/>
              </w:rPr>
              <w:t>–  Form of Borrowing Request</w:t>
            </w:r>
          </w:p>
        </w:tc>
        <w:tc>
          <w:tcPr>
            <w:tcW w:w="300" w:type="dxa"/>
            <w:vAlign w:val="bottom"/>
          </w:tcPr>
          <w:p>
            <w:pPr>
              <w:spacing w:after="0"/>
              <w:rPr>
                <w:sz w:val="18"/>
                <w:szCs w:val="18"/>
                <w:color w:val="auto"/>
              </w:rPr>
            </w:pPr>
          </w:p>
        </w:tc>
      </w:tr>
      <w:tr>
        <w:trPr>
          <w:trHeight w:val="216"/>
        </w:trPr>
        <w:tc>
          <w:tcPr>
            <w:tcW w:w="1220" w:type="dxa"/>
            <w:vAlign w:val="bottom"/>
            <w:gridSpan w:val="4"/>
          </w:tcPr>
          <w:p>
            <w:pPr>
              <w:spacing w:after="0"/>
              <w:rPr>
                <w:sz w:val="20"/>
                <w:szCs w:val="20"/>
                <w:color w:val="auto"/>
              </w:rPr>
            </w:pPr>
            <w:r>
              <w:rPr>
                <w:rFonts w:ascii="Arial" w:cs="Arial" w:eastAsia="Arial" w:hAnsi="Arial"/>
                <w:sz w:val="18"/>
                <w:szCs w:val="18"/>
                <w:color w:val="auto"/>
              </w:rPr>
              <w:t>Exhibit C</w:t>
            </w:r>
          </w:p>
        </w:tc>
        <w:tc>
          <w:tcPr>
            <w:tcW w:w="9440" w:type="dxa"/>
            <w:vAlign w:val="bottom"/>
            <w:gridSpan w:val="5"/>
          </w:tcPr>
          <w:p>
            <w:pPr>
              <w:ind w:left="120"/>
              <w:spacing w:after="0"/>
              <w:rPr>
                <w:sz w:val="20"/>
                <w:szCs w:val="20"/>
                <w:color w:val="auto"/>
              </w:rPr>
            </w:pPr>
            <w:r>
              <w:rPr>
                <w:rFonts w:ascii="Arial" w:cs="Arial" w:eastAsia="Arial" w:hAnsi="Arial"/>
                <w:sz w:val="18"/>
                <w:szCs w:val="18"/>
                <w:color w:val="auto"/>
              </w:rPr>
              <w:t>–  Form of United States Tax Compliance Certificate</w:t>
            </w:r>
          </w:p>
        </w:tc>
        <w:tc>
          <w:tcPr>
            <w:tcW w:w="300" w:type="dxa"/>
            <w:vAlign w:val="bottom"/>
          </w:tcPr>
          <w:p>
            <w:pPr>
              <w:spacing w:after="0"/>
              <w:rPr>
                <w:sz w:val="18"/>
                <w:szCs w:val="18"/>
                <w:color w:val="auto"/>
              </w:rPr>
            </w:pPr>
          </w:p>
        </w:tc>
      </w:tr>
      <w:tr>
        <w:trPr>
          <w:trHeight w:val="216"/>
        </w:trPr>
        <w:tc>
          <w:tcPr>
            <w:tcW w:w="1220" w:type="dxa"/>
            <w:vAlign w:val="bottom"/>
            <w:gridSpan w:val="4"/>
          </w:tcPr>
          <w:p>
            <w:pPr>
              <w:spacing w:after="0"/>
              <w:rPr>
                <w:sz w:val="20"/>
                <w:szCs w:val="20"/>
                <w:color w:val="auto"/>
              </w:rPr>
            </w:pPr>
            <w:r>
              <w:rPr>
                <w:rFonts w:ascii="Arial" w:cs="Arial" w:eastAsia="Arial" w:hAnsi="Arial"/>
                <w:sz w:val="18"/>
                <w:szCs w:val="18"/>
                <w:color w:val="auto"/>
              </w:rPr>
              <w:t>Exhibit D</w:t>
            </w:r>
          </w:p>
        </w:tc>
        <w:tc>
          <w:tcPr>
            <w:tcW w:w="9440" w:type="dxa"/>
            <w:vAlign w:val="bottom"/>
            <w:gridSpan w:val="5"/>
          </w:tcPr>
          <w:p>
            <w:pPr>
              <w:ind w:left="120"/>
              <w:spacing w:after="0"/>
              <w:rPr>
                <w:sz w:val="20"/>
                <w:szCs w:val="20"/>
                <w:color w:val="auto"/>
              </w:rPr>
            </w:pPr>
            <w:r>
              <w:rPr>
                <w:rFonts w:ascii="Arial" w:cs="Arial" w:eastAsia="Arial" w:hAnsi="Arial"/>
                <w:sz w:val="18"/>
                <w:szCs w:val="18"/>
                <w:color w:val="auto"/>
              </w:rPr>
              <w:t>–  Form of Additional Borrower Agreement</w:t>
            </w:r>
          </w:p>
        </w:tc>
        <w:tc>
          <w:tcPr>
            <w:tcW w:w="300" w:type="dxa"/>
            <w:vAlign w:val="bottom"/>
          </w:tcPr>
          <w:p>
            <w:pPr>
              <w:spacing w:after="0"/>
              <w:rPr>
                <w:sz w:val="18"/>
                <w:szCs w:val="18"/>
                <w:color w:val="auto"/>
              </w:rPr>
            </w:pPr>
          </w:p>
        </w:tc>
      </w:tr>
      <w:tr>
        <w:trPr>
          <w:trHeight w:val="190"/>
        </w:trPr>
        <w:tc>
          <w:tcPr>
            <w:tcW w:w="1220" w:type="dxa"/>
            <w:vAlign w:val="bottom"/>
            <w:gridSpan w:val="4"/>
          </w:tcPr>
          <w:p>
            <w:pPr>
              <w:spacing w:after="0" w:line="190" w:lineRule="exact"/>
              <w:rPr>
                <w:sz w:val="20"/>
                <w:szCs w:val="20"/>
                <w:color w:val="auto"/>
              </w:rPr>
            </w:pPr>
            <w:r>
              <w:rPr>
                <w:rFonts w:ascii="Arial" w:cs="Arial" w:eastAsia="Arial" w:hAnsi="Arial"/>
                <w:sz w:val="18"/>
                <w:szCs w:val="18"/>
                <w:color w:val="0000FF"/>
              </w:rPr>
              <w:t>Exhibit E</w:t>
            </w:r>
          </w:p>
        </w:tc>
        <w:tc>
          <w:tcPr>
            <w:tcW w:w="9440" w:type="dxa"/>
            <w:vAlign w:val="bottom"/>
            <w:gridSpan w:val="5"/>
          </w:tcPr>
          <w:p>
            <w:pPr>
              <w:ind w:left="120"/>
              <w:spacing w:after="0" w:line="190" w:lineRule="exact"/>
              <w:rPr>
                <w:sz w:val="20"/>
                <w:szCs w:val="20"/>
                <w:color w:val="auto"/>
              </w:rPr>
            </w:pPr>
            <w:r>
              <w:rPr>
                <w:rFonts w:ascii="Arial" w:cs="Arial" w:eastAsia="Arial" w:hAnsi="Arial"/>
                <w:sz w:val="18"/>
                <w:szCs w:val="18"/>
                <w:color w:val="0000FF"/>
              </w:rPr>
              <w:t>–  Form of Solvency Certificate</w:t>
            </w:r>
          </w:p>
        </w:tc>
        <w:tc>
          <w:tcPr>
            <w:tcW w:w="300" w:type="dxa"/>
            <w:vAlign w:val="bottom"/>
          </w:tcPr>
          <w:p>
            <w:pPr>
              <w:spacing w:after="0"/>
              <w:rPr>
                <w:sz w:val="16"/>
                <w:szCs w:val="16"/>
                <w:color w:val="auto"/>
              </w:rPr>
            </w:pPr>
          </w:p>
        </w:tc>
      </w:tr>
      <w:tr>
        <w:trPr>
          <w:trHeight w:val="34"/>
        </w:trPr>
        <w:tc>
          <w:tcPr>
            <w:tcW w:w="680" w:type="dxa"/>
            <w:vAlign w:val="bottom"/>
            <w:tcBorders>
              <w:top w:val="single" w:sz="8" w:color="0000FF"/>
              <w:bottom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Borders>
              <w:top w:val="single" w:sz="8" w:color="0000FF"/>
              <w:bottom w:val="single" w:sz="8" w:color="0000FF"/>
            </w:tcBorders>
          </w:tcPr>
          <w:p>
            <w:pPr>
              <w:spacing w:after="0"/>
              <w:rPr>
                <w:sz w:val="2"/>
                <w:szCs w:val="2"/>
                <w:color w:val="auto"/>
              </w:rPr>
            </w:pPr>
          </w:p>
        </w:tc>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65" w:right="499" w:bottom="1440" w:gutter="0" w:footer="0" w:header="0"/>
        </w:sectPr>
      </w:pPr>
    </w:p>
    <w:bookmarkStart w:id="20" w:name="page21"/>
    <w:bookmarkEnd w:id="20"/>
    <w:p>
      <w:pPr>
        <w:ind w:right="12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CREDIT AGREEMENT, dated as of April 25, 2017 (this “</w:t>
      </w:r>
      <w:r>
        <w:rPr>
          <w:rFonts w:ascii="Arial" w:cs="Arial" w:eastAsia="Arial" w:hAnsi="Arial"/>
          <w:sz w:val="18"/>
          <w:szCs w:val="18"/>
          <w:u w:val="single" w:color="auto"/>
          <w:color w:val="auto"/>
        </w:rPr>
        <w:t>Agreement</w:t>
      </w:r>
      <w:r>
        <w:rPr>
          <w:rFonts w:ascii="Arial" w:cs="Arial" w:eastAsia="Arial" w:hAnsi="Arial"/>
          <w:sz w:val="18"/>
          <w:szCs w:val="18"/>
          <w:color w:val="auto"/>
        </w:rPr>
        <w:t>”), among NASDAQ,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any Additional Borrowers (as defined below) that become party to this Agreement from time to time, the LENDERS party hereto, and BANK OF AMERICA, N.A., as Administrative Agent and Issuing Bank.</w:t>
      </w:r>
    </w:p>
    <w:p>
      <w:pPr>
        <w:spacing w:after="0" w:line="184" w:lineRule="exact"/>
        <w:rPr>
          <w:sz w:val="20"/>
          <w:szCs w:val="20"/>
          <w:color w:val="auto"/>
        </w:rPr>
      </w:pPr>
    </w:p>
    <w:p>
      <w:pPr>
        <w:ind w:right="240" w:firstLine="440"/>
        <w:spacing w:after="0" w:line="257" w:lineRule="auto"/>
        <w:rPr>
          <w:sz w:val="20"/>
          <w:szCs w:val="20"/>
          <w:color w:val="auto"/>
        </w:rPr>
      </w:pPr>
      <w:r>
        <w:rPr>
          <w:rFonts w:ascii="Arial" w:cs="Arial" w:eastAsia="Arial" w:hAnsi="Arial"/>
          <w:sz w:val="18"/>
          <w:szCs w:val="18"/>
          <w:color w:val="auto"/>
        </w:rPr>
        <w:t>The Borrower has requested that the Revolving Lenders extend credit in the form of Revolving Loans and the Issuing Banks issue Letters of Credit, in each case at any time and from time to time during the Revolving Availability Period such that the aggregate Revolving Exposures will not exceed $1,000,000,000 at any time. In addition, the Borrower may request that the Lenders or prospective Additional Lenders agree to provide Incremental Revolving Commitments pursuant to Section 2.18 from time to time on or after the Closing Date in an aggregate amount not to exceed $500,000,000.</w:t>
      </w:r>
    </w:p>
    <w:p>
      <w:pPr>
        <w:spacing w:after="0" w:line="188"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The Lenders are willing to extend such credit to the Borrower, and the Issuing Banks are willing to issue Letters of Credit for the account of the Borrower, on the terms and subject to the conditions set forth herein.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parties hereto agree as follows: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1.01 Defined Terms. As used in this Agreement, the following terms have the meanings specified below:</w:t>
      </w:r>
    </w:p>
    <w:p>
      <w:pPr>
        <w:spacing w:after="0" w:line="117"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Base Rate.</w:t>
      </w:r>
    </w:p>
    <w:p>
      <w:pPr>
        <w:spacing w:after="0" w:line="170"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 Gross-Up Amount</w:t>
      </w:r>
      <w:r>
        <w:rPr>
          <w:rFonts w:ascii="Arial" w:cs="Arial" w:eastAsia="Arial" w:hAnsi="Arial"/>
          <w:sz w:val="18"/>
          <w:szCs w:val="18"/>
          <w:color w:val="auto"/>
        </w:rPr>
        <w:t>” means, with respect to any Non-ABR Lender’s ABR Loan for any day on which such ABR Loan is outstanding, the lesser of:</w:t>
      </w:r>
    </w:p>
    <w:p>
      <w:pPr>
        <w:spacing w:after="0" w:line="62" w:lineRule="exact"/>
        <w:rPr>
          <w:sz w:val="20"/>
          <w:szCs w:val="20"/>
          <w:color w:val="auto"/>
        </w:rPr>
      </w:pPr>
    </w:p>
    <w:p>
      <w:pPr>
        <w:jc w:val="both"/>
        <w:ind w:left="440" w:right="420" w:firstLine="419"/>
        <w:spacing w:after="0" w:line="291" w:lineRule="auto"/>
        <w:tabs>
          <w:tab w:leader="none" w:pos="1108"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 actual amount (as determined in good faith by the applicable Non-ABR Lender and set forth in a reasonably detailed certificate delivered to the Borrower) by which (i) such Non-ABR Lender’s cost of funding such Non-ABR Lender’s ABR Loan for such day exceeded</w:t>
      </w:r>
    </w:p>
    <w:p>
      <w:pPr>
        <w:ind w:left="700" w:hanging="264"/>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Base Rate for such day minus 1.00% per annum; and</w:t>
      </w:r>
    </w:p>
    <w:p>
      <w:pPr>
        <w:spacing w:after="0" w:line="102" w:lineRule="exact"/>
        <w:rPr>
          <w:rFonts w:ascii="Arial" w:cs="Arial" w:eastAsia="Arial" w:hAnsi="Arial"/>
          <w:sz w:val="18"/>
          <w:szCs w:val="18"/>
          <w:color w:val="auto"/>
        </w:rPr>
      </w:pPr>
    </w:p>
    <w:p>
      <w:pPr>
        <w:ind w:left="440" w:right="500" w:firstLine="419"/>
        <w:spacing w:after="0" w:line="277" w:lineRule="auto"/>
        <w:tabs>
          <w:tab w:leader="none" w:pos="1118"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amount by which (i) the Eurocurrency Rate for an interest period of one day commencing on such date (or, if such day is not a Business Day, the preceding Business Day) exceeded (ii) the Base Rate for such day minus 1.00% per annum.</w:t>
      </w:r>
    </w:p>
    <w:p>
      <w:pPr>
        <w:spacing w:after="0" w:line="170"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means any acquisition by the Borrower or a Subsidiary of (i) a majority of the outstanding Equity Interests in, or all or substantially all the assets of, or the assets constituting a division or line of business of, a Person or (ii) any asset of another Person constituting a business unit of such other Person.</w:t>
      </w:r>
    </w:p>
    <w:p>
      <w:pPr>
        <w:spacing w:after="0" w:line="18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0000FF"/>
        </w:rPr>
        <w:t>Acquisition Debt” means any indebtedness for borrowed money of the Borrower or any of its Subsidiaries that has been issued for the purpose of</w:t>
      </w:r>
      <w:r>
        <w:rPr>
          <w:rFonts w:ascii="Arial" w:cs="Arial" w:eastAsia="Arial" w:hAnsi="Arial"/>
          <w:sz w:val="18"/>
          <w:szCs w:val="18"/>
          <w:color w:val="auto"/>
        </w:rPr>
        <w:t xml:space="preserve"> </w:t>
      </w:r>
      <w:r>
        <w:rPr>
          <w:rFonts w:ascii="Arial" w:cs="Arial" w:eastAsia="Arial" w:hAnsi="Arial"/>
          <w:sz w:val="18"/>
          <w:szCs w:val="18"/>
          <w:u w:val="single" w:color="auto"/>
          <w:color w:val="0000FF"/>
        </w:rPr>
        <w:t>financing, in whole or in part, an Acquisition and any related transactions or series of related transactions (including for the purpose of refinancing or replacing all or a portion of any pre-existing Indebtedness for borrowed money of the Borrower, any of its Subsidiaries or the Person(s) or assets to be acquired); provided that either (a)(i) the release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-412115</wp:posOffset>
            </wp:positionV>
            <wp:extent cx="66351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-274955</wp:posOffset>
            </wp:positionV>
            <wp:extent cx="682371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2371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-137795</wp:posOffset>
            </wp:positionV>
            <wp:extent cx="68580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wp:posOffset>
            </wp:positionV>
            <wp:extent cx="24517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74" w:right="479" w:bottom="1440" w:gutter="0" w:footer="0" w:header="0"/>
        </w:sectPr>
      </w:pPr>
    </w:p>
    <w:bookmarkStart w:id="21" w:name="page22"/>
    <w:bookmarkEnd w:id="21"/>
    <w:p>
      <w:pPr>
        <w:spacing w:after="0" w:line="269" w:lineRule="auto"/>
        <w:rPr>
          <w:sz w:val="20"/>
          <w:szCs w:val="20"/>
          <w:color w:val="auto"/>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proceeds thereof to the Borrower and its Subsidiaries is contingent upon the consummation of such Acquisition and, pending such release, such proceeds are held pursuant to an escrow or similar arrangement and (ii) if the definitive agreement (or, in the case of a tender offer or similar transaction, the definitive offer document) for such Acquisition is terminated prior to the consummation of such Acquisition or if such Acquisition is otherwise not consummated by the date specified in the definitive documentation relating to such Indebtedness for borrowed money, such proceeds shall be promptly applied to satisfy and discharge all obligations of the Borrower and its Subsidiaries in respect of such Indebtedness for borrowed money or (b)(i) such Indebtedness for borrowed money contains a “special mandatory redemption” provision (or other similar provision) or otherwise permits such Indebtedness for borrowed money to be redeemed or prepaid if such Acquisition is not consummated by the date specified in the definitive documentation relating to such Indebtedness for borrowed money, and (ii) if the definitive agreement (or, in the case of a tender offer or similar transaction, the definitive offer document) for such Acquisition is terminated in accordance with its terms prior to the consummation of such Acquisition or such Acquisition is otherwise not consummated by the date specified in the definitive documentation relating to such Indebtedness for borrowed money, such Indebtedness for borrowed money is so redeemed or prepaid within ninety (90) days of such termination or such specified date,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-1513840</wp:posOffset>
            </wp:positionV>
            <wp:extent cx="655764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-1376680</wp:posOffset>
            </wp:positionV>
            <wp:extent cx="69862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862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-1239520</wp:posOffset>
            </wp:positionV>
            <wp:extent cx="68922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-1102360</wp:posOffset>
            </wp:positionV>
            <wp:extent cx="69094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094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-965200</wp:posOffset>
            </wp:positionV>
            <wp:extent cx="68491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-828040</wp:posOffset>
            </wp:positionV>
            <wp:extent cx="64979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-690880</wp:posOffset>
            </wp:positionV>
            <wp:extent cx="635190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3519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-553720</wp:posOffset>
            </wp:positionV>
            <wp:extent cx="655764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-416560</wp:posOffset>
            </wp:positionV>
            <wp:extent cx="69862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-279400</wp:posOffset>
            </wp:positionV>
            <wp:extent cx="67290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290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-142240</wp:posOffset>
            </wp:positionV>
            <wp:extent cx="69437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-5080</wp:posOffset>
            </wp:positionV>
            <wp:extent cx="36004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Additional Borrower</w:t>
      </w:r>
      <w:r>
        <w:rPr>
          <w:rFonts w:ascii="Arial" w:cs="Arial" w:eastAsia="Arial" w:hAnsi="Arial"/>
          <w:sz w:val="18"/>
          <w:szCs w:val="18"/>
          <w:color w:val="000000"/>
        </w:rPr>
        <w:t>” shall have the meaning provided in Section 1.10(a).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514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Borrower Agreement</w:t>
      </w:r>
      <w:r>
        <w:rPr>
          <w:rFonts w:ascii="Arial" w:cs="Arial" w:eastAsia="Arial" w:hAnsi="Arial"/>
          <w:sz w:val="18"/>
          <w:szCs w:val="18"/>
          <w:color w:val="auto"/>
        </w:rPr>
        <w:t>” means the Additional Borrower Agreement substantially in the form of Exhibit 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Lenders</w:t>
      </w:r>
      <w:r>
        <w:rPr>
          <w:rFonts w:ascii="Arial" w:cs="Arial" w:eastAsia="Arial" w:hAnsi="Arial"/>
          <w:sz w:val="18"/>
          <w:szCs w:val="18"/>
          <w:color w:val="auto"/>
        </w:rPr>
        <w:t>” has the meaning assigned to such term in Section 2.18(b).</w:t>
      </w:r>
    </w:p>
    <w:p>
      <w:pPr>
        <w:spacing w:after="0" w:line="225"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Bank of America, in its capacity as administrative agent for the Lenders hereunder, and its successors in such capacity as provided in Article VIII.</w:t>
      </w:r>
    </w:p>
    <w:p>
      <w:pPr>
        <w:spacing w:after="0" w:line="170"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Agent’s Office</w:t>
      </w:r>
      <w:r>
        <w:rPr>
          <w:rFonts w:ascii="Arial" w:cs="Arial" w:eastAsia="Arial" w:hAnsi="Arial"/>
          <w:sz w:val="18"/>
          <w:szCs w:val="18"/>
          <w:color w:val="auto"/>
        </w:rPr>
        <w:t xml:space="preserve">” means the Administrative Agent’s address and, as appropriate, account as set forth on </w:t>
      </w:r>
      <w:r>
        <w:rPr>
          <w:rFonts w:ascii="Arial" w:cs="Arial" w:eastAsia="Arial" w:hAnsi="Arial"/>
          <w:sz w:val="18"/>
          <w:szCs w:val="18"/>
          <w:u w:val="single" w:color="auto"/>
          <w:color w:val="auto"/>
        </w:rPr>
        <w:t>Schedule 9.01</w:t>
      </w:r>
      <w:r>
        <w:rPr>
          <w:rFonts w:ascii="Arial" w:cs="Arial" w:eastAsia="Arial" w:hAnsi="Arial"/>
          <w:sz w:val="18"/>
          <w:szCs w:val="18"/>
          <w:color w:val="auto"/>
        </w:rPr>
        <w:t>, or such other address or account as the Administrative Agent may from time to time notify to the Borrower and the Lenders.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 Parties</w:t>
      </w:r>
      <w:r>
        <w:rPr>
          <w:rFonts w:ascii="Arial" w:cs="Arial" w:eastAsia="Arial" w:hAnsi="Arial"/>
          <w:sz w:val="18"/>
          <w:szCs w:val="18"/>
          <w:color w:val="auto"/>
        </w:rPr>
        <w:t>” has the meaning set forth in Section 9.01.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assigned to such term in the preamble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 Currency</w:t>
      </w:r>
      <w:r>
        <w:rPr>
          <w:rFonts w:ascii="Arial" w:cs="Arial" w:eastAsia="Arial" w:hAnsi="Arial"/>
          <w:sz w:val="18"/>
          <w:szCs w:val="18"/>
          <w:color w:val="auto"/>
        </w:rPr>
        <w:t>” has the meaning assigned to such term by Section 9.16.</w:t>
      </w:r>
    </w:p>
    <w:p>
      <w:pPr>
        <w:spacing w:after="0" w:line="225"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w:t>
      </w:r>
      <w:r>
        <w:rPr>
          <w:rFonts w:ascii="Arial" w:cs="Arial" w:eastAsia="Arial" w:hAnsi="Arial"/>
          <w:sz w:val="18"/>
          <w:szCs w:val="18"/>
          <w:color w:val="auto"/>
        </w:rPr>
        <w:t>” means each of Euro, Sterling, Norwegian Kroner, Swedish Kronor, Danish Kroner, Canadian Dollars and each other currency (other than Dollars) that is approved in accordance with Section 1.08.</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2" w:name="page23"/>
    <w:bookmarkEnd w:id="22"/>
    <w:p>
      <w:pPr>
        <w:ind w:right="2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Alternative Currency Equivalent</w:t>
      </w:r>
      <w:r>
        <w:rPr>
          <w:rFonts w:ascii="Arial" w:cs="Arial" w:eastAsia="Arial" w:hAnsi="Arial"/>
          <w:sz w:val="16"/>
          <w:szCs w:val="16"/>
          <w:color w:val="auto"/>
        </w:rPr>
        <w:t>” means, at any time, with respect to any amount denominated in Dollars, the equivalent amount thereof in the applicable Alternative Currency as determined by the Administrative Agent or the applicable Issuing Bank, as the case may be, at such time on the basis of the Spot Rate (determined in respect of the most recent Revaluation Date) for the purchase of such Alternative Currency with Dollars.</w:t>
      </w:r>
    </w:p>
    <w:p>
      <w:pPr>
        <w:spacing w:after="0" w:line="149"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Currency Sublimit</w:t>
      </w:r>
      <w:r>
        <w:rPr>
          <w:rFonts w:ascii="Arial" w:cs="Arial" w:eastAsia="Arial" w:hAnsi="Arial"/>
          <w:sz w:val="18"/>
          <w:szCs w:val="18"/>
          <w:color w:val="auto"/>
        </w:rPr>
        <w:t>” means, subject to Section 2.04(d), (i) in the case of the Revolving A Facility, $100,500,000 and (ii) in the case of the Revolving B Facility, $49,500,000.</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0000FF"/>
        </w:rPr>
        <w:t>Amendment No. 1 Effective Date” means December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23495</wp:posOffset>
            </wp:positionV>
            <wp:extent cx="28028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205"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u w:val="single" w:color="auto"/>
          <w:color w:val="000000"/>
        </w:rPr>
        <w:t>Anti-Corruption Laws</w:t>
      </w:r>
      <w:r>
        <w:rPr>
          <w:rFonts w:ascii="Arial" w:cs="Arial" w:eastAsia="Arial" w:hAnsi="Arial"/>
          <w:sz w:val="18"/>
          <w:szCs w:val="18"/>
          <w:color w:val="000000"/>
        </w:rPr>
        <w:t>” means the Foreign Corrupt Practices Act of 1977 (as amended), the UK Bribery Act 2010, and other anti-corruption or</w:t>
      </w:r>
      <w:r>
        <w:rPr>
          <w:rFonts w:ascii="Arial" w:cs="Arial" w:eastAsia="Arial" w:hAnsi="Arial"/>
          <w:sz w:val="18"/>
          <w:szCs w:val="18"/>
          <w:color w:val="0000FF"/>
        </w:rPr>
        <w:t xml:space="preserve"> </w:t>
      </w:r>
      <w:r>
        <w:rPr>
          <w:rFonts w:ascii="Arial" w:cs="Arial" w:eastAsia="Arial" w:hAnsi="Arial"/>
          <w:sz w:val="18"/>
          <w:szCs w:val="18"/>
          <w:color w:val="000000"/>
        </w:rPr>
        <w:t>anti-bribery laws and regulations applicable to the Borrower or its Subsidiaries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-147955</wp:posOffset>
            </wp:positionV>
            <wp:extent cx="514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50" w:lineRule="exact"/>
        <w:rPr>
          <w:sz w:val="20"/>
          <w:szCs w:val="20"/>
          <w:color w:val="auto"/>
        </w:rPr>
      </w:pPr>
    </w:p>
    <w:p>
      <w:pPr>
        <w:ind w:right="16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means, at any time with respect to any Revolving A Lender or any Revolving B Lender, the percentage, rounded to the ninth decimal place, of the aggregate Revolving A Commitments or Revolving B Commitments, respectively, represented by such Revolving A Lender’s or Revolving B Lender’s, as the case may be, Revolving A Commitment or Revolving B Commitment, respectively, at such time. If the Revolving A Commitments have terminated or expired, the Applicable Percentages shall be determined based upon the Revolving A Commitments most recently in effect, giving effect to any assignments of Revolving A Loans and Tranche A LC Exposures that occur after such termination or expiration. If the Revolving B Commitments have terminated or expired, the Applicable Percentages shall be determined based upon the Revolving B Commitments most recently in effect, giving effect to any assignments of Revolving B Loans and Tranche B LC Exposures that occur after such termination or expiration.</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means, from time to time, the following percentages per annum, based upon the Debt Rating as set forth below:</w:t>
      </w:r>
    </w:p>
    <w:p>
      <w:pPr>
        <w:spacing w:after="0" w:line="240"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820" w:type="dxa"/>
            <w:vAlign w:val="bottom"/>
            <w:gridSpan w:val="3"/>
          </w:tcPr>
          <w:p>
            <w:pPr>
              <w:spacing w:after="0"/>
              <w:rPr>
                <w:sz w:val="20"/>
                <w:szCs w:val="20"/>
                <w:color w:val="auto"/>
              </w:rPr>
            </w:pPr>
            <w:r>
              <w:rPr>
                <w:rFonts w:ascii="Arial" w:cs="Arial" w:eastAsia="Arial" w:hAnsi="Arial"/>
                <w:sz w:val="14"/>
                <w:szCs w:val="14"/>
                <w:b w:val="1"/>
                <w:bCs w:val="1"/>
                <w:color w:val="auto"/>
              </w:rPr>
              <w:t>Pricing</w:t>
            </w:r>
          </w:p>
        </w:tc>
        <w:tc>
          <w:tcPr>
            <w:tcW w:w="186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4"/>
              </w:rPr>
              <w:t>Debt Rating</w:t>
            </w:r>
          </w:p>
        </w:tc>
        <w:tc>
          <w:tcPr>
            <w:tcW w:w="13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w w:val="89"/>
              </w:rPr>
              <w:t>Facility Fee</w:t>
            </w:r>
          </w:p>
        </w:tc>
        <w:tc>
          <w:tcPr>
            <w:tcW w:w="21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2"/>
              </w:rPr>
              <w:t>Eurocurrency Loans and</w:t>
            </w: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2"/>
              </w:rPr>
              <w:t>ABR Loans</w:t>
            </w:r>
          </w:p>
        </w:tc>
        <w:tc>
          <w:tcPr>
            <w:tcW w:w="0" w:type="dxa"/>
            <w:vAlign w:val="bottom"/>
          </w:tcPr>
          <w:p>
            <w:pPr>
              <w:spacing w:after="0"/>
              <w:rPr>
                <w:sz w:val="1"/>
                <w:szCs w:val="1"/>
                <w:color w:val="auto"/>
              </w:rPr>
            </w:pPr>
          </w:p>
        </w:tc>
      </w:tr>
      <w:tr>
        <w:trPr>
          <w:trHeight w:val="162"/>
        </w:trPr>
        <w:tc>
          <w:tcPr>
            <w:tcW w:w="3820" w:type="dxa"/>
            <w:vAlign w:val="bottom"/>
            <w:gridSpan w:val="3"/>
          </w:tcPr>
          <w:p>
            <w:pPr>
              <w:spacing w:after="0"/>
              <w:rPr>
                <w:sz w:val="20"/>
                <w:szCs w:val="20"/>
                <w:color w:val="auto"/>
              </w:rPr>
            </w:pPr>
            <w:r>
              <w:rPr>
                <w:rFonts w:ascii="Arial" w:cs="Arial" w:eastAsia="Arial" w:hAnsi="Arial"/>
                <w:sz w:val="14"/>
                <w:szCs w:val="14"/>
                <w:b w:val="1"/>
                <w:bCs w:val="1"/>
                <w:color w:val="auto"/>
              </w:rPr>
              <w:t>Level</w:t>
            </w:r>
          </w:p>
        </w:tc>
        <w:tc>
          <w:tcPr>
            <w:tcW w:w="186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5"/>
              </w:rPr>
              <w:t>(S&amp;P/Moody’s)</w:t>
            </w:r>
          </w:p>
        </w:tc>
        <w:tc>
          <w:tcPr>
            <w:tcW w:w="1340" w:type="dxa"/>
            <w:vAlign w:val="bottom"/>
            <w:gridSpan w:val="2"/>
            <w:vMerge w:val="continue"/>
          </w:tcPr>
          <w:p>
            <w:pPr>
              <w:spacing w:after="0"/>
              <w:rPr>
                <w:sz w:val="14"/>
                <w:szCs w:val="14"/>
                <w:color w:val="auto"/>
              </w:rPr>
            </w:pPr>
          </w:p>
        </w:tc>
        <w:tc>
          <w:tcPr>
            <w:tcW w:w="21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Letter of Credit Fees</w:t>
            </w: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auto"/>
            </w:tcBorders>
            <w:vMerge w:val="restart"/>
            <w:shd w:val="clear" w:color="auto" w:fill="CCEEFF"/>
          </w:tcPr>
          <w:p>
            <w:pPr>
              <w:spacing w:after="0" w:line="182" w:lineRule="exact"/>
              <w:rPr>
                <w:sz w:val="20"/>
                <w:szCs w:val="20"/>
                <w:color w:val="auto"/>
              </w:rPr>
            </w:pPr>
            <w:r>
              <w:rPr>
                <w:rFonts w:ascii="Arial" w:cs="Arial" w:eastAsia="Arial" w:hAnsi="Arial"/>
                <w:sz w:val="18"/>
                <w:szCs w:val="18"/>
                <w:color w:val="auto"/>
              </w:rPr>
              <w:t>1</w:t>
            </w:r>
          </w:p>
        </w:tc>
        <w:tc>
          <w:tcPr>
            <w:tcW w:w="34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320" w:type="dxa"/>
            <w:vAlign w:val="bottom"/>
            <w:vMerge w:val="continue"/>
            <w:shd w:val="clear" w:color="auto" w:fill="CCEEFF"/>
          </w:tcPr>
          <w:p>
            <w:pPr>
              <w:spacing w:after="0"/>
              <w:rPr>
                <w:sz w:val="14"/>
                <w:szCs w:val="14"/>
                <w:color w:val="auto"/>
              </w:rPr>
            </w:pPr>
          </w:p>
        </w:tc>
        <w:tc>
          <w:tcPr>
            <w:tcW w:w="34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center"/>
              <w:ind w:right="320"/>
              <w:spacing w:after="0" w:line="163" w:lineRule="exact"/>
              <w:rPr>
                <w:sz w:val="20"/>
                <w:szCs w:val="20"/>
                <w:color w:val="auto"/>
              </w:rPr>
            </w:pPr>
            <w:r>
              <w:rPr>
                <w:rFonts w:ascii="Arial" w:cs="Arial" w:eastAsia="Arial" w:hAnsi="Arial"/>
                <w:sz w:val="18"/>
                <w:szCs w:val="18"/>
                <w:color w:val="auto"/>
              </w:rPr>
              <w:t>&gt;A-/A3</w:t>
            </w:r>
          </w:p>
        </w:tc>
        <w:tc>
          <w:tcPr>
            <w:tcW w:w="520" w:type="dxa"/>
            <w:vAlign w:val="bottom"/>
            <w:vMerge w:val="continue"/>
            <w:shd w:val="clear" w:color="auto" w:fill="CCEEFF"/>
          </w:tcPr>
          <w:p>
            <w:pPr>
              <w:spacing w:after="0"/>
              <w:rPr>
                <w:sz w:val="14"/>
                <w:szCs w:val="14"/>
                <w:color w:val="auto"/>
              </w:rPr>
            </w:pPr>
          </w:p>
        </w:tc>
        <w:tc>
          <w:tcPr>
            <w:tcW w:w="1340" w:type="dxa"/>
            <w:vAlign w:val="bottom"/>
            <w:gridSpan w:val="2"/>
            <w:shd w:val="clear" w:color="auto" w:fill="CCEEFF"/>
          </w:tcPr>
          <w:p>
            <w:pPr>
              <w:jc w:val="right"/>
              <w:ind w:right="480"/>
              <w:spacing w:after="0" w:line="163" w:lineRule="exact"/>
              <w:rPr>
                <w:sz w:val="20"/>
                <w:szCs w:val="20"/>
                <w:color w:val="auto"/>
              </w:rPr>
            </w:pPr>
            <w:r>
              <w:rPr>
                <w:rFonts w:ascii="Arial" w:cs="Arial" w:eastAsia="Arial" w:hAnsi="Arial"/>
                <w:sz w:val="18"/>
                <w:szCs w:val="18"/>
                <w:color w:val="auto"/>
              </w:rPr>
              <w:t>0.125%</w:t>
            </w:r>
          </w:p>
        </w:tc>
        <w:tc>
          <w:tcPr>
            <w:tcW w:w="2180" w:type="dxa"/>
            <w:vAlign w:val="bottom"/>
            <w:gridSpan w:val="2"/>
            <w:shd w:val="clear" w:color="auto" w:fill="CCEEFF"/>
          </w:tcPr>
          <w:p>
            <w:pPr>
              <w:jc w:val="right"/>
              <w:ind w:right="480"/>
              <w:spacing w:after="0" w:line="163" w:lineRule="exact"/>
              <w:rPr>
                <w:sz w:val="20"/>
                <w:szCs w:val="20"/>
                <w:color w:val="auto"/>
              </w:rPr>
            </w:pPr>
            <w:r>
              <w:rPr>
                <w:rFonts w:ascii="Arial" w:cs="Arial" w:eastAsia="Arial" w:hAnsi="Arial"/>
                <w:sz w:val="18"/>
                <w:szCs w:val="18"/>
                <w:color w:val="auto"/>
              </w:rPr>
              <w:t>0.875%</w:t>
            </w:r>
          </w:p>
        </w:tc>
        <w:tc>
          <w:tcPr>
            <w:tcW w:w="920" w:type="dxa"/>
            <w:vAlign w:val="bottom"/>
            <w:gridSpan w:val="2"/>
            <w:shd w:val="clear" w:color="auto" w:fill="CCEEFF"/>
          </w:tcPr>
          <w:p>
            <w:pPr>
              <w:jc w:val="right"/>
              <w:ind w:right="40"/>
              <w:spacing w:after="0" w:line="163" w:lineRule="exact"/>
              <w:rPr>
                <w:sz w:val="20"/>
                <w:szCs w:val="20"/>
                <w:color w:val="auto"/>
              </w:rPr>
            </w:pPr>
            <w:r>
              <w:rPr>
                <w:rFonts w:ascii="Arial" w:cs="Arial" w:eastAsia="Arial" w:hAnsi="Arial"/>
                <w:sz w:val="18"/>
                <w:szCs w:val="18"/>
                <w:color w:val="auto"/>
              </w:rPr>
              <w:t>0.000%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4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2</w:t>
            </w:r>
          </w:p>
        </w:tc>
        <w:tc>
          <w:tcPr>
            <w:tcW w:w="3480" w:type="dxa"/>
            <w:vAlign w:val="bottom"/>
          </w:tcPr>
          <w:p>
            <w:pPr>
              <w:spacing w:after="0"/>
              <w:rPr>
                <w:sz w:val="18"/>
                <w:szCs w:val="18"/>
                <w:color w:val="auto"/>
              </w:rPr>
            </w:pPr>
          </w:p>
        </w:tc>
        <w:tc>
          <w:tcPr>
            <w:tcW w:w="1860" w:type="dxa"/>
            <w:vAlign w:val="bottom"/>
            <w:gridSpan w:val="4"/>
          </w:tcPr>
          <w:p>
            <w:pPr>
              <w:jc w:val="center"/>
              <w:ind w:right="520"/>
              <w:spacing w:after="0"/>
              <w:rPr>
                <w:sz w:val="20"/>
                <w:szCs w:val="20"/>
                <w:color w:val="auto"/>
              </w:rPr>
            </w:pPr>
            <w:r>
              <w:rPr>
                <w:rFonts w:ascii="Arial" w:cs="Arial" w:eastAsia="Arial" w:hAnsi="Arial"/>
                <w:sz w:val="18"/>
                <w:szCs w:val="18"/>
                <w:color w:val="auto"/>
                <w:w w:val="94"/>
              </w:rPr>
              <w:t>BBB+ / Baa1</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0.150%</w:t>
            </w:r>
          </w:p>
        </w:tc>
        <w:tc>
          <w:tcPr>
            <w:tcW w:w="2180" w:type="dxa"/>
            <w:vAlign w:val="bottom"/>
            <w:gridSpan w:val="2"/>
          </w:tcPr>
          <w:p>
            <w:pPr>
              <w:jc w:val="right"/>
              <w:ind w:right="480"/>
              <w:spacing w:after="0"/>
              <w:rPr>
                <w:sz w:val="20"/>
                <w:szCs w:val="20"/>
                <w:color w:val="auto"/>
              </w:rPr>
            </w:pPr>
            <w:r>
              <w:rPr>
                <w:rFonts w:ascii="Arial" w:cs="Arial" w:eastAsia="Arial" w:hAnsi="Arial"/>
                <w:sz w:val="18"/>
                <w:szCs w:val="18"/>
                <w:color w:val="auto"/>
              </w:rPr>
              <w:t>0.975%</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3480" w:type="dxa"/>
            <w:vAlign w:val="bottom"/>
            <w:shd w:val="clear" w:color="auto" w:fill="CCEEFF"/>
          </w:tcPr>
          <w:p>
            <w:pPr>
              <w:spacing w:after="0"/>
              <w:rPr>
                <w:sz w:val="18"/>
                <w:szCs w:val="18"/>
                <w:color w:val="auto"/>
              </w:rPr>
            </w:pPr>
          </w:p>
        </w:tc>
        <w:tc>
          <w:tcPr>
            <w:tcW w:w="1860" w:type="dxa"/>
            <w:vAlign w:val="bottom"/>
            <w:gridSpan w:val="4"/>
            <w:shd w:val="clear" w:color="auto" w:fill="CCEEFF"/>
          </w:tcPr>
          <w:p>
            <w:pPr>
              <w:jc w:val="center"/>
              <w:ind w:right="520"/>
              <w:spacing w:after="0"/>
              <w:rPr>
                <w:sz w:val="20"/>
                <w:szCs w:val="20"/>
                <w:color w:val="auto"/>
              </w:rPr>
            </w:pPr>
            <w:r>
              <w:rPr>
                <w:rFonts w:ascii="Arial" w:cs="Arial" w:eastAsia="Arial" w:hAnsi="Arial"/>
                <w:sz w:val="18"/>
                <w:szCs w:val="18"/>
                <w:color w:val="auto"/>
                <w:w w:val="92"/>
              </w:rPr>
              <w:t>BBB / Baa2</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0.200%</w:t>
            </w:r>
          </w:p>
        </w:tc>
        <w:tc>
          <w:tcPr>
            <w:tcW w:w="2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1.175%</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4</w:t>
            </w:r>
          </w:p>
        </w:tc>
        <w:tc>
          <w:tcPr>
            <w:tcW w:w="3480" w:type="dxa"/>
            <w:vAlign w:val="bottom"/>
          </w:tcPr>
          <w:p>
            <w:pPr>
              <w:spacing w:after="0"/>
              <w:rPr>
                <w:sz w:val="18"/>
                <w:szCs w:val="18"/>
                <w:color w:val="auto"/>
              </w:rPr>
            </w:pPr>
          </w:p>
        </w:tc>
        <w:tc>
          <w:tcPr>
            <w:tcW w:w="1860" w:type="dxa"/>
            <w:vAlign w:val="bottom"/>
            <w:gridSpan w:val="4"/>
          </w:tcPr>
          <w:p>
            <w:pPr>
              <w:jc w:val="center"/>
              <w:ind w:right="520"/>
              <w:spacing w:after="0"/>
              <w:rPr>
                <w:sz w:val="20"/>
                <w:szCs w:val="20"/>
                <w:color w:val="auto"/>
              </w:rPr>
            </w:pPr>
            <w:r>
              <w:rPr>
                <w:rFonts w:ascii="Arial" w:cs="Arial" w:eastAsia="Arial" w:hAnsi="Arial"/>
                <w:sz w:val="18"/>
                <w:szCs w:val="18"/>
                <w:color w:val="auto"/>
                <w:w w:val="94"/>
              </w:rPr>
              <w:t>BBB- / Baa3</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0.300%</w:t>
            </w:r>
          </w:p>
        </w:tc>
        <w:tc>
          <w:tcPr>
            <w:tcW w:w="2180" w:type="dxa"/>
            <w:vAlign w:val="bottom"/>
            <w:gridSpan w:val="2"/>
          </w:tcPr>
          <w:p>
            <w:pPr>
              <w:jc w:val="right"/>
              <w:ind w:right="480"/>
              <w:spacing w:after="0"/>
              <w:rPr>
                <w:sz w:val="20"/>
                <w:szCs w:val="20"/>
                <w:color w:val="auto"/>
              </w:rPr>
            </w:pPr>
            <w:r>
              <w:rPr>
                <w:rFonts w:ascii="Arial" w:cs="Arial" w:eastAsia="Arial" w:hAnsi="Arial"/>
                <w:sz w:val="18"/>
                <w:szCs w:val="18"/>
                <w:color w:val="auto"/>
              </w:rPr>
              <w:t>1.325%</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3480" w:type="dxa"/>
            <w:vAlign w:val="bottom"/>
            <w:shd w:val="clear" w:color="auto" w:fill="CCEEFF"/>
          </w:tcPr>
          <w:p>
            <w:pPr>
              <w:spacing w:after="0"/>
              <w:rPr>
                <w:sz w:val="18"/>
                <w:szCs w:val="18"/>
                <w:color w:val="auto"/>
              </w:rPr>
            </w:pPr>
          </w:p>
        </w:tc>
        <w:tc>
          <w:tcPr>
            <w:tcW w:w="1860" w:type="dxa"/>
            <w:vAlign w:val="bottom"/>
            <w:gridSpan w:val="4"/>
            <w:shd w:val="clear" w:color="auto" w:fill="CCEEFF"/>
          </w:tcPr>
          <w:p>
            <w:pPr>
              <w:jc w:val="center"/>
              <w:ind w:right="520"/>
              <w:spacing w:after="0"/>
              <w:rPr>
                <w:sz w:val="20"/>
                <w:szCs w:val="20"/>
                <w:color w:val="auto"/>
              </w:rPr>
            </w:pPr>
            <w:r>
              <w:rPr>
                <w:rFonts w:ascii="Arial" w:cs="Arial" w:eastAsia="Arial" w:hAnsi="Arial"/>
                <w:sz w:val="18"/>
                <w:szCs w:val="18"/>
                <w:color w:val="auto"/>
                <w:w w:val="92"/>
              </w:rPr>
              <w:t>&lt; BBB- / Baa3</w:t>
            </w: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0.400%</w:t>
            </w:r>
          </w:p>
        </w:tc>
        <w:tc>
          <w:tcPr>
            <w:tcW w:w="2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1.375%</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0.375%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Initially, the Applicable Rate shall be determined based upon Pricing Level 3. Thereafter, each change in the Applicable Rate resulting from a publicly announced change in the Debt Rating shall be effective, in the case of an upgrade, during the period commencing on the date of the public announcement thereof and ending on the date immediately preceding the effective date of the next such change and, in the case of a downgrade, during the period commencing on the date of the public announcement thereof and ending on the date immediately preceding the effective date of the next such change.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has the meaning assigned to such term in Section 9.04(b).</w:t>
      </w:r>
    </w:p>
    <w:p>
      <w:pPr>
        <w:spacing w:after="0" w:line="15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23" w:name="page24"/>
    <w:bookmarkEnd w:id="23"/>
    <w:p>
      <w:pPr>
        <w:ind w:right="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Arrangers</w:t>
      </w:r>
      <w:r>
        <w:rPr>
          <w:rFonts w:ascii="Arial" w:cs="Arial" w:eastAsia="Arial" w:hAnsi="Arial"/>
          <w:sz w:val="18"/>
          <w:szCs w:val="18"/>
          <w:color w:val="auto"/>
        </w:rPr>
        <w:t>” means Merrill Lynch, Pierce, Fenner &amp; Smith Incorporated, JPMorgan Chase Bank, N.A., Investment Banking, Skandinaviska Enskilda Banken AB (publ.), Mizuho Bank, Ltd., Nordea Bank AB (publ), New York Branch and Wells Fargo Securities, LLC, each in its capacity as a joint lead arranger for the Facilities.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Asset Sale</w:t>
      </w:r>
      <w:r>
        <w:rPr>
          <w:rFonts w:ascii="Arial" w:cs="Arial" w:eastAsia="Arial" w:hAnsi="Arial"/>
          <w:sz w:val="18"/>
          <w:szCs w:val="18"/>
          <w:color w:val="auto"/>
        </w:rPr>
        <w:t>” has the meaning assigned to such term in Section 6.05.</w:t>
      </w:r>
    </w:p>
    <w:p>
      <w:pPr>
        <w:spacing w:after="0" w:line="225"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entered into by a Lender and an assignee (with the consent of any party whose consent is required by Section 9.04), and accepted by the Administrative Agent,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any other form (including electronic documentation generated by use of an electronic platform) approved by the Administrative Agent.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Auto-Renewal Letter of Credit</w:t>
      </w:r>
      <w:r>
        <w:rPr>
          <w:rFonts w:ascii="Arial" w:cs="Arial" w:eastAsia="Arial" w:hAnsi="Arial"/>
          <w:sz w:val="18"/>
          <w:szCs w:val="18"/>
          <w:color w:val="auto"/>
        </w:rPr>
        <w:t>” has the meaning set forth in Section 2.05(a)(viii).</w:t>
      </w:r>
    </w:p>
    <w:p>
      <w:pPr>
        <w:spacing w:after="0" w:line="225"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of America</w:t>
      </w:r>
      <w:r>
        <w:rPr>
          <w:rFonts w:ascii="Arial" w:cs="Arial" w:eastAsia="Arial" w:hAnsi="Arial"/>
          <w:sz w:val="18"/>
          <w:szCs w:val="18"/>
          <w:color w:val="auto"/>
        </w:rPr>
        <w:t>” means Bank of America, N.A. and its successors.</w:t>
      </w:r>
    </w:p>
    <w:p>
      <w:pPr>
        <w:spacing w:after="0" w:line="22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w:t>
      </w:r>
      <w:r>
        <w:rPr>
          <w:rFonts w:ascii="Arial" w:cs="Arial" w:eastAsia="Arial" w:hAnsi="Arial"/>
          <w:sz w:val="18"/>
          <w:szCs w:val="18"/>
          <w:color w:val="auto"/>
        </w:rPr>
        <w:t xml:space="preserve">” means, for any day, a fluctuating rate per annum equal to the highest of (a) the Federal Funds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1/2 of 1%, (b) the Eurocurrency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1% and (c) the rate of interest in effect for such day as publicly announced from time to time by Bank of America as its “prime rate.”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0000FF"/>
        </w:rPr>
        <w:t>Beneficial Ownership Regulation” shall mean 31 C.F.R. §1010.230.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23495</wp:posOffset>
            </wp:positionV>
            <wp:extent cx="310324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u w:val="single" w:color="auto"/>
          <w:color w:val="000000"/>
        </w:rPr>
        <w:t>Board</w:t>
      </w:r>
      <w:r>
        <w:rPr>
          <w:rFonts w:ascii="Arial" w:cs="Arial" w:eastAsia="Arial" w:hAnsi="Arial"/>
          <w:sz w:val="18"/>
          <w:szCs w:val="18"/>
          <w:color w:val="000000"/>
        </w:rPr>
        <w:t>” means the Board of Governors of the Federal Reserve System of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514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Borrower or, other than for purposes of the definitions of Change of Control and Continuing Directors, any duly authorized committee thereof.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has the meaning assigned to such term in the preamble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has the meaning set forth in Section 5.01.</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Loans of the same Class and Type, made, converted or continued on the same date and, in the case of Eurocurrency Loans, as to which a single Interest Period is in effect.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4" w:right="499" w:bottom="1440" w:gutter="0" w:footer="0" w:header="0"/>
        </w:sectPr>
      </w:pPr>
    </w:p>
    <w:bookmarkStart w:id="24" w:name="page25"/>
    <w:bookmarkEnd w:id="24"/>
    <w:p>
      <w:pPr>
        <w:ind w:right="8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Borrowing Request</w:t>
      </w:r>
      <w:r>
        <w:rPr>
          <w:rFonts w:ascii="Arial" w:cs="Arial" w:eastAsia="Arial" w:hAnsi="Arial"/>
          <w:sz w:val="16"/>
          <w:szCs w:val="16"/>
          <w:color w:val="auto"/>
        </w:rPr>
        <w:t xml:space="preserve">” means a request by the Borrower for a Borrowing in accordance with Section 2.03 which, if in writing, shall be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49"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Broker-Dealer Subsidiary</w:t>
      </w:r>
      <w:r>
        <w:rPr>
          <w:rFonts w:ascii="Arial" w:cs="Arial" w:eastAsia="Arial" w:hAnsi="Arial"/>
          <w:sz w:val="18"/>
          <w:szCs w:val="18"/>
          <w:color w:val="auto"/>
        </w:rPr>
        <w:t>” means any Subsidiary that is registered as a broker-dealer pursuant to Section 15 of the Exchange Act (as in effect from time to time) or that is regulated as a broker-dealer or underwriter under any foreign securities law.</w:t>
      </w:r>
    </w:p>
    <w:p>
      <w:pPr>
        <w:spacing w:after="0" w:line="170" w:lineRule="exact"/>
        <w:rPr>
          <w:sz w:val="20"/>
          <w:szCs w:val="20"/>
          <w:color w:val="auto"/>
        </w:rPr>
      </w:pPr>
    </w:p>
    <w:p>
      <w:pPr>
        <w:ind w:right="2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Sunday, or other day on which commercial banks are authorized to close under the laws, rules, regulations, ordinances, codes or administrative or judicial authorities of, or in fact are closed in, (a) New York City, (b) Stockholm, Sweden (solely with respect to notices of borrowing under Section 2.03) or (c) the state in the United States where the Administrative Agent’s Office with respect to Obligations denominated in Dollars is located and:</w:t>
      </w:r>
    </w:p>
    <w:p>
      <w:pPr>
        <w:spacing w:after="0" w:line="79" w:lineRule="exact"/>
        <w:rPr>
          <w:sz w:val="20"/>
          <w:szCs w:val="20"/>
          <w:color w:val="auto"/>
        </w:rPr>
      </w:pPr>
    </w:p>
    <w:p>
      <w:pPr>
        <w:ind w:left="440" w:firstLine="419"/>
        <w:spacing w:after="0" w:line="259" w:lineRule="auto"/>
        <w:tabs>
          <w:tab w:leader="none" w:pos="1108"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 Eurocurrency Loan denominated in Dollars, any fundings, disbursements, settlements and payments in Dollars in respect of any such Eurocurrency Loan, or any other dealings in Dollars to be carried out pursuant to this Agreement in respect of any such Eurocurrency Loan, means any such day on which dealings in deposits in Dollars are conducted by and between banks in the London interbank eurodollar market;</w:t>
      </w:r>
    </w:p>
    <w:p>
      <w:pPr>
        <w:spacing w:after="0" w:line="78" w:lineRule="exact"/>
        <w:rPr>
          <w:rFonts w:ascii="Arial" w:cs="Arial" w:eastAsia="Arial" w:hAnsi="Arial"/>
          <w:sz w:val="18"/>
          <w:szCs w:val="18"/>
          <w:color w:val="auto"/>
        </w:rPr>
      </w:pPr>
    </w:p>
    <w:p>
      <w:pPr>
        <w:ind w:left="440" w:right="40" w:firstLine="419"/>
        <w:spacing w:after="0" w:line="263" w:lineRule="auto"/>
        <w:tabs>
          <w:tab w:leader="none" w:pos="1118"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 Eurocurrency Loan denominated in Euro, any fundings, disbursements, settlements and payments in Euro in respect of any such Eurocurrency Loan, or any other dealings in Euro to be carried out pursuant to this Agreement in respect of any such Eurocurrency Loan, means a TARGET Day;</w:t>
      </w:r>
    </w:p>
    <w:p>
      <w:pPr>
        <w:spacing w:after="0" w:line="75" w:lineRule="exact"/>
        <w:rPr>
          <w:rFonts w:ascii="Arial" w:cs="Arial" w:eastAsia="Arial" w:hAnsi="Arial"/>
          <w:sz w:val="18"/>
          <w:szCs w:val="18"/>
          <w:color w:val="auto"/>
        </w:rPr>
      </w:pPr>
    </w:p>
    <w:p>
      <w:pPr>
        <w:ind w:left="440" w:right="220" w:firstLine="419"/>
        <w:spacing w:after="0" w:line="263" w:lineRule="auto"/>
        <w:tabs>
          <w:tab w:leader="none" w:pos="1108"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such day relates to any interest rate settings as to a Eurocurrency Loan denominated in a currency other than Dollars or Euro, means any such day on which dealings in deposits in the relevant currency are conducted by and between banks in the London or other applicable offshore interbank market for such currency; and</w:t>
      </w:r>
    </w:p>
    <w:p>
      <w:pPr>
        <w:spacing w:after="0" w:line="75" w:lineRule="exact"/>
        <w:rPr>
          <w:rFonts w:ascii="Arial" w:cs="Arial" w:eastAsia="Arial" w:hAnsi="Arial"/>
          <w:sz w:val="18"/>
          <w:szCs w:val="18"/>
          <w:color w:val="auto"/>
        </w:rPr>
      </w:pPr>
    </w:p>
    <w:p>
      <w:pPr>
        <w:ind w:left="440" w:right="160" w:firstLine="419"/>
        <w:spacing w:after="0" w:line="279" w:lineRule="auto"/>
        <w:tabs>
          <w:tab w:leader="none" w:pos="1118"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such day relates to any fundings, disbursements, settlements and payments in a currency other than Dollars or Euro in respect of a Eurocurrency Loan denominated in a currency other than Dollars or Euro, or any other dealings in any currency other than Dollars or Euro to be carried out pursuant to this Agreement in respect of any such Eurocurrency Loan (other than any interest rate settings), means any such day on which banks are open for foreign exchange business in the principal financial center of the country of such currency.</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Dollars</w:t>
      </w:r>
      <w:r>
        <w:rPr>
          <w:rFonts w:ascii="Arial" w:cs="Arial" w:eastAsia="Arial" w:hAnsi="Arial"/>
          <w:sz w:val="18"/>
          <w:szCs w:val="18"/>
          <w:color w:val="auto"/>
        </w:rPr>
        <w:t>” means the lawful currency of Canada.</w:t>
      </w:r>
    </w:p>
    <w:p>
      <w:pPr>
        <w:spacing w:after="0" w:line="225" w:lineRule="exact"/>
        <w:rPr>
          <w:sz w:val="20"/>
          <w:szCs w:val="20"/>
          <w:color w:val="auto"/>
        </w:rPr>
      </w:pPr>
    </w:p>
    <w:p>
      <w:pPr>
        <w:ind w:right="20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Lease Obligations</w:t>
      </w:r>
      <w:r>
        <w:rPr>
          <w:rFonts w:ascii="Arial" w:cs="Arial" w:eastAsia="Arial" w:hAnsi="Arial"/>
          <w:sz w:val="16"/>
          <w:szCs w:val="16"/>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It is understood that with respect to the accounting for leases as either operating leases or capital leases and the impact of such accounting on the definitions and covenants herein, GAAP as in effect on the Closing Date shall be applied.</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Collateral</w:t>
      </w:r>
      <w:r>
        <w:rPr>
          <w:rFonts w:ascii="Arial" w:cs="Arial" w:eastAsia="Arial" w:hAnsi="Arial"/>
          <w:sz w:val="18"/>
          <w:szCs w:val="18"/>
          <w:color w:val="auto"/>
        </w:rPr>
        <w:t>” has the meaning set forth in Section 2.05(e).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25" w:name="page26"/>
    <w:bookmarkEnd w:id="2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Cash Collateralize</w:t>
      </w:r>
      <w:r>
        <w:rPr>
          <w:rFonts w:ascii="Arial" w:cs="Arial" w:eastAsia="Arial" w:hAnsi="Arial"/>
          <w:sz w:val="18"/>
          <w:szCs w:val="18"/>
          <w:color w:val="auto"/>
        </w:rPr>
        <w:t>” has the meaning set forth in Section 2.05(e).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 any of the following types of investments:</w:t>
      </w:r>
    </w:p>
    <w:p>
      <w:pPr>
        <w:spacing w:after="0" w:line="117" w:lineRule="exact"/>
        <w:rPr>
          <w:sz w:val="20"/>
          <w:szCs w:val="20"/>
          <w:color w:val="auto"/>
        </w:rPr>
      </w:pPr>
    </w:p>
    <w:p>
      <w:pPr>
        <w:ind w:left="4" w:right="180" w:firstLine="419"/>
        <w:spacing w:after="0" w:line="263" w:lineRule="auto"/>
        <w:tabs>
          <w:tab w:leader="none" w:pos="671" w:val="left"/>
        </w:tabs>
        <w:numPr>
          <w:ilvl w:val="1"/>
          <w:numId w:val="9"/>
        </w:numPr>
        <w:rPr>
          <w:rFonts w:ascii="Arial" w:cs="Arial" w:eastAsia="Arial" w:hAnsi="Arial"/>
          <w:sz w:val="18"/>
          <w:szCs w:val="18"/>
          <w:color w:val="auto"/>
        </w:rPr>
      </w:pPr>
      <w:r>
        <w:rPr>
          <w:rFonts w:ascii="Arial" w:cs="Arial" w:eastAsia="Arial" w:hAnsi="Arial"/>
          <w:sz w:val="18"/>
          <w:szCs w:val="18"/>
          <w:color w:val="auto"/>
        </w:rPr>
        <w:t xml:space="preserve">readily marketable obligations issued or directly and fully guaranteed or insured by the United States of America or any agency or instrumentality thereof having maturities of not more than 360 days from the date of acquisition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full faith and credit of the United States of America is pledged in support thereof;</w:t>
      </w:r>
    </w:p>
    <w:p>
      <w:pPr>
        <w:spacing w:after="0" w:line="75" w:lineRule="exact"/>
        <w:rPr>
          <w:rFonts w:ascii="Arial" w:cs="Arial" w:eastAsia="Arial" w:hAnsi="Arial"/>
          <w:sz w:val="18"/>
          <w:szCs w:val="18"/>
          <w:color w:val="auto"/>
        </w:rPr>
      </w:pPr>
    </w:p>
    <w:p>
      <w:pPr>
        <w:ind w:left="4" w:right="20" w:firstLine="419"/>
        <w:spacing w:after="0" w:line="286" w:lineRule="auto"/>
        <w:tabs>
          <w:tab w:leader="none" w:pos="681" w:val="left"/>
        </w:tabs>
        <w:numPr>
          <w:ilvl w:val="1"/>
          <w:numId w:val="9"/>
        </w:numPr>
        <w:rPr>
          <w:rFonts w:ascii="Arial" w:cs="Arial" w:eastAsia="Arial" w:hAnsi="Arial"/>
          <w:sz w:val="16"/>
          <w:szCs w:val="16"/>
          <w:color w:val="auto"/>
        </w:rPr>
      </w:pPr>
      <w:r>
        <w:rPr>
          <w:rFonts w:ascii="Arial" w:cs="Arial" w:eastAsia="Arial" w:hAnsi="Arial"/>
          <w:sz w:val="16"/>
          <w:szCs w:val="16"/>
          <w:color w:val="auto"/>
        </w:rPr>
        <w:t>time deposits with, or insured certificates of deposit or bankers’ acceptances of, any commercial bank that (i) (A) is a Lender or (B) is organized under the laws of the United States of America, any state thereof or the District of Columbia or is the principal banking subsidiary of a bank holding company organized under the laws of the United States of America, any state thereof or the District of Columbia, and is a member of the Federal Reserve System, (ii) issues (or the parent of which issues) commercial paper rated as described in clause (c) of this definition and</w:t>
      </w:r>
    </w:p>
    <w:p>
      <w:pPr>
        <w:spacing w:after="0" w:line="1" w:lineRule="exact"/>
        <w:rPr>
          <w:rFonts w:ascii="Arial" w:cs="Arial" w:eastAsia="Arial" w:hAnsi="Arial"/>
          <w:sz w:val="16"/>
          <w:szCs w:val="16"/>
          <w:color w:val="auto"/>
        </w:rPr>
      </w:pPr>
    </w:p>
    <w:p>
      <w:pPr>
        <w:ind w:left="4" w:right="840" w:hanging="4"/>
        <w:spacing w:after="0" w:line="260" w:lineRule="auto"/>
        <w:tabs>
          <w:tab w:leader="none" w:pos="318" w:val="left"/>
        </w:tabs>
        <w:numPr>
          <w:ilvl w:val="0"/>
          <w:numId w:val="10"/>
        </w:numPr>
        <w:rPr>
          <w:rFonts w:ascii="Arial" w:cs="Arial" w:eastAsia="Arial" w:hAnsi="Arial"/>
          <w:sz w:val="18"/>
          <w:szCs w:val="18"/>
          <w:color w:val="auto"/>
        </w:rPr>
      </w:pPr>
      <w:r>
        <w:rPr>
          <w:rFonts w:ascii="Arial" w:cs="Arial" w:eastAsia="Arial" w:hAnsi="Arial"/>
          <w:sz w:val="18"/>
          <w:szCs w:val="18"/>
          <w:color w:val="auto"/>
        </w:rPr>
        <w:t>has combined capital and surplus of at least $1,000,000,000, in each case with maturities of not more than 90 days from the date of acquisition thereof;</w:t>
      </w:r>
    </w:p>
    <w:p>
      <w:pPr>
        <w:spacing w:after="0" w:line="77" w:lineRule="exact"/>
        <w:rPr>
          <w:rFonts w:ascii="Arial" w:cs="Arial" w:eastAsia="Arial" w:hAnsi="Arial"/>
          <w:sz w:val="18"/>
          <w:szCs w:val="18"/>
          <w:color w:val="auto"/>
        </w:rPr>
      </w:pPr>
    </w:p>
    <w:p>
      <w:pPr>
        <w:ind w:left="4" w:right="180" w:firstLine="419"/>
        <w:spacing w:after="0" w:line="263" w:lineRule="auto"/>
        <w:tabs>
          <w:tab w:leader="none" w:pos="671"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commercial paper issued by any Person organized under the laws of any state of the United States of America and rated, at the time of acquisition thereof, at least “Prime-1” (or the then equivalent grade) by Moody’s or at least “A-1” (or the then equivalent grade) by S&amp;P, in each case with maturities of not more than 180 days from the date of acquisition thereof;</w:t>
      </w:r>
    </w:p>
    <w:p>
      <w:pPr>
        <w:spacing w:after="0" w:line="75" w:lineRule="exact"/>
        <w:rPr>
          <w:rFonts w:ascii="Arial" w:cs="Arial" w:eastAsia="Arial" w:hAnsi="Arial"/>
          <w:sz w:val="18"/>
          <w:szCs w:val="18"/>
          <w:color w:val="auto"/>
        </w:rPr>
      </w:pPr>
    </w:p>
    <w:p>
      <w:pPr>
        <w:ind w:left="4" w:firstLine="419"/>
        <w:spacing w:after="0" w:line="259" w:lineRule="auto"/>
        <w:tabs>
          <w:tab w:leader="none" w:pos="681"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investments, classified in accordance with GAAP as current assets of the Borrower or any of its Subsidiaries, in money market investment programs registered under the Investment Company Act of 1940, which are administered by financial institutions that, at the time of acquisition thereof, have the highest rating obtainable from either Moody’s or S&amp;P, and the portfolios of which are limited solely to investments of the character, quality and maturity described in clauses (a), (b) and (c) of this definition; and</w:t>
      </w:r>
    </w:p>
    <w:p>
      <w:pPr>
        <w:spacing w:after="0" w:line="78" w:lineRule="exact"/>
        <w:rPr>
          <w:rFonts w:ascii="Arial" w:cs="Arial" w:eastAsia="Arial" w:hAnsi="Arial"/>
          <w:sz w:val="18"/>
          <w:szCs w:val="18"/>
          <w:color w:val="auto"/>
        </w:rPr>
      </w:pPr>
    </w:p>
    <w:p>
      <w:pPr>
        <w:ind w:left="664" w:hanging="241"/>
        <w:spacing w:after="0"/>
        <w:tabs>
          <w:tab w:leader="none" w:pos="664" w:val="left"/>
        </w:tabs>
        <w:numPr>
          <w:ilvl w:val="1"/>
          <w:numId w:val="10"/>
        </w:numPr>
        <w:rPr>
          <w:rFonts w:ascii="Arial" w:cs="Arial" w:eastAsia="Arial" w:hAnsi="Arial"/>
          <w:sz w:val="18"/>
          <w:szCs w:val="18"/>
          <w:color w:val="auto"/>
        </w:rPr>
      </w:pPr>
      <w:r>
        <w:rPr>
          <w:rFonts w:ascii="Arial" w:cs="Arial" w:eastAsia="Arial" w:hAnsi="Arial"/>
          <w:sz w:val="18"/>
          <w:szCs w:val="18"/>
          <w:color w:val="auto"/>
        </w:rPr>
        <w:t>such other investments as may be agreed to from time to time between the Borrower and the Administrative Agent.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w:t>
      </w:r>
    </w:p>
    <w:p>
      <w:pPr>
        <w:spacing w:after="0" w:line="117" w:lineRule="exact"/>
        <w:rPr>
          <w:sz w:val="20"/>
          <w:szCs w:val="20"/>
          <w:color w:val="auto"/>
        </w:rPr>
      </w:pPr>
    </w:p>
    <w:p>
      <w:pPr>
        <w:ind w:left="4" w:right="20" w:firstLine="419"/>
        <w:spacing w:after="0" w:line="293" w:lineRule="auto"/>
        <w:tabs>
          <w:tab w:leader="none" w:pos="671"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“person” or “group” (as such terms are used in Sections 13(d) and 14(d) of the Exchange Act) becomes the “beneficial owner” (as defined in Rules 13d-3 and 13d-5 under the Exchange Act), directly or indirectly, of Equity Interests in the Borrower representing either (x) more than 35% of the aggregate ordinary voting power (it being understood that to the extent that Equity Interests in the Borrower held by any such person or group are disregarded for ordinary voting purposes pursuant to the terms of the Borrower’s Organizational Documents, such Equity Interests shall not be included for purposes of determining whether the threshold set forth in this subclause (x) has been met) or (y) more than 50% of the aggregate equity value represented by the issued and outstanding Equity Interests in the Borrower, or</w:t>
      </w:r>
    </w:p>
    <w:p>
      <w:pPr>
        <w:spacing w:after="0" w:line="56" w:lineRule="exact"/>
        <w:rPr>
          <w:rFonts w:ascii="Arial" w:cs="Arial" w:eastAsia="Arial" w:hAnsi="Arial"/>
          <w:sz w:val="16"/>
          <w:szCs w:val="16"/>
          <w:color w:val="auto"/>
        </w:rPr>
      </w:pPr>
    </w:p>
    <w:p>
      <w:pPr>
        <w:ind w:left="4" w:right="420" w:firstLine="419"/>
        <w:spacing w:after="0" w:line="277" w:lineRule="auto"/>
        <w:tabs>
          <w:tab w:leader="none" w:pos="681"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occupation of a majority of the seats (other than vacant seats) on the Board of Directors of the Borrower by Persons who are not Continuing Directors; or</w:t>
      </w:r>
    </w:p>
    <w:p>
      <w:pPr>
        <w:spacing w:after="0" w:line="103"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84"/>
          </w:cols>
          <w:pgMar w:left="876" w:top="274" w:right="439" w:bottom="1440" w:gutter="0" w:footer="0" w:header="0"/>
        </w:sectPr>
      </w:pPr>
    </w:p>
    <w:bookmarkStart w:id="26" w:name="page27"/>
    <w:bookmarkEnd w:id="26"/>
    <w:p>
      <w:pPr>
        <w:ind w:left="440" w:firstLine="419"/>
        <w:spacing w:after="0" w:line="277" w:lineRule="auto"/>
        <w:tabs>
          <w:tab w:leader="none" w:pos="1108"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occurrence of a “Change in Control” (or similar event, however denominated), as defined in any indenture or agreement in respect of Material Indebtedness of the Borrower or any Subsidiary.</w:t>
      </w:r>
    </w:p>
    <w:p>
      <w:pPr>
        <w:spacing w:after="0" w:line="170"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Law</w:t>
      </w:r>
      <w:r>
        <w:rPr>
          <w:rFonts w:ascii="Arial" w:cs="Arial" w:eastAsia="Arial" w:hAnsi="Arial"/>
          <w:sz w:val="16"/>
          <w:szCs w:val="16"/>
          <w:color w:val="auto"/>
        </w:rPr>
        <w:t>” means (a) the adoption of any law, rule or regulation after the date of this Agreement, (b) any change in any law, rule or regulation or in the interpretation or application thereof by any Governmental Authority after the date of this Agreement or (c) compliance by any Lender or Issuing Bank (or, for purposes of Section 2.13(b), by any lending office of such Lender or by such Lender’s or Issuing Bank’s holding company, if any) with any request, guideline or directive (whether or not having the force of law) of any Governmental Authority made or issued after the date of this Agreement. It is understood and agreed that (x) the Dodd-Frank Wall Street Reform and Consumer Protection Act and all requests, rules, guidelines and directives thereunder or issued in connection therewith and (y) all requests, rules, guidelines or directives promulgated by the Bank for International Settlements, the Basel Committee on Banking Supervision (or any successor or similar authority) or the United States regulatory authorities, in each case pursuant to Basel III, shall in each case be deemed to be a “Change in Law” regardless of the date enacted, adopted or issued.</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Charges</w:t>
      </w:r>
      <w:r>
        <w:rPr>
          <w:rFonts w:ascii="Arial" w:cs="Arial" w:eastAsia="Arial" w:hAnsi="Arial"/>
          <w:sz w:val="18"/>
          <w:szCs w:val="18"/>
          <w:color w:val="auto"/>
        </w:rPr>
        <w:t>” has the meaning set forth in Section 9.13.</w:t>
      </w:r>
    </w:p>
    <w:p>
      <w:pPr>
        <w:spacing w:after="0" w:line="225" w:lineRule="exact"/>
        <w:rPr>
          <w:sz w:val="20"/>
          <w:szCs w:val="20"/>
          <w:color w:val="auto"/>
        </w:rPr>
      </w:pPr>
    </w:p>
    <w:p>
      <w:pPr>
        <w:ind w:right="2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w:t>
      </w:r>
      <w:r>
        <w:rPr>
          <w:rFonts w:ascii="Arial" w:cs="Arial" w:eastAsia="Arial" w:hAnsi="Arial"/>
          <w:sz w:val="18"/>
          <w:szCs w:val="18"/>
          <w:color w:val="auto"/>
        </w:rPr>
        <w:t>,” (a) when used in reference to any Loan or Borrowing, refers to whether such Loan, or the Loans comprising such Borrowing, are Revolving A Loans or Revolving B Loans, (b) when used in reference to any Commitment, refers to whether such Commitment is a Revolving A Commitment or Revolving B Commitment, and (c) when used in reference to any Lender, refers to whether such Lender has a Loan or Commitment with respect to a particular Class.</w:t>
      </w:r>
    </w:p>
    <w:p>
      <w:pPr>
        <w:spacing w:after="0" w:line="187" w:lineRule="exact"/>
        <w:rPr>
          <w:sz w:val="20"/>
          <w:szCs w:val="20"/>
          <w:color w:val="auto"/>
        </w:rPr>
      </w:pPr>
    </w:p>
    <w:p>
      <w:pPr>
        <w:ind w:right="12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Clearing House</w:t>
      </w:r>
      <w:r>
        <w:rPr>
          <w:rFonts w:ascii="Arial" w:cs="Arial" w:eastAsia="Arial" w:hAnsi="Arial"/>
          <w:sz w:val="17"/>
          <w:szCs w:val="17"/>
          <w:color w:val="auto"/>
        </w:rPr>
        <w:t>” means each Subsidiary of the Borrower that reconciles, settles, adjusts and clears contracts on an exchange of the Borrower or any of its Subsidiaries or any other exchange in respect of which the Borrower or any of its Subsidiaries has equivalent authority, as the case may be, subject, as applicable, to the rules of any exchange which is qualified to clear trades through such Clearing House.</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Clearing Member</w:t>
      </w:r>
      <w:r>
        <w:rPr>
          <w:rFonts w:ascii="Arial" w:cs="Arial" w:eastAsia="Arial" w:hAnsi="Arial"/>
          <w:sz w:val="18"/>
          <w:szCs w:val="18"/>
          <w:color w:val="auto"/>
        </w:rPr>
        <w:t>” means a firm qualified to clear trades through any Clearing House.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Clearing Operations</w:t>
      </w:r>
      <w:r>
        <w:rPr>
          <w:rFonts w:ascii="Arial" w:cs="Arial" w:eastAsia="Arial" w:hAnsi="Arial"/>
          <w:sz w:val="18"/>
          <w:szCs w:val="18"/>
          <w:color w:val="auto"/>
        </w:rPr>
        <w:t>” means the business relating to clearing, depository and settlement operations conducted by any Subsidiary.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w:t>
      </w:r>
      <w:r>
        <w:rPr>
          <w:rFonts w:ascii="Arial" w:cs="Arial" w:eastAsia="Arial" w:hAnsi="Arial"/>
          <w:sz w:val="18"/>
          <w:szCs w:val="18"/>
          <w:color w:val="auto"/>
        </w:rPr>
        <w:t>” has the meaning assigned to such term in Section 9.04(b).</w:t>
      </w:r>
    </w:p>
    <w:p>
      <w:pPr>
        <w:spacing w:after="0" w:line="225"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first Business Day on which the conditions specified in Section 4.01 are satisfied (or waived in accordance with Section 9.02), which date is the date 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Fee</w:t>
      </w:r>
      <w:r>
        <w:rPr>
          <w:rFonts w:ascii="Arial" w:cs="Arial" w:eastAsia="Arial" w:hAnsi="Arial"/>
          <w:sz w:val="18"/>
          <w:szCs w:val="18"/>
          <w:color w:val="auto"/>
        </w:rPr>
        <w:t>” has the meaning assigned to such term in Section 2.10(c).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with respect to any Lender, such Lender’s Revolving Commitment.</w:t>
      </w:r>
    </w:p>
    <w:p>
      <w:pPr>
        <w:spacing w:after="0" w:line="15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40" w:top="274" w:right="499" w:bottom="1440" w:gutter="0" w:footer="0" w:header="0"/>
        </w:sectPr>
      </w:pPr>
    </w:p>
    <w:bookmarkStart w:id="27" w:name="page28"/>
    <w:bookmarkEnd w:id="27"/>
    <w:p>
      <w:pPr>
        <w:ind w:right="40" w:firstLine="4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Consolidated Cash Interest Expense</w:t>
      </w:r>
      <w:r>
        <w:rPr>
          <w:rFonts w:ascii="Arial" w:cs="Arial" w:eastAsia="Arial" w:hAnsi="Arial"/>
          <w:sz w:val="16"/>
          <w:szCs w:val="16"/>
          <w:color w:val="auto"/>
        </w:rPr>
        <w:t xml:space="preserve">” means, for any period, the excess of (a) the sum of (i) the interest expense (including imputed interest expense in respect of Capital Lease Obligations) of the Borrower and the Subsidiaries for such period, determined on a consolidated basis in accordance with GAAP, (ii) any interest accrued during such period in respect of Indebtedness of the Borrower or any Subsidiary that is required to be capitalized rather than included in consolidated interest expense for such period in accordance with GAAP and (iii) any cash payments made during such period in respect of obligations referred to in clause (b)(ii) below that were amortized or accrued in a previous period,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sum of (i) to the extent included in such consolidated interest expense for such period, non-cash amounts attributable to amortization of financing costs paid in a previous period, (ii) to the extent included in such consolidated interest expense for such period, non-cash amounts attributable to amortization of debt discounts or accrued interest payable in kind for such period, and (iii) any break funding payment made pursuant to Section 2.14.</w:t>
      </w:r>
    </w:p>
    <w:p>
      <w:pPr>
        <w:spacing w:after="0" w:line="165"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EBITDA</w:t>
      </w:r>
      <w:r>
        <w:rPr>
          <w:rFonts w:ascii="Arial" w:cs="Arial" w:eastAsia="Arial" w:hAnsi="Arial"/>
          <w:sz w:val="16"/>
          <w:szCs w:val="16"/>
          <w:color w:val="auto"/>
        </w:rPr>
        <w:t>” means, for any period, Consolidated Net Income for such period plus (a) without duplication and to the extent deducted in determining such Consolidated Net Income, the sum of (i) consolidated interest expense for such period, (ii) consolidated income tax expense for such period, (iii) all amounts attributable to depreciation and amortization for such period, (iv) any non-cash charges for such period, (v) non-recurring, infrequent or unusual charges (subject to clause (e)(ii)(B) of Item 10 of Regulation S-K under the Securities Act of 1933) incurred during such period, including, without limitation, with respect to restructurings, headcount reductions or other similar actions, including severance charges in respect of employee terminations, costs, expenses or amounts paid in connection with litigation, investigations, fines, settlements and judgments, in an aggregate amount pursuant to this clause (v) not to exceed the greater of (1) $60,000,000 and (2) five percent (5.0%) of Consolidated EBITDA for such period (calculated without giving effect to this clause (v)), (vi) non-cash expenses resulting from the grant of stock options, restricted stock units, performance stock units or other equity-related incentives or benefits to any director, officer or employee of the Borrower or any Subsidiary pursuant to a written plan or agreement approved by the Board of Directors of the Borrower, (vii) non-cash charges attributable to impairment of goodwill or other intangible assets or impairment of long-lived assets, (viii) the aggregate amount of all deferred financing fees and expenses incurred during such period in connection with the Transactions, all non-recurring fees and expenses (excluding interest charges) paid during such period in connection with the Transactions (including, without limitation, fees and expenses incurred in connection with the issuance or extinguishment of debt incurred in connection with the Transactions) and related fees and expenses paid to advisors (but excluding integration and restructuring charges incurred or paid in connection with the Transactions), (ix) integration and restructuring expenses and charges incurred during such period in connection with Acquisitions in an aggregate amount not to exceed the greater of (1) $100,000,000 and (2) ten percent (10.0%) of Consolidated EBITDA for such period (calculated without giving effect to this clause (ix)), set forth in reasonable detail and certified by a Financial Officer of the Borrower, (x) any costs, fees and expenses incurred in connection with any actual or proposed Acquisition, merger, joint venture, issuance of Equity Interests or Equity Equivalents, issuance or prepayments of Indebtedness, disposition or investment not prohibited hereby, in each case whether or not consummated, and (xi) expenses and charges incurred during such period in connection with natural disasters, catastrophes and other force majeure events, and minus (b) without duplication and to the extent included in determining such Consolidated Net Income, the sum of (i) any cash disbursements during such period that relate to non-cash charges or losses added to Consolidated Net Income pursuant to clause (a)(iv) or (a)(vi) of this definition in any prior period, (ii) any non-recurring gains for such period resulting from natural disasters, catastrophes and other force majeure events (including as a result of the receipt of casualty insurance proceeds), (iii) any non-cash gains for such period, (iv) any income relating to defined benefits pension or post-retirement benefit plans and (v) all gains during such period resulting from the sale or disposition of any asset of the Borrower or any Subsidiary outside the ordinary course of business, all determined on a consolidated basis in accordance with GAAP.</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28" w:name="page29"/>
    <w:bookmarkEnd w:id="28"/>
    <w:p>
      <w:pPr>
        <w:ind w:right="40"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Consolidated Net Income</w:t>
      </w:r>
      <w:r>
        <w:rPr>
          <w:rFonts w:ascii="Arial" w:cs="Arial" w:eastAsia="Arial" w:hAnsi="Arial"/>
          <w:sz w:val="17"/>
          <w:szCs w:val="17"/>
          <w:color w:val="auto"/>
        </w:rPr>
        <w:t xml:space="preserve">” means, for any period, the net income (or loss) of the Borrower and the Subsidiaries for such period determined on a consolidated basis in accordance with GAAP;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there shall be excluded (a) the net income (or loss) of any Subsidiary of the Borrower to the extent that the declaration or payment of dividends or similar distributions by such Subsidiary of such net income is not at the time permitted by operation of the terms of its Organizational Documents or any agreement or instrument (other than a Loan Document) or any Requirement of Law applicable to such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there shall not be excluded from Consolidated Net Income such part of net income that is used or designated as being available to satisfy regulatory capital or liquidity requirements imposed on any Subsidiary of the Borrower by any Governmental Authority or pursuant to any Requirement of Law), and (b) the net income (or loss) of any other Person that is not a Subsidiary of the Borrower (or is accounted for by the Borrower by the equity method of accounting), except to the extent of the amount of cash dividends or other cash distributions actually paid to the Borrower or any Subsidiary (except to the extent the income (or loss) of such Subsidiary would be excluded from Consolidated Net Income pursuant to clause (a) of this proviso) during such period.</w:t>
      </w:r>
    </w:p>
    <w:p>
      <w:pPr>
        <w:spacing w:after="0" w:line="185"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Director</w:t>
      </w:r>
      <w:r>
        <w:rPr>
          <w:rFonts w:ascii="Arial" w:cs="Arial" w:eastAsia="Arial" w:hAnsi="Arial"/>
          <w:sz w:val="18"/>
          <w:szCs w:val="18"/>
          <w:color w:val="auto"/>
        </w:rPr>
        <w:t>” means (a) any member of the Board of Directors of the Borrower who was a member of the Board of Directors of the Borrower on the date of this Agreement and (b) any individual who becomes a member of the Board of Directors of the Borrower after the date of this Agreement if such individual was appointed, elected, nominated or approved for election to the Board of Directors of the Borrower with the affirmative vote of at least a majority of the directors then still in office.</w:t>
      </w:r>
    </w:p>
    <w:p>
      <w:pPr>
        <w:spacing w:after="0" w:line="187" w:lineRule="exact"/>
        <w:rPr>
          <w:sz w:val="20"/>
          <w:szCs w:val="20"/>
          <w:color w:val="auto"/>
        </w:rPr>
      </w:pPr>
    </w:p>
    <w:p>
      <w:pPr>
        <w:ind w:right="58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or policies, whether through the ability to exercise voting power, by contract or otherwise. “</w:t>
      </w:r>
      <w:r>
        <w:rPr>
          <w:rFonts w:ascii="Arial" w:cs="Arial" w:eastAsia="Arial" w:hAnsi="Arial"/>
          <w:sz w:val="16"/>
          <w:szCs w:val="16"/>
          <w:u w:val="single" w:color="auto"/>
          <w:color w:val="auto"/>
        </w:rPr>
        <w:t>Controlling</w:t>
      </w:r>
      <w:r>
        <w:rPr>
          <w:rFonts w:ascii="Arial" w:cs="Arial" w:eastAsia="Arial" w:hAnsi="Arial"/>
          <w:sz w:val="16"/>
          <w:szCs w:val="16"/>
          <w:color w:val="auto"/>
        </w:rPr>
        <w:t>” and “</w:t>
      </w:r>
      <w:r>
        <w:rPr>
          <w:rFonts w:ascii="Arial" w:cs="Arial" w:eastAsia="Arial" w:hAnsi="Arial"/>
          <w:sz w:val="16"/>
          <w:szCs w:val="16"/>
          <w:u w:val="single" w:color="auto"/>
          <w:color w:val="auto"/>
        </w:rPr>
        <w:t>Controlled</w:t>
      </w:r>
      <w:r>
        <w:rPr>
          <w:rFonts w:ascii="Arial" w:cs="Arial" w:eastAsia="Arial" w:hAnsi="Arial"/>
          <w:sz w:val="16"/>
          <w:szCs w:val="16"/>
          <w:color w:val="auto"/>
        </w:rPr>
        <w:t>” have meanings correlative thereto.</w:t>
      </w:r>
    </w:p>
    <w:p>
      <w:pPr>
        <w:spacing w:after="0" w:line="12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Cost of Funds Rate</w:t>
      </w:r>
      <w:r>
        <w:rPr>
          <w:rFonts w:ascii="Arial" w:cs="Arial" w:eastAsia="Arial" w:hAnsi="Arial"/>
          <w:sz w:val="18"/>
          <w:szCs w:val="18"/>
          <w:color w:val="auto"/>
        </w:rPr>
        <w:t>” means, as of any day, the rate of interest determined by the Administrative Agent to be representative of its or the applicable Lenders’ cost of funds, as applicable, to extend or maintain credit under this Agreement on such day.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Danish Kroner</w:t>
      </w:r>
      <w:r>
        <w:rPr>
          <w:rFonts w:ascii="Arial" w:cs="Arial" w:eastAsia="Arial" w:hAnsi="Arial"/>
          <w:sz w:val="18"/>
          <w:szCs w:val="18"/>
          <w:color w:val="auto"/>
        </w:rPr>
        <w:t>” means the lawful currency of Denmark.</w:t>
      </w:r>
    </w:p>
    <w:p>
      <w:pPr>
        <w:spacing w:after="0" w:line="225"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Rating</w:t>
      </w:r>
      <w:r>
        <w:rPr>
          <w:rFonts w:ascii="Arial" w:cs="Arial" w:eastAsia="Arial" w:hAnsi="Arial"/>
          <w:sz w:val="18"/>
          <w:szCs w:val="18"/>
          <w:color w:val="auto"/>
        </w:rPr>
        <w:t>” means, as of any date of determination, the rating as determined by either S&amp;P or Moody’s (collectively, the “</w:t>
      </w:r>
      <w:r>
        <w:rPr>
          <w:rFonts w:ascii="Arial" w:cs="Arial" w:eastAsia="Arial" w:hAnsi="Arial"/>
          <w:sz w:val="18"/>
          <w:szCs w:val="18"/>
          <w:u w:val="single" w:color="auto"/>
          <w:color w:val="auto"/>
        </w:rPr>
        <w:t>Debt Ratings</w:t>
      </w:r>
      <w:r>
        <w:rPr>
          <w:rFonts w:ascii="Arial" w:cs="Arial" w:eastAsia="Arial" w:hAnsi="Arial"/>
          <w:sz w:val="18"/>
          <w:szCs w:val="18"/>
          <w:color w:val="auto"/>
        </w:rPr>
        <w:t xml:space="preserve">”) of the Borrower’s non-credit-enhanced, senior unsecured long-term debt;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if the respective Debt Ratings issued by the foregoing rating agencies differ by one level, then the Pricing Level for the higher of such Debt Ratings shall apply (with the Debt Rating for Pricing Level 1 being the highest and the Debt Rating for Pricing Level 5 being the lowest); (b) if there is a split in Debt Ratings of more than one level, then the Pricing Level of the Debt Rating that is one level higher than the Pricing Level of the lower Debt Rating shall apply; (c) if the Borrower has only one Debt Rating, the Pricing Level that is one level lower than that of such Debt Rating shall apply; and (d) if the Borrower does not have any Debt Rating, Pricing Level 5 shall apply.</w:t>
      </w:r>
    </w:p>
    <w:p>
      <w:pPr>
        <w:spacing w:after="0" w:line="195"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that constitutes an Event of Default or that upon notice, lapse of time or both would, unless cured or waived, become an Event of Default.</w:t>
      </w:r>
    </w:p>
    <w:p>
      <w:pPr>
        <w:spacing w:after="0" w:line="170"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means any Lender whose acts or failure to act, whether directly or indirectly, cause it to meet any part of the definition of “Lender Default,” as determined by the Administrative Agent.</w:t>
      </w:r>
    </w:p>
    <w:p>
      <w:pPr>
        <w:spacing w:after="0" w:line="170" w:lineRule="exact"/>
        <w:rPr>
          <w:sz w:val="20"/>
          <w:szCs w:val="20"/>
          <w:color w:val="auto"/>
        </w:rPr>
      </w:pPr>
    </w:p>
    <w:p>
      <w:pPr>
        <w:ind w:right="7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Jurisdiction</w:t>
      </w:r>
      <w:r>
        <w:rPr>
          <w:rFonts w:ascii="Arial" w:cs="Arial" w:eastAsia="Arial" w:hAnsi="Arial"/>
          <w:sz w:val="18"/>
          <w:szCs w:val="18"/>
          <w:color w:val="auto"/>
        </w:rPr>
        <w:t>” means any country or territory to the extent that such country or territory itself is the subject of comprehensive Sanctions.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29" w:name="page30"/>
    <w:bookmarkEnd w:id="2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Disclosed Matters</w:t>
      </w:r>
      <w:r>
        <w:rPr>
          <w:rFonts w:ascii="Arial" w:cs="Arial" w:eastAsia="Arial" w:hAnsi="Arial"/>
          <w:sz w:val="18"/>
          <w:szCs w:val="18"/>
          <w:color w:val="auto"/>
        </w:rPr>
        <w:t xml:space="preserve">” means the actions, suits and proceedings and the environmental matters disclosed in </w:t>
      </w:r>
      <w:r>
        <w:rPr>
          <w:rFonts w:ascii="Arial" w:cs="Arial" w:eastAsia="Arial" w:hAnsi="Arial"/>
          <w:sz w:val="18"/>
          <w:szCs w:val="18"/>
          <w:u w:val="single" w:color="auto"/>
          <w:color w:val="auto"/>
        </w:rPr>
        <w:t>Schedule 3.06</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Equity Interests</w:t>
      </w:r>
      <w:r>
        <w:rPr>
          <w:rFonts w:ascii="Arial" w:cs="Arial" w:eastAsia="Arial" w:hAnsi="Arial"/>
          <w:sz w:val="18"/>
          <w:szCs w:val="18"/>
          <w:color w:val="auto"/>
        </w:rPr>
        <w:t xml:space="preserve">” means Equity Interests that (a) mature or are mandatorily redeemable or subject to mandatory repurchase or redemption or repurchase at the option of the holders thereof (other than solely for Equity Interests that do not constitute Disqualified Equity Interests), in whole or in part and whether upon the occurrence of any event, pursuant to a sinking fund obligation, on a fixed date or otherwise, prior to the date that is 91 days after the Maturity Date (other than upon payment in full of the Obligations, reduction of the LC Exposure to zero and termination of the Commitments or upon a “change in control”;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payment required pursuant to a “change in control” is contractually subordinated in right of payment to the Obligations on terms reasonably satisfactory to the Administrative Agent and such requirement is not applicable in more circumstances than pursuant to the change of control provisions in the Senior Notes Indentures as of the date hereof), or (b) are convertible or exchangeable, automatically or at the option of any holder thereof, into any Indebtedness, Equity Interests or other assets other than Qualified Equity Interests.</w:t>
      </w:r>
    </w:p>
    <w:p>
      <w:pPr>
        <w:spacing w:after="0" w:line="196"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Documentation Agents</w:t>
      </w:r>
      <w:r>
        <w:rPr>
          <w:rFonts w:ascii="Arial" w:cs="Arial" w:eastAsia="Arial" w:hAnsi="Arial"/>
          <w:sz w:val="18"/>
          <w:szCs w:val="18"/>
          <w:color w:val="auto"/>
        </w:rPr>
        <w:t>” means HSBC Bank USA, N.A., Industrial and Commercial Bank of China, New York Branch and TD Bank, N.A., each in its capacity as a documentation agent for the Facilities.</w:t>
      </w:r>
    </w:p>
    <w:p>
      <w:pPr>
        <w:spacing w:after="0" w:line="170"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means, at any time, (a) with respect to any amount denominated in Dollars, such amount, and (b) with respect to any amount denominated in any Alternative Currency, the equivalent amount thereof in Dollars as determined by the Administrative Agent or the applicable Issuing Bank, as the case may be, at such time on the basis of the Spot Rate (determined in respect of the most recent Revaluation Date) for the purchase of Dollars with such Alternative Currency.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refers to lawful money of the United States of America.</w:t>
      </w:r>
    </w:p>
    <w:p>
      <w:pPr>
        <w:spacing w:after="0" w:line="225"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this definition, or (c) any financial institution established in an EEA Member Country which is a subsidiary of an institution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definition and is subject to consolidated supervision with its parent.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EMU Legislation</w:t>
      </w:r>
      <w:r>
        <w:rPr>
          <w:rFonts w:ascii="Arial" w:cs="Arial" w:eastAsia="Arial" w:hAnsi="Arial"/>
          <w:sz w:val="18"/>
          <w:szCs w:val="18"/>
          <w:color w:val="auto"/>
        </w:rPr>
        <w:t>” means the legislative measures of the European Council for the introduction of, changeover to or operation of a single or unified European currency.</w:t>
      </w:r>
    </w:p>
    <w:p>
      <w:pPr>
        <w:spacing w:after="0" w:line="170" w:lineRule="exact"/>
        <w:rPr>
          <w:sz w:val="20"/>
          <w:szCs w:val="20"/>
          <w:color w:val="auto"/>
        </w:rPr>
      </w:pPr>
    </w:p>
    <w:p>
      <w:pPr>
        <w:ind w:right="18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Laws</w:t>
      </w:r>
      <w:r>
        <w:rPr>
          <w:rFonts w:ascii="Arial" w:cs="Arial" w:eastAsia="Arial" w:hAnsi="Arial"/>
          <w:sz w:val="17"/>
          <w:szCs w:val="17"/>
          <w:color w:val="auto"/>
        </w:rPr>
        <w:t>” means all treaties, laws, rules, regulations, codes, ordinances, orders, decrees, judgments, injunctions, notices or binding agreements issued, promulgated or entered into by or with any Governmental Authority, relating in any way to the environment, the preservation or reclamation of natural resources, or the generation, management, Release or threatened Release of any Hazardous Material.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30" w:name="page31"/>
    <w:bookmarkEnd w:id="30"/>
    <w:p>
      <w:pPr>
        <w:ind w:right="100" w:firstLine="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u w:val="single" w:color="auto"/>
          <w:color w:val="auto"/>
        </w:rPr>
        <w:t>Environmental Liability</w:t>
      </w:r>
      <w:r>
        <w:rPr>
          <w:rFonts w:ascii="Arial" w:cs="Arial" w:eastAsia="Arial" w:hAnsi="Arial"/>
          <w:sz w:val="17"/>
          <w:szCs w:val="17"/>
          <w:color w:val="auto"/>
        </w:rPr>
        <w:t>” means any liability, contingent or otherwise (including any liability for damages, costs of medical monitoring, costs of environmental remediation or restoration, administrative oversight costs, consultants’ fees, fines, penalties or indemnities), of the Borrower or any Subsidiary directly or indirectly resulting from or based upon (a) any actual or alleged violation of any Environmental Law or permit, license or approval issued thereunder, (b) the generation, use, handling, transportation, storage, treatment or disposal of any Hazardous Materials, (c) exposure to any Hazardous Materials, (d) the Release or threatened Release of any Hazardous Materials or (e) any contract, agreement or other consensual arrangement pursuant to which liability is assumed or imposed with respect to any of the foregoing.</w:t>
      </w:r>
    </w:p>
    <w:p>
      <w:pPr>
        <w:spacing w:after="0" w:line="178"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Equivalents</w:t>
      </w:r>
      <w:r>
        <w:rPr>
          <w:rFonts w:ascii="Arial" w:cs="Arial" w:eastAsia="Arial" w:hAnsi="Arial"/>
          <w:sz w:val="18"/>
          <w:szCs w:val="18"/>
          <w:color w:val="auto"/>
        </w:rPr>
        <w:t>” means all securities convertible into or exchangeable for Equity Interests, and all warrants, options or other rights to purchase or subscribe for any Equity Interests, whether or not presently convertible, exchangeable or exercisable.</w:t>
      </w:r>
    </w:p>
    <w:p>
      <w:pPr>
        <w:spacing w:after="0" w:line="170"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shares, shares of capital stock, partnership interests, membership interests in a limited liability company, beneficial interests in a trust or other equity ownership interests in a Person.</w:t>
      </w:r>
    </w:p>
    <w:p>
      <w:pPr>
        <w:spacing w:after="0" w:line="170"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 and the regulations promulgated and the rulings issued thereunder.</w:t>
      </w:r>
    </w:p>
    <w:p>
      <w:pPr>
        <w:spacing w:after="0" w:line="170" w:lineRule="exact"/>
        <w:rPr>
          <w:sz w:val="20"/>
          <w:szCs w:val="20"/>
          <w:color w:val="auto"/>
        </w:rPr>
      </w:pPr>
    </w:p>
    <w:p>
      <w:pPr>
        <w:jc w:val="both"/>
        <w:ind w:right="3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the Borrower, is treated as a single employer under Section 414(b) or (c) of the Code or, solely for purposes of Section 302 of ERISA and Section 412 of the Code, is treated as a single employer under Section 414(m) or (o) of the Code.</w:t>
      </w:r>
    </w:p>
    <w:p>
      <w:pPr>
        <w:spacing w:after="0" w:line="184"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means (a) any “reportable event,” as defined in Section 4043 of ERISA or the regulations issued thereunder, with respect to a Plan (other than an event for which the 30-day notice period is waived), (b) with respect to any Plan, a failure to satisfy the minimum funding standard under Section 412 of the Code and Section 302 of ERISA, whether or not waived, (c) the filing pursuant to Section 412(d) of the Code or Section 303(d) of ERISA of an application for a waiver of the minimum funding standard with respect to any Plan, (d) a determination that any Plan is, or is expected to be, in “at risk” status (as defined in Section 430(i)(4) of the Code or Section 303(i)(4) of ERISA), (e) the incurrence by the Borrower or any of its ERISA Affiliates of any liability under Title IV of ERISA with respect to the termination of any Plan, (f) the receipt by the Borrower or any ERISA Affiliate from the PBGC or a plan administrator of any notice relating to an intention to terminate any Plan or Plans or to appoint a trustee to administer any Plan, (g) the incurrence by the Borrower or any of its ERISA Affiliates of any liability with respect to the withdrawal or partial withdrawal from any Plan or Multiemployer Plan, (h) the receipt by the Borrower or any ERISA Affiliate of any notice, or the receipt by any Multiemployer Plan from the Borrower or any ERISA Affiliate of any notice, concerning the imposition of Withdrawal Liability or a determination that a Multiemployer Plan is, or is expected to be, insolvent or in reorganization, within the meaning of Title IV of ERISA, or in “endangered” or “critical” status (within the meaning of Section 432 of the Code or Section 305 of ERISA) or (i) the withdrawal of the Borrower or any ERISA Affiliate from a Plan subject to Section 4063 of ERISA during a plan year in which such entity was a “substantial employer” (as defined in Section 4001(a)(2) of ERISA) or a cessation of operations that is treated as such a withdrawal under Section 4062(e) of ERISA.</w:t>
      </w:r>
    </w:p>
    <w:p>
      <w:pPr>
        <w:spacing w:after="0" w:line="184"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31" w:name="page32"/>
    <w:bookmarkEnd w:id="3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Euro</w:t>
      </w:r>
      <w:r>
        <w:rPr>
          <w:rFonts w:ascii="Arial" w:cs="Arial" w:eastAsia="Arial" w:hAnsi="Arial"/>
          <w:sz w:val="18"/>
          <w:szCs w:val="18"/>
          <w:color w:val="auto"/>
        </w:rPr>
        <w:t>” means the lawful currency of the Participating Member States introduced in accordance with the EMU Legislation.</w:t>
      </w:r>
    </w:p>
    <w:p>
      <w:pPr>
        <w:spacing w:after="0" w:line="225"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Eurocurrency Rate.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 Rate</w:t>
      </w:r>
      <w:r>
        <w:rPr>
          <w:rFonts w:ascii="Arial" w:cs="Arial" w:eastAsia="Arial" w:hAnsi="Arial"/>
          <w:sz w:val="18"/>
          <w:szCs w:val="18"/>
          <w:color w:val="auto"/>
        </w:rPr>
        <w:t>” means:</w:t>
      </w:r>
    </w:p>
    <w:p>
      <w:pPr>
        <w:spacing w:after="0" w:line="117" w:lineRule="exact"/>
        <w:rPr>
          <w:sz w:val="20"/>
          <w:szCs w:val="20"/>
          <w:color w:val="auto"/>
        </w:rPr>
      </w:pPr>
    </w:p>
    <w:p>
      <w:pPr>
        <w:ind w:left="440" w:right="180" w:firstLine="419"/>
        <w:spacing w:after="0" w:line="255" w:lineRule="auto"/>
        <w:tabs>
          <w:tab w:leader="none" w:pos="1108"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any Interest Period with respect to a Eurocurrency Loan denominated in Dollars, Euros, or Sterling, the rate per annum equal to the London Interbank Offered Rate (“</w:t>
      </w:r>
      <w:r>
        <w:rPr>
          <w:rFonts w:ascii="Arial" w:cs="Arial" w:eastAsia="Arial" w:hAnsi="Arial"/>
          <w:sz w:val="18"/>
          <w:szCs w:val="18"/>
          <w:u w:val="single" w:color="auto"/>
          <w:color w:val="auto"/>
        </w:rPr>
        <w:t>LIBOR</w:t>
      </w:r>
      <w:r>
        <w:rPr>
          <w:rFonts w:ascii="Arial" w:cs="Arial" w:eastAsia="Arial" w:hAnsi="Arial"/>
          <w:sz w:val="18"/>
          <w:szCs w:val="18"/>
          <w:color w:val="auto"/>
        </w:rPr>
        <w:t>”) or a comparable or successor rate, which rate is approved by the Administrative Agent, as published on the applicable Bloomberg screen page (or such other commercially available source providing such quotations as may be designated by the Administrative Agent from time to time) at approximately 11:00 a.m., London time, two Business Days prior to the commencement of such Interest Period, for deposits in the relevant currency (for delivery on the first day of such Interest Period) with a term equivalent to such Interest Period;</w:t>
      </w:r>
    </w:p>
    <w:p>
      <w:pPr>
        <w:spacing w:after="0" w:line="84" w:lineRule="exact"/>
        <w:rPr>
          <w:rFonts w:ascii="Arial" w:cs="Arial" w:eastAsia="Arial" w:hAnsi="Arial"/>
          <w:sz w:val="18"/>
          <w:szCs w:val="18"/>
          <w:color w:val="auto"/>
        </w:rPr>
      </w:pPr>
    </w:p>
    <w:p>
      <w:pPr>
        <w:ind w:left="440" w:right="60" w:firstLine="419"/>
        <w:spacing w:after="0" w:line="257" w:lineRule="auto"/>
        <w:tabs>
          <w:tab w:leader="none" w:pos="1118"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any Interest Period with respect to a Eurocurrency Loan denominated in Swedish Krona, the rate per annum equal to the Stockholm Interbank Offered Rate (“</w:t>
      </w:r>
      <w:r>
        <w:rPr>
          <w:rFonts w:ascii="Arial" w:cs="Arial" w:eastAsia="Arial" w:hAnsi="Arial"/>
          <w:sz w:val="18"/>
          <w:szCs w:val="18"/>
          <w:u w:val="single" w:color="auto"/>
          <w:color w:val="auto"/>
        </w:rPr>
        <w:t>STIBOR</w:t>
      </w:r>
      <w:r>
        <w:rPr>
          <w:rFonts w:ascii="Arial" w:cs="Arial" w:eastAsia="Arial" w:hAnsi="Arial"/>
          <w:sz w:val="18"/>
          <w:szCs w:val="18"/>
          <w:color w:val="auto"/>
        </w:rPr>
        <w:t>”) or a comparable or successor rate, which rate is approved by the Administrative Agent, as published on the applicable Bloomberg screen page (or such other commercially available source providing such quotations as may be designated by the Administrative Agent from time to time) at or about 11:00 a.m. (Stockholm, Sweden time) on the Rate Determination Date with a term equivalent to such Interest Period;</w:t>
      </w:r>
    </w:p>
    <w:p>
      <w:pPr>
        <w:spacing w:after="0" w:line="79" w:lineRule="exact"/>
        <w:rPr>
          <w:rFonts w:ascii="Arial" w:cs="Arial" w:eastAsia="Arial" w:hAnsi="Arial"/>
          <w:sz w:val="18"/>
          <w:szCs w:val="18"/>
          <w:color w:val="auto"/>
        </w:rPr>
      </w:pPr>
    </w:p>
    <w:p>
      <w:pPr>
        <w:ind w:left="440" w:right="100" w:firstLine="419"/>
        <w:spacing w:after="0" w:line="257" w:lineRule="auto"/>
        <w:tabs>
          <w:tab w:leader="none" w:pos="1108"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any Interest Period with respect to a Eurocurrency Loan denominated in Danish Kroner, the rate per annum equal to the Copenhagen Interbank Offered Rate (“</w:t>
      </w:r>
      <w:r>
        <w:rPr>
          <w:rFonts w:ascii="Arial" w:cs="Arial" w:eastAsia="Arial" w:hAnsi="Arial"/>
          <w:sz w:val="18"/>
          <w:szCs w:val="18"/>
          <w:u w:val="single" w:color="auto"/>
          <w:color w:val="auto"/>
        </w:rPr>
        <w:t>CIBOR</w:t>
      </w:r>
      <w:r>
        <w:rPr>
          <w:rFonts w:ascii="Arial" w:cs="Arial" w:eastAsia="Arial" w:hAnsi="Arial"/>
          <w:sz w:val="18"/>
          <w:szCs w:val="18"/>
          <w:color w:val="auto"/>
        </w:rPr>
        <w:t>”) or a comparable or successor rate, which rate is approved by the Administrative Agent as currently published on the applicable Bloomberg screen page (or such other commercially available source providing such quotations as may be designated by the Administrative Agent from time to time) at or about 11:00 a.m. (Copenhagen, Denmark time) on the Rate Determination Date with a term equivalent to such Interest Period;</w:t>
      </w:r>
    </w:p>
    <w:p>
      <w:pPr>
        <w:spacing w:after="0" w:line="79" w:lineRule="exact"/>
        <w:rPr>
          <w:rFonts w:ascii="Arial" w:cs="Arial" w:eastAsia="Arial" w:hAnsi="Arial"/>
          <w:sz w:val="18"/>
          <w:szCs w:val="18"/>
          <w:color w:val="auto"/>
        </w:rPr>
      </w:pPr>
    </w:p>
    <w:p>
      <w:pPr>
        <w:ind w:left="440" w:right="60" w:firstLine="419"/>
        <w:spacing w:after="0" w:line="257" w:lineRule="auto"/>
        <w:tabs>
          <w:tab w:leader="none" w:pos="1118"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any Interest Period with respect to a Eurocurrency Loan denominated in Norwegian Kroner, the rate per annum equal to the Norwegian Interbank Offered Rate (“</w:t>
      </w:r>
      <w:r>
        <w:rPr>
          <w:rFonts w:ascii="Arial" w:cs="Arial" w:eastAsia="Arial" w:hAnsi="Arial"/>
          <w:sz w:val="18"/>
          <w:szCs w:val="18"/>
          <w:u w:val="single" w:color="auto"/>
          <w:color w:val="auto"/>
        </w:rPr>
        <w:t>NIBOR</w:t>
      </w:r>
      <w:r>
        <w:rPr>
          <w:rFonts w:ascii="Arial" w:cs="Arial" w:eastAsia="Arial" w:hAnsi="Arial"/>
          <w:sz w:val="18"/>
          <w:szCs w:val="18"/>
          <w:color w:val="auto"/>
        </w:rPr>
        <w:t>”) or a comparable or successor rate, which rate is approved by the Administrative Agent as published on the applicable Bloomberg screen page (or such other commercially available source providing such quotations as may be designated by the Administrative Agent from time to time) at or about 12:00 p.m. (London time) on the Rate Determination Date with a term equivalent to such Interest Period;</w:t>
      </w:r>
    </w:p>
    <w:p>
      <w:pPr>
        <w:spacing w:after="0" w:line="79" w:lineRule="exact"/>
        <w:rPr>
          <w:rFonts w:ascii="Arial" w:cs="Arial" w:eastAsia="Arial" w:hAnsi="Arial"/>
          <w:sz w:val="18"/>
          <w:szCs w:val="18"/>
          <w:color w:val="auto"/>
        </w:rPr>
      </w:pPr>
    </w:p>
    <w:p>
      <w:pPr>
        <w:ind w:left="440" w:firstLine="419"/>
        <w:spacing w:after="0" w:line="308" w:lineRule="auto"/>
        <w:tabs>
          <w:tab w:leader="none" w:pos="1108" w:val="left"/>
        </w:tabs>
        <w:numPr>
          <w:ilvl w:val="0"/>
          <w:numId w:val="13"/>
        </w:numPr>
        <w:rPr>
          <w:rFonts w:ascii="Arial" w:cs="Arial" w:eastAsia="Arial" w:hAnsi="Arial"/>
          <w:sz w:val="17"/>
          <w:szCs w:val="17"/>
          <w:color w:val="auto"/>
        </w:rPr>
      </w:pPr>
      <w:r>
        <w:rPr>
          <w:rFonts w:ascii="Arial" w:cs="Arial" w:eastAsia="Arial" w:hAnsi="Arial"/>
          <w:sz w:val="17"/>
          <w:szCs w:val="17"/>
          <w:color w:val="auto"/>
        </w:rPr>
        <w:t>for any interest calculation with respect to an ABR Loan on any date, the rate per annum equal to LIBOR, at or about 11:00 a.m., London time determined two Business Days prior to such date for U.S. Dollar deposits with a term of one month commencing that day; and</w:t>
      </w:r>
    </w:p>
    <w:p>
      <w:pPr>
        <w:spacing w:after="0" w:line="38" w:lineRule="exact"/>
        <w:rPr>
          <w:rFonts w:ascii="Arial" w:cs="Arial" w:eastAsia="Arial" w:hAnsi="Arial"/>
          <w:sz w:val="17"/>
          <w:szCs w:val="17"/>
          <w:color w:val="auto"/>
        </w:rPr>
      </w:pPr>
    </w:p>
    <w:p>
      <w:pPr>
        <w:ind w:left="440" w:firstLine="419"/>
        <w:spacing w:after="0" w:line="263" w:lineRule="auto"/>
        <w:tabs>
          <w:tab w:leader="none" w:pos="1088"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any interest calculation with respect to a Eurocurrency Loan denominated in Canadian Dollars, the rate per annum equal to the Canadian Dollar-denominated bankers’ acceptances displayed and identified as such on the “</w:t>
      </w:r>
      <w:r>
        <w:rPr>
          <w:rFonts w:ascii="Arial" w:cs="Arial" w:eastAsia="Arial" w:hAnsi="Arial"/>
          <w:sz w:val="18"/>
          <w:szCs w:val="18"/>
          <w:u w:val="single" w:color="auto"/>
          <w:color w:val="auto"/>
        </w:rPr>
        <w:t>CDOR Page</w:t>
      </w:r>
      <w:r>
        <w:rPr>
          <w:rFonts w:ascii="Arial" w:cs="Arial" w:eastAsia="Arial" w:hAnsi="Arial"/>
          <w:sz w:val="18"/>
          <w:szCs w:val="18"/>
          <w:color w:val="auto"/>
        </w:rPr>
        <w:t>” (or any display substituted therefore) of Reuters Monitor Money Rates Service Reuters Screen, or, in the event such rate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32" w:name="page33"/>
    <w:bookmarkEnd w:id="32"/>
    <w:p>
      <w:pPr>
        <w:ind w:left="440" w:right="20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does not appear on such page or screen, on any successor or substitute page or screen that displays such rate, or on the appropriate page of such other information service that publishes such rate from time to time, as selected by the Administrative Agent in its reasonable discretion or a comparable successor rate, which rate is approved by the Administrative Agent as published on the applicable Bloomberg screen page (or such other commercially available source providing such quotations as may be designated by the Administrative Agent from time to time) at or about 12:00 p.m. (Toronto time) on the Rate Determination Date with a term equivalent to such Interest Period</w:t>
      </w:r>
    </w:p>
    <w:p>
      <w:pPr>
        <w:spacing w:after="0" w:line="161"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a comparable or successor rate is approved by the Administrative Agent in connection herewith, the approved rate shall be applied in a manner consistent with market practice;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to the extent such market practice is not administratively feasible for the Administrative Agent, such approved rate shall be applied in a manner as otherwise reasonably determined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the Eurocurrency Rate shall be less than zero, such rate shall be deemed zero for purposes of this Agreement.</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assigned to such term in Article VII.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Taxes</w:t>
      </w:r>
      <w:r>
        <w:rPr>
          <w:rFonts w:ascii="Arial" w:cs="Arial" w:eastAsia="Arial" w:hAnsi="Arial"/>
          <w:sz w:val="17"/>
          <w:szCs w:val="17"/>
          <w:color w:val="auto"/>
        </w:rPr>
        <w:t>” means, with respect to the Administrative Agent, any Lender, Issuing Bank or any other recipient of any payment to be made by or on account of any obligation of the Borrower hereunder, (a) any Taxes imposed on or measured by its net income or overall gross income, capital, net worth or similar Taxes imposed on it in lieu of or as an adjunct to net or overall gross income taxes (including, for the avoidance of doubt, the Massachusetts corporate excise tax within the meaning of Massachusetts General Laws Ch. 63, Section 39), or franchise Taxes imposed, in each case, by a jurisdiction as a result of such recipient being organized or resident in, maintaining a lending office in, doing business in or having another present or former connection with, such jurisdiction (other than any business or connection arising (or deemed to arise) from such recipient having executed, delivered, become a party to, performed its obligations under, received payments under, received or perfected a security interest under, engaged in any other transactions pursuant to, or enforced, any Loan Documents); (b) any branch profits Taxes under Section 884(a) of the Code, or any similar Taxes, imposed by any jurisdiction described in clause (a) above, (c) in the case of a Lender (other than an assignee pursuant to a request by the Borrower under Section 2.17(b)), any U.S. federal withholding Tax that (i) is imposed pursuant to any Requirement of Laws in effect at the time such Lender becomes a party to this Agreement (or designates a new lending office), except to the extent that such Lender (or its assignor, if any) was entitled, immediately prior to the designation of a new lending office (or assignment), to receive additional amounts from the Borrower with respect to such withholding Tax pursuant to Section 2.15(a), or (ii) is attributable to such Lender’s failure to comply with Section 2.15(e) and (d) any U.S. federal withholding Taxes imposed pursuant to FATCA.</w:t>
      </w:r>
    </w:p>
    <w:p>
      <w:pPr>
        <w:spacing w:after="0" w:line="184"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means the Credit Agreement, dated as of November 24, 2014, as amended, among the Borrower, Bank of America as administrative agent, swingline lender and issuing bank, and the other lenders party thereto.</w:t>
      </w:r>
    </w:p>
    <w:p>
      <w:pPr>
        <w:spacing w:after="0" w:line="170"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xml:space="preserve">” means each Letter of Credit which would be outstanding under the Existing Credit Agreement on the Closing Date and listed on </w:t>
      </w:r>
      <w:r>
        <w:rPr>
          <w:rFonts w:ascii="Arial" w:cs="Arial" w:eastAsia="Arial" w:hAnsi="Arial"/>
          <w:sz w:val="18"/>
          <w:szCs w:val="18"/>
          <w:u w:val="single" w:color="auto"/>
          <w:color w:val="auto"/>
        </w:rPr>
        <w:t>Schedule 2.05</w:t>
      </w:r>
      <w:r>
        <w:rPr>
          <w:rFonts w:ascii="Arial" w:cs="Arial" w:eastAsia="Arial" w:hAnsi="Arial"/>
          <w:sz w:val="18"/>
          <w:szCs w:val="18"/>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33" w:name="page34"/>
    <w:bookmarkEnd w:id="33"/>
    <w:p>
      <w:pPr>
        <w:ind w:right="1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Facilities</w:t>
      </w:r>
      <w:r>
        <w:rPr>
          <w:rFonts w:ascii="Arial" w:cs="Arial" w:eastAsia="Arial" w:hAnsi="Arial"/>
          <w:sz w:val="18"/>
          <w:szCs w:val="18"/>
          <w:color w:val="auto"/>
        </w:rPr>
        <w:t>” means the credit and loan facilities provided for in this Agreement pursuant to the Revolving A Facility and the Revolving B Facility, and “Facility” shall refer to either one of them as the context requires.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Labor Standards Act</w:t>
      </w:r>
      <w:r>
        <w:rPr>
          <w:rFonts w:ascii="Arial" w:cs="Arial" w:eastAsia="Arial" w:hAnsi="Arial"/>
          <w:sz w:val="18"/>
          <w:szCs w:val="18"/>
          <w:color w:val="auto"/>
        </w:rPr>
        <w:t xml:space="preserve">” means the Fair Labor Standards Act, 29 U.S.C. §§ 201 </w:t>
      </w:r>
      <w:r>
        <w:rPr>
          <w:rFonts w:ascii="Arial" w:cs="Arial" w:eastAsia="Arial" w:hAnsi="Arial"/>
          <w:sz w:val="18"/>
          <w:szCs w:val="18"/>
          <w:u w:val="single" w:color="auto"/>
          <w:color w:val="auto"/>
        </w:rPr>
        <w:t>et seq</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 as of the date of this Agreement (or any amended or successor version described above), any intergovernmental agreement entered into implementing such Sections of the Code and any fiscal or regulatory legislation, rules or practices adopted pursuant to intergovernmental agreements.</w:t>
      </w:r>
    </w:p>
    <w:p>
      <w:pPr>
        <w:spacing w:after="0" w:line="188" w:lineRule="exact"/>
        <w:rPr>
          <w:sz w:val="20"/>
          <w:szCs w:val="20"/>
          <w:color w:val="auto"/>
        </w:rPr>
      </w:pPr>
    </w:p>
    <w:p>
      <w:pPr>
        <w:ind w:right="18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Federal Funds Rate</w:t>
      </w:r>
      <w:r>
        <w:rPr>
          <w:rFonts w:ascii="Arial" w:cs="Arial" w:eastAsia="Arial" w:hAnsi="Arial"/>
          <w:sz w:val="17"/>
          <w:szCs w:val="17"/>
          <w:color w:val="auto"/>
        </w:rPr>
        <w:t xml:space="preserve">” means,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if such day is not a Business Day, the Federal Funds Rate for such day shall be such rate on such transactions on the next preceding Business Day as so published on the next succeeding Business Day,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 and (c) if the Federal Funds Rate as determined above would be less than zero, the Federal Funds Rate shall be deemed to be zero.</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 Letter</w:t>
      </w:r>
      <w:r>
        <w:rPr>
          <w:rFonts w:ascii="Arial" w:cs="Arial" w:eastAsia="Arial" w:hAnsi="Arial"/>
          <w:sz w:val="18"/>
          <w:szCs w:val="18"/>
          <w:color w:val="auto"/>
        </w:rPr>
        <w:t>” means the fee letter, dated as of March 27, 2017, by and among the Borrower and the Administrative Agent.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the chief financial officer, principal accounting officer, treasurer or controller of the Borrower.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any Lender that is not a “United States person” as defined in Section 7701(a)(30) of the Code.</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with respect to any Person, any Subsidiary of such Person that is not organized under the laws of the United States of America, any state thereof or the District of Columbia.</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Funded Indebtedness</w:t>
      </w:r>
      <w:r>
        <w:rPr>
          <w:rFonts w:ascii="Arial" w:cs="Arial" w:eastAsia="Arial" w:hAnsi="Arial"/>
          <w:sz w:val="18"/>
          <w:szCs w:val="18"/>
          <w:color w:val="auto"/>
        </w:rPr>
        <w:t>” means, with respect to any Person;</w:t>
      </w:r>
    </w:p>
    <w:p>
      <w:pPr>
        <w:spacing w:after="0" w:line="117" w:lineRule="exact"/>
        <w:rPr>
          <w:sz w:val="20"/>
          <w:szCs w:val="20"/>
          <w:color w:val="auto"/>
        </w:rPr>
      </w:pPr>
    </w:p>
    <w:p>
      <w:pPr>
        <w:ind w:left="1100" w:hanging="241"/>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obligations of such Person for borrowed money;</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notes or similar instruments;</w:t>
      </w:r>
    </w:p>
    <w:p>
      <w:pPr>
        <w:spacing w:after="0" w:line="117" w:lineRule="exact"/>
        <w:rPr>
          <w:rFonts w:ascii="Arial" w:cs="Arial" w:eastAsia="Arial" w:hAnsi="Arial"/>
          <w:sz w:val="18"/>
          <w:szCs w:val="18"/>
          <w:color w:val="auto"/>
        </w:rPr>
      </w:pPr>
    </w:p>
    <w:p>
      <w:pPr>
        <w:ind w:left="440" w:right="360" w:firstLine="419"/>
        <w:spacing w:after="0" w:line="277" w:lineRule="auto"/>
        <w:tabs>
          <w:tab w:leader="none" w:pos="1108"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obligations of such Person in respect of the deferred purchase price of property or services (excluding trade accounts payable and other accrued obligations, in each case incurred in the ordinary course of business);</w:t>
      </w:r>
    </w:p>
    <w:p>
      <w:pPr>
        <w:spacing w:after="0" w:line="62" w:lineRule="exact"/>
        <w:rPr>
          <w:rFonts w:ascii="Arial" w:cs="Arial" w:eastAsia="Arial" w:hAnsi="Arial"/>
          <w:sz w:val="18"/>
          <w:szCs w:val="18"/>
          <w:color w:val="auto"/>
        </w:rPr>
      </w:pPr>
    </w:p>
    <w:p>
      <w:pPr>
        <w:ind w:left="440" w:right="20" w:firstLine="419"/>
        <w:spacing w:after="0" w:line="263" w:lineRule="auto"/>
        <w:tabs>
          <w:tab w:leader="none" w:pos="1118"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Funded Indebtedness of others secured by (or for which the holder of such Indebtedness has an existing right, contingent or otherwise, to be secured by) any Lien on property owned or acquired by such Person, whether or not the Funded Indebtedness secured thereby has been assumed;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34" w:name="page35"/>
    <w:bookmarkEnd w:id="34"/>
    <w:p>
      <w:pPr>
        <w:ind w:left="1100" w:hanging="241"/>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Guarantees by such Person of Funded Indebtedness of others;</w:t>
      </w:r>
    </w:p>
    <w:p>
      <w:pPr>
        <w:spacing w:after="0" w:line="117" w:lineRule="exact"/>
        <w:rPr>
          <w:rFonts w:ascii="Arial" w:cs="Arial" w:eastAsia="Arial" w:hAnsi="Arial"/>
          <w:sz w:val="18"/>
          <w:szCs w:val="18"/>
          <w:color w:val="auto"/>
        </w:rPr>
      </w:pPr>
    </w:p>
    <w:p>
      <w:pPr>
        <w:ind w:left="1080" w:hanging="221"/>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Capital Lease Obligations of such Person; and</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all drafts drawn (to the extent unreimbursed) under any letter of credit, letter of guaranty or bankers’ acceptance for the account of such</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Person.</w:t>
      </w:r>
    </w:p>
    <w:p>
      <w:pPr>
        <w:spacing w:after="0" w:line="21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Notwithstanding any other provision of this Agreement to the contrary, (i) the term “Funded Indebtedness” shall not include contingent post-closing purchase price adjustments or earn-outs to which the seller in any Acquisition may become entitled and (ii) the amount of Funded Indebtedness for which recourse is limited either to a specified amount or to an identified asset of such Person shall be deemed to be equal to the lesser of (x) such specified amount and (y) the fair market value of such identified asset as determined by such Person in good faith. For the avoidance of doubt, Qualified Equity Interests shall not be deemed Funded Indebtedness.</w:t>
      </w:r>
    </w:p>
    <w:p>
      <w:pPr>
        <w:spacing w:after="0" w:line="188"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xml:space="preserve">” means generally accepted accounting principles in the United States of America;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may make a one-time election to switch to IFRS, if permitted to do so by the SEC in the Borrower’s filings with the SEC, and following such election and the notification in writing to the Administrative Agent by the Borrower thereof, “GAAP” shall mean IFRS. After such election, the Borrower cannot subsequently elect to report under generally accepted accounting principles in the United States of America.</w:t>
      </w:r>
    </w:p>
    <w:p>
      <w:pPr>
        <w:spacing w:after="0" w:line="187"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Granting Lender</w:t>
      </w:r>
      <w:r>
        <w:rPr>
          <w:rFonts w:ascii="Arial" w:cs="Arial" w:eastAsia="Arial" w:hAnsi="Arial"/>
          <w:sz w:val="18"/>
          <w:szCs w:val="18"/>
          <w:color w:val="auto"/>
        </w:rPr>
        <w:t>” has the meaning assigned to such term in Section 9.04(e).</w:t>
      </w:r>
    </w:p>
    <w:p>
      <w:pPr>
        <w:spacing w:after="0" w:line="225" w:lineRule="exact"/>
        <w:rPr>
          <w:sz w:val="20"/>
          <w:szCs w:val="20"/>
          <w:color w:val="auto"/>
        </w:rPr>
      </w:pPr>
    </w:p>
    <w:p>
      <w:pPr>
        <w:ind w:right="180" w:firstLine="4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of or by any Person (the “</w:t>
      </w:r>
      <w:r>
        <w:rPr>
          <w:rFonts w:ascii="Arial" w:cs="Arial" w:eastAsia="Arial" w:hAnsi="Arial"/>
          <w:sz w:val="18"/>
          <w:szCs w:val="18"/>
          <w:u w:val="single" w:color="auto"/>
          <w:color w:val="auto"/>
        </w:rPr>
        <w:t>guarantor</w:t>
      </w:r>
      <w:r>
        <w:rPr>
          <w:rFonts w:ascii="Arial" w:cs="Arial" w:eastAsia="Arial" w:hAnsi="Arial"/>
          <w:sz w:val="18"/>
          <w:szCs w:val="18"/>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8"/>
          <w:szCs w:val="18"/>
          <w:u w:val="single" w:color="auto"/>
          <w:color w:val="auto"/>
        </w:rPr>
        <w:t>primary obligor</w:t>
      </w:r>
      <w:r>
        <w:rPr>
          <w:rFonts w:ascii="Arial" w:cs="Arial" w:eastAsia="Arial" w:hAnsi="Arial"/>
          <w:sz w:val="18"/>
          <w:szCs w:val="18"/>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Guarantee shall not include endorsements for collection or deposit in the ordinary course of business.</w:t>
      </w:r>
    </w:p>
    <w:p>
      <w:pPr>
        <w:spacing w:after="0" w:line="196" w:lineRule="exact"/>
        <w:rPr>
          <w:sz w:val="20"/>
          <w:szCs w:val="20"/>
          <w:color w:val="auto"/>
        </w:rPr>
      </w:pPr>
    </w:p>
    <w:p>
      <w:pPr>
        <w:ind w:right="6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Materials</w:t>
      </w:r>
      <w:r>
        <w:rPr>
          <w:rFonts w:ascii="Arial" w:cs="Arial" w:eastAsia="Arial" w:hAnsi="Arial"/>
          <w:sz w:val="16"/>
          <w:szCs w:val="16"/>
          <w:color w:val="auto"/>
        </w:rPr>
        <w:t>” means all explosive or radioactive substances, materials or wastes and all hazardous or toxic substances, materials, wastes or other pollutants, including petroleum or petroleum distillates, asbestos or asbestos containing materials, polychlorinated biphenyls, radon gas, infectious or medical wastes and all other substances, materials or wastes of any nature regulated pursuant to any Environmental Law.</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35" w:name="page36"/>
    <w:bookmarkEnd w:id="35"/>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Honor Date</w:t>
      </w:r>
      <w:r>
        <w:rPr>
          <w:rFonts w:ascii="Arial" w:cs="Arial" w:eastAsia="Arial" w:hAnsi="Arial"/>
          <w:sz w:val="18"/>
          <w:szCs w:val="18"/>
          <w:color w:val="auto"/>
        </w:rPr>
        <w:t>” has the meaning set forth in Section 2.05(a)(x).</w:t>
      </w:r>
    </w:p>
    <w:p>
      <w:pPr>
        <w:spacing w:after="0" w:line="225"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IFRS</w:t>
      </w:r>
      <w:r>
        <w:rPr>
          <w:rFonts w:ascii="Arial" w:cs="Arial" w:eastAsia="Arial" w:hAnsi="Arial"/>
          <w:sz w:val="18"/>
          <w:szCs w:val="18"/>
          <w:color w:val="auto"/>
        </w:rPr>
        <w:t>” means the International Financial Reporting Standards issued and/or adopted by the International Accounting Standards Board, as in effect from time to time.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Facility Amendment</w:t>
      </w:r>
      <w:r>
        <w:rPr>
          <w:rFonts w:ascii="Arial" w:cs="Arial" w:eastAsia="Arial" w:hAnsi="Arial"/>
          <w:sz w:val="18"/>
          <w:szCs w:val="18"/>
          <w:color w:val="auto"/>
        </w:rPr>
        <w:t>” means an amendment pursuant to Section 2.18 creating Incremental Revolving Commitments.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Facility Closing Date</w:t>
      </w:r>
      <w:r>
        <w:rPr>
          <w:rFonts w:ascii="Arial" w:cs="Arial" w:eastAsia="Arial" w:hAnsi="Arial"/>
          <w:sz w:val="18"/>
          <w:szCs w:val="18"/>
          <w:color w:val="auto"/>
        </w:rPr>
        <w:t>” has the meaning assigned to such term in Section 2.18(b).</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Revolving Commitments</w:t>
      </w:r>
      <w:r>
        <w:rPr>
          <w:rFonts w:ascii="Arial" w:cs="Arial" w:eastAsia="Arial" w:hAnsi="Arial"/>
          <w:sz w:val="18"/>
          <w:szCs w:val="18"/>
          <w:color w:val="auto"/>
        </w:rPr>
        <w:t>” has the meaning assigned to such term in Section 2.18(a).</w:t>
      </w:r>
    </w:p>
    <w:p>
      <w:pPr>
        <w:spacing w:after="0" w:line="225" w:lineRule="exact"/>
        <w:rPr>
          <w:sz w:val="20"/>
          <w:szCs w:val="20"/>
          <w:color w:val="auto"/>
        </w:rPr>
      </w:pPr>
    </w:p>
    <w:p>
      <w:pPr>
        <w:ind w:left="4" w:right="40" w:firstLine="440"/>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means, without duplication, (a) all obligations of such Person for borrowed money, (b) all obligations of such Person evidenced by bonds, debentures, notes or similar instruments, (c) all obligations of such Person upon which interest charges are customarily paid by such Person (excluding any obligations in respect of cash deposits by any Clearing Member (as defined below) for margin, any default fund or otherwise in the ordinary course of business), (d) all obligations of such Person under conditional sale or other title retention agreements relating to property acquired by such Person, (e) all obligations of such Person in respect of the deferred purchase price of property or services (excluding trade accounts payable and other accrued obligations, in each case incurred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(other than any Guarantee provided by (x) any Clearing House (as defined below) to Clearing Members in the ordinary course of business for their obligations to one another or (y) to the extent considered Indebtedness, the Borrower or any Subsidiary to any other Person providing a clearing arrangement in connection with the fixed income trading business of the Borrower and its Subsidiaries), (h) all Capital Lease Obligations of such Person, (i) all obligations of such Person as an account party in respect of letters of credit and letters of guaranty (but only to the extent drawn and not reimbursed) and</w:t>
      </w:r>
    </w:p>
    <w:p>
      <w:pPr>
        <w:spacing w:after="0" w:line="3" w:lineRule="exact"/>
        <w:rPr>
          <w:sz w:val="20"/>
          <w:szCs w:val="20"/>
          <w:color w:val="auto"/>
        </w:rPr>
      </w:pPr>
    </w:p>
    <w:p>
      <w:pPr>
        <w:ind w:left="4" w:right="40" w:hanging="4"/>
        <w:spacing w:after="0" w:line="267" w:lineRule="auto"/>
        <w:tabs>
          <w:tab w:leader="none" w:pos="219" w:val="left"/>
        </w:tabs>
        <w:numPr>
          <w:ilvl w:val="0"/>
          <w:numId w:val="16"/>
        </w:numPr>
        <w:rPr>
          <w:rFonts w:ascii="Arial" w:cs="Arial" w:eastAsia="Arial" w:hAnsi="Arial"/>
          <w:sz w:val="17"/>
          <w:szCs w:val="17"/>
          <w:color w:val="auto"/>
        </w:rPr>
      </w:pPr>
      <w:r>
        <w:rPr>
          <w:rFonts w:ascii="Arial" w:cs="Arial" w:eastAsia="Arial" w:hAnsi="Arial"/>
          <w:sz w:val="17"/>
          <w:szCs w:val="17"/>
          <w:color w:val="auto"/>
        </w:rPr>
        <w:t>all obligations of such Person in respect of bankers’ acceptances (but only to the extent drawn and not reimbursed).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Notwithstanding the foregoing, (i) the term “Indebtedness” shall not include contingent post-closing purchase price adjustments or earn-outs to which the seller in any Acquisition may become entitled and (ii) the amount of Indebtedness for which recourse is limited either to a specified amount or to an identified asset of such Person shall be deemed to be equal to the lesser of (x) such specified amount and (y) the fair market value of such identified asset as determined by such Person in good faith. For the avoidance of doubt, Qualified Equity Interests shall not be deemed Indebtedness and “Indebtedness” shall not include (a) with respect to the transfer of positions and related margin from a suspended Clearing Member to another Clearing Member or the liquidation of any suspended or non-performing Clearing Member’s positions and related margin, obligations of the Borrower or a Subsidiary thereof to make a transfer in cash in respect of margin related to such suspended or non-performing Clearing Member’s positions, and (b) with respect to any Clearing House, any transaction with respect to which such entity is a party solely in its capacity as a central counterparty.</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4"/>
          </w:cols>
          <w:pgMar w:left="436" w:top="274" w:right="439" w:bottom="1440" w:gutter="0" w:footer="0" w:header="0"/>
        </w:sectPr>
      </w:pPr>
    </w:p>
    <w:bookmarkStart w:id="36" w:name="page37"/>
    <w:bookmarkEnd w:id="3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all Taxes other than Excluded Taxes and Other Taxes.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has the meaning set forth in Section 9.03(b).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has the meaning set forth in Section 9.12.</w:t>
      </w:r>
    </w:p>
    <w:p>
      <w:pPr>
        <w:spacing w:after="0" w:line="225"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u w:val="single" w:color="auto"/>
          <w:color w:val="FF4338"/>
          <w:strike w:val="1"/>
        </w:rPr>
        <w:t xml:space="preserve">“Interest Coverage Ratio” </w:t>
      </w:r>
      <w:r>
        <w:rPr>
          <w:rFonts w:ascii="Arial" w:cs="Arial" w:eastAsia="Arial" w:hAnsi="Arial"/>
          <w:sz w:val="18"/>
          <w:szCs w:val="18"/>
          <w:color w:val="FF4338"/>
          <w:strike w:val="1"/>
        </w:rPr>
        <w:t>means, on any date, the ratio of (a) Consolidated EBITDA to (b) Consolidated Cash Interest Expense for the period of</w:t>
      </w:r>
      <w:r>
        <w:rPr>
          <w:rFonts w:ascii="Arial" w:cs="Arial" w:eastAsia="Arial" w:hAnsi="Arial"/>
          <w:sz w:val="18"/>
          <w:szCs w:val="18"/>
          <w:u w:val="single" w:color="auto"/>
          <w:color w:val="FF4338"/>
          <w:strike w:val="1"/>
        </w:rPr>
        <w:t xml:space="preserve"> </w:t>
      </w:r>
      <w:r>
        <w:rPr>
          <w:rFonts w:ascii="Arial" w:cs="Arial" w:eastAsia="Arial" w:hAnsi="Arial"/>
          <w:sz w:val="18"/>
          <w:szCs w:val="18"/>
          <w:color w:val="FF4338"/>
          <w:strike w:val="1"/>
        </w:rPr>
        <w:t>four consecutive fiscal quarters of the Borrower ended on such date (or, if such date is not the last day of a fiscal quarter, ended on the last day of the fiscal quarter of the Borrower most-recently ended prior to such date for which financial statements have been or were required to be delivered pursuant to clause (a) or (b) of Section 5.01).</w:t>
      </w:r>
    </w:p>
    <w:p>
      <w:pPr>
        <w:spacing w:after="0" w:line="187"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Payment Date</w:t>
      </w:r>
      <w:r>
        <w:rPr>
          <w:rFonts w:ascii="Arial" w:cs="Arial" w:eastAsia="Arial" w:hAnsi="Arial"/>
          <w:sz w:val="18"/>
          <w:szCs w:val="18"/>
          <w:color w:val="auto"/>
        </w:rPr>
        <w:t>” means (a) with respect to any ABR Loan, the last Business Day of each March, June, September and December and the Maturity Date of such Loan and (b) with respect to any Eurocurrency Loan, the last Business Day of the Interest Period applicable to the Borrowing of which such Loan is a part and, in the case of a Eurocurrency Borrowing with an Interest Period of more than three months’ duration, each Business Day prior to the last day of such Interest Period that occurs at intervals of three months’ duration after the first day of such Interest Period and the Maturity Date of such Loan.</w:t>
      </w:r>
    </w:p>
    <w:p>
      <w:pPr>
        <w:spacing w:after="0" w:line="188"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Period</w:t>
      </w:r>
      <w:r>
        <w:rPr>
          <w:rFonts w:ascii="Arial" w:cs="Arial" w:eastAsia="Arial" w:hAnsi="Arial"/>
          <w:sz w:val="16"/>
          <w:szCs w:val="16"/>
          <w:color w:val="auto"/>
        </w:rPr>
        <w:t xml:space="preserve">” means, with respect to any Eurocurrency Borrowing, the period commencing on the date of such Borrowing and ending on the numerically corresponding day in the calendar month that is one, two, three or six months thereafter (or such other period reasonably satisfactory to the Administrative Agent that is twelve months or less if, at the time of the relevant Borrowing, all Lenders participating therein agree in writing to make an interest period of such duration available), as the Borrower may elect;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(c) no Interest Period for any Borrowing shall extend past the Maturity Date for the Loans included in such Borrowing. For purposes hereof, the date of a Borrowing initially shall be the date on which such Borrowing is made and thereafter shall be the effective date of the most recent conversion or continuation of such Borrowing.</w:t>
      </w:r>
    </w:p>
    <w:p>
      <w:pPr>
        <w:spacing w:after="0" w:line="168"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means, as to any Person, any direct or indirect acquisition or investment (in one transaction or a series of transactions) by such Person, whether by means of (a) the purchase or other acquisition (including pursuant to any merger with any Person that was not a Wholly-Owned Subsidiary prior to such merger) of any Equity Interests or Equity Equivalents in or evidences of Indebtedness or other securities of another Person (including any option, warrant or other right to acquire any of the foregoing), (b) a loan, advance or capital contribution to, Guarantee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 or (c) an Acquisition.</w:t>
      </w:r>
    </w:p>
    <w:p>
      <w:pPr>
        <w:spacing w:after="0" w:line="164"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with respect to any Letter of Credit, the “International Standby Practices 1998” published by the Institute of International Banking Law &amp; Practice (or such later version thereof as may be in effect at the time of issuance).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sectPr>
      </w:pPr>
    </w:p>
    <w:bookmarkStart w:id="37" w:name="page38"/>
    <w:bookmarkEnd w:id="37"/>
    <w:p>
      <w:pPr>
        <w:ind w:left="4"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Issuer Documents</w:t>
      </w:r>
      <w:r>
        <w:rPr>
          <w:rFonts w:ascii="Arial" w:cs="Arial" w:eastAsia="Arial" w:hAnsi="Arial"/>
          <w:sz w:val="18"/>
          <w:szCs w:val="18"/>
          <w:color w:val="auto"/>
        </w:rPr>
        <w:t>” means, with respect to any Letter of Credit, the Letter of Credit Application and any other document, agreement and instrument entered into by the applicable Issuing Bank and the Borrower (or any Subsidiary) or in favor of such Issuing Bank and relating to such Letter of Credit.</w:t>
      </w:r>
    </w:p>
    <w:p>
      <w:pPr>
        <w:spacing w:after="0" w:line="184" w:lineRule="exact"/>
        <w:rPr>
          <w:sz w:val="20"/>
          <w:szCs w:val="20"/>
          <w:color w:val="auto"/>
        </w:rPr>
      </w:pPr>
    </w:p>
    <w:p>
      <w:pPr>
        <w:ind w:left="4" w:right="8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Issuing Bank</w:t>
      </w:r>
      <w:r>
        <w:rPr>
          <w:rFonts w:ascii="Arial" w:cs="Arial" w:eastAsia="Arial" w:hAnsi="Arial"/>
          <w:sz w:val="17"/>
          <w:szCs w:val="17"/>
          <w:color w:val="auto"/>
        </w:rPr>
        <w:t>” means (a) initially, Bank of America, in its capacity as the issuer of Letters of Credit hereunder, and (b) any other Revolving Lender that becomes an Issuing Bank in accordance with Section 2.05(i), Article VIII or Section 9.04(f), in each case, in its capacity as an issuer of Letters of Credit hereunder. Any Issuing Bank may, in its discretion, arrange for one or more Letters of Credit to be issued by Affiliates of such Issuing Bank, in which case the term “Issuing Bank” shall include any such Affiliate with respect to Letters of Credit issued by such Affiliate.</w:t>
      </w:r>
    </w:p>
    <w:p>
      <w:pPr>
        <w:spacing w:after="0" w:line="171" w:lineRule="exact"/>
        <w:rPr>
          <w:sz w:val="20"/>
          <w:szCs w:val="20"/>
          <w:color w:val="auto"/>
        </w:rPr>
      </w:pPr>
    </w:p>
    <w:p>
      <w:pPr>
        <w:jc w:val="both"/>
        <w:ind w:left="4"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Joint Bookrunning Managers</w:t>
      </w:r>
      <w:r>
        <w:rPr>
          <w:rFonts w:ascii="Arial" w:cs="Arial" w:eastAsia="Arial" w:hAnsi="Arial"/>
          <w:sz w:val="18"/>
          <w:szCs w:val="18"/>
          <w:color w:val="auto"/>
        </w:rPr>
        <w:t>” means Merrill Lynch, Pierce, Fenner &amp; Smith Incorporated, JPMorgan Chase Bank, N.A., Investment Banking, Skandinaviska Enskilda Banken AB (publ.), Mizuho Bank, Ltd., Nordea Bank AB (publ), New York Branch and Wells Fargo Securities, LLC, in their capacities as joint bookrunning managers.</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 Currency</w:t>
      </w:r>
      <w:r>
        <w:rPr>
          <w:rFonts w:ascii="Arial" w:cs="Arial" w:eastAsia="Arial" w:hAnsi="Arial"/>
          <w:sz w:val="18"/>
          <w:szCs w:val="18"/>
          <w:color w:val="auto"/>
        </w:rPr>
        <w:t>” has the meaning assigned to such term by Section 9.16.</w:t>
      </w:r>
    </w:p>
    <w:p>
      <w:pPr>
        <w:spacing w:after="0" w:line="225"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Advance</w:t>
      </w:r>
      <w:r>
        <w:rPr>
          <w:rFonts w:ascii="Arial" w:cs="Arial" w:eastAsia="Arial" w:hAnsi="Arial"/>
          <w:sz w:val="18"/>
          <w:szCs w:val="18"/>
          <w:color w:val="auto"/>
        </w:rPr>
        <w:t>” means, with respect to each Revolving Lender, such Lender’s funding of its participation in any LC Borrowing in accordance with its Applicable Percentage.</w:t>
      </w:r>
    </w:p>
    <w:p>
      <w:pPr>
        <w:spacing w:after="0" w:line="170" w:lineRule="exact"/>
        <w:rPr>
          <w:sz w:val="20"/>
          <w:szCs w:val="20"/>
          <w:color w:val="auto"/>
        </w:rPr>
      </w:pPr>
    </w:p>
    <w:p>
      <w:pPr>
        <w:ind w:left="4" w:right="6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LC Borrowing</w:t>
      </w:r>
      <w:r>
        <w:rPr>
          <w:rFonts w:ascii="Arial" w:cs="Arial" w:eastAsia="Arial" w:hAnsi="Arial"/>
          <w:sz w:val="17"/>
          <w:szCs w:val="17"/>
          <w:color w:val="auto"/>
        </w:rPr>
        <w:t>” means an extension of credit resulting from a drawing under any Letter of Credit which has not been reimbursed by the Borrower on the date when made or refinanced as a Revolving Loan. All LC Borrowings shall be denominated in Dollars.</w:t>
      </w:r>
    </w:p>
    <w:p>
      <w:pPr>
        <w:spacing w:after="0" w:line="146"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Credit Extension</w:t>
      </w:r>
      <w:r>
        <w:rPr>
          <w:rFonts w:ascii="Arial" w:cs="Arial" w:eastAsia="Arial" w:hAnsi="Arial"/>
          <w:sz w:val="18"/>
          <w:szCs w:val="18"/>
          <w:color w:val="auto"/>
        </w:rPr>
        <w:t>” means, with respect to any Letter of Credit, the issuance thereof or extension of the expiry date thereof, or the increase of the amount thereof.</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means a payment made by an Issuing Bank pursuant to a Letter of Credit.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Exposure</w:t>
      </w:r>
      <w:r>
        <w:rPr>
          <w:rFonts w:ascii="Arial" w:cs="Arial" w:eastAsia="Arial" w:hAnsi="Arial"/>
          <w:sz w:val="18"/>
          <w:szCs w:val="18"/>
          <w:color w:val="auto"/>
        </w:rPr>
        <w:t>” means, at any time, the sum of the aggregate Tranche A LC Exposures and the aggregate Tranche B LC Exposures.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 Default</w:t>
      </w:r>
      <w:r>
        <w:rPr>
          <w:rFonts w:ascii="Arial" w:cs="Arial" w:eastAsia="Arial" w:hAnsi="Arial"/>
          <w:sz w:val="17"/>
          <w:szCs w:val="17"/>
          <w:color w:val="auto"/>
        </w:rPr>
        <w:t>” means (i) the refusal (which may be given verbally or in writing) which has not been retracted or failure of any Lender to</w:t>
      </w:r>
    </w:p>
    <w:p>
      <w:pPr>
        <w:spacing w:after="0" w:line="35" w:lineRule="exact"/>
        <w:rPr>
          <w:sz w:val="20"/>
          <w:szCs w:val="20"/>
          <w:color w:val="auto"/>
        </w:rPr>
      </w:pPr>
    </w:p>
    <w:p>
      <w:pPr>
        <w:ind w:left="4" w:right="60" w:hanging="4"/>
        <w:spacing w:after="0" w:line="253" w:lineRule="auto"/>
        <w:tabs>
          <w:tab w:leader="none" w:pos="259"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available its portion of any incurrence of Revolving Loans pursuant to Section 2.01 or (y) make available any required LC Advance in accordance with Section 2.05(a), which refusal or failure is not cured within one Business Day after the date of such refusal or failure; (ii) the failure of any Lender to pay over to the Administrative Agent, any Issuing Bank or any other Lender any other amount required to be paid by it hereunder within one Business Day of the date when due, unless the subject of a good faith dispute; or (iii) a Lender has admitted in writing that it is insolvent or such Lender becomes subject to a Lender-Related Distress Event.</w:t>
      </w:r>
    </w:p>
    <w:p>
      <w:pPr>
        <w:spacing w:after="0" w:line="19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Lender-Related Distress Event</w:t>
      </w:r>
      <w:r>
        <w:rPr>
          <w:rFonts w:ascii="Arial" w:cs="Arial" w:eastAsia="Arial" w:hAnsi="Arial"/>
          <w:sz w:val="17"/>
          <w:szCs w:val="17"/>
          <w:color w:val="auto"/>
        </w:rPr>
        <w:t>” mean, with respect to any Lender or any Person that directly or indirectly controls such Lender (each, a</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Distressed Person</w:t>
      </w:r>
      <w:r>
        <w:rPr>
          <w:rFonts w:ascii="Arial" w:cs="Arial" w:eastAsia="Arial" w:hAnsi="Arial"/>
          <w:sz w:val="16"/>
          <w:szCs w:val="16"/>
          <w:color w:val="auto"/>
        </w:rPr>
        <w:t>”), as the case may be, (a) a voluntary or involuntary case is instituted with respect to such Distressed Person under the Bankruptcy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Code of the United States or any other liquidation, conservatorship, bankruptcy, assignment for the benefit of creditors, moratorium, rearrangement,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receivership, insolvency, reorganization, or other debtor relief laws of the United States or any other applicable jurisdiction from time to time in effect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and affecting the rights of creditors generally, (b) a custodian, conservator, receiver or similar official is appointed for such Distressed Person or any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substantial part of such Distressed Person’s assets, (c) such Distressed Person is</w:t>
      </w:r>
    </w:p>
    <w:p>
      <w:pPr>
        <w:spacing w:after="0" w:line="14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4"/>
          </w:cols>
          <w:pgMar w:left="436" w:top="274" w:right="499" w:bottom="1440" w:gutter="0" w:footer="0" w:header="0"/>
        </w:sectPr>
      </w:pPr>
    </w:p>
    <w:bookmarkStart w:id="38" w:name="page39"/>
    <w:bookmarkEnd w:id="38"/>
    <w:p>
      <w:pPr>
        <w:ind w:left="4"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subject to a forced liquidation, (d) such Distressed Person makes a general assignment for the benefit of creditors or is otherwise adjudicated as, or determined by any Governmental Authority having regulatory authority over such Distressed Person or its assets to be, insolvent or bankrupt or (e) such Distressed Person becomes subject of a Bail-in 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Lender-Related Distress Event shall not be deemed to have occurred solely by virtue of the ownership or acquisition of any Equity Interest in any Lender or any person that directly or indirectly controls such Lender by a Governmental Authority or an instrumentality thereof.</w:t>
      </w:r>
    </w:p>
    <w:p>
      <w:pPr>
        <w:spacing w:after="0" w:line="188" w:lineRule="exact"/>
        <w:rPr>
          <w:sz w:val="20"/>
          <w:szCs w:val="20"/>
          <w:color w:val="auto"/>
        </w:rPr>
      </w:pPr>
    </w:p>
    <w:p>
      <w:pPr>
        <w:ind w:left="4" w:right="1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means the Persons listed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and any other Person that shall have become a party hereto pursuant to Section 9.04 or pursuant to an Incremental Facility Amendment, unless and until (a) any such Person ceases to be a party hereto pursuant to Section 9.04 or (b) the Commitments, if any, held by such Person have been terminated and the Obligations (other than contingent Obligations with respect to which no claim has been made), if any, owing to such Person have been paid in full.</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standby letter of credit issued pursuant to this Agreement.</w:t>
      </w:r>
    </w:p>
    <w:p>
      <w:pPr>
        <w:spacing w:after="0" w:line="225"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Application</w:t>
      </w:r>
      <w:r>
        <w:rPr>
          <w:rFonts w:ascii="Arial" w:cs="Arial" w:eastAsia="Arial" w:hAnsi="Arial"/>
          <w:sz w:val="18"/>
          <w:szCs w:val="18"/>
          <w:color w:val="auto"/>
        </w:rPr>
        <w:t>” means an application and agreement for the issuance or amendment of a Letter of Credit in the form from time to time in use by any Issuing Bank.</w:t>
      </w:r>
    </w:p>
    <w:p>
      <w:pPr>
        <w:spacing w:after="0" w:line="170" w:lineRule="exact"/>
        <w:rPr>
          <w:sz w:val="20"/>
          <w:szCs w:val="20"/>
          <w:color w:val="auto"/>
        </w:rPr>
      </w:pPr>
    </w:p>
    <w:p>
      <w:pPr>
        <w:ind w:left="4" w:right="16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Leverage Ratio</w:t>
      </w:r>
      <w:r>
        <w:rPr>
          <w:rFonts w:ascii="Arial" w:cs="Arial" w:eastAsia="Arial" w:hAnsi="Arial"/>
          <w:sz w:val="16"/>
          <w:szCs w:val="16"/>
          <w:color w:val="auto"/>
        </w:rPr>
        <w:t xml:space="preserve">” means as of any date, the ratio of (a) Total Indebtedness as of such date minus the lesser of (i) cash and cash equivalents (determined in accordance with GAAP) of the Borrower and the Subsidiaries, other than </w:t>
      </w:r>
      <w:r>
        <w:rPr>
          <w:rFonts w:ascii="Arial" w:cs="Arial" w:eastAsia="Arial" w:hAnsi="Arial"/>
          <w:sz w:val="16"/>
          <w:szCs w:val="16"/>
          <w:u w:val="single" w:color="auto"/>
          <w:color w:val="0000FF"/>
        </w:rPr>
        <w:t>(x)</w:t>
      </w:r>
      <w:r>
        <w:rPr>
          <w:rFonts w:ascii="Arial" w:cs="Arial" w:eastAsia="Arial" w:hAnsi="Arial"/>
          <w:sz w:val="16"/>
          <w:szCs w:val="16"/>
          <w:color w:val="auto"/>
        </w:rPr>
        <w:t xml:space="preserve"> cash and cash equivalents not readily available for use by the Borrower in its discretion (including customer-segregated cash and cash equivalents and cash and cash equivalents required by applicable law or regulatory requirement to be maintained as such by the Borrower or any Subsidiary) </w:t>
      </w:r>
      <w:r>
        <w:rPr>
          <w:rFonts w:ascii="Arial" w:cs="Arial" w:eastAsia="Arial" w:hAnsi="Arial"/>
          <w:sz w:val="16"/>
          <w:szCs w:val="16"/>
          <w:color w:val="0000FF"/>
        </w:rPr>
        <w:t>and (y) the proceeds of Acquisition Debt</w:t>
      </w:r>
      <w:r>
        <w:rPr>
          <w:rFonts w:ascii="Arial" w:cs="Arial" w:eastAsia="Arial" w:hAnsi="Arial"/>
          <w:sz w:val="16"/>
          <w:szCs w:val="16"/>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4071620</wp:posOffset>
            </wp:positionH>
            <wp:positionV relativeFrom="paragraph">
              <wp:posOffset>-264160</wp:posOffset>
            </wp:positionV>
            <wp:extent cx="16319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3851910</wp:posOffset>
            </wp:positionH>
            <wp:positionV relativeFrom="paragraph">
              <wp:posOffset>-24130</wp:posOffset>
            </wp:positionV>
            <wp:extent cx="189420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894205" cy="8890"/>
                    </a:xfrm>
                    <a:prstGeom prst="rect">
                      <a:avLst/>
                    </a:prstGeom>
                    <a:noFill/>
                  </pic:spPr>
                </pic:pic>
              </a:graphicData>
            </a:graphic>
          </wp:anchor>
        </w:drawing>
      </w:r>
    </w:p>
    <w:p>
      <w:pPr>
        <w:ind w:left="4" w:hanging="4"/>
        <w:spacing w:after="0" w:line="268" w:lineRule="auto"/>
        <w:tabs>
          <w:tab w:leader="none" w:pos="269" w:val="left"/>
        </w:tabs>
        <w:numPr>
          <w:ilvl w:val="0"/>
          <w:numId w:val="1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color w:val="FF4338"/>
          <w:strike w:val="1"/>
        </w:rPr>
        <w:t>150,000,000,</w:t>
      </w:r>
      <w:r>
        <w:rPr>
          <w:rFonts w:ascii="Arial" w:cs="Arial" w:eastAsia="Arial" w:hAnsi="Arial"/>
          <w:sz w:val="17"/>
          <w:szCs w:val="17"/>
          <w:u w:val="single" w:color="auto"/>
          <w:color w:val="0000FF"/>
        </w:rPr>
        <w:t>250,000,000,</w:t>
      </w:r>
      <w:r>
        <w:rPr>
          <w:rFonts w:ascii="Arial" w:cs="Arial" w:eastAsia="Arial" w:hAnsi="Arial"/>
          <w:sz w:val="17"/>
          <w:szCs w:val="17"/>
          <w:color w:val="auto"/>
        </w:rPr>
        <w:t xml:space="preserve"> to (b) Consolidated EBITDA for the period of four consecutive fiscal quarters of the Borrower ended on such date (or, if such date is not the last day of a fiscal quarter, ended on the last day of the fiscal quarter of the Borrower most recently ended prior to such date for which financial statements have been delivered pursuant to Section 5.01)</w:t>
      </w:r>
      <w:r>
        <w:rPr>
          <w:rFonts w:ascii="Arial" w:cs="Arial" w:eastAsia="Arial" w:hAnsi="Arial"/>
          <w:sz w:val="17"/>
          <w:szCs w:val="17"/>
          <w:u w:val="single" w:color="auto"/>
          <w:color w:val="0000FF"/>
        </w:rPr>
        <w:t>; provided that notwithstanding anything to the contrary herein, for purposes of</w:t>
      </w:r>
      <w:r>
        <w:rPr>
          <w:rFonts w:ascii="Arial" w:cs="Arial" w:eastAsia="Arial" w:hAnsi="Arial"/>
          <w:sz w:val="17"/>
          <w:szCs w:val="17"/>
          <w:color w:val="auto"/>
        </w:rPr>
        <w:t xml:space="preserve"> </w:t>
      </w:r>
      <w:r>
        <w:rPr>
          <w:rFonts w:ascii="Arial" w:cs="Arial" w:eastAsia="Arial" w:hAnsi="Arial"/>
          <w:sz w:val="17"/>
          <w:szCs w:val="17"/>
          <w:u w:val="single" w:color="auto"/>
          <w:color w:val="0000FF"/>
        </w:rPr>
        <w:t>any calculation of Leverage Ratio from and after the Amendment No.1 Effective Date, at any time after the definitive agreement for any Acquisition shall have been executed (or, in the case of an Acquisition in the form of a tender offer or similar transaction, after the offer shall have been launched) and prior to the consummation of such Acquisition (or termination of the definitive documentation in respect thereof (or such later date as such indebtedness ceases to constitute Acquisition Debt as set forth in the definition of “Acquisition Debt”)), any Acquisition Debt (and the proceeds of such Acquisition Debt) shall be excluded from the determination of the Leverage Ratio</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-1099820</wp:posOffset>
            </wp:positionV>
            <wp:extent cx="189420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894205" cy="8255"/>
                    </a:xfrm>
                    <a:prstGeom prst="rect">
                      <a:avLst/>
                    </a:prstGeom>
                    <a:noFill/>
                  </pic:spPr>
                </pic:pic>
              </a:graphicData>
            </a:graphic>
          </wp:anchor>
        </w:drawing>
        <w:drawing>
          <wp:anchor simplePos="0" relativeHeight="251657728" behindDoc="1" locked="0" layoutInCell="0" allowOverlap="1">
            <wp:simplePos x="0" y="0"/>
            <wp:positionH relativeFrom="column">
              <wp:posOffset>822960</wp:posOffset>
            </wp:positionH>
            <wp:positionV relativeFrom="paragraph">
              <wp:posOffset>-962660</wp:posOffset>
            </wp:positionV>
            <wp:extent cx="60007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0075" cy="889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-688340</wp:posOffset>
            </wp:positionV>
            <wp:extent cx="361759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6175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-551180</wp:posOffset>
            </wp:positionV>
            <wp:extent cx="67894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894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-414020</wp:posOffset>
            </wp:positionV>
            <wp:extent cx="684911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-276860</wp:posOffset>
            </wp:positionV>
            <wp:extent cx="6540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5405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-139700</wp:posOffset>
            </wp:positionV>
            <wp:extent cx="69437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437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-2540</wp:posOffset>
            </wp:positionV>
            <wp:extent cx="374586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163" w:lineRule="exact"/>
        <w:rPr>
          <w:sz w:val="20"/>
          <w:szCs w:val="20"/>
          <w:color w:val="auto"/>
        </w:rPr>
      </w:pPr>
    </w:p>
    <w:p>
      <w:pPr>
        <w:ind w:left="4" w:right="10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w:t>
      </w:r>
      <w:r>
        <w:rPr>
          <w:rFonts w:ascii="Arial" w:cs="Arial" w:eastAsia="Arial" w:hAnsi="Arial"/>
          <w:sz w:val="17"/>
          <w:szCs w:val="17"/>
          <w:color w:val="auto"/>
        </w:rPr>
        <w:t>” means, with respect to any asset, (a) any mortgage, deed of trust, lien, pledge, hypothecation,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w:t>
      </w:r>
    </w:p>
    <w:p>
      <w:pPr>
        <w:spacing w:after="0" w:line="165" w:lineRule="exact"/>
        <w:rPr>
          <w:sz w:val="20"/>
          <w:szCs w:val="20"/>
          <w:color w:val="auto"/>
        </w:rPr>
      </w:pPr>
    </w:p>
    <w:p>
      <w:pPr>
        <w:ind w:left="4" w:right="2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Documents</w:t>
      </w:r>
      <w:r>
        <w:rPr>
          <w:rFonts w:ascii="Arial" w:cs="Arial" w:eastAsia="Arial" w:hAnsi="Arial"/>
          <w:sz w:val="16"/>
          <w:szCs w:val="16"/>
          <w:color w:val="auto"/>
        </w:rPr>
        <w:t>” means this Agreement, each Issuer Document, any Incremental Facility Amendment, each Additional Borrower Agreement (and any related guarantee by the Borrower pursuant to Section 1.10) and, solely for purposes of clause (e) of Article VII, the Fee Letter.</w:t>
      </w:r>
    </w:p>
    <w:p>
      <w:pPr>
        <w:spacing w:after="0" w:line="12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Revolving Loans.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has the meaning assigned thereto in Regulation U of the Board.</w:t>
      </w:r>
    </w:p>
    <w:p>
      <w:pPr>
        <w:spacing w:after="0" w:line="158"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4"/>
          </w:cols>
          <w:pgMar w:left="436" w:top="274" w:right="499" w:bottom="1440" w:gutter="0" w:footer="0" w:header="0"/>
        </w:sectPr>
      </w:pPr>
    </w:p>
    <w:bookmarkStart w:id="39" w:name="page40"/>
    <w:bookmarkEnd w:id="39"/>
    <w:p>
      <w:pPr>
        <w:jc w:val="both"/>
        <w:ind w:right="1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material adverse effect on (a) the business, operations, properties or financial condition of the Borrower and the Subsidiaries, taken as a whole, (b) the ability of the Borrower to perform any of its material obligations under any Loan Document or (c) the rights of or remedies available to the Lenders under the Loan Documents, taken as a whole.</w:t>
      </w:r>
    </w:p>
    <w:p>
      <w:pPr>
        <w:spacing w:after="0" w:line="184" w:lineRule="exact"/>
        <w:rPr>
          <w:sz w:val="20"/>
          <w:szCs w:val="20"/>
          <w:color w:val="auto"/>
        </w:rPr>
      </w:pPr>
    </w:p>
    <w:p>
      <w:pPr>
        <w:jc w:val="both"/>
        <w:ind w:right="8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Indebtedness</w:t>
      </w:r>
      <w:r>
        <w:rPr>
          <w:rFonts w:ascii="Arial" w:cs="Arial" w:eastAsia="Arial" w:hAnsi="Arial"/>
          <w:sz w:val="18"/>
          <w:szCs w:val="18"/>
          <w:color w:val="auto"/>
        </w:rPr>
        <w:t>” means Indebtedness (other than any Obligations), or obligations in respect of one or more Swap Agreements, of any one or more of the Borrower and the Material Subsidiaries in an aggregate principal amount exceeding $50,000,000. For purposes of determining Material Indebtedness, the “principal amount” of the obligations of the Borrower or any Material Subsidiary in respect of any Swap Agreement at any time shall be the maximum aggregate amount (giving effect to any netting agreements) that the Borrower or such Material Subsidiary would be required to pay if such Swap Agreement were terminated at such time.</w:t>
      </w:r>
    </w:p>
    <w:p>
      <w:pPr>
        <w:spacing w:after="0" w:line="188"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Subsidiary</w:t>
      </w:r>
      <w:r>
        <w:rPr>
          <w:rFonts w:ascii="Arial" w:cs="Arial" w:eastAsia="Arial" w:hAnsi="Arial"/>
          <w:sz w:val="16"/>
          <w:szCs w:val="16"/>
          <w:color w:val="auto"/>
        </w:rPr>
        <w:t xml:space="preserve">” means, at any date of determination, each of the Borrower’s Subsidiaries (i) which the Borrower has elected to treat as a Material Subsidiary, (ii) (a) whose total assets (on a consolidated basis with its subsidiaries) at the last day of the relevant fiscal year (individually or in the aggregate) were greater than 10.0% of the consolidated total assets of the Borrower and the Subsidiaries at such date or (b) whose operating income (calculated in a manner consistent with the public filings of the Borrower) for the most recently ended fiscal year for which financial statements have been delivered pursuant to Section 5.01(a) (individually or in the aggregate) are greater than 10.0% of the consolidated operating income of the Borrower and the Subsidiaries for such fiscal year or (iii) which is an Additional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no time shall the total consolidated assets or operating income of all Subsidiaries that are not Material Subsidiaries in reliance on clause (ii) above exceed, at such time, 10.0% of the consolidated total assets or 10.0% of the operating income, respectively, of the Borrower and its Subsidiaries and if either such aggregate threshold is exceeded then the Borrower shall designate a sufficient number of Subsidiaries which would not constitute Material Subsidiaries under clause (ii) above as Material Subsidiaries such that neither such aggregate threshold is exceeded. For the avoidance of doubt, for purposes of determining whether any Subsidiary is a Material Subsidiary for purposes of clauses (f), (g), (h), (i), (j) or (k) of Article VII (any such determination that any Subsidiary does not constitute a Material Subsidiary for such purposes, a “</w:t>
      </w:r>
      <w:r>
        <w:rPr>
          <w:rFonts w:ascii="Arial" w:cs="Arial" w:eastAsia="Arial" w:hAnsi="Arial"/>
          <w:sz w:val="16"/>
          <w:szCs w:val="16"/>
          <w:u w:val="single" w:color="auto"/>
          <w:color w:val="auto"/>
        </w:rPr>
        <w:t>Specified Exception</w:t>
      </w:r>
      <w:r>
        <w:rPr>
          <w:rFonts w:ascii="Arial" w:cs="Arial" w:eastAsia="Arial" w:hAnsi="Arial"/>
          <w:sz w:val="16"/>
          <w:szCs w:val="16"/>
          <w:color w:val="auto"/>
        </w:rPr>
        <w:t>”), all Subsidiaries as to which the Borrower has previously relied on a Specified Exception shall be aggregated (based on the calculation of the amounts set forth in clause (ii) of the preceding sentence as of the time such Specified Exception was relied on with respect to each such Subsidiary) for purposes of determining whether a Subsidiary is a Material Subsidiary for purposes of such Specified Exception (</w:t>
      </w:r>
      <w:r>
        <w:rPr>
          <w:rFonts w:ascii="Arial" w:cs="Arial" w:eastAsia="Arial" w:hAnsi="Arial"/>
          <w:sz w:val="16"/>
          <w:szCs w:val="16"/>
          <w:u w:val="single" w:color="auto"/>
          <w:color w:val="auto"/>
        </w:rPr>
        <w:t>e.g</w:t>
      </w:r>
      <w:r>
        <w:rPr>
          <w:rFonts w:ascii="Arial" w:cs="Arial" w:eastAsia="Arial" w:hAnsi="Arial"/>
          <w:sz w:val="16"/>
          <w:szCs w:val="16"/>
          <w:color w:val="auto"/>
        </w:rPr>
        <w:t>., if on March 1, 2018, a Subsidiary which accounted for 6.0% of the Borrower’s consolidated assets as of December 31, 2017 and 6.0% of the Borrower’s operating income for the year ended December 31, 2017 becomes subject to a proceeding described in clause (h) of Article VII, then for purposes of determining whether a second Subsidiary is a “Material Subsidiary” for purposes of Article VII on March 1, 2018, if such second Subsidiary accounted for 4% of the Borrower’s consolidated assets as of December 31, 2017 and 4% of the Borrower’s operating income for the year ended December 31, 2017, such second Subsidiary would not be a “Material Subsidiary” for purposes of Article VII but if such second Subsidiary accounted for 4.5% of the Borrower’s consolidated assets as of December 31, 2017 and/or 4.5% of the Borrower’s operating income for the year ended December 31, 2017, then such second Subsidiary would constitute a “Material Subsidiary” for purposes of Article VII).</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means April 25, 2022.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has the meaning set forth in Section 9.13.</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40" w:name="page41"/>
    <w:bookmarkEnd w:id="40"/>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w:t>
      </w:r>
    </w:p>
    <w:p>
      <w:pPr>
        <w:spacing w:after="0" w:line="225" w:lineRule="exact"/>
        <w:rPr>
          <w:sz w:val="20"/>
          <w:szCs w:val="20"/>
          <w:color w:val="auto"/>
        </w:rPr>
      </w:pPr>
    </w:p>
    <w:p>
      <w:pPr>
        <w:ind w:left="4"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 to which the Borrower or any ERISA Affiliate is making or accruing an obligation to make contributions, or has within any of the preceding six Plan years made or accrued an obligation to make contributions.</w:t>
      </w:r>
    </w:p>
    <w:p>
      <w:pPr>
        <w:spacing w:after="0" w:line="184"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Non-ABR Lender</w:t>
      </w:r>
      <w:r>
        <w:rPr>
          <w:rFonts w:ascii="Arial" w:cs="Arial" w:eastAsia="Arial" w:hAnsi="Arial"/>
          <w:sz w:val="18"/>
          <w:szCs w:val="18"/>
          <w:color w:val="auto"/>
        </w:rPr>
        <w:t>” means any Lender that does not extend credit based on a U.S. “prime rate” or Federal Funds Rate in the ordinary course of its business.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has the meaning assigned to such term in Section 9.02(c).</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Nonrenewal Notice Date</w:t>
      </w:r>
      <w:r>
        <w:rPr>
          <w:rFonts w:ascii="Arial" w:cs="Arial" w:eastAsia="Arial" w:hAnsi="Arial"/>
          <w:sz w:val="18"/>
          <w:szCs w:val="18"/>
          <w:color w:val="auto"/>
        </w:rPr>
        <w:t>” has the meaning set forth in Section 2.05(a)(viii).</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Norwegian Kroner</w:t>
      </w:r>
      <w:r>
        <w:rPr>
          <w:rFonts w:ascii="Arial" w:cs="Arial" w:eastAsia="Arial" w:hAnsi="Arial"/>
          <w:sz w:val="18"/>
          <w:szCs w:val="18"/>
          <w:color w:val="auto"/>
        </w:rPr>
        <w:t>” means the lawful currency of the Kingdom of Norway.</w:t>
      </w:r>
    </w:p>
    <w:p>
      <w:pPr>
        <w:spacing w:after="0" w:line="225" w:lineRule="exact"/>
        <w:rPr>
          <w:sz w:val="20"/>
          <w:szCs w:val="20"/>
          <w:color w:val="auto"/>
        </w:rPr>
      </w:pPr>
    </w:p>
    <w:p>
      <w:pPr>
        <w:ind w:left="4" w:right="80"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means (a) the due and punctual payment by the Borrower (and the Additional Borrowers, if any) of (i) the principal of and interest (including interest accruing during the pendency of any bankruptcy, insolvency, receivership or other similar proceeding, regardless of whether allowed or allowable in such proceeding) on the Loans under this Agreement paid equally and ratably, when and as due, whether at maturity, by acceleration, upon one or more dates set for prepayment or otherwise, in each case, free and clear and without deduction for any Indemnified Taxes or Other Taxes,</w:t>
      </w:r>
    </w:p>
    <w:p>
      <w:pPr>
        <w:spacing w:after="0" w:line="1" w:lineRule="exact"/>
        <w:rPr>
          <w:sz w:val="20"/>
          <w:szCs w:val="20"/>
          <w:color w:val="auto"/>
        </w:rPr>
      </w:pPr>
    </w:p>
    <w:p>
      <w:pPr>
        <w:ind w:left="4" w:right="60" w:hanging="4"/>
        <w:spacing w:after="0" w:line="268" w:lineRule="auto"/>
        <w:tabs>
          <w:tab w:leader="none" w:pos="269" w:val="left"/>
        </w:tabs>
        <w:numPr>
          <w:ilvl w:val="0"/>
          <w:numId w:val="19"/>
        </w:numPr>
        <w:rPr>
          <w:rFonts w:ascii="Arial" w:cs="Arial" w:eastAsia="Arial" w:hAnsi="Arial"/>
          <w:sz w:val="17"/>
          <w:szCs w:val="17"/>
          <w:color w:val="auto"/>
        </w:rPr>
      </w:pPr>
      <w:r>
        <w:rPr>
          <w:rFonts w:ascii="Arial" w:cs="Arial" w:eastAsia="Arial" w:hAnsi="Arial"/>
          <w:sz w:val="17"/>
          <w:szCs w:val="17"/>
          <w:color w:val="auto"/>
        </w:rPr>
        <w:t>each payment required to be made by the Borrower (and the Additional Borrowers, if any) under this Agreement in respect of any Letter of Credit, when and as due, including payments in respect of reimbursement of disbursements, interest and fees thereon and obligations to provide cash collateral, and (iii) all other monetary obligations of the Borrower (and the Additional Borrowers, if any) to the Administrative Agent or any of the Lenders under this Agreement and each of the other Loan Documents, paid equally and ratably, including obligations to pay fees (including participation and commitment fees), expense reimbursement obligations and indemnification obligations, whether primary, secondary, direct, contingent, fixed or otherwise (including monetary obligations incurred during the pendency of any bankruptcy, insolvency, receivership or other similar proceeding, regardless of whether allowed or allowable in such proceeding), and (b) the due and punctual performance of all other obligations of the Borrower (and the Additional Borrowers, if any) under or pursuant to this Agreement and each of the other Loan Documents.</w:t>
      </w:r>
    </w:p>
    <w:p>
      <w:pPr>
        <w:spacing w:after="0" w:line="18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means the Office of Foreign Assets Control of the United States Department of the Treasury.</w:t>
      </w:r>
    </w:p>
    <w:p>
      <w:pPr>
        <w:spacing w:after="0" w:line="225"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means, with respect to any Person, the charter, articles or certificate of organization or incorporation and bylaws or other organizational or governing documents of such Person.</w:t>
      </w:r>
    </w:p>
    <w:p>
      <w:pPr>
        <w:spacing w:after="0" w:line="170" w:lineRule="exact"/>
        <w:rPr>
          <w:sz w:val="20"/>
          <w:szCs w:val="20"/>
          <w:color w:val="auto"/>
        </w:rPr>
      </w:pPr>
    </w:p>
    <w:p>
      <w:pPr>
        <w:ind w:left="4" w:right="16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Taxes</w:t>
      </w:r>
      <w:r>
        <w:rPr>
          <w:rFonts w:ascii="Arial" w:cs="Arial" w:eastAsia="Arial" w:hAnsi="Arial"/>
          <w:sz w:val="16"/>
          <w:szCs w:val="16"/>
          <w:color w:val="auto"/>
        </w:rPr>
        <w:t>” means any and all present or future recording, stamp, documentary, excise, property or similar Taxes arising from any payment made under any Loan Document or from the execution, delivery or enforcement of, or otherwise with respect to, any Loan Document, excluding any such Tax imposed as a result of an assignment (other than an assignment made at the request of the Borrower pursuant to Section 2.17(b)) by a Lender (an “</w:t>
      </w:r>
      <w:r>
        <w:rPr>
          <w:rFonts w:ascii="Arial" w:cs="Arial" w:eastAsia="Arial" w:hAnsi="Arial"/>
          <w:sz w:val="16"/>
          <w:szCs w:val="16"/>
          <w:u w:val="single" w:color="auto"/>
          <w:color w:val="auto"/>
        </w:rPr>
        <w:t>Assignment Tax</w:t>
      </w:r>
      <w:r>
        <w:rPr>
          <w:rFonts w:ascii="Arial" w:cs="Arial" w:eastAsia="Arial" w:hAnsi="Arial"/>
          <w:sz w:val="16"/>
          <w:szCs w:val="16"/>
          <w:color w:val="auto"/>
        </w:rPr>
        <w:t>”), if such Assignment Tax is imposed as a result of the assignor or assignee being organized in or having its principal office or applicable lending office in the taxing jurisdiction, or as a result of any other present or former connection between the assignor or assignee and the taxing jurisdiction, other than any connection arising from having executed, delivered, become a party to, performed its obligations under, received payments under, received or perfected a security interest under, engaged in any other transaction pursuant to, or enforced, any Loan Document.</w:t>
      </w:r>
    </w:p>
    <w:p>
      <w:pPr>
        <w:spacing w:after="0" w:line="9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4"/>
          </w:cols>
          <w:pgMar w:left="436" w:top="274" w:right="479" w:bottom="1440" w:gutter="0" w:footer="0" w:header="0"/>
        </w:sectPr>
      </w:pPr>
    </w:p>
    <w:bookmarkStart w:id="41" w:name="page42"/>
    <w:bookmarkEnd w:id="41"/>
    <w:p>
      <w:pPr>
        <w:ind w:right="100"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Outstanding Amount</w:t>
      </w:r>
      <w:r>
        <w:rPr>
          <w:rFonts w:ascii="Arial" w:cs="Arial" w:eastAsia="Arial" w:hAnsi="Arial"/>
          <w:sz w:val="18"/>
          <w:szCs w:val="18"/>
          <w:color w:val="auto"/>
        </w:rPr>
        <w:t>” means (i) with respect to Loans on any date, the Dollar Equivalent of the aggregate outstanding principal amount thereof after giving effect to any borrowings and prepayments or repayments of such Loans occurring on such date; and (ii) with respect to any Letter of Credit or LC Disbursement on any date, the Dollar Equivalent of the aggregate outstanding amount of such Letter of Credit or LC Disbursement on such date after giving effect to any issuance or amendment of any Letter of Credit occurring on such date, any drawing under any Letter of Credit occurring on such date and any other changes in the aggregate amount of the LC Exposure as of such date, including as a result of any reimbursements by or on behalf of the Borrower of LC Disbursements.</w:t>
      </w:r>
    </w:p>
    <w:p>
      <w:pPr>
        <w:spacing w:after="0" w:line="192"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Overnight Rate</w:t>
      </w:r>
      <w:r>
        <w:rPr>
          <w:rFonts w:ascii="Arial" w:cs="Arial" w:eastAsia="Arial" w:hAnsi="Arial"/>
          <w:sz w:val="18"/>
          <w:szCs w:val="18"/>
          <w:color w:val="auto"/>
        </w:rPr>
        <w:t>” means, for any day, (a) with respect to any amount denominated in Dollars, the greater of (i) the Federal Funds Rate and (ii) an overnight rate determined by the Administrative Agent or an Issuing Bank, as the case may be, in accordance with banking industry rules on interbank compensation, and (b) with respect to any amount denominated in an Alternative Currency, the rate of interest per annum at which overnight deposits in the applicable Alternative Currency, in an amount approximately equal to the amount with respect to which such rate is being determined, would be offered for such day by a branch or Affiliate of Bank of America in the applicable offshore interbank market for such currency to major banks in such interbank market.</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has the meaning assigned to such term in Section 9.04(c).</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Member State</w:t>
      </w:r>
      <w:r>
        <w:rPr>
          <w:rFonts w:ascii="Arial" w:cs="Arial" w:eastAsia="Arial" w:hAnsi="Arial"/>
          <w:sz w:val="18"/>
          <w:szCs w:val="18"/>
          <w:color w:val="auto"/>
        </w:rPr>
        <w:t>” means any member state of the European Communities that adopts or has adopted the Euro as its lawful currency in accordance with legislation of the European Community relating to Economic and Monetary Union.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has the meaning assigned to such term in Section 9.14.</w:t>
      </w:r>
    </w:p>
    <w:p>
      <w:pPr>
        <w:spacing w:after="0" w:line="225" w:lineRule="exact"/>
        <w:rPr>
          <w:sz w:val="20"/>
          <w:szCs w:val="20"/>
          <w:color w:val="auto"/>
        </w:rPr>
      </w:pPr>
    </w:p>
    <w:p>
      <w:pPr>
        <w:ind w:right="7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referred to and defined in ERISA and any successor entity performing similar functions.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means:</w:t>
      </w:r>
    </w:p>
    <w:p>
      <w:pPr>
        <w:spacing w:after="0" w:line="117" w:lineRule="exact"/>
        <w:rPr>
          <w:sz w:val="20"/>
          <w:szCs w:val="20"/>
          <w:color w:val="auto"/>
        </w:rPr>
      </w:pPr>
    </w:p>
    <w:p>
      <w:pPr>
        <w:ind w:left="440" w:right="200" w:firstLine="419"/>
        <w:spacing w:after="0" w:line="277" w:lineRule="auto"/>
        <w:tabs>
          <w:tab w:leader="none" w:pos="1108"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Liens imposed by law for taxes, assessments or other governmental charges that are not yet due or are being contested in good faith by appropriate proceedings;</w:t>
      </w:r>
    </w:p>
    <w:p>
      <w:pPr>
        <w:spacing w:after="0" w:line="62" w:lineRule="exact"/>
        <w:rPr>
          <w:rFonts w:ascii="Arial" w:cs="Arial" w:eastAsia="Arial" w:hAnsi="Arial"/>
          <w:sz w:val="18"/>
          <w:szCs w:val="18"/>
          <w:color w:val="auto"/>
        </w:rPr>
      </w:pPr>
    </w:p>
    <w:p>
      <w:pPr>
        <w:ind w:left="440" w:right="40" w:firstLine="419"/>
        <w:spacing w:after="0" w:line="263" w:lineRule="auto"/>
        <w:tabs>
          <w:tab w:leader="none" w:pos="1118"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carriers’, warehousemen’s, mechanics’, materialmen’s, repairmen’s, landlords’ and other like Liens imposed by law, arising in the ordinary course of business and securing obligations that are not overdue by more than 60 days or are being contested in good faith by appropriate proceedings;</w:t>
      </w:r>
    </w:p>
    <w:p>
      <w:pPr>
        <w:spacing w:after="0" w:line="75" w:lineRule="exact"/>
        <w:rPr>
          <w:rFonts w:ascii="Arial" w:cs="Arial" w:eastAsia="Arial" w:hAnsi="Arial"/>
          <w:sz w:val="18"/>
          <w:szCs w:val="18"/>
          <w:color w:val="auto"/>
        </w:rPr>
      </w:pPr>
    </w:p>
    <w:p>
      <w:pPr>
        <w:ind w:left="440" w:firstLine="419"/>
        <w:spacing w:after="0" w:line="263" w:lineRule="auto"/>
        <w:tabs>
          <w:tab w:leader="none" w:pos="1108" w:val="left"/>
        </w:tabs>
        <w:numPr>
          <w:ilvl w:val="0"/>
          <w:numId w:val="20"/>
        </w:numPr>
        <w:rPr>
          <w:rFonts w:ascii="Arial" w:cs="Arial" w:eastAsia="Arial" w:hAnsi="Arial"/>
          <w:sz w:val="18"/>
          <w:szCs w:val="18"/>
          <w:color w:val="auto"/>
        </w:rPr>
      </w:pPr>
      <w:r>
        <w:rPr>
          <w:rFonts w:ascii="Arial" w:cs="Arial" w:eastAsia="Arial" w:hAnsi="Arial"/>
          <w:sz w:val="18"/>
          <w:szCs w:val="18"/>
          <w:color w:val="auto"/>
        </w:rPr>
        <w:t>pledges and deposits made in the ordinary course of business in compliance with workers’ compensation, pension liabilities, unemployment insurance and other social security laws or regulations or other insurance-related obligations (including, without limitation, pledges or deposits securing liability to insurance carriers under insurance or self-insurance arrangements);</w:t>
      </w:r>
    </w:p>
    <w:p>
      <w:pPr>
        <w:spacing w:after="0" w:line="75" w:lineRule="exact"/>
        <w:rPr>
          <w:rFonts w:ascii="Arial" w:cs="Arial" w:eastAsia="Arial" w:hAnsi="Arial"/>
          <w:sz w:val="18"/>
          <w:szCs w:val="18"/>
          <w:color w:val="auto"/>
        </w:rPr>
      </w:pPr>
    </w:p>
    <w:p>
      <w:pPr>
        <w:ind w:left="440" w:right="20" w:firstLine="419"/>
        <w:spacing w:after="0" w:line="277" w:lineRule="auto"/>
        <w:tabs>
          <w:tab w:leader="none" w:pos="1118"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leases, statutory obligations, surety and appeal bonds, performance bonds and other obligations of a like nature, in each case in the ordinary course of business;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42" w:name="page43"/>
    <w:bookmarkEnd w:id="42"/>
    <w:p>
      <w:pPr>
        <w:ind w:left="1100" w:hanging="241"/>
        <w:spacing w:after="0"/>
        <w:tabs>
          <w:tab w:leader="none" w:pos="1100" w:val="left"/>
        </w:tabs>
        <w:numPr>
          <w:ilvl w:val="0"/>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judgment liens in respect of judgments that do not constitute an Event of Default under clause (k) of Article VII;</w:t>
      </w:r>
    </w:p>
    <w:p>
      <w:pPr>
        <w:spacing w:after="0" w:line="117" w:lineRule="exact"/>
        <w:rPr>
          <w:rFonts w:ascii="Arial" w:cs="Arial" w:eastAsia="Arial" w:hAnsi="Arial"/>
          <w:sz w:val="18"/>
          <w:szCs w:val="18"/>
          <w:color w:val="auto"/>
        </w:rPr>
      </w:pPr>
    </w:p>
    <w:p>
      <w:pPr>
        <w:ind w:left="440" w:right="20" w:firstLine="419"/>
        <w:spacing w:after="0" w:line="263" w:lineRule="auto"/>
        <w:tabs>
          <w:tab w:leader="none" w:pos="1088"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the Borrower or any Subsidiary;</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Liens deemed to exist in connection with Permitted Investments in repurchase agreements;</w:t>
      </w:r>
    </w:p>
    <w:p>
      <w:pPr>
        <w:spacing w:after="0" w:line="117" w:lineRule="exact"/>
        <w:rPr>
          <w:rFonts w:ascii="Arial" w:cs="Arial" w:eastAsia="Arial" w:hAnsi="Arial"/>
          <w:sz w:val="18"/>
          <w:szCs w:val="18"/>
          <w:color w:val="auto"/>
        </w:rPr>
      </w:pPr>
    </w:p>
    <w:p>
      <w:pPr>
        <w:ind w:left="440" w:right="460" w:firstLine="419"/>
        <w:spacing w:after="0" w:line="311" w:lineRule="auto"/>
        <w:tabs>
          <w:tab w:leader="none" w:pos="1118" w:val="left"/>
        </w:tabs>
        <w:numPr>
          <w:ilvl w:val="0"/>
          <w:numId w:val="21"/>
        </w:numPr>
        <w:rPr>
          <w:rFonts w:ascii="Arial" w:cs="Arial" w:eastAsia="Arial" w:hAnsi="Arial"/>
          <w:sz w:val="16"/>
          <w:szCs w:val="16"/>
          <w:color w:val="auto"/>
        </w:rPr>
      </w:pPr>
      <w:r>
        <w:rPr>
          <w:rFonts w:ascii="Arial" w:cs="Arial" w:eastAsia="Arial" w:hAnsi="Arial"/>
          <w:sz w:val="16"/>
          <w:szCs w:val="16"/>
          <w:color w:val="auto"/>
        </w:rPr>
        <w:t>Liens arising in connection with ordinary course non-speculative hedging arrangements and bankers’ Liens granted in the ordinary course of business relating to the operation of bank accounts maintained by the Borrower or its Subsidiaries or as part of letter of credit transactions and Liens granted in customary escrow arrangements on sales and acquisitions not prohibited by this Agreement;</w:t>
      </w:r>
    </w:p>
    <w:p>
      <w:pPr>
        <w:spacing w:after="0" w:line="40" w:lineRule="exact"/>
        <w:rPr>
          <w:rFonts w:ascii="Arial" w:cs="Arial" w:eastAsia="Arial" w:hAnsi="Arial"/>
          <w:sz w:val="16"/>
          <w:szCs w:val="16"/>
          <w:color w:val="auto"/>
        </w:rPr>
      </w:pPr>
    </w:p>
    <w:p>
      <w:pPr>
        <w:ind w:left="440" w:right="20" w:firstLine="419"/>
        <w:spacing w:after="0" w:line="342" w:lineRule="auto"/>
        <w:tabs>
          <w:tab w:leader="none" w:pos="1078"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netting or setoff arrangement entered into by the Borrower or any of its Subsidiaries in the ordinary course of its banking arrangements or in connection with the cash pooling activities of the Borrower and its Subsidiaries entered into in the ordinary course of business;</w:t>
      </w:r>
    </w:p>
    <w:p>
      <w:pPr>
        <w:spacing w:after="0" w:line="15" w:lineRule="exact"/>
        <w:rPr>
          <w:rFonts w:ascii="Arial" w:cs="Arial" w:eastAsia="Arial" w:hAnsi="Arial"/>
          <w:sz w:val="16"/>
          <w:szCs w:val="16"/>
          <w:color w:val="auto"/>
        </w:rPr>
      </w:pPr>
    </w:p>
    <w:p>
      <w:pPr>
        <w:ind w:left="1080" w:hanging="221"/>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customary Liens over goods, inventory or documents of title where the shipment or storage price is financed by a documentary credit;</w:t>
      </w:r>
    </w:p>
    <w:p>
      <w:pPr>
        <w:spacing w:after="0" w:line="140" w:lineRule="exact"/>
        <w:rPr>
          <w:rFonts w:ascii="Arial" w:cs="Arial" w:eastAsia="Arial" w:hAnsi="Arial"/>
          <w:sz w:val="16"/>
          <w:szCs w:val="16"/>
          <w:color w:val="auto"/>
        </w:rPr>
      </w:pPr>
    </w:p>
    <w:p>
      <w:pPr>
        <w:ind w:left="440" w:right="140" w:firstLine="419"/>
        <w:spacing w:after="0" w:line="277" w:lineRule="auto"/>
        <w:tabs>
          <w:tab w:leader="none" w:pos="1118"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62" w:lineRule="exact"/>
        <w:rPr>
          <w:rFonts w:ascii="Arial" w:cs="Arial" w:eastAsia="Arial" w:hAnsi="Arial"/>
          <w:sz w:val="18"/>
          <w:szCs w:val="18"/>
          <w:color w:val="auto"/>
        </w:rPr>
      </w:pPr>
    </w:p>
    <w:p>
      <w:pPr>
        <w:ind w:left="440" w:right="500" w:firstLine="419"/>
        <w:spacing w:after="0" w:line="277" w:lineRule="auto"/>
        <w:tabs>
          <w:tab w:leader="none" w:pos="1078"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Liens constituting contractual rights of setoff under agreements with customers, in each case, entered into in the ordinary course of business; and</w:t>
      </w:r>
    </w:p>
    <w:p>
      <w:pPr>
        <w:spacing w:after="0" w:line="62" w:lineRule="exact"/>
        <w:rPr>
          <w:rFonts w:ascii="Arial" w:cs="Arial" w:eastAsia="Arial" w:hAnsi="Arial"/>
          <w:sz w:val="18"/>
          <w:szCs w:val="18"/>
          <w:color w:val="auto"/>
        </w:rPr>
      </w:pPr>
    </w:p>
    <w:p>
      <w:pPr>
        <w:ind w:left="1160" w:hanging="301"/>
        <w:spacing w:after="0"/>
        <w:tabs>
          <w:tab w:leader="none" w:pos="11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filing of UCC financing statements solely as a precautionary measure in connection with operating leases or consignment of goods;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“Permitted Encumbrances” shall not include any Lien securing Indebtedness for borrowed money.</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Investments</w:t>
      </w:r>
      <w:r>
        <w:rPr>
          <w:rFonts w:ascii="Arial" w:cs="Arial" w:eastAsia="Arial" w:hAnsi="Arial"/>
          <w:sz w:val="18"/>
          <w:szCs w:val="18"/>
          <w:color w:val="auto"/>
        </w:rPr>
        <w:t xml:space="preserve">” means investments that comply with the Borrower’s Investment Policy as disclosed to the Administrative Agent on the Closing Date, as such Investment Policy may be modified from time to time by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Borrower’s Investment Policy shall not be modified in any manner that would or would reasonably be expected to materially and adversely affect the interests or remedies of the Administrative Agent or the Lenders without the prior written consent of the Administrative Agent.</w:t>
      </w:r>
    </w:p>
    <w:p>
      <w:pPr>
        <w:spacing w:after="0" w:line="187"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or entity, including any corporation, limited liability company, trust, joint venture, association, company, partnership or Governmental Authority or other entity.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40" w:top="274" w:right="479" w:bottom="1440" w:gutter="0" w:footer="0" w:header="0"/>
        </w:sectPr>
      </w:pPr>
    </w:p>
    <w:bookmarkStart w:id="43" w:name="page44"/>
    <w:bookmarkEnd w:id="43"/>
    <w:p>
      <w:pPr>
        <w:ind w:left="4"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pension benefit plan (other than a Multiemployer Plan) subject to the provisions of Title IV of ERISA or Section 412 of the Code or Section 302 of ERISA, and in respect of which the Borrower or any ERISA Affiliate is (or, if such plan were terminated, would under Section 4069 of ERISA be deemed to be) an “employer” as defined in Section 3(5) of ERISA.</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has the meaning set forth in Section 5.01.</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Pricing Level</w:t>
      </w:r>
      <w:r>
        <w:rPr>
          <w:rFonts w:ascii="Arial" w:cs="Arial" w:eastAsia="Arial" w:hAnsi="Arial"/>
          <w:sz w:val="18"/>
          <w:szCs w:val="18"/>
          <w:color w:val="auto"/>
        </w:rPr>
        <w:t>” means the relevant level listed under the column “Pricing Level” in the grid in the definition of “Applicable Rate”.</w:t>
      </w:r>
    </w:p>
    <w:p>
      <w:pPr>
        <w:spacing w:after="0" w:line="225" w:lineRule="exact"/>
        <w:rPr>
          <w:sz w:val="20"/>
          <w:szCs w:val="20"/>
          <w:color w:val="auto"/>
        </w:rPr>
      </w:pPr>
    </w:p>
    <w:p>
      <w:pPr>
        <w:jc w:val="both"/>
        <w:ind w:left="4" w:right="60"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Forma Basis</w:t>
      </w:r>
      <w:r>
        <w:rPr>
          <w:rFonts w:ascii="Arial" w:cs="Arial" w:eastAsia="Arial" w:hAnsi="Arial"/>
          <w:sz w:val="16"/>
          <w:szCs w:val="16"/>
          <w:color w:val="auto"/>
        </w:rPr>
        <w:t>” means, with respect to the calculation of the Leverage Ratio, that such calculation shall give pro forma effect to all Restricted Payments, creation or incurrence of Liens or Acquisitions, all issuances, incurrences or assumptions and all repayments of Indebtedness (with any such Indebtedness being deemed to be amortized over the applicable testing period in accordance with its terms) and all sales, transfers or other dispositions of any material assets outside the ordinary course of business that have occurred since the beginning of the four consecutive fiscal quarter period of the Borrower most-recently ended on or prior to such date for which financial statements have been or were required to be delivered pursuant to paragraph</w:t>
      </w:r>
    </w:p>
    <w:p>
      <w:pPr>
        <w:spacing w:after="0" w:line="2" w:lineRule="exact"/>
        <w:rPr>
          <w:sz w:val="20"/>
          <w:szCs w:val="20"/>
          <w:color w:val="auto"/>
        </w:rPr>
      </w:pPr>
    </w:p>
    <w:p>
      <w:pPr>
        <w:ind w:left="4" w:hanging="4"/>
        <w:spacing w:after="0" w:line="253" w:lineRule="auto"/>
        <w:tabs>
          <w:tab w:leader="none" w:pos="249" w:val="left"/>
        </w:tabs>
        <w:numPr>
          <w:ilvl w:val="0"/>
          <w:numId w:val="22"/>
        </w:numPr>
        <w:rPr>
          <w:rFonts w:ascii="Arial" w:cs="Arial" w:eastAsia="Arial" w:hAnsi="Arial"/>
          <w:sz w:val="18"/>
          <w:szCs w:val="18"/>
          <w:color w:val="auto"/>
        </w:rPr>
      </w:pPr>
      <w:r>
        <w:rPr>
          <w:rFonts w:ascii="Arial" w:cs="Arial" w:eastAsia="Arial" w:hAnsi="Arial"/>
          <w:sz w:val="18"/>
          <w:szCs w:val="18"/>
          <w:color w:val="auto"/>
        </w:rPr>
        <w:t>or (b) of Section 5.01 as if they occurred on the first day of such four consecutive fiscal quarter period (including cost savings resulting from headcount reductions, facility closings or similar restructurings to the extent such cost savings (a) would be permitted to be reflected in pro forma financial information complying with the requirements of GAAP and Article XI of Regulation S-X under the Securities Act of 1933, as amended, as interpreted by the Staff of the SEC, and as certified by a Financial Officer or (b) have been realized or for which the steps necessary for realization have been taken, and as certified by a Financial Officer).</w:t>
      </w:r>
    </w:p>
    <w:p>
      <w:pPr>
        <w:spacing w:after="0" w:line="19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Proposed Change</w:t>
      </w:r>
      <w:r>
        <w:rPr>
          <w:rFonts w:ascii="Arial" w:cs="Arial" w:eastAsia="Arial" w:hAnsi="Arial"/>
          <w:sz w:val="18"/>
          <w:szCs w:val="18"/>
          <w:color w:val="auto"/>
        </w:rPr>
        <w:t>” has the meaning assigned to such term in Section 9.02(c).</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has the meaning set forth in Section 5.01.</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Equity Interests</w:t>
      </w:r>
      <w:r>
        <w:rPr>
          <w:rFonts w:ascii="Arial" w:cs="Arial" w:eastAsia="Arial" w:hAnsi="Arial"/>
          <w:sz w:val="18"/>
          <w:szCs w:val="18"/>
          <w:color w:val="auto"/>
        </w:rPr>
        <w:t>” means Equity Interests of the Borrower other than Disqualified Equity Interests.</w:t>
      </w:r>
    </w:p>
    <w:p>
      <w:pPr>
        <w:spacing w:after="0" w:line="225" w:lineRule="exact"/>
        <w:rPr>
          <w:sz w:val="20"/>
          <w:szCs w:val="20"/>
          <w:color w:val="auto"/>
        </w:rPr>
      </w:pPr>
    </w:p>
    <w:p>
      <w:pPr>
        <w:ind w:left="4" w:right="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Rate Determination Date</w:t>
      </w:r>
      <w:r>
        <w:rPr>
          <w:rFonts w:ascii="Arial" w:cs="Arial" w:eastAsia="Arial" w:hAnsi="Arial"/>
          <w:sz w:val="18"/>
          <w:szCs w:val="18"/>
          <w:color w:val="auto"/>
        </w:rPr>
        <w:t xml:space="preserve">” means two (2) Business Days prior to the commencement of such Interest Period (or such other day as is generally treated as the rate fixing day by market practice in such interbank market, as determined by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such market practice is not administratively feasible for the Administrative Agent, such other day as otherwise reasonably determined by the Administrative Agent).</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w:t>
      </w:r>
      <w:r>
        <w:rPr>
          <w:rFonts w:ascii="Arial" w:cs="Arial" w:eastAsia="Arial" w:hAnsi="Arial"/>
          <w:sz w:val="18"/>
          <w:szCs w:val="18"/>
          <w:color w:val="auto"/>
        </w:rPr>
        <w:t>” has the meaning assigned to such term in Section 4.01(a)(vii).</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assigned to such term in Section 9.04(b).</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Regulated Subsidiary</w:t>
      </w:r>
      <w:r>
        <w:rPr>
          <w:rFonts w:ascii="Arial" w:cs="Arial" w:eastAsia="Arial" w:hAnsi="Arial"/>
          <w:sz w:val="16"/>
          <w:szCs w:val="16"/>
          <w:color w:val="auto"/>
        </w:rPr>
        <w:t>” means (i) any Broker-Dealer Subsidiary, (ii) any Subsidiary regulated as an insurance company or clearinghouse, and</w:t>
      </w:r>
    </w:p>
    <w:p>
      <w:pPr>
        <w:spacing w:after="0" w:line="46" w:lineRule="exact"/>
        <w:rPr>
          <w:sz w:val="20"/>
          <w:szCs w:val="20"/>
          <w:color w:val="auto"/>
        </w:rPr>
      </w:pPr>
    </w:p>
    <w:p>
      <w:pPr>
        <w:ind w:left="4" w:right="180" w:hanging="4"/>
        <w:spacing w:after="0" w:line="255" w:lineRule="auto"/>
        <w:tabs>
          <w:tab w:leader="none" w:pos="319"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Subsidiary whose dividends may be restricted, other activities undertaken by such Subsidiary may be limited or other regulatory actions with respect to such Subsidiary may be taken, in each case by applicable Governmental Authorities in the event that such Subsidiary does not maintain capital at the level required by applicable Governmental Authorities.</w:t>
      </w:r>
    </w:p>
    <w:p>
      <w:pPr>
        <w:spacing w:after="0" w:line="19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Indemnified Person</w:t>
      </w:r>
      <w:r>
        <w:rPr>
          <w:rFonts w:ascii="Arial" w:cs="Arial" w:eastAsia="Arial" w:hAnsi="Arial"/>
          <w:sz w:val="18"/>
          <w:szCs w:val="18"/>
          <w:color w:val="auto"/>
        </w:rPr>
        <w:t>” has the meaning assigned to such term in Section 9.03(b).</w:t>
      </w:r>
    </w:p>
    <w:p>
      <w:pPr>
        <w:spacing w:after="0" w:line="158"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44"/>
          </w:cols>
          <w:pgMar w:left="436" w:top="274" w:right="519" w:bottom="1440" w:gutter="0" w:footer="0" w:header="0"/>
        </w:sectPr>
      </w:pPr>
    </w:p>
    <w:bookmarkStart w:id="44" w:name="page45"/>
    <w:bookmarkEnd w:id="44"/>
    <w:p>
      <w:pPr>
        <w:jc w:val="both"/>
        <w:ind w:right="2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specified Person, such Person’s Affiliates and the respective directors, officers, employees, agents, trustees and advisors of such Person and such Person’s Affiliates.</w:t>
      </w:r>
    </w:p>
    <w:p>
      <w:pPr>
        <w:spacing w:after="0" w:line="170" w:lineRule="exact"/>
        <w:rPr>
          <w:sz w:val="20"/>
          <w:szCs w:val="20"/>
          <w:color w:val="auto"/>
        </w:rPr>
      </w:pPr>
    </w:p>
    <w:p>
      <w:pPr>
        <w:jc w:val="both"/>
        <w:ind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release, spill, emission, leaking, dumping, injection, pouring, deposit, disposal, discharge, dispersal, leaching or migration into or through the environment (including ambient air, surface water, groundwater, land surface or subsurface strata) or within or upon any building, structure, facility or fixture.</w:t>
      </w:r>
    </w:p>
    <w:p>
      <w:pPr>
        <w:spacing w:after="0" w:line="184"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means, at any time, Lenders having Revolving Exposures and, without duplication, unused Commitments, collectively, representing more than 50% of the aggregate Revolving Exposures and, without duplication, unused Commitments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unused Revolving Commitments and Revolving Exposure held or deemed held by, any Defaulting Lender shall be excluded for purposes of making a determination of Required Lenders.</w:t>
      </w:r>
    </w:p>
    <w:p>
      <w:pPr>
        <w:spacing w:after="0" w:line="187"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 of Law</w:t>
      </w:r>
      <w:r>
        <w:rPr>
          <w:rFonts w:ascii="Arial" w:cs="Arial" w:eastAsia="Arial" w:hAnsi="Arial"/>
          <w:sz w:val="18"/>
          <w:szCs w:val="18"/>
          <w:color w:val="auto"/>
        </w:rPr>
        <w:t>” means, with respect to any Person, any statute, law, treaty, rule, regulation, order, decree, writ, official guidance, injunction or determination of any arbitrator or court or other Governmental Authority, in each case applicable to or binding upon such Person or any of its property or to which such Person or any of its property is subject.</w:t>
      </w:r>
    </w:p>
    <w:p>
      <w:pPr>
        <w:spacing w:after="0" w:line="184"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Responsible Officer</w:t>
      </w:r>
      <w:r>
        <w:rPr>
          <w:rFonts w:ascii="Arial" w:cs="Arial" w:eastAsia="Arial" w:hAnsi="Arial"/>
          <w:sz w:val="17"/>
          <w:szCs w:val="17"/>
          <w:color w:val="auto"/>
        </w:rPr>
        <w:t>” means (a) the chief executive officer, president, executive vice president, chief financial officer, treasurer or assistant treasurer or other similar officer or Person performing similar functions of the Borrower, (b) as to any document delivered on the Closing Date (or, in connection with the closing of any amendment, amendment and restatement, supplement or other modification pursuant to which a certificate of a secretary or assistant secretary is required to be delivered), any secretary or assistant secretary of the Borrower, (c) solely for purposes of notices given under Article II, any other officer or employee of the Borrower expressly designated as a “Responsible Officer” for purposes of the Loan Documents by any other Responsible Officer in a written notice to the Administrative Agent and (d) any other officer or employee of the Borrower designated as a “Responsible Officer” for purposes of the Loan Documents in or pursuant to a written agreement between the Borrower and the Administrative Agent in connection with the Loan Documents. Any document delivered hereunder that is signed by a Responsible Officer of the Borrower shall be conclusively presumed to have been authorized by all necessary corporate, partnership and/or other action on the part of the Borrower and such Responsible Officer shall be conclusively presumed to have acted on behalf of the Borrower.</w:t>
      </w:r>
    </w:p>
    <w:p>
      <w:pPr>
        <w:spacing w:after="0" w:line="185"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Payment</w:t>
      </w:r>
      <w:r>
        <w:rPr>
          <w:rFonts w:ascii="Arial" w:cs="Arial" w:eastAsia="Arial" w:hAnsi="Arial"/>
          <w:sz w:val="16"/>
          <w:szCs w:val="16"/>
          <w:color w:val="auto"/>
        </w:rPr>
        <w:t>” means (a) any dividend or other distribution (whether in cash, securities or other property) with respect to any Equity Interests in the Borrower, (b) any payment (whether in cash, securities or other property), including any sinking fund or similar deposit, on account of the purchase, redemption, retirement, acquisition, cancellation or termination of any Equity Interests in the Borrower, (c) any option, warrant or other right to acquire any such Equity Interests in the Borrower, or (d) any other payment on account of any return of capital to the Borrower’s stockholders (or the equivalent thereof), in each case, other than through the issuance of Qualified Equity Interests. For the avoidance of doubt, (i) payments with respect to Indebtedness convertible into Equity Interests shall not be deemed to be Restricted Payments and (ii) the issuance of any common stock of the Borrower as grants or awards of restricted stock units or performance stock units in accordance with stock option or stock ownership plans, employment agreements, incentive plans or other benefit plans approved by the Borrower’s Board of Directors for management, directors, former directors, employees and former employees of the Borrower and the Subsidiaries do not constitute Restricted Payments.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274" w:right="479" w:bottom="1440" w:gutter="0" w:footer="0" w:header="0"/>
        </w:sectPr>
      </w:pPr>
    </w:p>
    <w:bookmarkStart w:id="45" w:name="page46"/>
    <w:bookmarkEnd w:id="45"/>
    <w:p>
      <w:pPr>
        <w:ind w:left="4"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u w:val="single" w:color="auto"/>
          <w:color w:val="auto"/>
        </w:rPr>
        <w:t>Revaluation Date</w:t>
      </w:r>
      <w:r>
        <w:rPr>
          <w:rFonts w:ascii="Arial" w:cs="Arial" w:eastAsia="Arial" w:hAnsi="Arial"/>
          <w:sz w:val="16"/>
          <w:szCs w:val="16"/>
          <w:color w:val="auto"/>
        </w:rPr>
        <w:t>” means (a) with respect to any Loan, each of the following: (i) each date of a Borrowing of a Eurocurrency Loan denominated in an Alternative Currency, (ii) each date of a continuation of a Eurocurrency Loan denominated in an Alternative Currency pursuant to Section 2.03 and</w:t>
      </w:r>
    </w:p>
    <w:p>
      <w:pPr>
        <w:ind w:left="4" w:right="60" w:hanging="4"/>
        <w:spacing w:after="0" w:line="271" w:lineRule="auto"/>
        <w:tabs>
          <w:tab w:leader="none" w:pos="319" w:val="left"/>
        </w:tabs>
        <w:numPr>
          <w:ilvl w:val="0"/>
          <w:numId w:val="24"/>
        </w:numPr>
        <w:rPr>
          <w:rFonts w:ascii="Arial" w:cs="Arial" w:eastAsia="Arial" w:hAnsi="Arial"/>
          <w:sz w:val="17"/>
          <w:szCs w:val="17"/>
          <w:color w:val="auto"/>
        </w:rPr>
      </w:pPr>
      <w:r>
        <w:rPr>
          <w:rFonts w:ascii="Arial" w:cs="Arial" w:eastAsia="Arial" w:hAnsi="Arial"/>
          <w:sz w:val="17"/>
          <w:szCs w:val="17"/>
          <w:color w:val="auto"/>
        </w:rPr>
        <w:t>such additional dates as the Administrative Agent shall reasonably determine or the Required Lenders shall reasonably require; and (b) with respect to any Letter of Credit, each of the following: (i) each date of issuance of a Letter of Credit denominated in an Alternative Currency, (ii) each date of an amendment of any such Letter of Credit having the effect of increasing the amount thereof (solely with respect to the increased amount), (iii) each date of any payment by an Issuing Bank under any Letter of Credit denominated in an Alternative Currency and (iv) such additional dates as the Administrative Agent or an Issuing Bank shall reasonably determine or the Required Lenders shall reasonably require.</w:t>
      </w:r>
    </w:p>
    <w:p>
      <w:pPr>
        <w:spacing w:after="0" w:line="178"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Availability Period</w:t>
      </w:r>
      <w:r>
        <w:rPr>
          <w:rFonts w:ascii="Arial" w:cs="Arial" w:eastAsia="Arial" w:hAnsi="Arial"/>
          <w:sz w:val="18"/>
          <w:szCs w:val="18"/>
          <w:color w:val="auto"/>
        </w:rPr>
        <w:t>” means the period from and including the Closing Date to but excluding the earlier of the Maturity Date and the date of termination of the Revolving Commitments.</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A Commitment</w:t>
      </w:r>
      <w:r>
        <w:rPr>
          <w:rFonts w:ascii="Arial" w:cs="Arial" w:eastAsia="Arial" w:hAnsi="Arial"/>
          <w:sz w:val="17"/>
          <w:szCs w:val="17"/>
          <w:color w:val="auto"/>
        </w:rPr>
        <w:t>” means, with respect to each Revolving A Lender, the commitment, if any, of such Revolving A Lender to make</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Revolving A Loans and to acquire participations in Tranche A Letters of Credit hereunder, expressed as an amount representing the maximum possible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aggregate amount of such Revolving A Lender’s Revolving A Exposure hereunder, as such commitment may be (a) reduced from time to time pursuant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to Section 2.06 and (b) reduced or increased from time to time pursuant to assignments by or to such Revolving A Lender pursuant to Section 9.04 or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pursuant to any Incremental Facility Amendment. The initial amount of each Revolving A Lender’s Revolving A Commitment is set forth on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to this Agreement, or in the Assignment and Assumption pursuant to which such Revolving A Lender shall have assumed its Revolving A</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Commitment, as the case may be. The initial aggregate amount of the Revolving A Lenders’ Revolving A Commitments is $670,000,000.</w:t>
      </w:r>
    </w:p>
    <w:p>
      <w:pPr>
        <w:spacing w:after="0" w:line="211"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A Exposure</w:t>
      </w:r>
      <w:r>
        <w:rPr>
          <w:rFonts w:ascii="Arial" w:cs="Arial" w:eastAsia="Arial" w:hAnsi="Arial"/>
          <w:sz w:val="18"/>
          <w:szCs w:val="18"/>
          <w:color w:val="auto"/>
        </w:rPr>
        <w:t>” means, with respect to any Revolving A Lender at any time, the sum of the Outstanding Amount of such Revolving A Lender’s Revolving A Loans and its Tranche A LC Exposure at such time.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A Facility</w:t>
      </w:r>
      <w:r>
        <w:rPr>
          <w:rFonts w:ascii="Arial" w:cs="Arial" w:eastAsia="Arial" w:hAnsi="Arial"/>
          <w:sz w:val="17"/>
          <w:szCs w:val="17"/>
          <w:color w:val="auto"/>
        </w:rPr>
        <w:t>” means the Revolving A Commitments and the extension of credit made hereunder by the Revolving A Lenders.</w:t>
      </w:r>
    </w:p>
    <w:p>
      <w:pPr>
        <w:spacing w:after="0" w:line="237" w:lineRule="exact"/>
        <w:rPr>
          <w:sz w:val="20"/>
          <w:szCs w:val="20"/>
          <w:color w:val="auto"/>
        </w:rPr>
      </w:pPr>
    </w:p>
    <w:p>
      <w:pPr>
        <w:ind w:left="4"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A Lender</w:t>
      </w:r>
      <w:r>
        <w:rPr>
          <w:rFonts w:ascii="Arial" w:cs="Arial" w:eastAsia="Arial" w:hAnsi="Arial"/>
          <w:sz w:val="18"/>
          <w:szCs w:val="18"/>
          <w:color w:val="auto"/>
        </w:rPr>
        <w:t>” means a Lender with a Revolving A Commitment or, if the Revolving A Commitments have terminated or expired, a Lender with Revolving A Exposure.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A Loan</w:t>
      </w:r>
      <w:r>
        <w:rPr>
          <w:rFonts w:ascii="Arial" w:cs="Arial" w:eastAsia="Arial" w:hAnsi="Arial"/>
          <w:sz w:val="18"/>
          <w:szCs w:val="18"/>
          <w:color w:val="auto"/>
        </w:rPr>
        <w:t>” means a Loan made pursuant to Section 2.01(i).</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B Commitment</w:t>
      </w:r>
      <w:r>
        <w:rPr>
          <w:rFonts w:ascii="Arial" w:cs="Arial" w:eastAsia="Arial" w:hAnsi="Arial"/>
          <w:sz w:val="17"/>
          <w:szCs w:val="17"/>
          <w:color w:val="auto"/>
        </w:rPr>
        <w:t>” means, with respect to each Revolving B Lender, the commitment, if any, of such Revolving B Lender to make</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Revolving B Loans and to acquire participations in Tranche B Letters of Credit hereunder, expressed as an amount representing the maximum possible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aggregate amount of such Revolving B Lender’s Revolving B Exposure hereunder, as such commitment may be (a) reduced from time to time pursuant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to Section 2.06 and (b) reduced or increased from time to time pursuant to assignments by or to such Revolving B Lender pursuant to Section 9.04 or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pursuant to any Incremental Facility Amendment. The initial amount of each Revolving B Lender’s Revolving B Commitment is set forth on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to this Agreement, or in the Assignment and Assumption pursuant to which such Revolving B Lender shall have assumed its Revolving B</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Commitment, as the case may be. The initial aggregate amount of the Revolving B Lenders’ Revolving B Commitments is $330,000,000.</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4"/>
          </w:cols>
          <w:pgMar w:left="436" w:top="274" w:right="459" w:bottom="1440" w:gutter="0" w:footer="0" w:header="0"/>
        </w:sectPr>
      </w:pPr>
    </w:p>
    <w:bookmarkStart w:id="46" w:name="page47"/>
    <w:bookmarkEnd w:id="46"/>
    <w:p>
      <w:pPr>
        <w:ind w:right="2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Revolving B Exposure</w:t>
      </w:r>
      <w:r>
        <w:rPr>
          <w:rFonts w:ascii="Arial" w:cs="Arial" w:eastAsia="Arial" w:hAnsi="Arial"/>
          <w:sz w:val="18"/>
          <w:szCs w:val="18"/>
          <w:color w:val="auto"/>
        </w:rPr>
        <w:t>” means, with respect to any Revolving B Lender at any time, the sum of the Outstanding Amount of such Revolving B Lender’s Revolving B Loans and its Tranche B LC Exposure at such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B Facility</w:t>
      </w:r>
      <w:r>
        <w:rPr>
          <w:rFonts w:ascii="Arial" w:cs="Arial" w:eastAsia="Arial" w:hAnsi="Arial"/>
          <w:sz w:val="17"/>
          <w:szCs w:val="17"/>
          <w:color w:val="auto"/>
        </w:rPr>
        <w:t>” means the Revolving B Commitments and the extension of credit made hereunder by the Revolving B Lenders.</w:t>
      </w:r>
    </w:p>
    <w:p>
      <w:pPr>
        <w:spacing w:after="0" w:line="237"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B Lender</w:t>
      </w:r>
      <w:r>
        <w:rPr>
          <w:rFonts w:ascii="Arial" w:cs="Arial" w:eastAsia="Arial" w:hAnsi="Arial"/>
          <w:sz w:val="18"/>
          <w:szCs w:val="18"/>
          <w:color w:val="auto"/>
        </w:rPr>
        <w:t>” means a Lender with a Revolving B Commitment or, if the Revolving B Commitments have terminated or expired, a Lender with Revolving B Exposure.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B Loan</w:t>
      </w:r>
      <w:r>
        <w:rPr>
          <w:rFonts w:ascii="Arial" w:cs="Arial" w:eastAsia="Arial" w:hAnsi="Arial"/>
          <w:sz w:val="18"/>
          <w:szCs w:val="18"/>
          <w:color w:val="auto"/>
        </w:rPr>
        <w:t>” means a Loan made pursuant to Section 2.01(ii).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w:t>
      </w:r>
      <w:r>
        <w:rPr>
          <w:rFonts w:ascii="Arial" w:cs="Arial" w:eastAsia="Arial" w:hAnsi="Arial"/>
          <w:sz w:val="18"/>
          <w:szCs w:val="18"/>
          <w:color w:val="auto"/>
        </w:rPr>
        <w:t>” means a Revolving A Commitment and/or a Revolving B Commitment, as the context requires.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Exposure</w:t>
      </w:r>
      <w:r>
        <w:rPr>
          <w:rFonts w:ascii="Arial" w:cs="Arial" w:eastAsia="Arial" w:hAnsi="Arial"/>
          <w:sz w:val="18"/>
          <w:szCs w:val="18"/>
          <w:color w:val="auto"/>
        </w:rPr>
        <w:t>” means the Revolving A Exposure and/or the Revolving B Exposure, as the context requires.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Lender</w:t>
      </w:r>
      <w:r>
        <w:rPr>
          <w:rFonts w:ascii="Arial" w:cs="Arial" w:eastAsia="Arial" w:hAnsi="Arial"/>
          <w:sz w:val="18"/>
          <w:szCs w:val="18"/>
          <w:color w:val="auto"/>
        </w:rPr>
        <w:t>” means a Revolving A Lender and/or a Revolving B Lender, as the context requires.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means a Revolving A Loan and/or a Revolving B Loan, as the context requires.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Services, a division of The McGraw Hill Companies, Inc.</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Same Day Funds</w:t>
      </w:r>
      <w:r>
        <w:rPr>
          <w:rFonts w:ascii="Arial" w:cs="Arial" w:eastAsia="Arial" w:hAnsi="Arial"/>
          <w:sz w:val="18"/>
          <w:szCs w:val="18"/>
          <w:color w:val="auto"/>
        </w:rPr>
        <w:t>” means (a) with respect to disbursements and payments in Dollars, immediately available funds, and (b) with respect to disbursements and payments in an Alternative Currency, same day or other funds as may be determined by the Administrative Agent or the applicable Issuing Bank, as the case may be, to be customary in the place of disbursement or payment for the settlement of international banking transactions in the relevant Alternative Currency.</w:t>
      </w:r>
    </w:p>
    <w:p>
      <w:pPr>
        <w:spacing w:after="0" w:line="187"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any sanction administered or enforced by the United States federal government (including without limitation, OFAC), the United Nations Security Council, the European Union, Her Majesty’s Treasury and, solely with respect to the definition of “Designated Jurisdiction,” the government of Canada (including Canadian Economic Sanctions and Export Control Laws), the Swedish Financial Supervisory Authority and European Economic Area.</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Notes</w:t>
      </w:r>
      <w:r>
        <w:rPr>
          <w:rFonts w:ascii="Arial" w:cs="Arial" w:eastAsia="Arial" w:hAnsi="Arial"/>
          <w:sz w:val="18"/>
          <w:szCs w:val="18"/>
          <w:color w:val="auto"/>
        </w:rPr>
        <w:t>” means any senior unsecured notes of the Borrower issued under any Senior Notes Indenture.</w:t>
      </w:r>
    </w:p>
    <w:p>
      <w:pPr>
        <w:spacing w:after="0" w:line="225"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Notes Indenture</w:t>
      </w:r>
      <w:r>
        <w:rPr>
          <w:rFonts w:ascii="Arial" w:cs="Arial" w:eastAsia="Arial" w:hAnsi="Arial"/>
          <w:sz w:val="18"/>
          <w:szCs w:val="18"/>
          <w:color w:val="auto"/>
        </w:rPr>
        <w:t>” means the (i) Indenture, dated as of January 15, 2010, between the Borrower and the trustee party thereto, as supplemented by the First Supplemental Indenture, dated as of January 15, 2010 and the Second Supplemental Indenture, dated as of December 21, 2010 and (ii) the Indenture, dated as of June 7, 2013, between the Borrower and the trustee party thereto, as supplemented by the First Supplemental Indenture, dated as of June 7, 2013, the Second Supplemental Indenture, dated as of May 29, 2014, the Third Supplemental Indenture, dated as of May 20, 2016 and the Fourth Supplemental Indenture, dated as of June 7, 2016, in each case, as may be amended, amended and restated, supplemented or otherwise modified from time to time.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274" w:right="479" w:bottom="1440" w:gutter="0" w:footer="0" w:header="0"/>
        </w:sectPr>
      </w:pPr>
    </w:p>
    <w:bookmarkStart w:id="47" w:name="page48"/>
    <w:bookmarkEnd w:id="4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0000FF"/>
        </w:rPr>
        <w:t>Solvency Certificate” means a certificate substantially in the form of Exhibit E, dated as of the Verafin Acquisition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23495</wp:posOffset>
            </wp:positionV>
            <wp:extent cx="58978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pacing w:after="0" w:line="205"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u w:val="single" w:color="auto"/>
          <w:color w:val="0000FF"/>
        </w:rPr>
        <w:t>“Specified Acquisition Agreement Representations” means such of the representations and warranties made by Verafin in the Verafin Acquisition Agreement as are material to the interests of the Lenders, but only to the extent that the Borrower has the right (taking into account any applicable cure provisions) to terminate its obligations under the Verafin Acquisition Agreement or decline to consummate the Verafin Acquisition as a result of a breach of such representations in the Verafin Acquisition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-412115</wp:posOffset>
            </wp:positionV>
            <wp:extent cx="66522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6522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-274955</wp:posOffset>
            </wp:positionV>
            <wp:extent cx="690054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-137795</wp:posOffset>
            </wp:positionV>
            <wp:extent cx="666940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6694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wp:posOffset>
            </wp:positionV>
            <wp:extent cx="31546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67"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u w:val="single" w:color="auto"/>
          <w:color w:val="0000FF"/>
        </w:rPr>
        <w:t>“Specified Borrowing” means any Borrowing of Revolving Loans in Dollars by the Borrower on the Verafin Acquisition Closing Date, the proceeds of which will be used for purposes of financing any portion of the Specified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-147955</wp:posOffset>
            </wp:positionV>
            <wp:extent cx="635190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3519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45434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543425" cy="8255"/>
                    </a:xfrm>
                    <a:prstGeom prst="rect">
                      <a:avLst/>
                    </a:prstGeom>
                    <a:noFill/>
                  </pic:spPr>
                </pic:pic>
              </a:graphicData>
            </a:graphic>
          </wp:anchor>
        </w:drawing>
      </w:r>
    </w:p>
    <w:p>
      <w:pPr>
        <w:spacing w:after="0" w:line="150"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u w:val="single" w:color="auto"/>
          <w:color w:val="0000FF"/>
        </w:rPr>
        <w:t>“Specified Debt” means debt instruments evidencing debt for borrowed money of the Borrower in excess of $500 million in principal amount outstanding or committed, in the aggregate, as of the Verafin Acquisition Closing Date (excluding (i) any term loan facility entered into by the Borrower in connection with the Specified Transactions and (ii)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-276860</wp:posOffset>
            </wp:positionV>
            <wp:extent cx="64719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69691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-2540</wp:posOffset>
            </wp:positionV>
            <wp:extent cx="324866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164"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u w:val="single" w:color="auto"/>
          <w:color w:val="0000FF"/>
        </w:rPr>
        <w:t>“Specified Outside Date” means the “Outside Date” (as defined in the Verafin Acquisition Agreement as in effect as of the date hereof, as it may be extended in accordance with the terms of the Acquisition Agreement as in effect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-147955</wp:posOffset>
            </wp:positionV>
            <wp:extent cx="66090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6090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48260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826000" cy="8255"/>
                    </a:xfrm>
                    <a:prstGeom prst="rect">
                      <a:avLst/>
                    </a:prstGeom>
                    <a:noFill/>
                  </pic:spPr>
                </pic:pic>
              </a:graphicData>
            </a:graphic>
          </wp:anchor>
        </w:drawing>
      </w:r>
    </w:p>
    <w:p>
      <w:pPr>
        <w:spacing w:after="0" w:line="150"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u w:val="single" w:color="auto"/>
          <w:color w:val="0000FF"/>
        </w:rPr>
        <w:t>“Specified Representations” means (a) the representations and warranties of the Borrower (to the extent relating to the Borrower) set forth in the following sections of this Agreement: Section 3.01(a); Section 3.02(a) (limited to the execution and delivery of this Agreement and each other Loan Document); Section 3.02(b); Section 3.03(b) (limited to no conflict as a result of the execution and delivery of this Agreement); Section 3.03(d) (limited to no conflict with Specified Debt on the Verafin Acquisition Closing Date after giving effect to the Specified Transactions, as a result of the execution and delivery of this Agreement); Section 3.08; and Section 3.14 and (b) the following representations: (i) the use of proceeds of the Specified Borrowing by the Borrower does not conflict with OFAC, United States Foreign Corrupt Practices Act of 1977 or the Patriot Act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-700405</wp:posOffset>
            </wp:positionV>
            <wp:extent cx="66008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6008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-563245</wp:posOffset>
            </wp:positionV>
            <wp:extent cx="676338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6338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-426085</wp:posOffset>
            </wp:positionV>
            <wp:extent cx="69608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-288925</wp:posOffset>
            </wp:positionV>
            <wp:extent cx="68922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-151765</wp:posOffset>
            </wp:positionV>
            <wp:extent cx="69862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-14605</wp:posOffset>
            </wp:positionV>
            <wp:extent cx="542607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426075" cy="8255"/>
                    </a:xfrm>
                    <a:prstGeom prst="rect">
                      <a:avLst/>
                    </a:prstGeom>
                    <a:noFill/>
                  </pic:spPr>
                </pic:pic>
              </a:graphicData>
            </a:graphic>
          </wp:anchor>
        </w:drawing>
      </w:r>
    </w:p>
    <w:p>
      <w:pPr>
        <w:spacing w:after="0" w:line="144"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u w:val="single" w:color="auto"/>
          <w:color w:val="0000FF"/>
        </w:rPr>
        <w:t>“Specified Transactions” means, collectively, the Verafin Acquisition, the incurrence by the Borrower and its Subsidiaries of Indebtedness related thereto or in connection therewith (including for the avoidance of doubt, pursuant to this Agreement), the Verafin Refinancing and the transactions contemplated by or related to, and the payment of the fees, costs and expenses in connection with,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-288290</wp:posOffset>
            </wp:positionV>
            <wp:extent cx="665226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6522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-151130</wp:posOffset>
            </wp:positionV>
            <wp:extent cx="669480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51517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51755" cy="8255"/>
                    </a:xfrm>
                    <a:prstGeom prst="rect">
                      <a:avLst/>
                    </a:prstGeom>
                    <a:noFill/>
                  </pic:spPr>
                </pic:pic>
              </a:graphicData>
            </a:graphic>
          </wp:anchor>
        </w:drawing>
      </w:r>
    </w:p>
    <w:p>
      <w:pPr>
        <w:spacing w:after="0" w:line="145"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u w:val="single" w:color="auto"/>
          <w:color w:val="0000FF"/>
        </w:rPr>
        <w:t>“</w:t>
      </w:r>
      <w:r>
        <w:rPr>
          <w:rFonts w:ascii="Arial" w:cs="Arial" w:eastAsia="Arial" w:hAnsi="Arial"/>
          <w:sz w:val="17"/>
          <w:szCs w:val="17"/>
          <w:color w:val="0000FF"/>
        </w:rPr>
        <w:t xml:space="preserve"> </w:t>
      </w:r>
      <w:r>
        <w:rPr>
          <w:rFonts w:ascii="Arial" w:cs="Arial" w:eastAsia="Arial" w:hAnsi="Arial"/>
          <w:sz w:val="17"/>
          <w:szCs w:val="17"/>
          <w:u w:val="single" w:color="auto"/>
          <w:color w:val="000000"/>
        </w:rPr>
        <w:t>Spot Rate</w:t>
      </w:r>
      <w:r>
        <w:rPr>
          <w:rFonts w:ascii="Arial" w:cs="Arial" w:eastAsia="Arial" w:hAnsi="Arial"/>
          <w:sz w:val="17"/>
          <w:szCs w:val="17"/>
          <w:color w:val="000000"/>
        </w:rPr>
        <w:t>” for a currency means the rate determined by the Administrative Agent or an Issuing Bank, as applicable, to be the rate quoted by the</w:t>
      </w:r>
      <w:r>
        <w:rPr>
          <w:rFonts w:ascii="Arial" w:cs="Arial" w:eastAsia="Arial" w:hAnsi="Arial"/>
          <w:sz w:val="17"/>
          <w:szCs w:val="17"/>
          <w:color w:val="0000FF"/>
        </w:rPr>
        <w:t xml:space="preserve"> </w:t>
      </w:r>
      <w:r>
        <w:rPr>
          <w:rFonts w:ascii="Arial" w:cs="Arial" w:eastAsia="Arial" w:hAnsi="Arial"/>
          <w:sz w:val="17"/>
          <w:szCs w:val="17"/>
          <w:color w:val="000000"/>
        </w:rPr>
        <w:t xml:space="preserve">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the Administrative Agent or an Issuing Bank may obtain such spot rate from another financial institution designated by the Administrative Agent or such Issuing Bank if the Person acting in such capacity does not have as of the date of determination a spot buying rate for any such currency; and </w:t>
      </w:r>
      <w:r>
        <w:rPr>
          <w:rFonts w:ascii="Arial" w:cs="Arial" w:eastAsia="Arial" w:hAnsi="Arial"/>
          <w:sz w:val="17"/>
          <w:szCs w:val="17"/>
          <w:u w:val="single" w:color="auto"/>
          <w:color w:val="000000"/>
        </w:rPr>
        <w:t>provided further</w:t>
      </w:r>
      <w:r>
        <w:rPr>
          <w:rFonts w:ascii="Arial" w:cs="Arial" w:eastAsia="Arial" w:hAnsi="Arial"/>
          <w:sz w:val="17"/>
          <w:szCs w:val="17"/>
          <w:color w:val="000000"/>
        </w:rPr>
        <w:t xml:space="preserve"> that an Issuing Bank may use such spot rate quoted on the date as of which the foreign exchange computation is made in the case of any Letter of Credit denominated in an Alternative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-829310</wp:posOffset>
            </wp:positionV>
            <wp:extent cx="514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48" w:name="page49"/>
    <w:bookmarkEnd w:id="48"/>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SPV</w:t>
      </w:r>
      <w:r>
        <w:rPr>
          <w:rFonts w:ascii="Arial" w:cs="Arial" w:eastAsia="Arial" w:hAnsi="Arial"/>
          <w:sz w:val="18"/>
          <w:szCs w:val="18"/>
          <w:color w:val="auto"/>
        </w:rPr>
        <w:t>” has the meaning assigned to such term in Section 9.04(e).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mean the lawful currency of the United Kingdom.</w:t>
      </w:r>
    </w:p>
    <w:p>
      <w:pPr>
        <w:spacing w:after="0" w:line="225" w:lineRule="exact"/>
        <w:rPr>
          <w:sz w:val="20"/>
          <w:szCs w:val="20"/>
          <w:color w:val="auto"/>
        </w:rPr>
      </w:pPr>
    </w:p>
    <w:p>
      <w:pPr>
        <w:ind w:left="4" w:right="12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(the “</w:t>
      </w:r>
      <w:r>
        <w:rPr>
          <w:rFonts w:ascii="Arial" w:cs="Arial" w:eastAsia="Arial" w:hAnsi="Arial"/>
          <w:sz w:val="16"/>
          <w:szCs w:val="16"/>
          <w:u w:val="single" w:color="auto"/>
          <w:color w:val="auto"/>
        </w:rPr>
        <w:t>parent</w:t>
      </w:r>
      <w:r>
        <w:rPr>
          <w:rFonts w:ascii="Arial" w:cs="Arial" w:eastAsia="Arial" w:hAnsi="Arial"/>
          <w:sz w:val="16"/>
          <w:szCs w:val="16"/>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well as any other corporation, limited liability company, partnership, association or other entity</w:t>
      </w:r>
    </w:p>
    <w:p>
      <w:pPr>
        <w:spacing w:after="0" w:line="2" w:lineRule="exact"/>
        <w:rPr>
          <w:sz w:val="20"/>
          <w:szCs w:val="20"/>
          <w:color w:val="auto"/>
        </w:rPr>
      </w:pPr>
    </w:p>
    <w:p>
      <w:pPr>
        <w:ind w:left="4" w:right="180" w:hanging="4"/>
        <w:spacing w:after="0" w:line="302" w:lineRule="auto"/>
        <w:tabs>
          <w:tab w:leader="none" w:pos="2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 one or more subsidiaries of the parent.</w:t>
      </w:r>
    </w:p>
    <w:p>
      <w:pPr>
        <w:spacing w:after="0" w:line="15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subsidiary of the Borrower.</w:t>
      </w:r>
    </w:p>
    <w:p>
      <w:pPr>
        <w:spacing w:after="0" w:line="225" w:lineRule="exact"/>
        <w:rPr>
          <w:sz w:val="20"/>
          <w:szCs w:val="20"/>
          <w:color w:val="auto"/>
        </w:rPr>
      </w:pPr>
    </w:p>
    <w:p>
      <w:pPr>
        <w:jc w:val="both"/>
        <w:ind w:left="4" w:right="2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Agreement</w:t>
      </w:r>
      <w:r>
        <w:rPr>
          <w:rFonts w:ascii="Arial" w:cs="Arial" w:eastAsia="Arial" w:hAnsi="Arial"/>
          <w:sz w:val="16"/>
          <w:szCs w:val="16"/>
          <w:color w:val="auto"/>
        </w:rPr>
        <w:t xml:space="preserve">” means any agreement with respect to any swap, forward, future, spot currency purchase, hedging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phantom stock or similar plan providing for payments only on account of services provided by current or former directors, officers, employees or consultants of the Borrower or the Subsidiaries shall be a Swap Agreement.</w:t>
      </w:r>
    </w:p>
    <w:p>
      <w:pPr>
        <w:spacing w:after="0" w:line="16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Swedish Kronor</w:t>
      </w:r>
      <w:r>
        <w:rPr>
          <w:rFonts w:ascii="Arial" w:cs="Arial" w:eastAsia="Arial" w:hAnsi="Arial"/>
          <w:sz w:val="18"/>
          <w:szCs w:val="18"/>
          <w:color w:val="auto"/>
        </w:rPr>
        <w:t>” means the lawful currency of the Kingdom of Sweden.</w:t>
      </w:r>
    </w:p>
    <w:p>
      <w:pPr>
        <w:spacing w:after="0" w:line="225" w:lineRule="exact"/>
        <w:rPr>
          <w:sz w:val="20"/>
          <w:szCs w:val="20"/>
          <w:color w:val="auto"/>
        </w:rPr>
      </w:pPr>
    </w:p>
    <w:p>
      <w:pPr>
        <w:ind w:left="4" w:right="8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Syndication Agents</w:t>
      </w:r>
      <w:r>
        <w:rPr>
          <w:rFonts w:ascii="Arial" w:cs="Arial" w:eastAsia="Arial" w:hAnsi="Arial"/>
          <w:sz w:val="16"/>
          <w:szCs w:val="16"/>
          <w:color w:val="auto"/>
        </w:rPr>
        <w:t>” means JPMorgan Chase Bank, N.A., Investment Banking, Skandinaviska Enskilda Banken AB (publ.), Mizuho Bank, Ltd., Nordea Bank AB (publ), New York Branch and Wells Fargo Bank, National Association, each in its capacity as a syndication agent for the Facilities.</w:t>
      </w:r>
    </w:p>
    <w:p>
      <w:pPr>
        <w:spacing w:after="0" w:line="124" w:lineRule="exact"/>
        <w:rPr>
          <w:sz w:val="20"/>
          <w:szCs w:val="20"/>
          <w:color w:val="auto"/>
        </w:rPr>
      </w:pPr>
    </w:p>
    <w:p>
      <w:pPr>
        <w:ind w:left="4"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Day</w:t>
      </w:r>
      <w:r>
        <w:rPr>
          <w:rFonts w:ascii="Arial" w:cs="Arial" w:eastAsia="Arial" w:hAnsi="Arial"/>
          <w:sz w:val="18"/>
          <w:szCs w:val="18"/>
          <w:color w:val="auto"/>
        </w:rPr>
        <w:t>” means any day on which the Trans-European Automated Real-time Gross Settlement Express Transfer (TARGET) payment system (or, if such payment system ceases to be operative, such other payment system (if any) determined by the Administrative Agent to be a suitable replacement) is open for the settlement of payments in Euro.</w:t>
      </w:r>
    </w:p>
    <w:p>
      <w:pPr>
        <w:spacing w:after="0" w:line="184" w:lineRule="exact"/>
        <w:rPr>
          <w:sz w:val="20"/>
          <w:szCs w:val="20"/>
          <w:color w:val="auto"/>
        </w:rPr>
      </w:pPr>
    </w:p>
    <w:p>
      <w:pPr>
        <w:ind w:left="4"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any and all present or future taxes, levies, imposts, duties, withholdings or similar charges or deductions now or hereafter imposed, levied, collected or withheld by any Governmental Authority, and any interest, penalties or additions to tax related thereto.</w:t>
      </w:r>
    </w:p>
    <w:p>
      <w:pPr>
        <w:spacing w:after="0" w:line="146" w:lineRule="exact"/>
        <w:rPr>
          <w:sz w:val="20"/>
          <w:szCs w:val="20"/>
          <w:color w:val="auto"/>
        </w:rPr>
      </w:pPr>
    </w:p>
    <w:p>
      <w:pPr>
        <w:ind w:left="4" w:right="10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Indebtedness</w:t>
      </w:r>
      <w:r>
        <w:rPr>
          <w:rFonts w:ascii="Arial" w:cs="Arial" w:eastAsia="Arial" w:hAnsi="Arial"/>
          <w:sz w:val="17"/>
          <w:szCs w:val="17"/>
          <w:color w:val="auto"/>
        </w:rPr>
        <w:t xml:space="preserve">” means, without duplication, as of any date, the aggregate principal amount of Indebtedness of the Borrower and the Subsidiaries included as a liability on the balance sheet of the Borrower and its Subsidiaries, determined on a consolidated basis, plus any guarantee of indebtedness of any third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term “Indebtedness” shall not include any of the following or any guarantees thereof: (i) contingent obligations of the Borrower or any Subsidiary as an account party or applicant in respect of any letter of credit or letter of guaranty unless such letter of credit or letter of guaranty supports an obligation that constitutes Indebtedness, (ii) any unfunded commitment or (iii) any Indebtedness or Guarantees permitted by Section 6.01(viii), (ix) or (xii) and outstanding in reliance of any such Section.</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4"/>
          </w:cols>
          <w:pgMar w:left="436" w:top="274" w:right="459" w:bottom="1440" w:gutter="0" w:footer="0" w:header="0"/>
        </w:sectPr>
      </w:pPr>
    </w:p>
    <w:bookmarkStart w:id="49" w:name="page50"/>
    <w:bookmarkEnd w:id="49"/>
    <w:p>
      <w:pPr>
        <w:ind w:right="8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u w:val="single" w:color="auto"/>
          <w:color w:val="auto"/>
        </w:rPr>
        <w:t>Tranche A LC Exposure</w:t>
      </w:r>
      <w:r>
        <w:rPr>
          <w:rFonts w:ascii="Arial" w:cs="Arial" w:eastAsia="Arial" w:hAnsi="Arial"/>
          <w:sz w:val="16"/>
          <w:szCs w:val="16"/>
          <w:color w:val="auto"/>
        </w:rPr>
        <w:t xml:space="preserve">” means, as at any date of determination, the aggregate amount available to be drawn under all outstanding Tranche A Letters of Credit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aggregate of all Unreimbursed Amounts in respect of Tranche A Letters of Credit, including all LC Borrowings in respect of Tranche A Letters of Credit. For purposes of computing the amount available to be drawn under any Tranche A Letter of Credit, the amount of such Tranche A Letter of Credit shall be determined in accordance with </w:t>
      </w:r>
      <w:r>
        <w:rPr>
          <w:rFonts w:ascii="Arial" w:cs="Arial" w:eastAsia="Arial" w:hAnsi="Arial"/>
          <w:sz w:val="16"/>
          <w:szCs w:val="16"/>
          <w:u w:val="single" w:color="auto"/>
          <w:color w:val="auto"/>
        </w:rPr>
        <w:t>Section 1.06</w:t>
      </w:r>
      <w:r>
        <w:rPr>
          <w:rFonts w:ascii="Arial" w:cs="Arial" w:eastAsia="Arial" w:hAnsi="Arial"/>
          <w:sz w:val="16"/>
          <w:szCs w:val="16"/>
          <w:color w:val="auto"/>
        </w:rPr>
        <w:t>. For all purposes of this Agreement, if on any date of determination a Tranche A Letter of Credit has expired by its terms but any amount may still be drawn thereunder by reason of the operation of Rule 3.14 of the ISP, such Tranche A Letter of Credit shall be deemed to be “outstanding” in the amount so remaining available to be drawn. The Tranche A LC exposure of any Revolving A Lender at any time shall be its Applicable Percentage of the aggregate Tranche A LC Exposure at such time.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 A Letter of Credit</w:t>
      </w:r>
      <w:r>
        <w:rPr>
          <w:rFonts w:ascii="Arial" w:cs="Arial" w:eastAsia="Arial" w:hAnsi="Arial"/>
          <w:sz w:val="18"/>
          <w:szCs w:val="18"/>
          <w:color w:val="auto"/>
        </w:rPr>
        <w:t>” means any Letter of Credit issued under the Revolving A Facility.</w:t>
      </w:r>
    </w:p>
    <w:p>
      <w:pPr>
        <w:spacing w:after="0" w:line="225" w:lineRule="exact"/>
        <w:rPr>
          <w:sz w:val="20"/>
          <w:szCs w:val="20"/>
          <w:color w:val="auto"/>
        </w:rPr>
      </w:pPr>
    </w:p>
    <w:p>
      <w:pPr>
        <w:ind w:right="10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Tranche B LC Exposure</w:t>
      </w:r>
      <w:r>
        <w:rPr>
          <w:rFonts w:ascii="Arial" w:cs="Arial" w:eastAsia="Arial" w:hAnsi="Arial"/>
          <w:sz w:val="16"/>
          <w:szCs w:val="16"/>
          <w:color w:val="auto"/>
        </w:rPr>
        <w:t xml:space="preserve">” means, as at any date of determination, the aggregate amount available to be drawn under all outstanding Tranche B Letters of Credit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aggregate of all Unreimbursed Amounts in respect of Tranche B Letters of Credit, including all LC Borrowings in respect of Tranche B Letters of Credit. For purposes of computing the amount available to be drawn under any Tranche B Letter of Credit, the amount of such Tranche B Letter of Credit shall be determined in accordance with </w:t>
      </w:r>
      <w:r>
        <w:rPr>
          <w:rFonts w:ascii="Arial" w:cs="Arial" w:eastAsia="Arial" w:hAnsi="Arial"/>
          <w:sz w:val="16"/>
          <w:szCs w:val="16"/>
          <w:u w:val="single" w:color="auto"/>
          <w:color w:val="auto"/>
        </w:rPr>
        <w:t>Section 1.06</w:t>
      </w:r>
      <w:r>
        <w:rPr>
          <w:rFonts w:ascii="Arial" w:cs="Arial" w:eastAsia="Arial" w:hAnsi="Arial"/>
          <w:sz w:val="16"/>
          <w:szCs w:val="16"/>
          <w:color w:val="auto"/>
        </w:rPr>
        <w:t>. For all purposes of this Agreement, if on any date of determination a Tranche B Letter of Credit has expired by its terms but any amount may still be drawn thereunder by reason of the operation of Rule 3.14 of the ISP, such Tranche B Letter of Credit shall be deemed to be “outstanding” in the amount so remaining available to be drawn. The Tranche B LC exposure of any Revolving B Lender at any time shall be its Applicable Percentage of the aggregate Tranche B LC Exposure at such time.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Tranche B Letter of Credit</w:t>
      </w:r>
      <w:r>
        <w:rPr>
          <w:rFonts w:ascii="Arial" w:cs="Arial" w:eastAsia="Arial" w:hAnsi="Arial"/>
          <w:sz w:val="18"/>
          <w:szCs w:val="18"/>
          <w:color w:val="auto"/>
        </w:rPr>
        <w:t>” means any Letter of Credit issued under the Revolving B Facility.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 Costs</w:t>
      </w:r>
      <w:r>
        <w:rPr>
          <w:rFonts w:ascii="Arial" w:cs="Arial" w:eastAsia="Arial" w:hAnsi="Arial"/>
          <w:sz w:val="16"/>
          <w:szCs w:val="16"/>
          <w:color w:val="auto"/>
        </w:rPr>
        <w:t>” means all fees, costs and expense incurred or payable by the Borrower or any Subsidiary in connection with the Transactions.</w:t>
      </w:r>
    </w:p>
    <w:p>
      <w:pPr>
        <w:spacing w:after="0" w:line="248"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means (a) the execution, delivery and performance by the Borrower of the Loan Documents to which it is to be a party, (b) the Refinancing and (c) the payment of the Transaction Costs.</w:t>
      </w:r>
    </w:p>
    <w:p>
      <w:pPr>
        <w:spacing w:after="0" w:line="170"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when used in reference to any Loan or Borrowing, refers to whether the rate of interest on such Loan, or on the Loans comprising such Borrowing, is determined by reference to the Eurocurrency Rate or the Base Rate.</w:t>
      </w:r>
    </w:p>
    <w:p>
      <w:pPr>
        <w:spacing w:after="0" w:line="17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ESOP Program</w:t>
      </w:r>
      <w:r>
        <w:rPr>
          <w:rFonts w:ascii="Arial" w:cs="Arial" w:eastAsia="Arial" w:hAnsi="Arial"/>
          <w:sz w:val="18"/>
          <w:szCs w:val="18"/>
          <w:color w:val="auto"/>
        </w:rPr>
        <w:t>” means any program in which any Subsidiary acts as an intermediary in the UK for customers’ exercise of employee stock option programs and/or equivalent incentive schemes that the customers have for its employees.</w:t>
      </w:r>
    </w:p>
    <w:p>
      <w:pPr>
        <w:spacing w:after="0" w:line="170" w:lineRule="exact"/>
        <w:rPr>
          <w:sz w:val="20"/>
          <w:szCs w:val="20"/>
          <w:color w:val="auto"/>
        </w:rPr>
      </w:pPr>
    </w:p>
    <w:p>
      <w:pPr>
        <w:ind w:right="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Unfunded Pension Liability</w:t>
      </w:r>
      <w:r>
        <w:rPr>
          <w:rFonts w:ascii="Arial" w:cs="Arial" w:eastAsia="Arial" w:hAnsi="Arial"/>
          <w:sz w:val="16"/>
          <w:szCs w:val="16"/>
          <w:color w:val="auto"/>
        </w:rPr>
        <w:t>” means the excess of a Plan’s benefit liabilities under Section 4001(a)(16) of ERISA over the current value of that Plan’s assets, determined in accordance with the assumptions used for funding the Plan pursuant to Section 412 of the Code for the applicable plan year.</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Unreimbursed Amount</w:t>
      </w:r>
      <w:r>
        <w:rPr>
          <w:rFonts w:ascii="Arial" w:cs="Arial" w:eastAsia="Arial" w:hAnsi="Arial"/>
          <w:sz w:val="18"/>
          <w:szCs w:val="18"/>
          <w:color w:val="auto"/>
        </w:rPr>
        <w:t>” has the meaning specified in Section 2.05(a)(x).</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0000FF"/>
        </w:rPr>
        <w:t>Verafin” means Verafin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wp:posOffset>
            </wp:positionH>
            <wp:positionV relativeFrom="paragraph">
              <wp:posOffset>23495</wp:posOffset>
            </wp:positionV>
            <wp:extent cx="17145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0"/>
          </w:cols>
          <w:pgMar w:left="440" w:top="274" w:right="499" w:bottom="1440" w:gutter="0" w:footer="0" w:header="0"/>
        </w:sectPr>
      </w:pPr>
    </w:p>
    <w:bookmarkStart w:id="50" w:name="page51"/>
    <w:bookmarkEnd w:id="50"/>
    <w:p>
      <w:pPr>
        <w:ind w:right="60" w:firstLine="440"/>
        <w:spacing w:after="0" w:line="277" w:lineRule="auto"/>
        <w:rPr>
          <w:sz w:val="20"/>
          <w:szCs w:val="20"/>
          <w:color w:val="auto"/>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“Verafin Acquisition” means the acquisition, directly or indirectly, by the Borrower of all of the issued and outstanding common shares of Verafin pursuant to the Verafin Acquisition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-147955</wp:posOffset>
            </wp:positionV>
            <wp:extent cx="666051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21685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150"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u w:val="single" w:color="auto"/>
          <w:color w:val="0000FF"/>
        </w:rPr>
        <w:t>“Verafin Acquisition Agreement” means that certain Share Purchase Agreement, dated as of the Verafin Acquisition Signing Date, by and among the Borrower, Verafin, a corporation incorporated under the Canada Business Corporation Act, the Sellers party thereto (together, the “</w:t>
      </w:r>
      <w:r>
        <w:rPr>
          <w:rFonts w:ascii="Arial" w:cs="Arial" w:eastAsia="Arial" w:hAnsi="Arial"/>
          <w:sz w:val="18"/>
          <w:szCs w:val="18"/>
          <w:b w:val="1"/>
          <w:bCs w:val="1"/>
          <w:i w:val="1"/>
          <w:iCs w:val="1"/>
          <w:u w:val="single" w:color="auto"/>
          <w:color w:val="0000FF"/>
        </w:rPr>
        <w:t>Sellers</w:t>
      </w:r>
      <w:r>
        <w:rPr>
          <w:rFonts w:ascii="Arial" w:cs="Arial" w:eastAsia="Arial" w:hAnsi="Arial"/>
          <w:sz w:val="18"/>
          <w:szCs w:val="18"/>
          <w:u w:val="single" w:color="auto"/>
          <w:color w:val="0000FF"/>
        </w:rPr>
        <w:t>”) and Shareholder Representative Services LLC, a Colorado limited liability company, as representative of the Sellers, as amended from time to time; provided that any reference herein to the Verafin Acquisition Agreement as in effect on a specified date shall mean the Verafin Acquisition Agreement, as amended through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-548005</wp:posOffset>
            </wp:positionV>
            <wp:extent cx="66351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-410845</wp:posOffset>
            </wp:positionV>
            <wp:extent cx="675513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7551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-273685</wp:posOffset>
            </wp:positionV>
            <wp:extent cx="656653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-136525</wp:posOffset>
            </wp:positionV>
            <wp:extent cx="690054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005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14058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“Verafin Acquisition Closing Date” means the date on which the Verafin Acquisition is consummated.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467169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671695"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“Verafin Acquisition Signing Date” means November 18,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29146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0000FF"/>
        </w:rPr>
        <w:t>“Verafin Refinancing” has the meaning set forth in Section 4.03(g).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23495</wp:posOffset>
            </wp:positionV>
            <wp:extent cx="307721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205"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Wholly-Owned Subsidiary</w:t>
      </w:r>
      <w:r>
        <w:rPr>
          <w:rFonts w:ascii="Arial" w:cs="Arial" w:eastAsia="Arial" w:hAnsi="Arial"/>
          <w:sz w:val="18"/>
          <w:szCs w:val="18"/>
          <w:color w:val="000000"/>
        </w:rPr>
        <w:t>” means, with respect to any Person at any date, a subsidiary of such Person of which securities or other ownership</w:t>
      </w:r>
      <w:r>
        <w:rPr>
          <w:rFonts w:ascii="Arial" w:cs="Arial" w:eastAsia="Arial" w:hAnsi="Arial"/>
          <w:sz w:val="18"/>
          <w:szCs w:val="18"/>
          <w:color w:val="0000FF"/>
        </w:rPr>
        <w:t xml:space="preserve"> </w:t>
      </w:r>
      <w:r>
        <w:rPr>
          <w:rFonts w:ascii="Arial" w:cs="Arial" w:eastAsia="Arial" w:hAnsi="Arial"/>
          <w:sz w:val="18"/>
          <w:szCs w:val="18"/>
          <w:color w:val="000000"/>
        </w:rPr>
        <w:t>interests representing 100% of the Equity Interests (other than (a) directors’ qualifying shares and (b) shares issued to foreign nationals to the extent required by applicable law) are, as of such date, owned, controlled or held by such Person or one or more Wholly-Owned Subsidiaries of such Person or by such Person and one or more Wholly-Owned Subsidiaries of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-412115</wp:posOffset>
            </wp:positionV>
            <wp:extent cx="514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7"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70"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4"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SECTION 1.02 Classification of Loans and Borrowings. For purposes of this Agreement, Loans may be classified and referred to by Class (</w:t>
      </w:r>
      <w:r>
        <w:rPr>
          <w:rFonts w:ascii="Arial" w:cs="Arial" w:eastAsia="Arial" w:hAnsi="Arial"/>
          <w:sz w:val="18"/>
          <w:szCs w:val="18"/>
          <w:u w:val="single" w:color="auto"/>
          <w:color w:val="auto"/>
        </w:rPr>
        <w:t>e.g</w:t>
      </w:r>
      <w:r>
        <w:rPr>
          <w:rFonts w:ascii="Arial" w:cs="Arial" w:eastAsia="Arial" w:hAnsi="Arial"/>
          <w:sz w:val="18"/>
          <w:szCs w:val="18"/>
          <w:color w:val="auto"/>
        </w:rPr>
        <w:t>., a “Revolving Loan”) or by Type (</w:t>
      </w:r>
      <w:r>
        <w:rPr>
          <w:rFonts w:ascii="Arial" w:cs="Arial" w:eastAsia="Arial" w:hAnsi="Arial"/>
          <w:sz w:val="18"/>
          <w:szCs w:val="18"/>
          <w:u w:val="single" w:color="auto"/>
          <w:color w:val="auto"/>
        </w:rPr>
        <w:t>e.g</w:t>
      </w:r>
      <w:r>
        <w:rPr>
          <w:rFonts w:ascii="Arial" w:cs="Arial" w:eastAsia="Arial" w:hAnsi="Arial"/>
          <w:sz w:val="18"/>
          <w:szCs w:val="18"/>
          <w:color w:val="auto"/>
        </w:rPr>
        <w:t>., a “Eurocurrency Loan”) or by Class and Type (</w:t>
      </w:r>
      <w:r>
        <w:rPr>
          <w:rFonts w:ascii="Arial" w:cs="Arial" w:eastAsia="Arial" w:hAnsi="Arial"/>
          <w:sz w:val="18"/>
          <w:szCs w:val="18"/>
          <w:u w:val="single" w:color="auto"/>
          <w:color w:val="auto"/>
        </w:rPr>
        <w:t>e.g</w:t>
      </w:r>
      <w:r>
        <w:rPr>
          <w:rFonts w:ascii="Arial" w:cs="Arial" w:eastAsia="Arial" w:hAnsi="Arial"/>
          <w:sz w:val="18"/>
          <w:szCs w:val="18"/>
          <w:color w:val="auto"/>
        </w:rPr>
        <w:t>., a “Eurocurrency Revolving Loan”). Borrowings also may be classified and referred to by Class (</w:t>
      </w:r>
      <w:r>
        <w:rPr>
          <w:rFonts w:ascii="Arial" w:cs="Arial" w:eastAsia="Arial" w:hAnsi="Arial"/>
          <w:sz w:val="18"/>
          <w:szCs w:val="18"/>
          <w:u w:val="single" w:color="auto"/>
          <w:color w:val="auto"/>
        </w:rPr>
        <w:t>e.g</w:t>
      </w:r>
      <w:r>
        <w:rPr>
          <w:rFonts w:ascii="Arial" w:cs="Arial" w:eastAsia="Arial" w:hAnsi="Arial"/>
          <w:sz w:val="18"/>
          <w:szCs w:val="18"/>
          <w:color w:val="auto"/>
        </w:rPr>
        <w:t>., a “Revolving Borrowing”) or by Type (</w:t>
      </w:r>
      <w:r>
        <w:rPr>
          <w:rFonts w:ascii="Arial" w:cs="Arial" w:eastAsia="Arial" w:hAnsi="Arial"/>
          <w:sz w:val="18"/>
          <w:szCs w:val="18"/>
          <w:u w:val="single" w:color="auto"/>
          <w:color w:val="auto"/>
        </w:rPr>
        <w:t>e.g</w:t>
      </w:r>
      <w:r>
        <w:rPr>
          <w:rFonts w:ascii="Arial" w:cs="Arial" w:eastAsia="Arial" w:hAnsi="Arial"/>
          <w:sz w:val="18"/>
          <w:szCs w:val="18"/>
          <w:color w:val="auto"/>
        </w:rPr>
        <w:t>., a “Eurocurrency Borrowing”) or by Class and Type (</w:t>
      </w:r>
      <w:r>
        <w:rPr>
          <w:rFonts w:ascii="Arial" w:cs="Arial" w:eastAsia="Arial" w:hAnsi="Arial"/>
          <w:sz w:val="18"/>
          <w:szCs w:val="18"/>
          <w:u w:val="single" w:color="auto"/>
          <w:color w:val="auto"/>
        </w:rPr>
        <w:t>e.g</w:t>
      </w:r>
      <w:r>
        <w:rPr>
          <w:rFonts w:ascii="Arial" w:cs="Arial" w:eastAsia="Arial" w:hAnsi="Arial"/>
          <w:sz w:val="18"/>
          <w:szCs w:val="18"/>
          <w:color w:val="auto"/>
        </w:rPr>
        <w:t>., a “Eurocurrency Revolving Borrowing”).</w:t>
      </w:r>
    </w:p>
    <w:p>
      <w:pPr>
        <w:spacing w:after="0" w:line="187"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SECTION 1.03 Terms Generally; Times of Day.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otherwise indicated or the context requires otherwise, (a) any definition of or reference to any agreement, instrument or other document herein shall be construed as referring to such agreement, instrument or other document as from time to time amended, amended and restated, supplemented or otherwise modified (subject to any restrictions on such amendments, supplements or modifications set forth herein), (b) any reference herein to any Person shall be construed to include such Person’s successors and assigns, (c) the words “herein,”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51" w:name="page52"/>
    <w:bookmarkEnd w:id="51"/>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 In the computation of periods of time from a specified date to a later specified date, the word “from” means “from and including”; the words “to” and “until” each mean “to but excluding”; and the word “through” means “to and including.” Unless otherwise specified, all references herein to times of day shall be references to Eastern time (daylight or standard, as applicable).</w:t>
      </w:r>
    </w:p>
    <w:p>
      <w:pPr>
        <w:spacing w:after="0" w:line="195"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SECTION 1.04 Accounting Terms; GAAP. Except as otherwise expressly provided herein, all terms of an accounting or financial nature shall be construed in accordance with GAAP, as in effect from time to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Borrower notifies the Administrative Agent that the Borrower requests an amendment to any provision (including any definition) hereof to eliminate the effect of any change occurring after the date hereof in GAAP (including any election by the Borrower to operate under IFRS)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or election shall have become effective until such notice shall have been withdrawn or such provision amended in accordance herewith.</w:t>
      </w:r>
    </w:p>
    <w:p>
      <w:pPr>
        <w:spacing w:after="0" w:line="192"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 xml:space="preserve">SECTION 1.05 Pro Forma Calculations. For purposes of any determination of the </w:t>
      </w:r>
      <w:r>
        <w:rPr>
          <w:rFonts w:ascii="Arial" w:cs="Arial" w:eastAsia="Arial" w:hAnsi="Arial"/>
          <w:sz w:val="18"/>
          <w:szCs w:val="18"/>
          <w:color w:val="FF4338"/>
          <w:strike w:val="1"/>
        </w:rPr>
        <w:t>Interest Coverage Ratio or</w:t>
      </w:r>
      <w:r>
        <w:rPr>
          <w:rFonts w:ascii="Arial" w:cs="Arial" w:eastAsia="Arial" w:hAnsi="Arial"/>
          <w:sz w:val="18"/>
          <w:szCs w:val="18"/>
          <w:color w:val="auto"/>
        </w:rPr>
        <w:t xml:space="preserve"> Leverage Ratio pursuant to Section 2.18 or any covenant set forth in Article VI: for any period during which any Acquisition or any sale, transfer or other disposition of any material assets outside the ordinary course of business occurs (or has occurred since the last day of such period), the calculation of the Leverage Ratio with respect to such period for such purpose shall be made on a Pro Forma Basis.</w:t>
      </w:r>
    </w:p>
    <w:p>
      <w:pPr>
        <w:spacing w:after="0" w:line="187" w:lineRule="exact"/>
        <w:rPr>
          <w:sz w:val="20"/>
          <w:szCs w:val="20"/>
          <w:color w:val="auto"/>
        </w:rPr>
      </w:pPr>
    </w:p>
    <w:p>
      <w:pPr>
        <w:jc w:val="both"/>
        <w:ind w:right="220" w:firstLine="440"/>
        <w:spacing w:after="0" w:line="296" w:lineRule="auto"/>
        <w:rPr>
          <w:sz w:val="20"/>
          <w:szCs w:val="20"/>
          <w:color w:val="auto"/>
        </w:rPr>
      </w:pPr>
      <w:r>
        <w:rPr>
          <w:rFonts w:ascii="Arial" w:cs="Arial" w:eastAsia="Arial" w:hAnsi="Arial"/>
          <w:sz w:val="16"/>
          <w:szCs w:val="16"/>
          <w:color w:val="auto"/>
        </w:rPr>
        <w:t xml:space="preserve">SECTION 1.06 Letter of Credit Amounts. Unless otherwise specified herein, the amount of a Letter of Credit at any time shall be deemed to be the stated amount, or the Dollar Equivalent of such Letter of Credit in effect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with respect to any Letter of Credit that, by its terms or the terms of any Issuer Document related thereto, provides for one or more automatic increases in the stated amount, or the Dollar Equivalent thereof, the amount of such Letter of Credit shall be deemed to be the maximum stated amount, or the Dollar Equivalent of such Letter of Credit after giving effect to all such increases, whether or not such maximum stated amount, or the Dollar Equivalent is in effect at such times.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1.07 Exchange Rates; Currency Equivalents.</w:t>
      </w:r>
    </w:p>
    <w:p>
      <w:pPr>
        <w:spacing w:after="0" w:line="117" w:lineRule="exact"/>
        <w:rPr>
          <w:sz w:val="20"/>
          <w:szCs w:val="20"/>
          <w:color w:val="auto"/>
        </w:rPr>
      </w:pPr>
    </w:p>
    <w:p>
      <w:pPr>
        <w:ind w:right="80" w:firstLine="436"/>
        <w:spacing w:after="0" w:line="254" w:lineRule="auto"/>
        <w:tabs>
          <w:tab w:leader="none" w:pos="68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Administrative Agent or the applicable Issuing Bank, as applicable, shall determine the Spot Rates as of each Revaluation Date to be used for calculating Dollar Equivalent amounts of Revolving Exposure and Outstanding Amounts denominated in Alternative Currencies. Such Spot Rates shall become effective as of such Revaluation Date and shall be the Spot Rates employed in converting any amounts between the applicable currencies until the next Revaluation Date to occur. Except for purposes of financial statements delivered by the Borrower hereunder or calculating financial ratios hereunder or except as otherwise provided herein, the applicable amount of any currency (other than Dollars) for purposes of the Loan Documents shall be such Dollar Equivalent amount as so determined by the Administrative Agent or such Issuing Bank, as applicable; provided that for purposes of determining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0"/>
          </w:cols>
          <w:pgMar w:left="440" w:top="274" w:right="439" w:bottom="1440" w:gutter="0" w:footer="0" w:header="0"/>
        </w:sectPr>
      </w:pPr>
    </w:p>
    <w:bookmarkStart w:id="52" w:name="page53"/>
    <w:bookmarkEnd w:id="52"/>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compliance with any Dollar-denominated restriction on (x) the incurrence of Indebtedness, the Dollar-equivalent principal amount of Indebtedness denominated in a currency other than Dollars shall be calculated based on the relevant currency exchange rate in effect on the date such Indebtedness is incurred, in the case of term debt, or first committed, in the case of revolving credit date; provided that, if indebtedness is incurred to extend, replace, refund, refinance, renew or defease other Indebtedness denominated in a currency other than Dollars, and such extension, replacement, refunding, refinancing, renewal or defeasance would cause the applicable Dollar-denominated restriction to be exceeded if calculated at the relevant currency exchange rate in effect on the date of such extension, replacement, refunding, refinancing, renewal or defeasance, such Dollar-denominated restriction shall be deemed not to have been exceeded so long as the principal amount of such refinancing Indebtedness does not exceed the principal amount of such Indebtedness being extended, replaced, refunded, refinanced, renewed or defeased; and (y) the making of any investment, the Dollar-equivalent amount of any investment denominated in a currency other than Dollars shall be calculated based on the relevant currency exchange rate in effect on the date such investment was made.</w:t>
      </w:r>
    </w:p>
    <w:p>
      <w:pPr>
        <w:spacing w:after="0" w:line="77" w:lineRule="exact"/>
        <w:rPr>
          <w:sz w:val="20"/>
          <w:szCs w:val="20"/>
          <w:color w:val="auto"/>
        </w:rPr>
      </w:pPr>
    </w:p>
    <w:p>
      <w:pPr>
        <w:ind w:right="20" w:firstLine="436"/>
        <w:spacing w:after="0" w:line="257" w:lineRule="auto"/>
        <w:tabs>
          <w:tab w:leader="none" w:pos="695"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Wherever in this Agreement in connection with a Borrowing, conversion, continuation or prepayment of a Eurocurrency Loan or the issuance, amendment or extension of a Letter of Credit, an amount, such as a required minimum or multiple amount, is expressed in Dollars, but such Borrowing, Eurocurrency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applicable Issuing Bank, as the case may be.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1.08 Additional Alternative Currencies.</w:t>
      </w:r>
    </w:p>
    <w:p>
      <w:pPr>
        <w:spacing w:after="0" w:line="117" w:lineRule="exact"/>
        <w:rPr>
          <w:sz w:val="20"/>
          <w:szCs w:val="20"/>
          <w:color w:val="auto"/>
        </w:rPr>
      </w:pPr>
    </w:p>
    <w:p>
      <w:pPr>
        <w:ind w:right="40" w:firstLine="436"/>
        <w:spacing w:after="0" w:line="296" w:lineRule="auto"/>
        <w:tabs>
          <w:tab w:leader="none" w:pos="685"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The Borrower may from time to time request that Revolving Loans be made and/or Letters of Credit be issued in a currency other than those specifically listed in the definition of “Alternative Currency”;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requested currency is a lawful currency (other than Dollars) that is readily available and freely transferable and convertible into Dollars. In the case of any such request with respect to the making of Eurocurrency Loans, such request shall be subject to the approval of the Administrative Agent and the Revolving Lenders; and in the case of any such request with respect to the issuance of Letters of Credit, such request shall be subject to the approval of the Administrative Agent and the applicable Issuing Bank.</w:t>
      </w:r>
    </w:p>
    <w:p>
      <w:pPr>
        <w:spacing w:after="0" w:line="53" w:lineRule="exact"/>
        <w:rPr>
          <w:rFonts w:ascii="Arial" w:cs="Arial" w:eastAsia="Arial" w:hAnsi="Arial"/>
          <w:sz w:val="16"/>
          <w:szCs w:val="16"/>
          <w:color w:val="auto"/>
        </w:rPr>
      </w:pPr>
    </w:p>
    <w:p>
      <w:pPr>
        <w:ind w:right="40" w:firstLine="436"/>
        <w:spacing w:after="0" w:line="271" w:lineRule="auto"/>
        <w:tabs>
          <w:tab w:leader="none" w:pos="695"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such request shall be made to the Administrative Agent not later than 11:00 a.m., 15 Business Days prior to the date of the desired credit extension (or such other time or date as may be agreed by the Administrative Agent and, in the case of any such request pertaining to Letters of Credit, the applicable Issuing Bank, in its or their sole discretion). In the case of any such request pertaining to Eurocurrency Loans, the Administrative Agent shall promptly notify each Revolving Lender thereof; and in the case of any such request pertaining to Letters of Credit, the Administrative Agent shall promptly notify the applicable Issuing Bank thereof. Each Revolving Lender (in the case of any such request pertaining to Eurocurrency Loans) or such Issuing Bank (in the case of a request pertaining to Letters of Credit) shall notify the Administrative Agent, not later than 11:00 a.m., seven Business Days after receipt of such request whether it consents, in its sole discretion, to the making of Eurocurrency Rate Revolving Loans or the issuance of Letters of Credit, as the case may be, in such requested currency.</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60"/>
          </w:cols>
          <w:pgMar w:left="440" w:top="274" w:right="499" w:bottom="1440" w:gutter="0" w:footer="0" w:header="0"/>
        </w:sectPr>
      </w:pPr>
    </w:p>
    <w:bookmarkStart w:id="53" w:name="page54"/>
    <w:bookmarkEnd w:id="53"/>
    <w:p>
      <w:pPr>
        <w:ind w:firstLine="436"/>
        <w:spacing w:after="0" w:line="270" w:lineRule="auto"/>
        <w:tabs>
          <w:tab w:leader="none" w:pos="685" w:val="left"/>
        </w:tabs>
        <w:numPr>
          <w:ilvl w:val="0"/>
          <w:numId w:val="3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failure by a Revolving Lender or Issuing Bank, as the case may be, to respond to such request within the time period specified in the preceding sentence shall be deemed to be a refusal by such Lender or Issuing Bank, as the case may be, to permit Eurocurrency Rate Revolving Loans to be made or Letters of Credit to be issued in such requested currency. If the Administrative Agent and all the Revolving Lenders consent to making Eurocurrency Loans in such requested currency, the Administrative Agent shall so notify the Borrower and such currency shall thereupon be deemed for all purposes to be an Alternative Currency hereunder for purposes of any Borrowings of Eurocurrency Rate Revolving Loans; and if the Administrative Agent and the applicable Issuing Bank consent to the issuance of Letters of Credit in such requested currency, the Administrative Agent shall so notify the Borrower and such currency shall thereupon be deemed for all purposes to be an Alternative Currency hereunder for purposes of any Letter of Credit issuances. If the Administrative Agent shall fail to obtain consent to any request for an additional currency under this Section 1.08, the Administrative Agent shall promptly so notify the Borrower.</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1.09 Change of Currency.</w:t>
      </w:r>
    </w:p>
    <w:p>
      <w:pPr>
        <w:spacing w:after="0" w:line="117" w:lineRule="exact"/>
        <w:rPr>
          <w:sz w:val="20"/>
          <w:szCs w:val="20"/>
          <w:color w:val="auto"/>
        </w:rPr>
      </w:pPr>
    </w:p>
    <w:p>
      <w:pPr>
        <w:ind w:firstLine="436"/>
        <w:spacing w:after="0" w:line="272" w:lineRule="auto"/>
        <w:tabs>
          <w:tab w:leader="none" w:pos="685"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Each obligation of the Borrower to make a payment denominated in the national currency unit of any member state of the European Union that adopts the Euro as its lawful currency after the date hereof shall be redenominated into Euro at the time of such adoption (in accordance with the EMU Legislation).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Borrowing in the currency of such member state is outstanding immediately prior to such date, such replacement shall take effect, with respect to such Borrowing, at the end of the then current Interest Period.</w:t>
      </w:r>
    </w:p>
    <w:p>
      <w:pPr>
        <w:spacing w:after="0" w:line="69" w:lineRule="exact"/>
        <w:rPr>
          <w:rFonts w:ascii="Arial" w:cs="Arial" w:eastAsia="Arial" w:hAnsi="Arial"/>
          <w:sz w:val="17"/>
          <w:szCs w:val="17"/>
          <w:color w:val="auto"/>
        </w:rPr>
      </w:pPr>
    </w:p>
    <w:p>
      <w:pPr>
        <w:ind w:firstLine="436"/>
        <w:spacing w:after="0" w:line="263" w:lineRule="auto"/>
        <w:tabs>
          <w:tab w:leader="none" w:pos="6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applicable, each provision of this Agreement shall be subject to such reasonable changes of construction as the Administrative Agent (after consultation with the Borrower) may from time to time specify to be appropriate to reflect the adoption of the Euro by any member state of the European Union and any relevant market conventions or practices relating to the Euro.</w:t>
      </w:r>
    </w:p>
    <w:p>
      <w:pPr>
        <w:spacing w:after="0" w:line="75" w:lineRule="exact"/>
        <w:rPr>
          <w:rFonts w:ascii="Arial" w:cs="Arial" w:eastAsia="Arial" w:hAnsi="Arial"/>
          <w:sz w:val="18"/>
          <w:szCs w:val="18"/>
          <w:color w:val="auto"/>
        </w:rPr>
      </w:pPr>
    </w:p>
    <w:p>
      <w:pPr>
        <w:ind w:right="40" w:firstLine="436"/>
        <w:spacing w:after="0" w:line="263" w:lineRule="auto"/>
        <w:tabs>
          <w:tab w:leader="none" w:pos="685"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provision of this Agreement also shall be subject to such reasonable changes of construction as the Administrative Agent may (after consultation with the Borrower) from time to time specify to be appropriate to reflect a change in currency of any other country and any relevant market conventions or practices relating to the change in currency.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1.10 Additional Borrowers.</w:t>
      </w:r>
    </w:p>
    <w:p>
      <w:pPr>
        <w:spacing w:after="0" w:line="117"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Notwithstanding anything in Section 9.02 to the contrary, following the Closing Date, the Borrower may request that one or more of its Foreign Subsidiaries that is a Wholly-Owned Subsidiary be added as an additional borrower (the “</w:t>
      </w:r>
      <w:r>
        <w:rPr>
          <w:rFonts w:ascii="Arial" w:cs="Arial" w:eastAsia="Arial" w:hAnsi="Arial"/>
          <w:sz w:val="16"/>
          <w:szCs w:val="16"/>
          <w:u w:val="single" w:color="auto"/>
          <w:color w:val="auto"/>
        </w:rPr>
        <w:t>Additional Borrower</w:t>
      </w:r>
      <w:r>
        <w:rPr>
          <w:rFonts w:ascii="Arial" w:cs="Arial" w:eastAsia="Arial" w:hAnsi="Arial"/>
          <w:sz w:val="16"/>
          <w:szCs w:val="16"/>
          <w:color w:val="auto"/>
        </w:rPr>
        <w:t xml:space="preserve">”) under the Facilities by delivering to the Administrative Agent an Additional Borrower Agreement executed by such Foreign Subsidiary and the Borrower and specifying the proposed effective date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jurisdiction of organization of such Foreign Subsidiary shall be reasonably satisfactory to each Lender. Such Foreign Subsidiary shall for all purposes of this Agreement be a borrower hereunder no earlier than the latest of (i) twenty (20) days (or such shorter period as the Administrative Agent may in its discretion agree) after delivery of such Additional Borrower Agreement; (ii) five (5) Business Days after receipt by the Lenders and the Administrative Agent of such documentation and other information reasonably requested by the Lenders or the Administrative Agent for purposes of complying with all necessary “know your customer” or other similar checks under all applicable laws and regulations provided that there has been no written objection submitted by any of the Lenders or the Administrative Agent within five (5) Business Days of the date of</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54" w:name="page55"/>
    <w:bookmarkEnd w:id="54"/>
    <w:p>
      <w:pPr>
        <w:ind w:left="4" w:right="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receipt of such documentation and other information; (iii) the receipt by the Administrative Agent and the Lenders of opinions of counsel relating to such Additional Borrower Agreement (and the guarantee referred to below) in form and substance reasonably satisfactory to the Administrative Agent and covering such customary matters in connection therewith as may be requested by the Administrative Agent; and (iv) if the applicable Additional Borrower is organized or incorporated in or under the laws of, or for applicable Tax purposes is resident of or treated as engaged in a trade or business in, any jurisdiction other than a jurisdiction in or under the laws of which at least one then-existing Borrower is organized or incorporated as of the date the Additional Borrower Agreement is delivered to the Administrative Agent, the date of the effectiveness of an amendment of this Agreement, which amendment must be as mutually agreed by the Administrative Agent, the Borrower, such Additional Borrower and each Lender (including, without limitation, Section 2.15 and the definition of “Excluded Taxes” and whether a carve out for any “day one” Taxes is appropriate);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unconditionally guarantee the Obligations of any such Additional Borrowers on a senior unsecured basis pursuant to a guarantee agreement in form reasonably satisfactory to the Administrative Agent. Any obligations in respect of borrowings by any Additional Borrower under this Agreement will constitute “Obligations” for all purposes of the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any Additional Borrower have any liability with respect to the Obligations of the Borrower or any other Additional Borrower. Promptly following receipt of any Additional Borrower Agreement the Administrative Agent shall send a copy thereof to each Lender.</w:t>
      </w:r>
    </w:p>
    <w:p>
      <w:pPr>
        <w:spacing w:after="0" w:line="200" w:lineRule="exact"/>
        <w:rPr>
          <w:sz w:val="20"/>
          <w:szCs w:val="20"/>
          <w:color w:val="auto"/>
        </w:rPr>
      </w:pPr>
    </w:p>
    <w:p>
      <w:pPr>
        <w:spacing w:after="0" w:line="20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THE CREDITS</w:t>
      </w:r>
    </w:p>
    <w:p>
      <w:pPr>
        <w:spacing w:after="0" w:line="225" w:lineRule="exact"/>
        <w:rPr>
          <w:sz w:val="20"/>
          <w:szCs w:val="20"/>
          <w:color w:val="auto"/>
        </w:rPr>
      </w:pPr>
    </w:p>
    <w:p>
      <w:pPr>
        <w:ind w:left="4" w:right="200" w:firstLine="440"/>
        <w:spacing w:after="0" w:line="285" w:lineRule="auto"/>
        <w:rPr>
          <w:sz w:val="20"/>
          <w:szCs w:val="20"/>
          <w:color w:val="auto"/>
        </w:rPr>
      </w:pPr>
      <w:r>
        <w:rPr>
          <w:rFonts w:ascii="Arial" w:cs="Arial" w:eastAsia="Arial" w:hAnsi="Arial"/>
          <w:sz w:val="16"/>
          <w:szCs w:val="16"/>
          <w:color w:val="auto"/>
        </w:rPr>
        <w:t>SECTION 2.01 Commitments. Subject to the terms and conditions set forth herein, (i) each Revolving A Lender severally agrees to make Revolving A Loans denominated in Dollars or an Alternative Currency to the Borrower or, if applicable, any Additional Borrower as elected by the Borrower pursuant to Section 2.03 from time to time, on any Business Day during the Revolving Availability Period, in an aggregate Outstanding Amount that will not result in such Revolving A Lender’s Revolving A Exposure exceeding such Revolving A Lender’s Revolving A Commitment or the aggregate Outstanding Amount of Revolving Loans denominated in Alternative Currencies exceeding the Alternative Currency Sublimit and</w:t>
      </w:r>
    </w:p>
    <w:p>
      <w:pPr>
        <w:spacing w:after="0" w:line="2" w:lineRule="exact"/>
        <w:rPr>
          <w:sz w:val="20"/>
          <w:szCs w:val="20"/>
          <w:color w:val="auto"/>
        </w:rPr>
      </w:pPr>
    </w:p>
    <w:p>
      <w:pPr>
        <w:ind w:left="4" w:right="120" w:hanging="4"/>
        <w:spacing w:after="0" w:line="251" w:lineRule="auto"/>
        <w:tabs>
          <w:tab w:leader="none" w:pos="269"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Revolving B Lender severally agrees to make Revolving B Loans denominated in Dollars or an Alternative Currency to the Borrower or, if applicable, an Additional Borrower, as elected by the Borrower pursuant to Section 2.03 from time to time, on any Business Day during the Revolving Availability Period, in an aggregate Outstanding Amount that will not result in such Revolving B Lender’s Revolving B Exposure exceeding such Revolving B Lender’s Revolving B Commitment or the aggregate Outstanding Amount of Revolving Loans denominated in Alternative Currencies exceeding the Alternative Currency Sublimit. Within the limits of each Revolving Lender’s Revolving Commitment, and subject to the other terms and conditions hereof, the Borrower may borrow, prepay, and reborrow Revolving Loans. Revolving Loans denominated in Dollars may be ABR Loans or Eurocurrency Loans, as further provided herein, and Revolving Loans denominated in Alternative Currencies must be Eurocurrency Loans, as further provided herein.</w:t>
      </w:r>
    </w:p>
    <w:p>
      <w:pPr>
        <w:spacing w:after="0" w:line="198" w:lineRule="exact"/>
        <w:rPr>
          <w:sz w:val="20"/>
          <w:szCs w:val="20"/>
          <w:color w:val="auto"/>
        </w:rPr>
      </w:pPr>
    </w:p>
    <w:p>
      <w:pPr>
        <w:ind w:left="4" w:firstLine="440"/>
        <w:spacing w:after="0" w:line="301" w:lineRule="auto"/>
        <w:rPr>
          <w:sz w:val="20"/>
          <w:szCs w:val="20"/>
          <w:color w:val="auto"/>
        </w:rPr>
      </w:pPr>
      <w:r>
        <w:rPr>
          <w:rFonts w:ascii="Arial" w:cs="Arial" w:eastAsia="Arial" w:hAnsi="Arial"/>
          <w:sz w:val="16"/>
          <w:szCs w:val="16"/>
          <w:color w:val="auto"/>
        </w:rPr>
        <w:t xml:space="preserve">SECTION 2.02 Funding of Loans. Each Loan shall be made as part of a Borrowing consisting of Loans of the same Class and Type made by the Lenders ratably in accordance with their respective Commitments of the applicable Class. The failure of any Lender to make any Loan required to be made by it shall not relieve any other Lender of its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Commitments of the Lenders are several and no Lender shall be responsible for any other Lender’s failure to make Loans as required. Each Lender at its option may make any Eurocurrency Loan by causing any</w:t>
      </w:r>
    </w:p>
    <w:p>
      <w:pPr>
        <w:spacing w:after="0" w:line="9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4"/>
          </w:cols>
          <w:pgMar w:left="436" w:top="274" w:right="459" w:bottom="1440" w:gutter="0" w:footer="0" w:header="0"/>
        </w:sectPr>
      </w:pPr>
    </w:p>
    <w:bookmarkStart w:id="55" w:name="page56"/>
    <w:bookmarkEnd w:id="55"/>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domestic or foreign branch or Affiliate of such Lender to make such Loan;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exercise of such option shall not affect the obligation of the Borrower to repay such Loan in accordance with the terms of this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2.03 Requests for Borrowings.</w:t>
      </w:r>
    </w:p>
    <w:p>
      <w:pPr>
        <w:spacing w:after="0" w:line="117" w:lineRule="exact"/>
        <w:rPr>
          <w:sz w:val="20"/>
          <w:szCs w:val="20"/>
          <w:color w:val="auto"/>
        </w:rPr>
      </w:pPr>
    </w:p>
    <w:p>
      <w:pPr>
        <w:ind w:right="40" w:firstLine="436"/>
        <w:spacing w:after="0" w:line="283" w:lineRule="auto"/>
        <w:tabs>
          <w:tab w:leader="none" w:pos="685" w:val="left"/>
        </w:tabs>
        <w:numPr>
          <w:ilvl w:val="0"/>
          <w:numId w:val="34"/>
        </w:numPr>
        <w:rPr>
          <w:rFonts w:ascii="Arial" w:cs="Arial" w:eastAsia="Arial" w:hAnsi="Arial"/>
          <w:sz w:val="16"/>
          <w:szCs w:val="16"/>
          <w:color w:val="auto"/>
        </w:rPr>
      </w:pPr>
      <w:r>
        <w:rPr>
          <w:rFonts w:ascii="Arial" w:cs="Arial" w:eastAsia="Arial" w:hAnsi="Arial"/>
          <w:sz w:val="16"/>
          <w:szCs w:val="16"/>
          <w:color w:val="auto"/>
        </w:rPr>
        <w:t>Each Borrowing, each conversion of Loans from one Type to the other, and each continuation of Eurocurrency Loans shall be made upon the Borrower’s irrevocable notice to the Administrative Agent, which may be given by telephone</w:t>
      </w:r>
      <w:r>
        <w:rPr>
          <w:rFonts w:ascii="Arial" w:cs="Arial" w:eastAsia="Arial" w:hAnsi="Arial"/>
          <w:sz w:val="16"/>
          <w:szCs w:val="16"/>
          <w:u w:val="single" w:color="auto"/>
          <w:color w:val="0000FF"/>
        </w:rPr>
        <w:t>; provided, however, that any such notice of the Specified</w:t>
      </w:r>
      <w:r>
        <w:rPr>
          <w:rFonts w:ascii="Arial" w:cs="Arial" w:eastAsia="Arial" w:hAnsi="Arial"/>
          <w:sz w:val="16"/>
          <w:szCs w:val="16"/>
          <w:color w:val="auto"/>
        </w:rPr>
        <w:t xml:space="preserve"> </w:t>
      </w:r>
      <w:r>
        <w:rPr>
          <w:rFonts w:ascii="Arial" w:cs="Arial" w:eastAsia="Arial" w:hAnsi="Arial"/>
          <w:sz w:val="16"/>
          <w:szCs w:val="16"/>
          <w:u w:val="single" w:color="auto"/>
          <w:color w:val="0000FF"/>
        </w:rPr>
        <w:t>Borrowing may be subject to and conditioned upon the occurrence of the Verafin Acquisition Closing Date</w:t>
      </w:r>
      <w:r>
        <w:rPr>
          <w:rFonts w:ascii="Arial" w:cs="Arial" w:eastAsia="Arial" w:hAnsi="Arial"/>
          <w:sz w:val="16"/>
          <w:szCs w:val="16"/>
          <w:color w:val="000000"/>
        </w:rPr>
        <w:t>. Each such notice must be received by the</w:t>
      </w:r>
      <w:r>
        <w:rPr>
          <w:rFonts w:ascii="Arial" w:cs="Arial" w:eastAsia="Arial" w:hAnsi="Arial"/>
          <w:sz w:val="16"/>
          <w:szCs w:val="16"/>
          <w:color w:val="0000FF"/>
        </w:rPr>
        <w:t xml:space="preserve"> </w:t>
      </w:r>
      <w:r>
        <w:rPr>
          <w:rFonts w:ascii="Arial" w:cs="Arial" w:eastAsia="Arial" w:hAnsi="Arial"/>
          <w:sz w:val="16"/>
          <w:szCs w:val="16"/>
          <w:color w:val="000000"/>
        </w:rPr>
        <w:t xml:space="preserve">Administrative Agent not later than (i) 12:00 noon, New York City time, three (3) Business Days </w:t>
      </w:r>
      <w:r>
        <w:rPr>
          <w:rFonts w:ascii="Arial" w:cs="Arial" w:eastAsia="Arial" w:hAnsi="Arial"/>
          <w:sz w:val="16"/>
          <w:szCs w:val="16"/>
          <w:color w:val="0000FF"/>
        </w:rPr>
        <w:t>(or, in the case of the Specified Borrowing, 4:00 p.m.,</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New York City time, three (3) Business Days)</w:t>
      </w:r>
      <w:r>
        <w:rPr>
          <w:rFonts w:ascii="Arial" w:cs="Arial" w:eastAsia="Arial" w:hAnsi="Arial"/>
          <w:sz w:val="16"/>
          <w:szCs w:val="16"/>
          <w:color w:val="0000FF"/>
        </w:rPr>
        <w:t xml:space="preserve"> </w:t>
      </w:r>
      <w:r>
        <w:rPr>
          <w:rFonts w:ascii="Arial" w:cs="Arial" w:eastAsia="Arial" w:hAnsi="Arial"/>
          <w:sz w:val="16"/>
          <w:szCs w:val="16"/>
          <w:color w:val="000000"/>
        </w:rPr>
        <w:t>prior to the requested date of any Borrowing or continuation of Eurocurrency Loans denominated in</w:t>
      </w:r>
      <w:r>
        <w:rPr>
          <w:rFonts w:ascii="Arial" w:cs="Arial" w:eastAsia="Arial" w:hAnsi="Arial"/>
          <w:sz w:val="16"/>
          <w:szCs w:val="16"/>
          <w:color w:val="0000FF"/>
        </w:rPr>
        <w:t xml:space="preserve"> </w:t>
      </w:r>
      <w:r>
        <w:rPr>
          <w:rFonts w:ascii="Arial" w:cs="Arial" w:eastAsia="Arial" w:hAnsi="Arial"/>
          <w:sz w:val="16"/>
          <w:szCs w:val="16"/>
          <w:color w:val="000000"/>
        </w:rPr>
        <w:t>Dollars or any conversion of ABR Loans to Eurocurrency Loans, (ii) 12:00 noon, New York City time, four (4) Business Days prior to the requested date of any Borrowing or continuation of Eurocurrency Loans denominated in an Alternative Currency, (iii) 11:00 a.m., New York City time, on the requested date of any Borrowing of ABR Loans under the Revolving A Facility, (iv) 3:00 p.m., New York City time, on the requested date of any Borrowing of ABR Loans under the Revolving B Facility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any notice provided after 3:00 p.m., New York City time, on any day will be deemed to have been provided at 8:00 a.m., New York City time on the next Business Day);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however</w:t>
      </w:r>
      <w:r>
        <w:rPr>
          <w:rFonts w:ascii="Arial" w:cs="Arial" w:eastAsia="Arial" w:hAnsi="Arial"/>
          <w:sz w:val="16"/>
          <w:szCs w:val="16"/>
          <w:color w:val="000000"/>
        </w:rPr>
        <w:t>, that if the Borrower wishes to request Eurocurrency Loans (other than Eurocurrency Loans, if any, made on the Closing Date) having an Interest Period other than one, two, three or six months in duration as provided in the definition of “Interest Period,” the applicable notice must be received by the Administrative Agent not later than 11:00 a.m. four Business Days prior to the requested date of such Borrowing, conversion or continuation, whereupon the Administrative Agent shall give prompt notice to the Lenders of such request and determine whether the requested Interest Period is acceptable to all of them. Not later than 11:00 a.m., three Business Days before the requested date of such Borrowing, conversion or continuation, the Administrative Agent shall notify the Borrower (which notice may be by telephone) whether or not the requested Interest Period has been consented to by all the Lenders. Each telephonic notice by the Borrower pursuant to this Section 2.03(a) must be confirmed promptly by delivery to the Administrative Agent of a written Borrowing Request, appropriately completed and signed by a Responsible Officer of the Borrower. Each Borrowing of, conversion to or continuation of Eurocurrency Loans shall be in an amount of $5,000,000 or a whole multiple of $1,000,000 in excess thereof. Except as provided in Section 2.05, each Borrowing of or conversion to ABR Loans shall be in a principal amount of $500,000 or a whole multiple of $100,000 in excess thereof. Each Borrowing Request (whether telephonic or written) shall specify (i) whether the Borrower is requesting a Borrowing of Revolving Loans, a conversion of Revolving Loans from one Type to the other, or a continuation of Eurocurrency Loans, (ii) the requested date of the Borrowing, conversion or continuation, as the case may be (which shall be a Business Day), (iii) the principal amount of Loans to be borrowed, converted or continued, (iv) the currency in which the Loans to be borrowed are to be denominated, (v) the Type of Loans to be borrowed or to which existing Revolving Loans are to be converted and (vi) if applicable, the duration of the Interest Period with respect thereto, (vii) under which Facility the Borrowing is to be made (or whether the aggregate amount of the Loans requested should be divided between the Facilities on a pro rata basis). If the Borrower fails to specify a Type of Loan in a Borrowing Request or fails to give a timely notice requesting a conversion or continuation, then the applicable Revolving Loans shall be made as, or converted to, ABR Loans (unless the Loan being made or continued is denominated in an Alternative Currency, in which case it shall be made or continued as a Eurocurrency Loan with an Interest Period of one month). Any such automatic conversion to ABR Loans shall be effective as of the last day of the Interest Period then in effect with respect to the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-3702685</wp:posOffset>
            </wp:positionV>
            <wp:extent cx="263144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6314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-3565525</wp:posOffset>
            </wp:positionV>
            <wp:extent cx="48863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886325" cy="8255"/>
                    </a:xfrm>
                    <a:prstGeom prst="rect">
                      <a:avLst/>
                    </a:prstGeom>
                    <a:noFill/>
                  </pic:spPr>
                </pic:pic>
              </a:graphicData>
            </a:graphic>
          </wp:anchor>
        </w:drawing>
        <w:drawing>
          <wp:anchor simplePos="0" relativeHeight="251657728" behindDoc="1" locked="0" layoutInCell="0" allowOverlap="1">
            <wp:simplePos x="0" y="0"/>
            <wp:positionH relativeFrom="column">
              <wp:posOffset>4429125</wp:posOffset>
            </wp:positionH>
            <wp:positionV relativeFrom="paragraph">
              <wp:posOffset>-3428365</wp:posOffset>
            </wp:positionV>
            <wp:extent cx="24942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494280" cy="8255"/>
                    </a:xfrm>
                    <a:prstGeom prst="rect">
                      <a:avLst/>
                    </a:prstGeom>
                    <a:noFill/>
                  </pic:spPr>
                </pic:pic>
              </a:graphicData>
            </a:graphic>
          </wp:anchor>
        </w:drawing>
        <w:drawing>
          <wp:anchor simplePos="0" relativeHeight="251657728" behindDoc="1" locked="0" layoutInCell="0" allowOverlap="1">
            <wp:simplePos x="0" y="0"/>
            <wp:positionH relativeFrom="column">
              <wp:posOffset>4431665</wp:posOffset>
            </wp:positionH>
            <wp:positionV relativeFrom="paragraph">
              <wp:posOffset>-3462655</wp:posOffset>
            </wp:positionV>
            <wp:extent cx="249237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4923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-3291205</wp:posOffset>
            </wp:positionV>
            <wp:extent cx="21088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56" w:name="page57"/>
    <w:bookmarkEnd w:id="56"/>
    <w:p>
      <w:pPr>
        <w:jc w:val="both"/>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Eurocurrency Loans. If the Borrower requests a Borrowing of, conversion to, or continuation of Eurocurrency Loans in any such Borrowing Request, but fails to specify an Interest Period (or fails to give a timely notice requesting a continuation of Eurocurrency Loans denominated in an Alternative Currency), it will be deemed to have specified an Interest Period of one (1) month. If no currency is specified in a Borrowing Request, the requested Borrowing shall be in Dollars.</w:t>
      </w:r>
    </w:p>
    <w:p>
      <w:pPr>
        <w:spacing w:after="0" w:line="79" w:lineRule="exact"/>
        <w:rPr>
          <w:sz w:val="20"/>
          <w:szCs w:val="20"/>
          <w:color w:val="auto"/>
        </w:rPr>
      </w:pPr>
    </w:p>
    <w:p>
      <w:pPr>
        <w:ind w:firstLine="436"/>
        <w:spacing w:after="0" w:line="267" w:lineRule="auto"/>
        <w:tabs>
          <w:tab w:leader="none" w:pos="695" w:val="left"/>
        </w:tabs>
        <w:numPr>
          <w:ilvl w:val="0"/>
          <w:numId w:val="35"/>
        </w:numPr>
        <w:rPr>
          <w:rFonts w:ascii="Arial" w:cs="Arial" w:eastAsia="Arial" w:hAnsi="Arial"/>
          <w:sz w:val="17"/>
          <w:szCs w:val="17"/>
          <w:color w:val="auto"/>
        </w:rPr>
      </w:pPr>
      <w:r>
        <w:rPr>
          <w:rFonts w:ascii="Arial" w:cs="Arial" w:eastAsia="Arial" w:hAnsi="Arial"/>
          <w:sz w:val="17"/>
          <w:szCs w:val="17"/>
          <w:color w:val="auto"/>
        </w:rPr>
        <w:t xml:space="preserve">Following receipt of a Borrowing Request, the Administrative Agent shall promptly notify each applicable Lender of the amount (and currency) of its pro rata share of the applicable Class of Loans, and if no timely notice of a conversion or continuation is provided by the Borrower, the Administrative Agent shall notify each applicable Lender of the details of any automatic conversion to ABR Loans or continuation of Loans denominated in an Alternative Currency described in Section 2.03(a). In the case of each Borrowing, each applicable Lender shall make the amount of its Loan available to the Administrative Agent in Same Day Funds at the Administrative Agent’s Office for Dollars or the applicable Alternative Currency, as the case may be, not later than 1:00 p.m., New York City time, on the Business Day specified in the applicable Borrowing Request;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solely in the case of a Borrowing of ABR Loans under the Revolving B Facility, each applicable Lender shall make the amount of its Loan available to the Administrative Agent in Same Day Funds at the Administrative Agent’s Office for Dollars within 90 minutes after receipt of notice from the Administrative Agent (or, if later, by 9:30, a.m., New York City time, on the required date of funding). Upon satisfaction of the conditions set forth in Section 4.02 (and, with respect to Loans, if any, made on the Closing Date, the conditions set forth in Section 4.01), the Administrative Agent shall make all funds so received available to the Borrower in like funds as received by the Administrative Agent either by (i) crediting the account of the Borrower on the books of the Administrative Agent with such amount in immediately available funds or (ii) wire transfer of such funds, in each case in accordance with instructions provided to (and reasonably acceptable to) the Administrative Agent by the Borrower;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on the date a Borrowing Request with respect to a Borrowing of Revolving Loans is given by the Borrower, there are LC Borrowings outstanding, then the proceeds of such Borrowing shall be applied, first, to the payment in full of any such LC Borrowings, and second, to the Borrower as provided above</w:t>
      </w:r>
      <w:r>
        <w:rPr>
          <w:rFonts w:ascii="Arial" w:cs="Arial" w:eastAsia="Arial" w:hAnsi="Arial"/>
          <w:sz w:val="17"/>
          <w:szCs w:val="17"/>
          <w:u w:val="single" w:color="auto"/>
          <w:color w:val="0000FF"/>
        </w:rPr>
        <w:t>.</w:t>
      </w:r>
      <w:r>
        <w:rPr>
          <w:rFonts w:ascii="Arial" w:cs="Arial" w:eastAsia="Arial" w:hAnsi="Arial"/>
          <w:sz w:val="17"/>
          <w:szCs w:val="17"/>
          <w:color w:val="auto"/>
        </w:rPr>
        <w:t xml:space="preserve"> </w:t>
      </w:r>
      <w:r>
        <w:rPr>
          <w:rFonts w:ascii="Arial" w:cs="Arial" w:eastAsia="Arial" w:hAnsi="Arial"/>
          <w:sz w:val="17"/>
          <w:szCs w:val="17"/>
          <w:u w:val="single" w:color="auto"/>
          <w:color w:val="0000FF"/>
        </w:rPr>
        <w:t>Notwithstanding the foregoing, in the case of the Specified Borrowing, each applicable Lender shall make the amount of its Loan available to the Administrative Agent in Same Day Funds at the Administrative Agent’s Office for Dollars, not later than 9:30 a.m., New York City time, on the Business Day specified in the applicable Borrowing Request. Upon satisfaction of the conditions set forth in Section 4.03, the Administrative Agent shall make all funds so received in respect of the Specified Borrowing available to the Borrower in like funds as received by the Administrative Agent either by (at the Borrower’s option) (i) crediting the account of the Borrower on the books of the Administrative Agent with such amount in immediately available funds or (ii) wire transfer of such funds, in each case in accordance with instructions provided to (and reasonably acceptable to) the Administrative Agent by the Borrower</w:t>
      </w:r>
      <w:r>
        <w:rPr>
          <w:rFonts w:ascii="Arial" w:cs="Arial" w:eastAsia="Arial" w:hAnsi="Arial"/>
          <w:sz w:val="17"/>
          <w:szCs w:val="17"/>
          <w:color w:val="000000"/>
        </w:rPr>
        <w:t>.</w:t>
      </w:r>
    </w:p>
    <w:p>
      <w:pPr>
        <w:spacing w:after="0" w:line="75" w:lineRule="exact"/>
        <w:rPr>
          <w:rFonts w:ascii="Arial" w:cs="Arial" w:eastAsia="Arial" w:hAnsi="Arial"/>
          <w:sz w:val="17"/>
          <w:szCs w:val="17"/>
          <w:color w:val="auto"/>
        </w:rPr>
      </w:pPr>
    </w:p>
    <w:p>
      <w:pPr>
        <w:ind w:right="180" w:firstLine="436"/>
        <w:spacing w:after="0" w:line="263" w:lineRule="auto"/>
        <w:tabs>
          <w:tab w:leader="none" w:pos="685"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Except as otherwise provided herein, a Eurocurrency Loan may be continued or converted only on the last day of an Interest Period for such Eurocurrency Loan. During the existence of an Event of Default, the Required Lenders may require that no Loans may be converted to or continued as Eurocurrency Loans.</w:t>
      </w:r>
    </w:p>
    <w:p>
      <w:pPr>
        <w:spacing w:after="0" w:line="75" w:lineRule="exact"/>
        <w:rPr>
          <w:rFonts w:ascii="Arial" w:cs="Arial" w:eastAsia="Arial" w:hAnsi="Arial"/>
          <w:sz w:val="18"/>
          <w:szCs w:val="18"/>
          <w:color w:val="auto"/>
        </w:rPr>
      </w:pPr>
    </w:p>
    <w:p>
      <w:pPr>
        <w:ind w:right="300" w:firstLine="436"/>
        <w:spacing w:after="0" w:line="257" w:lineRule="auto"/>
        <w:tabs>
          <w:tab w:leader="none" w:pos="6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Administrative Agent shall promptly notify the Borrower and the Lenders of the interest rate applicable to any Interest Period for Eurocurrency Loans upon determination of such interest rate. The determination of the Eurocurrency Rate by the Administrative Agent shall be conclusive in the absence of manifest error. At any time that ABR Loans are outstanding, the Administrative Agent shall notify the Borrower and the applicable Lenders of any change in the Administrative Agent’s base rate used in determining the Base Rate promptly following the public announcement of such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6383655</wp:posOffset>
            </wp:positionH>
            <wp:positionV relativeFrom="paragraph">
              <wp:posOffset>-2193925</wp:posOffset>
            </wp:positionV>
            <wp:extent cx="342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-2056765</wp:posOffset>
            </wp:positionV>
            <wp:extent cx="66433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-1919605</wp:posOffset>
            </wp:positionV>
            <wp:extent cx="65836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5836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-1782445</wp:posOffset>
            </wp:positionV>
            <wp:extent cx="677227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-1645285</wp:posOffset>
            </wp:positionV>
            <wp:extent cx="687514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-1508125</wp:posOffset>
            </wp:positionV>
            <wp:extent cx="69951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-1370965</wp:posOffset>
            </wp:positionV>
            <wp:extent cx="64465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4465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-1233805</wp:posOffset>
            </wp:positionV>
            <wp:extent cx="17741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20"/>
          </w:cols>
          <w:pgMar w:left="440" w:top="274" w:right="439" w:bottom="1440" w:gutter="0" w:footer="0" w:header="0"/>
        </w:sectPr>
      </w:pPr>
    </w:p>
    <w:bookmarkStart w:id="57" w:name="page58"/>
    <w:bookmarkEnd w:id="57"/>
    <w:p>
      <w:pPr>
        <w:ind w:right="100" w:firstLine="436"/>
        <w:spacing w:after="0" w:line="342" w:lineRule="auto"/>
        <w:tabs>
          <w:tab w:leader="none" w:pos="685" w:val="left"/>
        </w:tabs>
        <w:numPr>
          <w:ilvl w:val="0"/>
          <w:numId w:val="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After giving effect to all Borrowings, all conversions of Loans from one Type to the other, and all continuations of Loans as the same Type, there shall not be more than ten (10) Interest Periods in effect at one time unless otherwise agreed between the Borrower and the Administrative Agent.</w:t>
      </w:r>
    </w:p>
    <w:p>
      <w:pPr>
        <w:spacing w:after="0" w:line="15" w:lineRule="exact"/>
        <w:rPr>
          <w:rFonts w:ascii="Arial" w:cs="Arial" w:eastAsia="Arial" w:hAnsi="Arial"/>
          <w:sz w:val="16"/>
          <w:szCs w:val="16"/>
          <w:color w:val="auto"/>
        </w:rPr>
      </w:pPr>
    </w:p>
    <w:p>
      <w:pPr>
        <w:ind w:firstLine="436"/>
        <w:spacing w:after="0" w:line="268" w:lineRule="auto"/>
        <w:tabs>
          <w:tab w:leader="none" w:pos="665" w:val="left"/>
        </w:tabs>
        <w:numPr>
          <w:ilvl w:val="0"/>
          <w:numId w:val="36"/>
        </w:numPr>
        <w:rPr>
          <w:rFonts w:ascii="Arial" w:cs="Arial" w:eastAsia="Arial" w:hAnsi="Arial"/>
          <w:sz w:val="17"/>
          <w:szCs w:val="17"/>
          <w:color w:val="auto"/>
        </w:rPr>
      </w:pPr>
      <w:r>
        <w:rPr>
          <w:rFonts w:ascii="Arial" w:cs="Arial" w:eastAsia="Arial" w:hAnsi="Arial"/>
          <w:sz w:val="17"/>
          <w:szCs w:val="17"/>
          <w:color w:val="auto"/>
        </w:rPr>
        <w:t>Unless the Administrative Agent shall have received notice from a Lender prior to the time of any Borrowing that such Lender will not make available to the Administrative Agent such Lender’s portion of such Borrowing, the Administrative Agent may assume that such Lender has made such portion available to the Administrative Agent on the date of such Borrowing in accordance with paragraph (b) above, and the Administrative Agent may, in reliance upon such assumption, make available to the Borrower on such date a corresponding amount. If the Administrative Agent shall have so made funds available, then, to the extent that such Lender shall not have made such portion available to the Administrative Agent, each of such Lender and the Borrower severally agrees to repay to the Administrative Agent forthwith on demand such corresponding amount together with interest thereon, for each day from the date such amount is made available to the Borrower until the date such amount is repaid to the Administrative Agent at (i) in the case of the Borrower, the interest rate applicable at the time to the Loans comprising such Borrowing and (ii) in the case of such Lender, the Overnight Rate plus any administrative, processing, or similar fees customarily charged by the Administrative Agent in accordance with the foregoing. A certificate of the Administrative Agent submitted to any Lender with respect to any amounts owing under this Section 2.03(f) shall be conclusive in the absence of manifest error.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and the Administrative Agent shall promptly remit to Borrower any amounts previously paid by Borrower in respect of such Borrowing under this Section 2.03. Any payment by the Borrower shall be without prejudice to any claim the Borrower may have against a Lender that shall have failed to make such payment to the Administrative Agent.</w:t>
      </w:r>
    </w:p>
    <w:p>
      <w:pPr>
        <w:spacing w:after="0" w:line="71" w:lineRule="exact"/>
        <w:rPr>
          <w:rFonts w:ascii="Arial" w:cs="Arial" w:eastAsia="Arial" w:hAnsi="Arial"/>
          <w:sz w:val="17"/>
          <w:szCs w:val="17"/>
          <w:color w:val="auto"/>
        </w:rPr>
      </w:pPr>
    </w:p>
    <w:p>
      <w:pPr>
        <w:ind w:right="380" w:firstLine="436"/>
        <w:spacing w:after="0" w:line="277" w:lineRule="auto"/>
        <w:tabs>
          <w:tab w:leader="none" w:pos="6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Lender that is a lender under the Existing Credit Agreement hereby waives the right to any payments pursuant to Section 2.14 of the Existing Credit Agreement in connection with the Refinancing.</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2.04 Tranche Conversions.</w:t>
      </w:r>
    </w:p>
    <w:p>
      <w:pPr>
        <w:spacing w:after="0" w:line="117" w:lineRule="exact"/>
        <w:rPr>
          <w:sz w:val="20"/>
          <w:szCs w:val="20"/>
          <w:color w:val="auto"/>
        </w:rPr>
      </w:pPr>
    </w:p>
    <w:p>
      <w:pPr>
        <w:ind w:left="680" w:hanging="244"/>
        <w:spacing w:after="0"/>
        <w:tabs>
          <w:tab w:leader="none" w:pos="6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Borrower may request that any Lender (any such Lender, a “</w:t>
      </w:r>
      <w:r>
        <w:rPr>
          <w:rFonts w:ascii="Arial" w:cs="Arial" w:eastAsia="Arial" w:hAnsi="Arial"/>
          <w:sz w:val="17"/>
          <w:szCs w:val="17"/>
          <w:u w:val="single" w:color="auto"/>
          <w:color w:val="auto"/>
        </w:rPr>
        <w:t>Specified Lender</w:t>
      </w:r>
      <w:r>
        <w:rPr>
          <w:rFonts w:ascii="Arial" w:cs="Arial" w:eastAsia="Arial" w:hAnsi="Arial"/>
          <w:sz w:val="17"/>
          <w:szCs w:val="17"/>
          <w:color w:val="auto"/>
        </w:rPr>
        <w:t>”) convert all or a part of such Lender’s Revolving</w:t>
      </w:r>
    </w:p>
    <w:p>
      <w:pPr>
        <w:spacing w:after="0" w:line="34" w:lineRule="exact"/>
        <w:rPr>
          <w:rFonts w:ascii="Arial" w:cs="Arial" w:eastAsia="Arial" w:hAnsi="Arial"/>
          <w:sz w:val="17"/>
          <w:szCs w:val="17"/>
          <w:color w:val="auto"/>
        </w:rPr>
      </w:pPr>
    </w:p>
    <w:p>
      <w:pPr>
        <w:spacing w:after="0" w:line="268" w:lineRule="auto"/>
        <w:rPr>
          <w:rFonts w:ascii="Arial" w:cs="Arial" w:eastAsia="Arial" w:hAnsi="Arial"/>
          <w:sz w:val="17"/>
          <w:szCs w:val="17"/>
          <w:color w:val="auto"/>
        </w:rPr>
      </w:pPr>
      <w:r>
        <w:rPr>
          <w:rFonts w:ascii="Arial" w:cs="Arial" w:eastAsia="Arial" w:hAnsi="Arial"/>
          <w:sz w:val="17"/>
          <w:szCs w:val="17"/>
          <w:color w:val="auto"/>
        </w:rPr>
        <w:t>Commitment into a Revolving Commitment of another Class. Each Specified Lender shall notify the Borrower within five (5) Business Days of receipt of the Borrower’s request, in writing, if and by what amount such Specified Lender is willing, in its sole discretion, to so convert its Commitment to a Commitment of another Class. Notwithstanding the foregoing, anything else provided herein or otherwise, if any Specified Lender shall fail to notify the Borrower within such five Business Day period, such Specified Lender shall be deemed to have declined such requested conversion. Any such conversion of Commitments occurring pursuant to this Section 2.04 shall be pursuant to a written agreement signed by the Borrower, the converting Lender and the Administrative Agent and shall be referred to herein as a “</w:t>
      </w:r>
      <w:r>
        <w:rPr>
          <w:rFonts w:ascii="Arial" w:cs="Arial" w:eastAsia="Arial" w:hAnsi="Arial"/>
          <w:sz w:val="17"/>
          <w:szCs w:val="17"/>
          <w:u w:val="single" w:color="auto"/>
          <w:color w:val="auto"/>
        </w:rPr>
        <w:t>Tranche Conversion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Tranche Conversion shall be permitted unless, after giving effect thereto and to any prepayment of Loans in connection therewith, the Revolving Exposure under each Facility would not exceed the Revolving Commitments under such Facility.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58" w:name="page59"/>
    <w:bookmarkEnd w:id="58"/>
    <w:p>
      <w:pPr>
        <w:ind w:left="-40" w:right="140" w:firstLine="436"/>
        <w:spacing w:after="0" w:line="296" w:lineRule="auto"/>
        <w:tabs>
          <w:tab w:leader="none" w:pos="655" w:val="left"/>
        </w:tabs>
        <w:numPr>
          <w:ilvl w:val="0"/>
          <w:numId w:val="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event of any Tranche Conversion concerning a Lender who was a Revolving B Lender prior to such conversion: (x) such Revolving B Lender’s Revolving B Commitment shall automatically be converted into a Revolving A Commitment in the same amount and (y) such Lender shall thereafter be considered a “Revolving A Lender” for purposes hereof. In the event of any Tranche Conversion concerning a Lender who was a Revolving A Lender prior to such conversion: (x) such Revolving A Lender’s Revolving A Commitment shall automatically be converted into a Revolving B Commitment in the same amount and (y) such Lender shall thereafter be considered a “Revolving B Lender” for purposes hereof.</w:t>
      </w:r>
    </w:p>
    <w:p>
      <w:pPr>
        <w:spacing w:after="0" w:line="53" w:lineRule="exact"/>
        <w:rPr>
          <w:rFonts w:ascii="Arial" w:cs="Arial" w:eastAsia="Arial" w:hAnsi="Arial"/>
          <w:sz w:val="16"/>
          <w:szCs w:val="16"/>
          <w:color w:val="auto"/>
        </w:rPr>
      </w:pPr>
    </w:p>
    <w:p>
      <w:pPr>
        <w:ind w:left="-40" w:firstLine="436"/>
        <w:spacing w:after="0" w:line="291" w:lineRule="auto"/>
        <w:tabs>
          <w:tab w:leader="none" w:pos="645"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 the event there are any Loans or LC Advances outstanding as of the date of any Tranche Conversion, (i) the Borrower shall prepay (which prepayment shall not be on a pro rata basis with the other Loans and LC Advances owing to other Lenders under such Facility) all Loans and LC Advances under any Facility owing to the Lender whose Revolving Commitment under such Facility is being converted and (ii) the Lender whose Revolving Commitment under a Facility is being converted to a Revolving Commitment under the other Facility shall purchase at par from each of the other Lenders under the Facility to which such Lender’s Revolving Commitment is being converted such principal amount of the outstanding Revolving Loans and LC Advances of each such Lender as may be specified by the Administrative Agent so that, after giving effect to all such purchases, each Borrowing and LC Advance under such Facility is held on a pro rata basis by the Lenders thereunder in accordance with their Applicable Percentages.</w:t>
      </w:r>
    </w:p>
    <w:p>
      <w:pPr>
        <w:spacing w:after="0" w:line="58" w:lineRule="exact"/>
        <w:rPr>
          <w:rFonts w:ascii="Arial" w:cs="Arial" w:eastAsia="Arial" w:hAnsi="Arial"/>
          <w:sz w:val="16"/>
          <w:szCs w:val="16"/>
          <w:color w:val="auto"/>
        </w:rPr>
      </w:pPr>
    </w:p>
    <w:p>
      <w:pPr>
        <w:ind w:left="-40" w:right="200" w:firstLine="436"/>
        <w:spacing w:after="0" w:line="259"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connection with any Tranche Conversion pursuant to this Section 2.04, the Alternative Currency Sublimit for each Facility shall be automatically adjusted at the time of such Tranche Conversion so that the percentage obtained by dividing the Alternative Currency Sublimit for such Facility by the total Revolving Commitments under such Facility immediately following such Tranche Conversion is equal to such percentage immediately after such Tranche Conversion.</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SECTION 2.05 Letters of Credit.</w:t>
      </w:r>
    </w:p>
    <w:p>
      <w:pPr>
        <w:spacing w:after="0" w:line="117" w:lineRule="exact"/>
        <w:rPr>
          <w:sz w:val="20"/>
          <w:szCs w:val="20"/>
          <w:color w:val="auto"/>
        </w:rPr>
      </w:pPr>
    </w:p>
    <w:p>
      <w:pPr>
        <w:ind w:left="640" w:hanging="244"/>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Discretionary Letters of Credit</w:t>
      </w:r>
      <w:r>
        <w:rPr>
          <w:rFonts w:ascii="Arial" w:cs="Arial" w:eastAsia="Arial" w:hAnsi="Arial"/>
          <w:sz w:val="18"/>
          <w:szCs w:val="18"/>
          <w:color w:val="auto"/>
        </w:rPr>
        <w:t>.</w:t>
      </w:r>
    </w:p>
    <w:p>
      <w:pPr>
        <w:spacing w:after="0" w:line="117" w:lineRule="exact"/>
        <w:rPr>
          <w:sz w:val="20"/>
          <w:szCs w:val="20"/>
          <w:color w:val="auto"/>
        </w:rPr>
      </w:pPr>
    </w:p>
    <w:p>
      <w:pPr>
        <w:ind w:left="-40" w:firstLine="436"/>
        <w:spacing w:after="0" w:line="268" w:lineRule="auto"/>
        <w:tabs>
          <w:tab w:leader="none" w:pos="615" w:val="left"/>
        </w:tabs>
        <w:numPr>
          <w:ilvl w:val="0"/>
          <w:numId w:val="40"/>
        </w:numPr>
        <w:rPr>
          <w:rFonts w:ascii="Arial" w:cs="Arial" w:eastAsia="Arial" w:hAnsi="Arial"/>
          <w:sz w:val="17"/>
          <w:szCs w:val="17"/>
          <w:color w:val="auto"/>
        </w:rPr>
      </w:pPr>
      <w:r>
        <w:rPr>
          <w:rFonts w:ascii="Arial" w:cs="Arial" w:eastAsia="Arial" w:hAnsi="Arial"/>
          <w:sz w:val="17"/>
          <w:szCs w:val="17"/>
          <w:color w:val="auto"/>
        </w:rPr>
        <w:t>Subject to the terms and conditions set forth herein, (A) any Issuing Bank may, in its sole discretion, in reliance upon the agreements of the other Revolving Lenders set forth in this Section 2.05, (x) from time to time on any Business Day during the period from the Closing Date until the fifth Business Day prior to the Maturity Date, issue Letters of Credit for the account of the Borrower under any Revolving Facility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Letter of Credit may be for the benefit of any Subsidiary of the Borrower) and to amend or renew Letters of Credit previously issued by it, in accordance with this Section 2.05, and (y) to honor drawings under the Letters of Credit and (B) the Revolving Lenders under each Revolving Facility severally agree to participate in Letters of Credit issued under such Revolving Credit Facility pursuant to this Section 2.05;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Issuing Bank shall make LC Credit Extensions with respect to Letters of Credit, and Revolving Lenders shall not be obligated to participate in Letters of Credit if, after giving effect to such LC Credit Extension, (i) the Revolving Exposures would exceed the Revolving Commitments, (ii) in the case of a Tranche A Letter of Credit, the aggregate principal amount of the total Revolving A Exposures would exceed the total Revolving A Commitments or (iii) in the case of a Tranche B Letter of Credit, the aggregate principal amount of the total Revolving B Exposures would exceed the total Revolving B Commitments, as applicable. Each request by the Borrower for an LC Credit Extension shall be deemed to be a representation by the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 may, during the foregoing period and subject to the consent of the applicable Issuing Bank, obtain Letters of Credit to replace Letters of Credit that have expired or that have been drawn upon and reimbursed.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20"/>
          </w:cols>
          <w:pgMar w:left="480" w:top="274" w:right="499" w:bottom="1440" w:gutter="0" w:footer="0" w:header="0"/>
        </w:sectPr>
      </w:pPr>
    </w:p>
    <w:bookmarkStart w:id="59" w:name="page60"/>
    <w:bookmarkEnd w:id="59"/>
    <w:p>
      <w:pPr>
        <w:ind w:left="264" w:hanging="264"/>
        <w:spacing w:after="0"/>
        <w:tabs>
          <w:tab w:leader="none" w:pos="264" w:val="left"/>
        </w:tabs>
        <w:numPr>
          <w:ilvl w:val="0"/>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Issuing Bank shall issue or amend any Letters of Credit if:</w:t>
      </w:r>
    </w:p>
    <w:p>
      <w:pPr>
        <w:spacing w:after="0" w:line="117" w:lineRule="exact"/>
        <w:rPr>
          <w:rFonts w:ascii="Arial" w:cs="Arial" w:eastAsia="Arial" w:hAnsi="Arial"/>
          <w:sz w:val="18"/>
          <w:szCs w:val="18"/>
          <w:color w:val="auto"/>
        </w:rPr>
      </w:pPr>
    </w:p>
    <w:p>
      <w:pPr>
        <w:ind w:left="444" w:right="80" w:firstLine="419"/>
        <w:spacing w:after="0" w:line="277" w:lineRule="auto"/>
        <w:tabs>
          <w:tab w:leader="none" w:pos="1122" w:val="left"/>
        </w:tabs>
        <w:numPr>
          <w:ilvl w:val="2"/>
          <w:numId w:val="41"/>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2.05(a)(viii)</w:t>
      </w:r>
      <w:r>
        <w:rPr>
          <w:rFonts w:ascii="Arial" w:cs="Arial" w:eastAsia="Arial" w:hAnsi="Arial"/>
          <w:sz w:val="18"/>
          <w:szCs w:val="18"/>
          <w:color w:val="auto"/>
        </w:rPr>
        <w:t>, the expiry date of such requested Letter of Credit would occur more than twelve months after the date of issuance or last renewal, unless otherwise agreed by such Issuing Bank and the Administrative Agent; or</w:t>
      </w:r>
    </w:p>
    <w:p>
      <w:pPr>
        <w:spacing w:after="0" w:line="62" w:lineRule="exact"/>
        <w:rPr>
          <w:rFonts w:ascii="Arial" w:cs="Arial" w:eastAsia="Arial" w:hAnsi="Arial"/>
          <w:sz w:val="18"/>
          <w:szCs w:val="18"/>
          <w:color w:val="auto"/>
        </w:rPr>
      </w:pPr>
    </w:p>
    <w:p>
      <w:pPr>
        <w:ind w:left="444" w:right="160" w:firstLine="419"/>
        <w:spacing w:after="0" w:line="277" w:lineRule="auto"/>
        <w:tabs>
          <w:tab w:leader="none" w:pos="1122" w:val="left"/>
        </w:tabs>
        <w:numPr>
          <w:ilvl w:val="2"/>
          <w:numId w:val="41"/>
        </w:numPr>
        <w:rPr>
          <w:rFonts w:ascii="Arial" w:cs="Arial" w:eastAsia="Arial" w:hAnsi="Arial"/>
          <w:sz w:val="18"/>
          <w:szCs w:val="18"/>
          <w:color w:val="auto"/>
        </w:rPr>
      </w:pPr>
      <w:r>
        <w:rPr>
          <w:rFonts w:ascii="Arial" w:cs="Arial" w:eastAsia="Arial" w:hAnsi="Arial"/>
          <w:sz w:val="18"/>
          <w:szCs w:val="18"/>
          <w:color w:val="auto"/>
        </w:rPr>
        <w:t>the expiry date of such requested Letter of Credit would occur after the applicable fifth Business Day prior to the Maturity Date, unless each Revolving Lender shall have approved such expiry date.</w:t>
      </w:r>
    </w:p>
    <w:p>
      <w:pPr>
        <w:spacing w:after="0" w:line="62" w:lineRule="exact"/>
        <w:rPr>
          <w:rFonts w:ascii="Arial" w:cs="Arial" w:eastAsia="Arial" w:hAnsi="Arial"/>
          <w:sz w:val="18"/>
          <w:szCs w:val="18"/>
          <w:color w:val="auto"/>
        </w:rPr>
      </w:pPr>
    </w:p>
    <w:p>
      <w:pPr>
        <w:ind w:left="764" w:hanging="324"/>
        <w:spacing w:after="0"/>
        <w:tabs>
          <w:tab w:leader="none" w:pos="764" w:val="left"/>
        </w:tabs>
        <w:numPr>
          <w:ilvl w:val="1"/>
          <w:numId w:val="41"/>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744" w:hanging="304"/>
        <w:spacing w:after="0"/>
        <w:tabs>
          <w:tab w:leader="none" w:pos="744" w:val="left"/>
        </w:tabs>
        <w:numPr>
          <w:ilvl w:val="1"/>
          <w:numId w:val="41"/>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 w:right="40" w:firstLine="436"/>
        <w:spacing w:after="0" w:line="275" w:lineRule="auto"/>
        <w:tabs>
          <w:tab w:leader="none" w:pos="699" w:val="left"/>
        </w:tabs>
        <w:numPr>
          <w:ilvl w:val="1"/>
          <w:numId w:val="41"/>
        </w:numPr>
        <w:rPr>
          <w:rFonts w:ascii="Arial" w:cs="Arial" w:eastAsia="Arial" w:hAnsi="Arial"/>
          <w:sz w:val="17"/>
          <w:szCs w:val="17"/>
          <w:color w:val="auto"/>
        </w:rPr>
      </w:pPr>
      <w:r>
        <w:rPr>
          <w:rFonts w:ascii="Arial" w:cs="Arial" w:eastAsia="Arial" w:hAnsi="Arial"/>
          <w:sz w:val="17"/>
          <w:szCs w:val="17"/>
          <w:color w:val="auto"/>
        </w:rPr>
        <w:t>Each Issuing Bank shall act on behalf of the applicable Revolving Lenders with respect to any Letters of Credit issued by it and the documents associated therewith, and each Issuing Bank shall have all of the benefits and immunities (A) provided to the Administrative Agent in Article VIII with respect to any acts taken or omissions suffered by such Issuing Bank in connection with Letters of Credit issued by it or proposed to be issued by it and Issuer Documents pertaining to such Letters of Credit as fully as if the term “Administrative Agent” as used in Article VIII included each Issuing Bank with respect to such acts or omissions, and (B) as additionally provided herein with respect to the Issuing Banks.</w:t>
      </w:r>
    </w:p>
    <w:p>
      <w:pPr>
        <w:spacing w:after="0" w:line="68" w:lineRule="exact"/>
        <w:rPr>
          <w:rFonts w:ascii="Arial" w:cs="Arial" w:eastAsia="Arial" w:hAnsi="Arial"/>
          <w:sz w:val="17"/>
          <w:szCs w:val="17"/>
          <w:color w:val="auto"/>
        </w:rPr>
      </w:pPr>
    </w:p>
    <w:p>
      <w:pPr>
        <w:ind w:left="4" w:right="20" w:firstLine="436"/>
        <w:spacing w:after="0" w:line="283" w:lineRule="auto"/>
        <w:tabs>
          <w:tab w:leader="none" w:pos="749" w:val="left"/>
        </w:tabs>
        <w:numPr>
          <w:ilvl w:val="1"/>
          <w:numId w:val="41"/>
        </w:numPr>
        <w:rPr>
          <w:rFonts w:ascii="Arial" w:cs="Arial" w:eastAsia="Arial" w:hAnsi="Arial"/>
          <w:sz w:val="16"/>
          <w:szCs w:val="16"/>
          <w:color w:val="auto"/>
        </w:rPr>
      </w:pPr>
      <w:r>
        <w:rPr>
          <w:rFonts w:ascii="Arial" w:cs="Arial" w:eastAsia="Arial" w:hAnsi="Arial"/>
          <w:sz w:val="16"/>
          <w:szCs w:val="16"/>
          <w:color w:val="auto"/>
        </w:rPr>
        <w:t>Each Letter of Credit shall be issued or amended, as the case may be, with the consent of the applicable Issuing Bank and upon the request of the Borrower delivered to such Issuing Bank (with a copy to the Administrative Agent) in the form of a Letter of Credit Application, appropriately completed and signed by a Responsible Officer of the Borrower. Such Letter of Credit Application must be received by such Issuing Bank and the Administrative Agent not later than 12:00 noon at least two (2) Business Days prior to the proposed issuance date or date of amendment, as the case may be; or, in each case, such later date and time as the applicable Issuing Bank may agree in a particular instance in its sole discretion. In the case of a request for an initial issuance of a Letter of Credit, such Letter of Credit Application shall specify in form and detail reasonably satisfactory to the applicable Issuing Bank: (a) the proposed issuance date of the requested Letter of Credit (which shall be a Business Day) and whether such Letter of Credit shall be a Tranche A Letter of Credit or a Tranche B Letter of Credit;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currency in which the request Letter of Credit will be denominated; and</w:t>
      </w:r>
    </w:p>
    <w:p>
      <w:pPr>
        <w:spacing w:after="0" w:line="4" w:lineRule="exact"/>
        <w:rPr>
          <w:rFonts w:ascii="Arial" w:cs="Arial" w:eastAsia="Arial" w:hAnsi="Arial"/>
          <w:sz w:val="16"/>
          <w:szCs w:val="16"/>
          <w:color w:val="auto"/>
        </w:rPr>
      </w:pPr>
    </w:p>
    <w:p>
      <w:pPr>
        <w:ind w:left="4"/>
        <w:spacing w:after="0" w:line="253" w:lineRule="auto"/>
        <w:rPr>
          <w:rFonts w:ascii="Arial" w:cs="Arial" w:eastAsia="Arial" w:hAnsi="Arial"/>
          <w:sz w:val="16"/>
          <w:szCs w:val="16"/>
          <w:color w:val="auto"/>
        </w:rPr>
      </w:pPr>
      <w:r>
        <w:rPr>
          <w:rFonts w:ascii="Arial" w:cs="Arial" w:eastAsia="Arial" w:hAnsi="Arial"/>
          <w:sz w:val="18"/>
          <w:szCs w:val="18"/>
          <w:color w:val="auto"/>
        </w:rPr>
        <w:t>(h) such other information as shall be necessary to prepare such Letter of Credit. In the case of a request for an amendment of any outstanding Letter of Credit, such Letter of Credit Application shall specify in form and detail reasonably satisfactory to the applicable Issuing Bank (1) the Letter of Credit to be amended; (2) the proposed date of amendment thereof (which shall be a Business Day); (3) the nature of the proposed amendment; and (4) such other information as shall be necessary to amend such Letter of Credit.</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4"/>
          </w:cols>
          <w:pgMar w:left="436" w:top="274" w:right="459" w:bottom="1440" w:gutter="0" w:footer="0" w:header="0"/>
        </w:sectPr>
      </w:pPr>
    </w:p>
    <w:bookmarkStart w:id="60" w:name="page61"/>
    <w:bookmarkEnd w:id="60"/>
    <w:p>
      <w:pPr>
        <w:ind w:left="4" w:right="20" w:firstLine="436"/>
        <w:spacing w:after="0" w:line="288" w:lineRule="auto"/>
        <w:tabs>
          <w:tab w:leader="none" w:pos="799" w:val="left"/>
        </w:tabs>
        <w:numPr>
          <w:ilvl w:val="1"/>
          <w:numId w:val="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Promptly after receipt of any Letter of Credit Application, the applicable Issuing Bank will confirm with the Administrative Agent (by telephone or in writing) that the Administrative Agent has received a copy of such Letter of Credit Application from the Borrower and, if not, such Issuing Bank will provide the Administrative Agent with a copy thereof. Unless such Issuing Bank has received written notice from the Required Lenders, the Administrative Agent or the Borrower, at least one Business Day prior to the requested date of issuance or amendment of the applicable Letter of Credit, that one or more conditions contained in Section 4.02 (and, with respect to Letters of Credit, if any, issued on the Closing Date, the conditions set forth in Section 4.01) shall not then be satisfied, then, subject to the terms and conditions hereof, such Issuing Bank may (but shall not be required to), on the requested date, issue a Letter of Credit for the account of the Borrower (or the applicable Subsidiary) or enter into the applicable amendment, as the case may be. Immediately upon the issuance of each Letter of Credit, each Revolving Lender under the applicable Revolving Facility shall be deemed to, and hereby irrevocably and unconditionally agrees to, acquire from such Issuing Bank a risk participation in such Letter of Credit in an amount equal to such Revolving Lender’s Applicable Percentage under the applicable Revolving Facility times the amount of such Letter of Credit.</w:t>
      </w:r>
    </w:p>
    <w:p>
      <w:pPr>
        <w:spacing w:after="0" w:line="60" w:lineRule="exact"/>
        <w:rPr>
          <w:rFonts w:ascii="Arial" w:cs="Arial" w:eastAsia="Arial" w:hAnsi="Arial"/>
          <w:sz w:val="16"/>
          <w:szCs w:val="16"/>
          <w:color w:val="auto"/>
        </w:rPr>
      </w:pPr>
    </w:p>
    <w:p>
      <w:pPr>
        <w:ind w:left="4" w:firstLine="436"/>
        <w:spacing w:after="0" w:line="284" w:lineRule="auto"/>
        <w:tabs>
          <w:tab w:leader="none" w:pos="849" w:val="left"/>
        </w:tabs>
        <w:numPr>
          <w:ilvl w:val="1"/>
          <w:numId w:val="42"/>
        </w:numPr>
        <w:rPr>
          <w:rFonts w:ascii="Arial" w:cs="Arial" w:eastAsia="Arial" w:hAnsi="Arial"/>
          <w:sz w:val="16"/>
          <w:szCs w:val="16"/>
          <w:color w:val="auto"/>
        </w:rPr>
      </w:pPr>
      <w:r>
        <w:rPr>
          <w:rFonts w:ascii="Arial" w:cs="Arial" w:eastAsia="Arial" w:hAnsi="Arial"/>
          <w:sz w:val="16"/>
          <w:szCs w:val="16"/>
          <w:color w:val="auto"/>
        </w:rPr>
        <w:t>If the Borrower so requests in any applicable Letter of Credit Application, the applicable Issuing Bank may, in its sole discretion, agree to issue a Letter of Credit that has automatic renewal provisions (each, an “</w:t>
      </w:r>
      <w:r>
        <w:rPr>
          <w:rFonts w:ascii="Arial" w:cs="Arial" w:eastAsia="Arial" w:hAnsi="Arial"/>
          <w:sz w:val="16"/>
          <w:szCs w:val="16"/>
          <w:u w:val="single" w:color="auto"/>
          <w:color w:val="auto"/>
        </w:rPr>
        <w:t>Auto-Renewal Letter of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Auto-Renewal Letter of Credit must permit such Issuing Bank to prevent any such renewal at least once in each twelve-month period (commencing with the date of issuance of such Letter of Credit) by giving prior notice to the beneficiary thereof not later than a day (the “</w:t>
      </w:r>
      <w:r>
        <w:rPr>
          <w:rFonts w:ascii="Arial" w:cs="Arial" w:eastAsia="Arial" w:hAnsi="Arial"/>
          <w:sz w:val="16"/>
          <w:szCs w:val="16"/>
          <w:u w:val="single" w:color="auto"/>
          <w:color w:val="auto"/>
        </w:rPr>
        <w:t>Nonrenewal Notice Date</w:t>
      </w:r>
      <w:r>
        <w:rPr>
          <w:rFonts w:ascii="Arial" w:cs="Arial" w:eastAsia="Arial" w:hAnsi="Arial"/>
          <w:sz w:val="16"/>
          <w:szCs w:val="16"/>
          <w:color w:val="auto"/>
        </w:rPr>
        <w:t xml:space="preserve">”) in each such twelve-month period to be agreed upon at the time such Letter of Credit is issued. Unless otherwise directed by the applicable Issuing Bank, the Borrower shall not be required to make a specific request to such Issuing Bank for any such renewal. Once an Auto-Renewal Letter of Credit has been issued, the Revolving Lenders shall be deemed to have authorized (but may not require) the applicable Issuing Bank to permit the renewal of such Letter of Credit at any time to an expiry date not later than the fifth Business Day prior to the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Issuing Bank shall not permit any such renewal if</w:t>
      </w:r>
    </w:p>
    <w:p>
      <w:pPr>
        <w:ind w:left="4" w:right="100" w:hanging="4"/>
        <w:spacing w:after="0" w:line="253" w:lineRule="auto"/>
        <w:tabs>
          <w:tab w:leader="none" w:pos="299"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such Issuing Bank has determined that it would not be permitted to issue such Letter of Credit in its renewed form under the terms thereof, or (B) it has received notice (which may be by telephone or in writing) on or before the day that is five (5) Business Days before the Nonrenewal Notice Date from the Administrative Agent or the Required Lenders, as applicable, or the Borrower that one or more of the conditions specified in Section 4.02 is not then satisfied.</w:t>
      </w:r>
    </w:p>
    <w:p>
      <w:pPr>
        <w:spacing w:after="0" w:line="84" w:lineRule="exact"/>
        <w:rPr>
          <w:rFonts w:ascii="Arial" w:cs="Arial" w:eastAsia="Arial" w:hAnsi="Arial"/>
          <w:sz w:val="18"/>
          <w:szCs w:val="18"/>
          <w:color w:val="auto"/>
        </w:rPr>
      </w:pPr>
    </w:p>
    <w:p>
      <w:pPr>
        <w:ind w:left="4" w:right="100" w:firstLine="436"/>
        <w:spacing w:after="0" w:line="263" w:lineRule="auto"/>
        <w:tabs>
          <w:tab w:leader="none" w:pos="749" w:val="left"/>
        </w:tabs>
        <w:numPr>
          <w:ilvl w:val="1"/>
          <w:numId w:val="43"/>
        </w:numPr>
        <w:rPr>
          <w:rFonts w:ascii="Arial" w:cs="Arial" w:eastAsia="Arial" w:hAnsi="Arial"/>
          <w:sz w:val="18"/>
          <w:szCs w:val="18"/>
          <w:color w:val="auto"/>
        </w:rPr>
      </w:pPr>
      <w:r>
        <w:rPr>
          <w:rFonts w:ascii="Arial" w:cs="Arial" w:eastAsia="Arial" w:hAnsi="Arial"/>
          <w:sz w:val="18"/>
          <w:szCs w:val="18"/>
          <w:color w:val="auto"/>
        </w:rPr>
        <w:t>Promptly after its delivery of any Letter of Credit or any amendment to a Letter of Credit to an advising bank with respect thereto or to the beneficiary thereof, the applicable Issuing Bank will also deliver to the Borrower and the Administrative Agent a true and complete copy of such Letter of Credit or amendment.</w:t>
      </w:r>
    </w:p>
    <w:p>
      <w:pPr>
        <w:spacing w:after="0" w:line="75" w:lineRule="exact"/>
        <w:rPr>
          <w:rFonts w:ascii="Arial" w:cs="Arial" w:eastAsia="Arial" w:hAnsi="Arial"/>
          <w:sz w:val="18"/>
          <w:szCs w:val="18"/>
          <w:color w:val="auto"/>
        </w:rPr>
      </w:pPr>
    </w:p>
    <w:p>
      <w:pPr>
        <w:ind w:left="4" w:firstLine="436"/>
        <w:spacing w:after="0" w:line="253" w:lineRule="auto"/>
        <w:tabs>
          <w:tab w:leader="none" w:pos="699" w:val="left"/>
        </w:tabs>
        <w:numPr>
          <w:ilvl w:val="1"/>
          <w:numId w:val="43"/>
        </w:numPr>
        <w:rPr>
          <w:rFonts w:ascii="Arial" w:cs="Arial" w:eastAsia="Arial" w:hAnsi="Arial"/>
          <w:sz w:val="18"/>
          <w:szCs w:val="18"/>
          <w:color w:val="auto"/>
        </w:rPr>
      </w:pPr>
      <w:r>
        <w:rPr>
          <w:rFonts w:ascii="Arial" w:cs="Arial" w:eastAsia="Arial" w:hAnsi="Arial"/>
          <w:sz w:val="18"/>
          <w:szCs w:val="18"/>
          <w:color w:val="auto"/>
        </w:rPr>
        <w:t>Upon receipt from the beneficiary of any Letter of Credit of any notice of a drawing under such Letter of Credit, the applicable Issuing Bank shall notify promptly the Borrower and the Administrative Agent thereof. In the case of an LC Disbursement with respect to any Letter of Credit denominated in an Alternative Currency, the Borrower shall reimburse the applicable Issuing Bank in such Alternative Currency, unless (A) such Issuing Bank (at its option) shall have specified in such notice that it will require reimbursement in Dollars, or (B) in the absence of any such requirement for reimbursement in Dollars, the Borrower shall have notified such Issuing Bank promptly following receipt of the notice of drawing that the Borrower will reimburse such Issuing Bank in Dollars. In the case of any such reimbursement in Dollars of an LC Disbursement under a Letter of Credit denominated in an Alternative Currency, the applicable Issuing Bank shall notify the Borrower of the Dollar Equivalent of the amount of the LC Disbursement promptly following the determination thereof. Not later than 11:00 a.m. on the first Business Day following the date on which the Borrower receives notice of any LC</w:t>
      </w:r>
    </w:p>
    <w:p>
      <w:pPr>
        <w:spacing w:after="0" w:line="1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4"/>
          </w:cols>
          <w:pgMar w:left="436" w:top="274" w:right="459" w:bottom="1440" w:gutter="0" w:footer="0" w:header="0"/>
        </w:sectPr>
      </w:pPr>
    </w:p>
    <w:bookmarkStart w:id="61" w:name="page62"/>
    <w:bookmarkEnd w:id="61"/>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Disbursement (each such date, an “</w:t>
      </w:r>
      <w:r>
        <w:rPr>
          <w:rFonts w:ascii="Arial" w:cs="Arial" w:eastAsia="Arial" w:hAnsi="Arial"/>
          <w:sz w:val="17"/>
          <w:szCs w:val="17"/>
          <w:u w:val="single" w:color="auto"/>
          <w:color w:val="auto"/>
        </w:rPr>
        <w:t>Honor Date</w:t>
      </w:r>
      <w:r>
        <w:rPr>
          <w:rFonts w:ascii="Arial" w:cs="Arial" w:eastAsia="Arial" w:hAnsi="Arial"/>
          <w:sz w:val="17"/>
          <w:szCs w:val="17"/>
          <w:color w:val="auto"/>
        </w:rPr>
        <w:t>”), the Borrower shall reimburse the applicable Issuing Bank in an amount equal to the amount of such LC Disbursement and in the applicable currency. If the Borrower fails to so reimburse such Issuing Bank by such time, the Administrative Agent shall promptly notify each Revolving Lender under the applicable Revolving Facility of the Honor Date, the amount of the unreimbursed LC Disbursement (the “</w:t>
      </w:r>
      <w:r>
        <w:rPr>
          <w:rFonts w:ascii="Arial" w:cs="Arial" w:eastAsia="Arial" w:hAnsi="Arial"/>
          <w:sz w:val="17"/>
          <w:szCs w:val="17"/>
          <w:u w:val="single" w:color="auto"/>
          <w:color w:val="auto"/>
        </w:rPr>
        <w:t>Unreimbursed Amount</w:t>
      </w:r>
      <w:r>
        <w:rPr>
          <w:rFonts w:ascii="Arial" w:cs="Arial" w:eastAsia="Arial" w:hAnsi="Arial"/>
          <w:sz w:val="17"/>
          <w:szCs w:val="17"/>
          <w:color w:val="auto"/>
        </w:rPr>
        <w:t xml:space="preserve">”) (expressed in Dollars based on the Dollar Equivalent amount thereof in the case of an Alternative Currency), and the amount of such Revolving Lender’s Applicable Percentage thereof. In such event, the Borrower shall be deemed to have requested an ABR Revolving Loan under the Revolving Facility under which such Letter of Credit was issued to be disbursed on the Honor Date in an amount equal to the Outstanding Amount of such LC Disbursement, without regard to the minimum and multiples specified in Section 2.03 for the principal amount of ABR Loans, but subject to the amount of the unutilized portion of the Revolving Commitments under the applicable Revolving Facility, and subject to the conditions set forth in Section 4.02 (other than the delivery of a Borrowing Request). Any notice given by an Issuing Bank or the Administrative Agent pursuant to this Section 2.05(a)(x) may be given by telephone if immediately confirmed in writing;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lack of such an immediate confirmation shall not affect the conclusiveness or binding effect of such notice.</w:t>
      </w:r>
    </w:p>
    <w:p>
      <w:pPr>
        <w:spacing w:after="0" w:line="74" w:lineRule="exact"/>
        <w:rPr>
          <w:sz w:val="20"/>
          <w:szCs w:val="20"/>
          <w:color w:val="auto"/>
        </w:rPr>
      </w:pPr>
    </w:p>
    <w:p>
      <w:pPr>
        <w:ind w:right="80" w:firstLine="436"/>
        <w:spacing w:after="0" w:line="254" w:lineRule="auto"/>
        <w:tabs>
          <w:tab w:leader="none" w:pos="745"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Revolving Lender (including any such Lender acting as an Issuing Bank) under the applicable Revolving Facility shall upon receipt of any notice made pursuant to Section 2.05(a)(x) make funds available to the Administrative Agent for the account of the applicable Issuing Bank at the Administrative Agent’s Office for payments in an amount equal to its Applicable Percentage of any LC Disbursement that has not been reimbursed by the Borrower at or prior to 1:00 p.m. on the Business Day specified in such notice by the Administrative Agent, whereupon, subject to the provisions of Section 2.05(a)(xii), each Revolving Lender that so makes funds available shall be deemed to have made an ABR Revolving Loan to the Borrower in such amount. The Administrative Agent shall remit the funds so received to the applicable Issuing Bank and such funds shall be applied to repay the applicable LC Disbursement.</w:t>
      </w:r>
    </w:p>
    <w:p>
      <w:pPr>
        <w:spacing w:after="0" w:line="86" w:lineRule="exact"/>
        <w:rPr>
          <w:rFonts w:ascii="Arial" w:cs="Arial" w:eastAsia="Arial" w:hAnsi="Arial"/>
          <w:sz w:val="18"/>
          <w:szCs w:val="18"/>
          <w:color w:val="auto"/>
        </w:rPr>
      </w:pPr>
    </w:p>
    <w:p>
      <w:pPr>
        <w:ind w:firstLine="436"/>
        <w:spacing w:after="0" w:line="291" w:lineRule="auto"/>
        <w:tabs>
          <w:tab w:leader="none" w:pos="795" w:val="left"/>
        </w:tabs>
        <w:numPr>
          <w:ilvl w:val="0"/>
          <w:numId w:val="44"/>
        </w:numPr>
        <w:rPr>
          <w:rFonts w:ascii="Arial" w:cs="Arial" w:eastAsia="Arial" w:hAnsi="Arial"/>
          <w:sz w:val="16"/>
          <w:szCs w:val="16"/>
          <w:color w:val="auto"/>
        </w:rPr>
      </w:pPr>
      <w:r>
        <w:rPr>
          <w:rFonts w:ascii="Arial" w:cs="Arial" w:eastAsia="Arial" w:hAnsi="Arial"/>
          <w:sz w:val="16"/>
          <w:szCs w:val="16"/>
          <w:color w:val="auto"/>
        </w:rPr>
        <w:t>With respect to any LC Disbursement that is not fully reimbursed by the Borrower and has not been refinanced by an ABR Revolving Loan because the applicable conditions set forth in Article IV cannot be satisfied or for any other reason, the Borrower shall be deemed to have incurred from the applicable Issuing Bank an LC Borrowing under the Revolving Facility under which such Letter of Credit was issued in the Outstanding Amount of the LC Disbursement that is not so reimbursed or refinanced, which LC Borrowing shall be due and payable on demand (together with interest) and shall bear interest at the rate specified in Section 2.11(c). In such event, each applicable Revolving Lender’s payment to the Administrative Agent for the account of the applicable Issuing Bank pursuant to Section 2.05(a)(xi) shall be deemed payment in respect of its participation in such LC Borrowing and shall constitute an LC Advance from such Lender in satisfaction of its participation obligation under this Section 2.05.</w:t>
      </w:r>
    </w:p>
    <w:p>
      <w:pPr>
        <w:spacing w:after="0" w:line="58" w:lineRule="exact"/>
        <w:rPr>
          <w:rFonts w:ascii="Arial" w:cs="Arial" w:eastAsia="Arial" w:hAnsi="Arial"/>
          <w:sz w:val="16"/>
          <w:szCs w:val="16"/>
          <w:color w:val="auto"/>
        </w:rPr>
      </w:pPr>
    </w:p>
    <w:p>
      <w:pPr>
        <w:ind w:firstLine="436"/>
        <w:spacing w:after="0" w:line="263" w:lineRule="auto"/>
        <w:tabs>
          <w:tab w:leader="none" w:pos="845" w:val="left"/>
        </w:tabs>
        <w:numPr>
          <w:ilvl w:val="0"/>
          <w:numId w:val="44"/>
        </w:numPr>
        <w:rPr>
          <w:rFonts w:ascii="Arial" w:cs="Arial" w:eastAsia="Arial" w:hAnsi="Arial"/>
          <w:sz w:val="18"/>
          <w:szCs w:val="18"/>
          <w:color w:val="auto"/>
        </w:rPr>
      </w:pPr>
      <w:r>
        <w:rPr>
          <w:rFonts w:ascii="Arial" w:cs="Arial" w:eastAsia="Arial" w:hAnsi="Arial"/>
          <w:sz w:val="18"/>
          <w:szCs w:val="18"/>
          <w:color w:val="auto"/>
        </w:rPr>
        <w:t>Until a Revolving Lender funds its Revolving Loan or LC Advance pursuant to this Section 2.05(a) to reimburse the applicable Issuing Bank for any LC Disbursement, interest in respect of such Revolving Lender’s Applicable Percentage of such amount shall be solely for the account of the applicable Issuing Bank.</w:t>
      </w:r>
    </w:p>
    <w:p>
      <w:pPr>
        <w:spacing w:after="0" w:line="75" w:lineRule="exact"/>
        <w:rPr>
          <w:rFonts w:ascii="Arial" w:cs="Arial" w:eastAsia="Arial" w:hAnsi="Arial"/>
          <w:sz w:val="18"/>
          <w:szCs w:val="18"/>
          <w:color w:val="auto"/>
        </w:rPr>
      </w:pPr>
    </w:p>
    <w:p>
      <w:pPr>
        <w:ind w:left="840" w:hanging="404"/>
        <w:spacing w:after="0"/>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Revolving Lender’s obligation to make Revolving Loans or LC Advances to reimburse the applicable Issuing Bank for LC</w:t>
      </w:r>
    </w:p>
    <w:p>
      <w:pPr>
        <w:spacing w:after="0" w:line="23" w:lineRule="exact"/>
        <w:rPr>
          <w:rFonts w:ascii="Arial" w:cs="Arial" w:eastAsia="Arial" w:hAnsi="Arial"/>
          <w:sz w:val="18"/>
          <w:szCs w:val="18"/>
          <w:color w:val="auto"/>
        </w:rPr>
      </w:pPr>
    </w:p>
    <w:p>
      <w:pPr>
        <w:ind w:right="80"/>
        <w:spacing w:after="0" w:line="255" w:lineRule="auto"/>
        <w:rPr>
          <w:rFonts w:ascii="Arial" w:cs="Arial" w:eastAsia="Arial" w:hAnsi="Arial"/>
          <w:sz w:val="18"/>
          <w:szCs w:val="18"/>
          <w:color w:val="auto"/>
        </w:rPr>
      </w:pPr>
      <w:r>
        <w:rPr>
          <w:rFonts w:ascii="Arial" w:cs="Arial" w:eastAsia="Arial" w:hAnsi="Arial"/>
          <w:sz w:val="18"/>
          <w:szCs w:val="18"/>
          <w:color w:val="auto"/>
        </w:rPr>
        <w:t>Disbursements in respect of Letters of Credit issued under the applicable Revolving Facility that are not reimbursed by the Borrower as set forth herein, as contemplated by this Section 2.05(a), shall be absolute and unconditional and shall not be affected by any circumstance, including (A) any setoff, counterclaim, recoupment, defense or other right which such</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4" w:right="459" w:bottom="1440" w:gutter="0" w:footer="0" w:header="0"/>
        </w:sectPr>
      </w:pPr>
    </w:p>
    <w:bookmarkStart w:id="62" w:name="page63"/>
    <w:bookmarkEnd w:id="62"/>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Lender may have against any Issuing Bank, the Borrower or any other Person for any reason whatsoever; (B) the occurrence or continuance of a Default; or (C) any other occurrence, event or condition, whether or not similar to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Revolving Lender’s obligation to make Revolving Loans pursuant to this Section 2.05(a) is subject to the conditions set forth in Section 4.02 (other than delivery by the Borrower of a Borrowing Request). No such making of an LC Advance shall relieve or otherwise impair the obligation of the Borrower to reimburse the applicable Issuing Bank for the amount of any payment made by such Issuing Bank under any Letter of Credit, together with interest as provided herein.</w:t>
      </w:r>
    </w:p>
    <w:p>
      <w:pPr>
        <w:spacing w:after="0" w:line="53" w:lineRule="exact"/>
        <w:rPr>
          <w:sz w:val="20"/>
          <w:szCs w:val="20"/>
          <w:color w:val="auto"/>
        </w:rPr>
      </w:pPr>
    </w:p>
    <w:p>
      <w:pPr>
        <w:ind w:right="80" w:firstLine="436"/>
        <w:spacing w:after="0" w:line="272" w:lineRule="auto"/>
        <w:tabs>
          <w:tab w:leader="none" w:pos="785" w:val="left"/>
        </w:tabs>
        <w:numPr>
          <w:ilvl w:val="0"/>
          <w:numId w:val="45"/>
        </w:numPr>
        <w:rPr>
          <w:rFonts w:ascii="Arial" w:cs="Arial" w:eastAsia="Arial" w:hAnsi="Arial"/>
          <w:sz w:val="17"/>
          <w:szCs w:val="17"/>
          <w:color w:val="auto"/>
        </w:rPr>
      </w:pPr>
      <w:r>
        <w:rPr>
          <w:rFonts w:ascii="Arial" w:cs="Arial" w:eastAsia="Arial" w:hAnsi="Arial"/>
          <w:sz w:val="17"/>
          <w:szCs w:val="17"/>
          <w:color w:val="auto"/>
        </w:rPr>
        <w:t>If any Revolving Lender fails to make available to the Administrative Agent for the account of an Issuing Bank any amount required to be paid by such Lender pursuant to the foregoing provisions of this Section 2.05(a) by the time specified in Section 2.05(a)(xi), such Issuing Bank shall be entitled to recover from such Lender (acting through the Administrative Agent), on demand, such amount with interest thereon for the period from the date such payment is required to the date on which such payment is immediately available to such Issuing Bank at a rate per annum equal to the applicable Overnight Rate from time to time in effect plus any administrative, processing or similar fees customarily charged by such Issuing Bank in connection with the foregoing. A certificate of an Issuing Bank submitted to any Revolving Lender (through the Administrative Agent) with respect to any amounts owing under this Section 2.05(a)(xv) shall be conclusive absent manifest error.</w:t>
      </w:r>
    </w:p>
    <w:p>
      <w:pPr>
        <w:spacing w:after="0" w:line="69" w:lineRule="exact"/>
        <w:rPr>
          <w:rFonts w:ascii="Arial" w:cs="Arial" w:eastAsia="Arial" w:hAnsi="Arial"/>
          <w:sz w:val="17"/>
          <w:szCs w:val="17"/>
          <w:color w:val="auto"/>
        </w:rPr>
      </w:pPr>
    </w:p>
    <w:p>
      <w:pPr>
        <w:ind w:right="220" w:firstLine="436"/>
        <w:spacing w:after="0" w:line="257" w:lineRule="auto"/>
        <w:tabs>
          <w:tab w:leader="none" w:pos="8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any Revolving Lender becomes a Defaulting Lender following the issuance of any Letter of Credit, the Borrower will promptly deposit Cash Collateral with the Administrative Agent in an amount equal to such Defaulting Lender’s Applicable Percentage of each outstanding Letter of Credit which Cash Collateral shall be held by the Administrative Agent to secure such Defaulting Lender’s obligations to participate in such Letter of Credit (and, if any Cash Collateral remains following the return or expiration of such Letter of Credit, shall be returned to the Borrower promptly following such return or expiration).</w:t>
      </w:r>
    </w:p>
    <w:p>
      <w:pPr>
        <w:spacing w:after="0" w:line="80" w:lineRule="exact"/>
        <w:rPr>
          <w:sz w:val="20"/>
          <w:szCs w:val="20"/>
          <w:color w:val="auto"/>
        </w:rPr>
      </w:pPr>
    </w:p>
    <w:p>
      <w:pPr>
        <w:ind w:left="700" w:hanging="264"/>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Repayment of Participations</w:t>
      </w:r>
      <w:r>
        <w:rPr>
          <w:rFonts w:ascii="Arial" w:cs="Arial" w:eastAsia="Arial" w:hAnsi="Arial"/>
          <w:sz w:val="18"/>
          <w:szCs w:val="18"/>
          <w:color w:val="auto"/>
        </w:rPr>
        <w:t>.</w:t>
      </w:r>
    </w:p>
    <w:p>
      <w:pPr>
        <w:spacing w:after="0" w:line="117" w:lineRule="exact"/>
        <w:rPr>
          <w:sz w:val="20"/>
          <w:szCs w:val="20"/>
          <w:color w:val="auto"/>
        </w:rPr>
      </w:pPr>
    </w:p>
    <w:p>
      <w:pPr>
        <w:ind w:right="60" w:firstLine="436"/>
        <w:spacing w:after="0" w:line="273" w:lineRule="auto"/>
        <w:tabs>
          <w:tab w:leader="none" w:pos="655" w:val="left"/>
        </w:tabs>
        <w:numPr>
          <w:ilvl w:val="0"/>
          <w:numId w:val="47"/>
        </w:numPr>
        <w:rPr>
          <w:rFonts w:ascii="Arial" w:cs="Arial" w:eastAsia="Arial" w:hAnsi="Arial"/>
          <w:sz w:val="17"/>
          <w:szCs w:val="17"/>
          <w:color w:val="auto"/>
        </w:rPr>
      </w:pPr>
      <w:r>
        <w:rPr>
          <w:rFonts w:ascii="Arial" w:cs="Arial" w:eastAsia="Arial" w:hAnsi="Arial"/>
          <w:sz w:val="17"/>
          <w:szCs w:val="17"/>
          <w:color w:val="auto"/>
        </w:rPr>
        <w:t>If, at any time after an Issuing Bank has made a payment under any Letter of Credit and has received from any Revolving Lender such Lender’s LC Advance in respect of such payment in accordance with Section 2.05(a), the Administrative Agent receives for the account of such Issuing Bank any payment in respect of the related LC Disbursement or interest thereon (whether directly from the Borrower or otherwise, including proceeds of Cash Collateral applied thereto by the Administrative Agent), the Administrative Agent will distribute to such Revolving Lender its Applicable Percentage thereof (appropriately adjusted, in the case of interest payments, to reflect the period of time during which such Lender’s LC Advance was outstanding) in the same funds as those received by the Administrative Agent.</w:t>
      </w:r>
    </w:p>
    <w:p>
      <w:pPr>
        <w:spacing w:after="0" w:line="69" w:lineRule="exact"/>
        <w:rPr>
          <w:rFonts w:ascii="Arial" w:cs="Arial" w:eastAsia="Arial" w:hAnsi="Arial"/>
          <w:sz w:val="17"/>
          <w:szCs w:val="17"/>
          <w:color w:val="auto"/>
        </w:rPr>
      </w:pPr>
    </w:p>
    <w:p>
      <w:pPr>
        <w:ind w:right="240" w:firstLine="436"/>
        <w:spacing w:after="0" w:line="273" w:lineRule="auto"/>
        <w:tabs>
          <w:tab w:leader="none" w:pos="705" w:val="left"/>
        </w:tabs>
        <w:numPr>
          <w:ilvl w:val="0"/>
          <w:numId w:val="47"/>
        </w:numPr>
        <w:rPr>
          <w:rFonts w:ascii="Arial" w:cs="Arial" w:eastAsia="Arial" w:hAnsi="Arial"/>
          <w:sz w:val="17"/>
          <w:szCs w:val="17"/>
          <w:color w:val="auto"/>
        </w:rPr>
      </w:pPr>
      <w:r>
        <w:rPr>
          <w:rFonts w:ascii="Arial" w:cs="Arial" w:eastAsia="Arial" w:hAnsi="Arial"/>
          <w:sz w:val="17"/>
          <w:szCs w:val="17"/>
          <w:color w:val="auto"/>
        </w:rPr>
        <w:t>If any payment received by the Administrative Agent for the account of an Issuing Bank pursuant to Section 2.05(a)(x) is required to be returned under any of the circumstances described in Section 9.03 (including pursuant to any settlement entered into by such Issuing Bank in its discretion), each Revolving Lender shall pay to the Administrative Agent for the account of such Issuing Bank its Applicable Percentage thereof on demand of the Administrative Agent, plus interest thereon from the date of such demand to the date such amount is returned by such Lender, at a rate per annum equal to the applicable Overnight Rate from time to time in effect. The obligations of the Revolving Lenders under this clause (b)(ii) shall survive the payment in full of the Obligations and the termination of this Agreement.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80"/>
          </w:cols>
          <w:pgMar w:left="440" w:top="274" w:right="479" w:bottom="1440" w:gutter="0" w:footer="0" w:header="0"/>
        </w:sectPr>
      </w:pPr>
    </w:p>
    <w:bookmarkStart w:id="63" w:name="page64"/>
    <w:bookmarkEnd w:id="63"/>
    <w:p>
      <w:pPr>
        <w:jc w:val="both"/>
        <w:ind w:right="80" w:firstLine="436"/>
        <w:spacing w:after="0" w:line="263" w:lineRule="auto"/>
        <w:tabs>
          <w:tab w:leader="none" w:pos="685" w:val="left"/>
        </w:tabs>
        <w:numPr>
          <w:ilvl w:val="0"/>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obligation of the Borrower to reimburse the applicable Issuing Bank for each LC Disbursement and to repay each LC Borrowing shall be absolute, unconditional and irrevocable, and shall be paid strictly in accordance with the terms of this Agreement under all circumstances, including the following:</w:t>
      </w:r>
    </w:p>
    <w:p>
      <w:pPr>
        <w:spacing w:after="0" w:line="75" w:lineRule="exact"/>
        <w:rPr>
          <w:rFonts w:ascii="Arial" w:cs="Arial" w:eastAsia="Arial" w:hAnsi="Arial"/>
          <w:sz w:val="18"/>
          <w:szCs w:val="18"/>
          <w:color w:val="auto"/>
        </w:rPr>
      </w:pPr>
    </w:p>
    <w:p>
      <w:pPr>
        <w:ind w:left="1160" w:hanging="301"/>
        <w:spacing w:after="0"/>
        <w:tabs>
          <w:tab w:leader="none" w:pos="116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lack of validity or enforceability of such Letter of Credit, this Agreement, or any other Loan Document;</w:t>
      </w:r>
    </w:p>
    <w:p>
      <w:pPr>
        <w:spacing w:after="0" w:line="117" w:lineRule="exact"/>
        <w:rPr>
          <w:rFonts w:ascii="Arial" w:cs="Arial" w:eastAsia="Arial" w:hAnsi="Arial"/>
          <w:sz w:val="18"/>
          <w:szCs w:val="18"/>
          <w:color w:val="auto"/>
        </w:rPr>
      </w:pPr>
    </w:p>
    <w:p>
      <w:pPr>
        <w:jc w:val="both"/>
        <w:ind w:left="440" w:firstLine="419"/>
        <w:spacing w:after="0" w:line="259" w:lineRule="auto"/>
        <w:tabs>
          <w:tab w:leader="none" w:pos="1148"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existence of any claim, counterclaim, setoff, defense or other right that the Borrower or any Subsidiary may have at any time against any beneficiary or any transferee of such Letter of Credit (or any Person for whom any such beneficiary or any such transferee may be acting), any Issuing Bank or any other Person, whether in connection with this Agreement, the transactions contemplated hereby or by such Letter of Credit or any agreement or instrument relating thereto, or any unrelated transaction;</w:t>
      </w:r>
    </w:p>
    <w:p>
      <w:pPr>
        <w:spacing w:after="0" w:line="78" w:lineRule="exact"/>
        <w:rPr>
          <w:rFonts w:ascii="Arial" w:cs="Arial" w:eastAsia="Arial" w:hAnsi="Arial"/>
          <w:sz w:val="18"/>
          <w:szCs w:val="18"/>
          <w:color w:val="auto"/>
        </w:rPr>
      </w:pPr>
    </w:p>
    <w:p>
      <w:pPr>
        <w:ind w:left="440" w:right="100" w:firstLine="419"/>
        <w:spacing w:after="0" w:line="263" w:lineRule="auto"/>
        <w:tabs>
          <w:tab w:leader="none" w:pos="1148"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75" w:lineRule="exact"/>
        <w:rPr>
          <w:rFonts w:ascii="Arial" w:cs="Arial" w:eastAsia="Arial" w:hAnsi="Arial"/>
          <w:sz w:val="18"/>
          <w:szCs w:val="18"/>
          <w:color w:val="auto"/>
        </w:rPr>
      </w:pPr>
    </w:p>
    <w:p>
      <w:pPr>
        <w:ind w:left="440" w:firstLine="419"/>
        <w:spacing w:after="0" w:line="257" w:lineRule="auto"/>
        <w:tabs>
          <w:tab w:leader="none" w:pos="1158"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payment by an Issuing Bank under such Letter of Credit against presentation of a draft or certificate that does not strictly comply with the terms of such Letter of Credit; or any payment made by an Issuing Bank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bankruptcy or insolvency proceeding;</w:t>
      </w:r>
    </w:p>
    <w:p>
      <w:pPr>
        <w:spacing w:after="0" w:line="79" w:lineRule="exact"/>
        <w:rPr>
          <w:rFonts w:ascii="Arial" w:cs="Arial" w:eastAsia="Arial" w:hAnsi="Arial"/>
          <w:sz w:val="18"/>
          <w:szCs w:val="18"/>
          <w:color w:val="auto"/>
        </w:rPr>
      </w:pPr>
    </w:p>
    <w:p>
      <w:pPr>
        <w:ind w:left="440" w:right="440" w:firstLine="419"/>
        <w:spacing w:after="0" w:line="277" w:lineRule="auto"/>
        <w:tabs>
          <w:tab w:leader="none" w:pos="1138"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adverse change in the relevant exchange rates or in the availability of the relevant Alternative Currency to the Borrower or any Subsidiary or in the relevant currency markets generally; or</w:t>
      </w:r>
    </w:p>
    <w:p>
      <w:pPr>
        <w:spacing w:after="0" w:line="62" w:lineRule="exact"/>
        <w:rPr>
          <w:rFonts w:ascii="Arial" w:cs="Arial" w:eastAsia="Arial" w:hAnsi="Arial"/>
          <w:sz w:val="18"/>
          <w:szCs w:val="18"/>
          <w:color w:val="auto"/>
        </w:rPr>
      </w:pPr>
    </w:p>
    <w:p>
      <w:pPr>
        <w:ind w:left="440" w:right="180" w:firstLine="419"/>
        <w:spacing w:after="0" w:line="277" w:lineRule="auto"/>
        <w:tabs>
          <w:tab w:leader="none" w:pos="1128"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other circumstance or happening whatsoever, whether or not similar to any of the foregoing, including any other circumstance that might otherwise constitute a defense available to, or a discharge of, the Borrower;</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excuse any Issuing Bank from liability to the Borrower to the extent of any direct damages (as opposed to consequential damages, claims in respect of which are waived by the Borrower to the extent permitted by any Requirement of Law) suffered by the Borrower that are caused by such Issuing Bank’s failure to exercise care when determining whether drafts and other documents presented under a Letter of Credit comply with the terms thereof, or acts or omissions by such Issuing Bank constituting gross negligence or willful misconduct by, such Issuing Bank.</w:t>
      </w:r>
    </w:p>
    <w:p>
      <w:pPr>
        <w:spacing w:after="0" w:line="80" w:lineRule="exact"/>
        <w:rPr>
          <w:sz w:val="20"/>
          <w:szCs w:val="20"/>
          <w:color w:val="auto"/>
        </w:rPr>
      </w:pPr>
    </w:p>
    <w:p>
      <w:pPr>
        <w:ind w:right="100" w:firstLine="436"/>
        <w:spacing w:after="0" w:line="275" w:lineRule="auto"/>
        <w:tabs>
          <w:tab w:leader="none" w:pos="695" w:val="left"/>
        </w:tabs>
        <w:numPr>
          <w:ilvl w:val="0"/>
          <w:numId w:val="49"/>
        </w:numPr>
        <w:rPr>
          <w:rFonts w:ascii="Arial" w:cs="Arial" w:eastAsia="Arial" w:hAnsi="Arial"/>
          <w:sz w:val="17"/>
          <w:szCs w:val="17"/>
          <w:color w:val="auto"/>
        </w:rPr>
      </w:pPr>
      <w:r>
        <w:rPr>
          <w:rFonts w:ascii="Arial" w:cs="Arial" w:eastAsia="Arial" w:hAnsi="Arial"/>
          <w:sz w:val="17"/>
          <w:szCs w:val="17"/>
          <w:color w:val="auto"/>
        </w:rPr>
        <w:t>Neither the Administrative Agent, the Lenders nor any Issuing Bank,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274" w:right="459" w:bottom="1440" w:gutter="0" w:footer="0" w:header="0"/>
        </w:sectPr>
      </w:pPr>
    </w:p>
    <w:bookmarkStart w:id="64" w:name="page65"/>
    <w:bookmarkEnd w:id="64"/>
    <w:p>
      <w:pPr>
        <w:ind w:left="4"/>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applicable Issuing Bank;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be construed to excuse any Issuing Bank from liability to the Borrower to the extent of any direct damages (as opposed to consequential or punitive damages, claims in respect of which are hereby waived by the Borrower to the extent permitted by applicable law)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that appear on their face to be in substantial compliance with the terms of a Letter of Credit, each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77" w:lineRule="exact"/>
        <w:rPr>
          <w:sz w:val="20"/>
          <w:szCs w:val="20"/>
          <w:color w:val="auto"/>
        </w:rPr>
      </w:pPr>
    </w:p>
    <w:p>
      <w:pPr>
        <w:ind w:left="684" w:hanging="244"/>
        <w:spacing w:after="0"/>
        <w:tabs>
          <w:tab w:leader="none" w:pos="684" w:val="left"/>
        </w:tabs>
        <w:numPr>
          <w:ilvl w:val="1"/>
          <w:numId w:val="50"/>
        </w:numPr>
        <w:rPr>
          <w:rFonts w:ascii="Arial" w:cs="Arial" w:eastAsia="Arial" w:hAnsi="Arial"/>
          <w:sz w:val="16"/>
          <w:szCs w:val="16"/>
          <w:color w:val="auto"/>
        </w:rPr>
      </w:pPr>
      <w:r>
        <w:rPr>
          <w:rFonts w:ascii="Arial" w:cs="Arial" w:eastAsia="Arial" w:hAnsi="Arial"/>
          <w:sz w:val="16"/>
          <w:szCs w:val="16"/>
          <w:color w:val="auto"/>
        </w:rPr>
        <w:t>If (i) any Event of Default occurs and is continuing and the Required Lenders require the Borrower to Cash Collateralize the LC Exposure or</w:t>
      </w:r>
    </w:p>
    <w:p>
      <w:pPr>
        <w:spacing w:after="0" w:line="46" w:lineRule="exact"/>
        <w:rPr>
          <w:rFonts w:ascii="Arial" w:cs="Arial" w:eastAsia="Arial" w:hAnsi="Arial"/>
          <w:sz w:val="16"/>
          <w:szCs w:val="16"/>
          <w:color w:val="auto"/>
        </w:rPr>
      </w:pPr>
    </w:p>
    <w:p>
      <w:pPr>
        <w:ind w:left="4" w:hanging="4"/>
        <w:spacing w:after="0" w:line="283" w:lineRule="auto"/>
        <w:tabs>
          <w:tab w:leader="none" w:pos="269"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 Event of Default pursuant to clause (h) or (i) of Article VII occurs and is continuing, then the Borrower shall Cash Collateralize the LC Exposure (in an amount equal to the Outstanding Amount thereof determined as of the date of such Event of Default), and shall do so not later than 2:00 p.m., New York City time, on (x) in the case of the immediately preceding clause (i), (1) the Business Day that the Borrower receives notice thereof, if such notice is received on such day prior to 12:00 Noon, New York City time, or (2) if clause (1) above does not apply, the Business Day immediately following the day that the Borrower receives such notice and (y) in the case of the immediately preceding clause (ii), the Business Day on which an Event of Default set forth under clause (h) or (i) occurs or, if such day is not a Business Day, the Business Day immediately succeeding such day. For purposes hereof, “</w:t>
      </w:r>
      <w:r>
        <w:rPr>
          <w:rFonts w:ascii="Arial" w:cs="Arial" w:eastAsia="Arial" w:hAnsi="Arial"/>
          <w:sz w:val="16"/>
          <w:szCs w:val="16"/>
          <w:u w:val="single" w:color="auto"/>
          <w:color w:val="auto"/>
        </w:rPr>
        <w:t>Cash Collateralize</w:t>
      </w:r>
      <w:r>
        <w:rPr>
          <w:rFonts w:ascii="Arial" w:cs="Arial" w:eastAsia="Arial" w:hAnsi="Arial"/>
          <w:sz w:val="16"/>
          <w:szCs w:val="16"/>
          <w:color w:val="auto"/>
        </w:rPr>
        <w:t>” means to pledge and deposit with or deliver to the Administrative Agent, for the benefit of the applicable Issuing Bank and the applicable Revolving Lenders, as collateral for the LC Exposure, cash or deposit account balances (“</w:t>
      </w:r>
      <w:r>
        <w:rPr>
          <w:rFonts w:ascii="Arial" w:cs="Arial" w:eastAsia="Arial" w:hAnsi="Arial"/>
          <w:sz w:val="16"/>
          <w:szCs w:val="16"/>
          <w:u w:val="single" w:color="auto"/>
          <w:color w:val="auto"/>
        </w:rPr>
        <w:t>Cash Collateral</w:t>
      </w:r>
      <w:r>
        <w:rPr>
          <w:rFonts w:ascii="Arial" w:cs="Arial" w:eastAsia="Arial" w:hAnsi="Arial"/>
          <w:sz w:val="16"/>
          <w:szCs w:val="16"/>
          <w:color w:val="auto"/>
        </w:rPr>
        <w:t>”) pursuant to documentation in form and substance reasonably satisfactory to the Administrative Agent and the applicable Issuing Bank (which documents are hereby consented to by the applicable Revolving Lenders). Derivatives of such term have corresponding meanings. The Borrower hereby grants to the Administrative Agent, for the benefit of the Issuing Banks and the Revolving Lenders, a security interest in all such cash, deposit accounts and all balances therein and all proceeds of the foregoing. Cash Collateral shall be maintained in blocked accounts at the Administrative Agent and may be invested in readily available Cash Equivalents selected by the Administrative Agent in its sole discretion. The Administrative Agent may, at any time and from time to time after the initial deposit of Cash Collateral, request that additional Cash Collateral be provided in order to protect against the results of exchange rate fluctuations. Upon the drawing of any Letter of Credit for which funds are on deposit as Cash Collateral, such funds shall be applied, to the extent permitted under applicable Requirements of Law, to reimburse the applicable Issuing Bank. To the extent the amount of any Cash Collateral exceeds the then Outstanding Amount of such LC Exposure and so long as no Event of Default has occurred and is continuing, the excess shall be refunded to the Borrower within three days of the date that such excess accrues together with all interest, if any, that has accrued on such amount. If such Event of Default is cured or waived and no other Event of Default is then occurring and continuing, the amount of any Cash Collateral shall be refunded to the Borrower within three days of the occurrence of such cure or waiver together with all interest, if any, that has accrued on such amount.</w:t>
      </w:r>
    </w:p>
    <w:p>
      <w:pPr>
        <w:spacing w:after="0" w:line="74" w:lineRule="exact"/>
        <w:rPr>
          <w:rFonts w:ascii="Arial" w:cs="Arial" w:eastAsia="Arial" w:hAnsi="Arial"/>
          <w:sz w:val="16"/>
          <w:szCs w:val="16"/>
          <w:color w:val="auto"/>
        </w:rPr>
      </w:pPr>
    </w:p>
    <w:p>
      <w:pPr>
        <w:ind w:left="4" w:right="220" w:firstLine="436"/>
        <w:spacing w:after="0" w:line="277" w:lineRule="auto"/>
        <w:tabs>
          <w:tab w:leader="none" w:pos="669" w:val="left"/>
        </w:tabs>
        <w:numPr>
          <w:ilvl w:val="1"/>
          <w:numId w:val="51"/>
        </w:numPr>
        <w:rPr>
          <w:rFonts w:ascii="Arial" w:cs="Arial" w:eastAsia="Arial" w:hAnsi="Arial"/>
          <w:sz w:val="18"/>
          <w:szCs w:val="18"/>
          <w:color w:val="auto"/>
        </w:rPr>
      </w:pPr>
      <w:r>
        <w:rPr>
          <w:rFonts w:ascii="Arial" w:cs="Arial" w:eastAsia="Arial" w:hAnsi="Arial"/>
          <w:sz w:val="18"/>
          <w:szCs w:val="18"/>
          <w:u w:val="single" w:color="auto"/>
          <w:color w:val="auto"/>
        </w:rPr>
        <w:t>Applicability of ISP</w:t>
      </w:r>
      <w:r>
        <w:rPr>
          <w:rFonts w:ascii="Arial" w:cs="Arial" w:eastAsia="Arial" w:hAnsi="Arial"/>
          <w:sz w:val="18"/>
          <w:szCs w:val="18"/>
          <w:color w:val="auto"/>
        </w:rPr>
        <w:t>. Unless otherwise expressly agreed by the relevant Issuing Bank and the Borrower when a Letter of Credit is issued, the rules of the ISP shall apply to each Letter of Credit.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4"/>
          </w:cols>
          <w:pgMar w:left="436" w:top="274" w:right="459" w:bottom="1440" w:gutter="0" w:footer="0" w:header="0"/>
        </w:sectPr>
      </w:pPr>
    </w:p>
    <w:bookmarkStart w:id="65" w:name="page66"/>
    <w:bookmarkEnd w:id="65"/>
    <w:p>
      <w:pPr>
        <w:ind w:left="-80" w:right="160" w:firstLine="436"/>
        <w:spacing w:after="0" w:line="277" w:lineRule="auto"/>
        <w:tabs>
          <w:tab w:leader="none" w:pos="615"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Conflict with Letter of Credit Application</w:t>
      </w:r>
      <w:r>
        <w:rPr>
          <w:rFonts w:ascii="Arial" w:cs="Arial" w:eastAsia="Arial" w:hAnsi="Arial"/>
          <w:sz w:val="18"/>
          <w:szCs w:val="18"/>
          <w:color w:val="auto"/>
        </w:rPr>
        <w:t>. Notwithstanding anything else to the contrary in any Letter of Credit Application, in the event of any conflict between the terms hereof and the terms of any Letter of Credit Application, the terms hereof shall control.</w:t>
      </w:r>
    </w:p>
    <w:p>
      <w:pPr>
        <w:spacing w:after="0" w:line="62" w:lineRule="exact"/>
        <w:rPr>
          <w:rFonts w:ascii="Arial" w:cs="Arial" w:eastAsia="Arial" w:hAnsi="Arial"/>
          <w:sz w:val="18"/>
          <w:szCs w:val="18"/>
          <w:color w:val="auto"/>
        </w:rPr>
      </w:pPr>
    </w:p>
    <w:p>
      <w:pPr>
        <w:ind w:left="-80" w:firstLine="436"/>
        <w:spacing w:after="0" w:line="301" w:lineRule="auto"/>
        <w:tabs>
          <w:tab w:leader="none" w:pos="615"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Letters of Credit Issued for Subsidiaries</w:t>
      </w:r>
      <w:r>
        <w:rPr>
          <w:rFonts w:ascii="Arial" w:cs="Arial" w:eastAsia="Arial" w:hAnsi="Arial"/>
          <w:sz w:val="16"/>
          <w:szCs w:val="16"/>
          <w:color w:val="auto"/>
        </w:rPr>
        <w:t>. Notwithstanding that a Letter of Credit issued or outstanding hereunder is in support of any obligations of, or is for the account of, a Subsidiary, the Borrower shall be obligated to reimburse the applicable Issuing Bank hereunder for any and all drawings under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spacing w:after="0" w:line="49" w:lineRule="exact"/>
        <w:rPr>
          <w:rFonts w:ascii="Arial" w:cs="Arial" w:eastAsia="Arial" w:hAnsi="Arial"/>
          <w:sz w:val="16"/>
          <w:szCs w:val="16"/>
          <w:color w:val="auto"/>
        </w:rPr>
      </w:pPr>
    </w:p>
    <w:p>
      <w:pPr>
        <w:ind w:left="-80" w:firstLine="436"/>
        <w:spacing w:after="0" w:line="263" w:lineRule="auto"/>
        <w:tabs>
          <w:tab w:leader="none" w:pos="575"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Addition of an Issuing Bank</w:t>
      </w:r>
      <w:r>
        <w:rPr>
          <w:rFonts w:ascii="Arial" w:cs="Arial" w:eastAsia="Arial" w:hAnsi="Arial"/>
          <w:sz w:val="18"/>
          <w:szCs w:val="18"/>
          <w:color w:val="auto"/>
        </w:rPr>
        <w:t>. A Revolving Lender may become an additional Issuing Bank hereunder pursuant to a written agreement between the Borrower and such Revolving Lender and with the consent of the Administrative Agent (not to be unreasonably withheld or delayed). The Administrative Agent shall notify the Revolving Lenders of any such additional Issuing Bank.</w:t>
      </w:r>
    </w:p>
    <w:p>
      <w:pPr>
        <w:spacing w:after="0" w:line="75" w:lineRule="exact"/>
        <w:rPr>
          <w:rFonts w:ascii="Arial" w:cs="Arial" w:eastAsia="Arial" w:hAnsi="Arial"/>
          <w:sz w:val="18"/>
          <w:szCs w:val="18"/>
          <w:color w:val="auto"/>
        </w:rPr>
      </w:pPr>
    </w:p>
    <w:p>
      <w:pPr>
        <w:jc w:val="both"/>
        <w:ind w:left="-80" w:right="100" w:firstLine="436"/>
        <w:spacing w:after="0" w:line="263" w:lineRule="auto"/>
        <w:tabs>
          <w:tab w:leader="none" w:pos="575"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Rollover of Existing Letters of Credit</w:t>
      </w:r>
      <w:r>
        <w:rPr>
          <w:rFonts w:ascii="Arial" w:cs="Arial" w:eastAsia="Arial" w:hAnsi="Arial"/>
          <w:sz w:val="18"/>
          <w:szCs w:val="18"/>
          <w:color w:val="auto"/>
        </w:rPr>
        <w:t>. Each of the Existing Letters of Credit outstanding under the Existing Credit Agreement on the Closing Date immediately prior to the effectiveness of this Agreement shall be deemed to be issued by the Issuing Bank thereof as Tranche A Letters of Credit under this Agreement on the Closing Date.</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SECTION 2.06 Termination and Reduction of Commitments.</w:t>
      </w:r>
    </w:p>
    <w:p>
      <w:pPr>
        <w:spacing w:after="0" w:line="117" w:lineRule="exact"/>
        <w:rPr>
          <w:sz w:val="20"/>
          <w:szCs w:val="20"/>
          <w:color w:val="auto"/>
        </w:rPr>
      </w:pPr>
    </w:p>
    <w:p>
      <w:pPr>
        <w:ind w:left="600" w:hanging="244"/>
        <w:spacing w:after="0"/>
        <w:tabs>
          <w:tab w:leader="none" w:pos="6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Unless previously terminated, the Revolving Commitments shall terminate on the Maturity Date.</w:t>
      </w:r>
    </w:p>
    <w:p>
      <w:pPr>
        <w:spacing w:after="0" w:line="117" w:lineRule="exact"/>
        <w:rPr>
          <w:rFonts w:ascii="Arial" w:cs="Arial" w:eastAsia="Arial" w:hAnsi="Arial"/>
          <w:sz w:val="18"/>
          <w:szCs w:val="18"/>
          <w:color w:val="auto"/>
        </w:rPr>
      </w:pPr>
    </w:p>
    <w:p>
      <w:pPr>
        <w:ind w:left="-80" w:right="20" w:firstLine="436"/>
        <w:spacing w:after="0" w:line="268" w:lineRule="auto"/>
        <w:tabs>
          <w:tab w:leader="none" w:pos="615" w:val="left"/>
        </w:tabs>
        <w:numPr>
          <w:ilvl w:val="0"/>
          <w:numId w:val="53"/>
        </w:numPr>
        <w:rPr>
          <w:rFonts w:ascii="Arial" w:cs="Arial" w:eastAsia="Arial" w:hAnsi="Arial"/>
          <w:sz w:val="17"/>
          <w:szCs w:val="17"/>
          <w:color w:val="auto"/>
        </w:rPr>
      </w:pPr>
      <w:r>
        <w:rPr>
          <w:rFonts w:ascii="Arial" w:cs="Arial" w:eastAsia="Arial" w:hAnsi="Arial"/>
          <w:sz w:val="17"/>
          <w:szCs w:val="17"/>
          <w:color w:val="auto"/>
        </w:rPr>
        <w:t xml:space="preserve">The Borrower may at any time terminate, or from time to time reduce, the Commitments of any Class;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each reduction of the Commitments of any Class shall be in an amount that is an integral multiple of $1,000,000 and not less than $5,000,000 or if less, the entire remaining amount, (ii) the Borrower shall not terminate or reduce either Class of the Revolving Commitments if, after giving effect to any concurrent prepayment of the Revolving Loans of such Class in accordance with Section 2.09, the aggregate Revolving Exposures of such Class (excluding, in the case of any termination of the Revolving A Commitments or the Revolving B Commitments, the portion of the Revolving A Exposures or Revolving B Exposures attributable to outstanding Tranche A Letters of Credit or Tranche B Letters of Credit, as applicable, if and to the extent that the Borrower has made arrangements satisfactory to the Administrative Agent and each applicable Issuing Bank with respect to such Tranche A Letters of Credit or Tranche B Letters of Credit, as applicable, and each applicable Issuing Bank has released the Revolving Lenders of such Class from their participation obligations with respect to such Tranche A Letters of Credit or Tranche B Letters of Credit, as applicable) would exceed the aggregate Revolving Commitments of such Class or (iii) except in the case of a disproportionate reduction of the Revolving A Commitments at any time that the aggregate Revolving B Commitments are $200,000,000 or less, each reduction of the Revolving Commitments under any Facility shall be accompanied by a pro rata reduction in the Revolving Commitments under the other Facility (based on the aggregate principal amount of Revolving Commitments under each Facility immediately prior to each such reduction).</w:t>
      </w:r>
    </w:p>
    <w:p>
      <w:pPr>
        <w:spacing w:after="0" w:line="78" w:lineRule="exact"/>
        <w:rPr>
          <w:rFonts w:ascii="Arial" w:cs="Arial" w:eastAsia="Arial" w:hAnsi="Arial"/>
          <w:sz w:val="17"/>
          <w:szCs w:val="17"/>
          <w:color w:val="auto"/>
        </w:rPr>
      </w:pPr>
    </w:p>
    <w:p>
      <w:pPr>
        <w:ind w:left="-80" w:right="100" w:firstLine="436"/>
        <w:spacing w:after="0" w:line="259" w:lineRule="auto"/>
        <w:tabs>
          <w:tab w:leader="none" w:pos="605"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Borrower shall notify the Administrative Agent of any election to terminate or reduce the Commitments under paragraph (b) of this Section at least three Business Days prior to the effective date of such termination or reduction, specifying such election and the effective date thereof. Promptly following receipt of any such notice, the Administrative Agent shall advise the Lenders of the contents thereof. Each notice delivered by the Borrower pursuant to this Section shall be irrevocable;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840"/>
          </w:cols>
          <w:pgMar w:left="520" w:top="274" w:right="539" w:bottom="1440" w:gutter="0" w:footer="0" w:header="0"/>
        </w:sectPr>
      </w:pPr>
    </w:p>
    <w:bookmarkStart w:id="66" w:name="page67"/>
    <w:bookmarkEnd w:id="66"/>
    <w:p>
      <w:pPr>
        <w:ind w:left="4" w:right="80"/>
        <w:spacing w:after="0" w:line="25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provided</w:t>
      </w:r>
      <w:r>
        <w:rPr>
          <w:rFonts w:ascii="Arial" w:cs="Arial" w:eastAsia="Arial" w:hAnsi="Arial"/>
          <w:sz w:val="18"/>
          <w:szCs w:val="18"/>
          <w:color w:val="auto"/>
        </w:rPr>
        <w:t xml:space="preserve"> that a notice of termination of the Commitments of any Class delivered by the Borrower may state that such notice is conditioned upon the effectiveness of other credit facilities or the receipt of proceeds from the issuance of other Indebtedness, in which case such notice may be revoked by the Borrower (by notice to the Administrative Agent on or prior to the specified effective date) if such condition is not satisfied. Any termination or reduction of the Commitments of any Class shall be permanent. Each reduction of the Commitments of any Class shall be made ratably among the Lenders in accordance with their respective Commitments of such Class.</w:t>
      </w:r>
    </w:p>
    <w:p>
      <w:pPr>
        <w:spacing w:after="0" w:line="8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SECTION 2.07 Repayment of Loans; Evidence of Debt.</w:t>
      </w:r>
    </w:p>
    <w:p>
      <w:pPr>
        <w:spacing w:after="0" w:line="117" w:lineRule="exact"/>
        <w:rPr>
          <w:sz w:val="20"/>
          <w:szCs w:val="20"/>
          <w:color w:val="auto"/>
        </w:rPr>
      </w:pPr>
    </w:p>
    <w:p>
      <w:pPr>
        <w:ind w:left="4" w:right="120" w:firstLine="436"/>
        <w:spacing w:after="0" w:line="308" w:lineRule="auto"/>
        <w:tabs>
          <w:tab w:leader="none" w:pos="689" w:val="left"/>
        </w:tabs>
        <w:numPr>
          <w:ilvl w:val="1"/>
          <w:numId w:val="54"/>
        </w:numPr>
        <w:rPr>
          <w:rFonts w:ascii="Arial" w:cs="Arial" w:eastAsia="Arial" w:hAnsi="Arial"/>
          <w:sz w:val="17"/>
          <w:szCs w:val="17"/>
          <w:color w:val="auto"/>
        </w:rPr>
      </w:pPr>
      <w:r>
        <w:rPr>
          <w:rFonts w:ascii="Arial" w:cs="Arial" w:eastAsia="Arial" w:hAnsi="Arial"/>
          <w:sz w:val="17"/>
          <w:szCs w:val="17"/>
          <w:color w:val="auto"/>
        </w:rPr>
        <w:t>The Borrower hereby unconditionally promises to pay to the Administrative Agent for the account of each Lender the then unpaid principal amount of each Revolving Loan of such Lender on the Maturity Date in the currency in which such Revolving Loan is denominated.</w:t>
      </w:r>
    </w:p>
    <w:p>
      <w:pPr>
        <w:spacing w:after="0" w:line="38" w:lineRule="exact"/>
        <w:rPr>
          <w:rFonts w:ascii="Arial" w:cs="Arial" w:eastAsia="Arial" w:hAnsi="Arial"/>
          <w:sz w:val="17"/>
          <w:szCs w:val="17"/>
          <w:color w:val="auto"/>
        </w:rPr>
      </w:pPr>
    </w:p>
    <w:p>
      <w:pPr>
        <w:ind w:left="4" w:right="20" w:firstLine="436"/>
        <w:spacing w:after="0" w:line="263" w:lineRule="auto"/>
        <w:tabs>
          <w:tab w:leader="none" w:pos="699" w:val="left"/>
        </w:tabs>
        <w:numPr>
          <w:ilvl w:val="1"/>
          <w:numId w:val="54"/>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75" w:lineRule="exact"/>
        <w:rPr>
          <w:rFonts w:ascii="Arial" w:cs="Arial" w:eastAsia="Arial" w:hAnsi="Arial"/>
          <w:sz w:val="18"/>
          <w:szCs w:val="18"/>
          <w:color w:val="auto"/>
        </w:rPr>
      </w:pPr>
    </w:p>
    <w:p>
      <w:pPr>
        <w:ind w:left="684" w:hanging="244"/>
        <w:spacing w:after="0"/>
        <w:tabs>
          <w:tab w:leader="none" w:pos="684" w:val="left"/>
        </w:tabs>
        <w:numPr>
          <w:ilvl w:val="1"/>
          <w:numId w:val="54"/>
        </w:numPr>
        <w:rPr>
          <w:rFonts w:ascii="Arial" w:cs="Arial" w:eastAsia="Arial" w:hAnsi="Arial"/>
          <w:sz w:val="16"/>
          <w:szCs w:val="16"/>
          <w:color w:val="auto"/>
        </w:rPr>
      </w:pPr>
      <w:r>
        <w:rPr>
          <w:rFonts w:ascii="Arial" w:cs="Arial" w:eastAsia="Arial" w:hAnsi="Arial"/>
          <w:sz w:val="16"/>
          <w:szCs w:val="16"/>
          <w:color w:val="auto"/>
        </w:rPr>
        <w:t>The Administrative Agent, acting for this purpose as a non-fiduciary agent of the Borrower, shall maintain accounts in which it shall record</w:t>
      </w:r>
    </w:p>
    <w:p>
      <w:pPr>
        <w:spacing w:after="0" w:line="46" w:lineRule="exact"/>
        <w:rPr>
          <w:rFonts w:ascii="Arial" w:cs="Arial" w:eastAsia="Arial" w:hAnsi="Arial"/>
          <w:sz w:val="16"/>
          <w:szCs w:val="16"/>
          <w:color w:val="auto"/>
        </w:rPr>
      </w:pPr>
    </w:p>
    <w:p>
      <w:pPr>
        <w:ind w:left="4" w:right="60" w:hanging="4"/>
        <w:spacing w:after="0" w:line="277" w:lineRule="auto"/>
        <w:tabs>
          <w:tab w:leader="none" w:pos="219"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amount of each Loan made hereunder, the currency, Class and Type thereof and the Interest Period, if any,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w:t>
      </w:r>
    </w:p>
    <w:p>
      <w:pPr>
        <w:spacing w:after="0" w:line="64" w:lineRule="exact"/>
        <w:rPr>
          <w:rFonts w:ascii="Arial" w:cs="Arial" w:eastAsia="Arial" w:hAnsi="Arial"/>
          <w:sz w:val="17"/>
          <w:szCs w:val="17"/>
          <w:color w:val="auto"/>
        </w:rPr>
      </w:pPr>
    </w:p>
    <w:p>
      <w:pPr>
        <w:ind w:left="4" w:firstLine="436"/>
        <w:spacing w:after="0" w:line="259" w:lineRule="auto"/>
        <w:tabs>
          <w:tab w:leader="none" w:pos="699" w:val="left"/>
        </w:tabs>
        <w:numPr>
          <w:ilvl w:val="1"/>
          <w:numId w:val="55"/>
        </w:numPr>
        <w:rPr>
          <w:rFonts w:ascii="Arial" w:cs="Arial" w:eastAsia="Arial" w:hAnsi="Arial"/>
          <w:sz w:val="18"/>
          <w:szCs w:val="18"/>
          <w:color w:val="auto"/>
        </w:rPr>
      </w:pPr>
      <w:r>
        <w:rPr>
          <w:rFonts w:ascii="Arial" w:cs="Arial" w:eastAsia="Arial" w:hAnsi="Arial"/>
          <w:sz w:val="18"/>
          <w:szCs w:val="18"/>
          <w:color w:val="auto"/>
        </w:rPr>
        <w:t xml:space="preserve">Absent manifest error, the entries made in the accounts maintained pursuant to paragraph (b) or (c) of this Section shall be </w:t>
      </w:r>
      <w:r>
        <w:rPr>
          <w:rFonts w:ascii="Arial" w:cs="Arial" w:eastAsia="Arial" w:hAnsi="Arial"/>
          <w:sz w:val="18"/>
          <w:szCs w:val="18"/>
          <w:u w:val="single" w:color="auto"/>
          <w:color w:val="auto"/>
        </w:rPr>
        <w:t>prima facie</w:t>
      </w:r>
      <w:r>
        <w:rPr>
          <w:rFonts w:ascii="Arial" w:cs="Arial" w:eastAsia="Arial" w:hAnsi="Arial"/>
          <w:sz w:val="18"/>
          <w:szCs w:val="18"/>
          <w:color w:val="auto"/>
        </w:rPr>
        <w:t xml:space="preserve"> evidence of the existence and amounts of the obligations recorded therein;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any Lender or the Administrative Agent to maintain such accounts or any error therein shall not in any manner affect the obligation of the Borrower to repay the Loans and pay interest thereon in accordance with the terms of this Agreement.</w:t>
      </w:r>
    </w:p>
    <w:p>
      <w:pPr>
        <w:spacing w:after="0" w:line="78" w:lineRule="exact"/>
        <w:rPr>
          <w:rFonts w:ascii="Arial" w:cs="Arial" w:eastAsia="Arial" w:hAnsi="Arial"/>
          <w:sz w:val="18"/>
          <w:szCs w:val="18"/>
          <w:color w:val="auto"/>
        </w:rPr>
      </w:pPr>
    </w:p>
    <w:p>
      <w:pPr>
        <w:ind w:left="4" w:right="120" w:firstLine="436"/>
        <w:spacing w:after="0" w:line="301" w:lineRule="auto"/>
        <w:tabs>
          <w:tab w:leader="none" w:pos="689" w:val="left"/>
        </w:tabs>
        <w:numPr>
          <w:ilvl w:val="1"/>
          <w:numId w:val="55"/>
        </w:numPr>
        <w:rPr>
          <w:rFonts w:ascii="Arial" w:cs="Arial" w:eastAsia="Arial" w:hAnsi="Arial"/>
          <w:sz w:val="16"/>
          <w:szCs w:val="16"/>
          <w:color w:val="auto"/>
        </w:rPr>
      </w:pPr>
      <w:r>
        <w:rPr>
          <w:rFonts w:ascii="Arial" w:cs="Arial" w:eastAsia="Arial" w:hAnsi="Arial"/>
          <w:sz w:val="16"/>
          <w:szCs w:val="16"/>
          <w:color w:val="auto"/>
        </w:rPr>
        <w:t>Any Lender may request that Loans of any Class made by it be evidenced by a promissory note. In such event, the Borrower shall prepare, execute and deliver to such Lender a promissory note payable to such Lender and its registered assigns and in a form approved by the Administrative Agent. Thereafter, the Loans evidenced by such promissory note and interest thereon shall at all times (including after assignment pursuant to Section 9.04) be represented by one or more promissory notes in such form payable to such payee and its registered assigns.</w:t>
      </w:r>
    </w:p>
    <w:p>
      <w:pPr>
        <w:spacing w:after="0" w:line="15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SECTION 2.08 [Reserved].</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SECTION 2.09 Prepayment of Loans.</w:t>
      </w:r>
    </w:p>
    <w:p>
      <w:pPr>
        <w:spacing w:after="0" w:line="117" w:lineRule="exact"/>
        <w:rPr>
          <w:sz w:val="20"/>
          <w:szCs w:val="20"/>
          <w:color w:val="auto"/>
        </w:rPr>
      </w:pPr>
    </w:p>
    <w:p>
      <w:pPr>
        <w:ind w:left="4" w:right="100" w:firstLine="436"/>
        <w:spacing w:after="0" w:line="277" w:lineRule="auto"/>
        <w:tabs>
          <w:tab w:leader="none" w:pos="689"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Borrower shall have the right at any time and from time to time to prepay any Borrowing under either Revolving Facility in whole or in part, subject to the requirements of this Section.</w:t>
      </w:r>
    </w:p>
    <w:p>
      <w:pPr>
        <w:spacing w:after="0" w:line="103" w:lineRule="exact"/>
        <w:rPr>
          <w:sz w:val="20"/>
          <w:szCs w:val="20"/>
          <w:color w:val="auto"/>
        </w:rPr>
      </w:pPr>
    </w:p>
    <w:p>
      <w:pPr>
        <w:jc w:val="center"/>
        <w:ind w:right="-143"/>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864"/>
          </w:cols>
          <w:pgMar w:left="436" w:top="274" w:right="599" w:bottom="1440" w:gutter="0" w:footer="0" w:header="0"/>
        </w:sectPr>
      </w:pPr>
    </w:p>
    <w:bookmarkStart w:id="67" w:name="page68"/>
    <w:bookmarkEnd w:id="67"/>
    <w:p>
      <w:pPr>
        <w:ind w:left="704" w:hanging="264"/>
        <w:spacing w:after="0"/>
        <w:tabs>
          <w:tab w:leader="none" w:pos="704" w:val="left"/>
        </w:tabs>
        <w:numPr>
          <w:ilvl w:val="1"/>
          <w:numId w:val="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the event and on such occasion that:</w:t>
      </w:r>
    </w:p>
    <w:p>
      <w:pPr>
        <w:spacing w:after="0" w:line="117" w:lineRule="exact"/>
        <w:rPr>
          <w:rFonts w:ascii="Arial" w:cs="Arial" w:eastAsia="Arial" w:hAnsi="Arial"/>
          <w:sz w:val="18"/>
          <w:szCs w:val="18"/>
          <w:color w:val="auto"/>
        </w:rPr>
      </w:pPr>
    </w:p>
    <w:p>
      <w:pPr>
        <w:ind w:left="444" w:right="240" w:firstLine="419"/>
        <w:spacing w:after="0" w:line="279" w:lineRule="auto"/>
        <w:tabs>
          <w:tab w:leader="none" w:pos="1082" w:val="left"/>
        </w:tabs>
        <w:numPr>
          <w:ilvl w:val="2"/>
          <w:numId w:val="57"/>
        </w:numPr>
        <w:rPr>
          <w:rFonts w:ascii="Arial" w:cs="Arial" w:eastAsia="Arial" w:hAnsi="Arial"/>
          <w:sz w:val="17"/>
          <w:szCs w:val="17"/>
          <w:color w:val="auto"/>
        </w:rPr>
      </w:pPr>
      <w:r>
        <w:rPr>
          <w:rFonts w:ascii="Arial" w:cs="Arial" w:eastAsia="Arial" w:hAnsi="Arial"/>
          <w:sz w:val="17"/>
          <w:szCs w:val="17"/>
          <w:color w:val="auto"/>
        </w:rPr>
        <w:t>the aggregate Revolving A Exposures or aggregate Revolving B Exposures exceed 100% of the aggregate Revolving Commitments of the applicable Class, the Borrower shall immediately prepay Revolving Loans of such Class (or, if no such Borrowings are outstanding, Cash Collateralize Letters of Credit of such Class pursuant to Section 2.05(e)) in an aggregate amount equal to the amount by which such Revolving Exposures exceed the aggregate Revolving Commitments of such Class; and</w:t>
      </w:r>
    </w:p>
    <w:p>
      <w:pPr>
        <w:spacing w:after="0" w:line="63" w:lineRule="exact"/>
        <w:rPr>
          <w:rFonts w:ascii="Arial" w:cs="Arial" w:eastAsia="Arial" w:hAnsi="Arial"/>
          <w:sz w:val="17"/>
          <w:szCs w:val="17"/>
          <w:color w:val="auto"/>
        </w:rPr>
      </w:pPr>
    </w:p>
    <w:p>
      <w:pPr>
        <w:ind w:left="444" w:right="60" w:firstLine="419"/>
        <w:spacing w:after="0" w:line="257" w:lineRule="auto"/>
        <w:tabs>
          <w:tab w:leader="none" w:pos="1132" w:val="left"/>
        </w:tabs>
        <w:numPr>
          <w:ilvl w:val="2"/>
          <w:numId w:val="57"/>
        </w:numPr>
        <w:rPr>
          <w:rFonts w:ascii="Arial" w:cs="Arial" w:eastAsia="Arial" w:hAnsi="Arial"/>
          <w:sz w:val="18"/>
          <w:szCs w:val="18"/>
          <w:color w:val="auto"/>
        </w:rPr>
      </w:pPr>
      <w:r>
        <w:rPr>
          <w:rFonts w:ascii="Arial" w:cs="Arial" w:eastAsia="Arial" w:hAnsi="Arial"/>
          <w:sz w:val="18"/>
          <w:szCs w:val="18"/>
          <w:color w:val="auto"/>
        </w:rPr>
        <w:t>the aggregate amount of Revolving Loans and Letters of Credit denominated in an Alternative Currency exceeds 105% of the Alternative Currency Sublimit, the Borrower shall prepay, within three Business Days of such occurrence, such Revolving Loans (or, if no such Borrowings are outstanding, Cash Collateralize such Letters of Credit pursuant to Section 2.05(e)) in an aggregate amount equal to the amount by which the aggregate amount of Revolving Loans and Letters of Credit denominated in an Alternative Currency exceeds the Alternative Currency Sublimit.</w:t>
      </w:r>
    </w:p>
    <w:p>
      <w:pPr>
        <w:spacing w:after="0" w:line="79" w:lineRule="exact"/>
        <w:rPr>
          <w:rFonts w:ascii="Arial" w:cs="Arial" w:eastAsia="Arial" w:hAnsi="Arial"/>
          <w:sz w:val="18"/>
          <w:szCs w:val="18"/>
          <w:color w:val="auto"/>
        </w:rPr>
      </w:pPr>
    </w:p>
    <w:p>
      <w:pPr>
        <w:ind w:left="4" w:right="120" w:firstLine="436"/>
        <w:spacing w:after="0" w:line="287" w:lineRule="auto"/>
        <w:tabs>
          <w:tab w:leader="none" w:pos="689" w:val="left"/>
        </w:tabs>
        <w:numPr>
          <w:ilvl w:val="1"/>
          <w:numId w:val="57"/>
        </w:numPr>
        <w:rPr>
          <w:rFonts w:ascii="Arial" w:cs="Arial" w:eastAsia="Arial" w:hAnsi="Arial"/>
          <w:sz w:val="16"/>
          <w:szCs w:val="16"/>
          <w:color w:val="auto"/>
        </w:rPr>
      </w:pPr>
      <w:r>
        <w:rPr>
          <w:rFonts w:ascii="Arial" w:cs="Arial" w:eastAsia="Arial" w:hAnsi="Arial"/>
          <w:sz w:val="16"/>
          <w:szCs w:val="16"/>
          <w:color w:val="auto"/>
        </w:rPr>
        <w:t>In connection with any optional prepayment pursuant to Section 2.09(a), the Borrower shall notify the Administrative Agent by telephone (confirmed by any approved form of electronic communication or otherwise in writing) of any prepayment hereunder (i) in the case of prepayment of a Eurocurrency Borrowing denominated in Dollars, not later than 12:00 p.m., New York City time, three Business Days before the date of prepayment,</w:t>
      </w:r>
    </w:p>
    <w:p>
      <w:pPr>
        <w:spacing w:after="0" w:line="2" w:lineRule="exact"/>
        <w:rPr>
          <w:rFonts w:ascii="Arial" w:cs="Arial" w:eastAsia="Arial" w:hAnsi="Arial"/>
          <w:sz w:val="16"/>
          <w:szCs w:val="16"/>
          <w:color w:val="auto"/>
        </w:rPr>
      </w:pPr>
    </w:p>
    <w:p>
      <w:pPr>
        <w:ind w:left="4" w:hanging="4"/>
        <w:spacing w:after="0" w:line="284" w:lineRule="auto"/>
        <w:tabs>
          <w:tab w:leader="none" w:pos="269"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in the case of prepayment of a Eurocurrency Borrowing denominated in an Alternative Currency, not later than 12:00 p.m., New York City time, four Business Days before the date of prepayment, (iii) in the case of prepayment of an ABR Borrowing of a Revolving A Loan, not later than 12:00 p.m., New York City time, one Business Day before the date of prepayment or (iv) in the case of prepayment of an ABR Borrowing of a Revolving B Loan, not later than 1:00 p.m., New York City time, on the date of prepayment. Each such notice shall be irrevocable and shall specify the prepayment date, Class of Loans to be prepaid and the principal amount of each Borrowing or Borrowings or portion thereof to be prepaid;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notice of optional prepayment may state that such notice is conditional upon the occurrence of an event specified therein, in which case such notice of prepayment may be revoked by the Borrower (by notice to the Administrative Agent on or prior to 12:00 noon New York City time, on the specified date) if such condition is not satisfied;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each such notice must be in a form reasonably acceptable to the Administrative Agent. Promptly following receipt of any such notice, the Administrative Agent shall advise the Lenders of the contents thereof. Each partial prepayment of any Borrowing shall be in an amount that would be permitted in the case of an advance of a Borrowing of the same Type as provided in Section 2.03(a), except as necessary to apply fully the required amount of a mandatory prepayment. Each prepayment of a Borrowing shall be applied ratably to the Loans included in the prepaid Borrowing; provided that during the continuance of an Event of Default, each prepayment shall be applied pro rata among each Class of Loans. Prepayments shall be accompanied by accrued interest to the extent required by Section 2.11, except in the case of partial prepayment of ABR Loans, which interest shall be payable on the next scheduled interest payment date.</w:t>
      </w:r>
    </w:p>
    <w:p>
      <w:pPr>
        <w:spacing w:after="0" w:line="17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SECTION 2.10 Fees.</w:t>
      </w:r>
    </w:p>
    <w:p>
      <w:pPr>
        <w:spacing w:after="0" w:line="117" w:lineRule="exact"/>
        <w:rPr>
          <w:sz w:val="20"/>
          <w:szCs w:val="20"/>
          <w:color w:val="auto"/>
        </w:rPr>
      </w:pPr>
    </w:p>
    <w:p>
      <w:pPr>
        <w:ind w:left="4" w:right="40" w:firstLine="436"/>
        <w:spacing w:after="0" w:line="255" w:lineRule="auto"/>
        <w:tabs>
          <w:tab w:leader="none" w:pos="689"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The Borrower agrees to pay to the Administrative Agent for the account of each Revolving Lender a facility fee in Dollars, which shall accrue at the Applicable Rate on the actual daily amount of the Revolving Commitment of such Lender during the period from and including the Closing Date to but excluding the date on which the Revolving Commitments terminate (and following the termination of the Revolving Commitments, such fee shall be payable on the Revolving Exposure of each Revolving Lender until such Revolving Exposure is reduced to zero);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fee shall accrue on the Revolving Commitment of any Defaulting Lender during any period that it is a Defaulting Lender. Accrued facility fees shall be payable in arrears on the third Business Day following the last day</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4"/>
          </w:cols>
          <w:pgMar w:left="436" w:top="274" w:right="459" w:bottom="1440" w:gutter="0" w:footer="0" w:header="0"/>
        </w:sectPr>
      </w:pPr>
    </w:p>
    <w:bookmarkStart w:id="68" w:name="page69"/>
    <w:bookmarkEnd w:id="68"/>
    <w:p>
      <w:pPr>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of March, June, September and December of each year (accruing through the last day of each month) and on the date on which the Revolving Commitments terminate, commencing on the first such date to occur after the Closing Date. All facility fees shall be computed on the basis of a year of 360 days and shall be payable for the actual number of days elapsed (including the first day but excluding the last day).</w:t>
      </w:r>
    </w:p>
    <w:p>
      <w:pPr>
        <w:spacing w:after="0" w:line="57" w:lineRule="exact"/>
        <w:rPr>
          <w:sz w:val="20"/>
          <w:szCs w:val="20"/>
          <w:color w:val="auto"/>
        </w:rPr>
      </w:pPr>
    </w:p>
    <w:p>
      <w:pPr>
        <w:ind w:firstLine="436"/>
        <w:spacing w:after="0" w:line="267" w:lineRule="auto"/>
        <w:tabs>
          <w:tab w:leader="none" w:pos="695" w:val="left"/>
        </w:tabs>
        <w:numPr>
          <w:ilvl w:val="0"/>
          <w:numId w:val="60"/>
        </w:numPr>
        <w:rPr>
          <w:rFonts w:ascii="Arial" w:cs="Arial" w:eastAsia="Arial" w:hAnsi="Arial"/>
          <w:sz w:val="17"/>
          <w:szCs w:val="17"/>
          <w:color w:val="auto"/>
        </w:rPr>
      </w:pPr>
      <w:r>
        <w:rPr>
          <w:rFonts w:ascii="Arial" w:cs="Arial" w:eastAsia="Arial" w:hAnsi="Arial"/>
          <w:sz w:val="17"/>
          <w:szCs w:val="17"/>
          <w:color w:val="auto"/>
        </w:rPr>
        <w:t xml:space="preserve">The Borrower agrees to pay (i) to the Administrative Agent for the account of each Revolving Lender a participation fee in Dollars with respect to its participations in Letters of Credit, which shall accrue at the same Applicable Rate used to determine the interest rate applicable to Eurocurrency Revolving Loans on the actual daily Outstanding Amount of such Lender’s LC Exposure (excluding any portion thereof attributable to unreimbursed LC Disbursements or LC Borrowings) during the period from and including the Closing Date to but excluding the later of the date on which such Lender’s Revolving Commitment terminates and the date on which such Lender ceases to have any LC Exposure;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fee shall accrue on the LC Exposure of a Defaulting Lender during any period that it is a Defaulting Lender, and (ii) to each applicable Issuing Bank a fronting fee in Dollars, which shall accrue at the rate per annum specified in the Fee Letter (or such other rate agreed to from time to time between the Borrower and such Issuing Bank) on the actual daily amount of the LC Exposure (excluding any portion thereof attributable to unreimbursed LC Disbursements or LC Borrowings) under any Letter of Credit issued by such Issuing Bank during the period from and including the Closing Date to but excluding the later of the date of termination of the Revolving Commitments and the date on which there ceases to be any LC Exposure under any Letter of Credit issued by such Issuing Bank, as well as each Issuing Bank’s standard fees with respect to the issuance, amendment, renewal or extension of any Letter of Credit or processing of drawings thereunder. Participation fees and fronting fees accrued pursuant to this Section 2.10(b) through and including the last day of March, June, September and December of each year shall be payable on the third Business Day following such last day, commencing on the first such date to occur after the Closing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such fees shall be payable on the date on which the Revolving Commitments terminate and any such fees accruing after the date on which the Revolving Commitments terminate shall be payable on demand. Any other fees payable to any Issuing Bank pursuant to this paragraph shall be payable within 10 Business Days after demand. All participation fees and fronting fees shall be computed on the basis of a year of 360 days and shall be payable for the actual number of days elapsed (including the first day but excluding the last day).</w:t>
      </w:r>
    </w:p>
    <w:p>
      <w:pPr>
        <w:spacing w:after="0" w:line="81" w:lineRule="exact"/>
        <w:rPr>
          <w:rFonts w:ascii="Arial" w:cs="Arial" w:eastAsia="Arial" w:hAnsi="Arial"/>
          <w:sz w:val="17"/>
          <w:szCs w:val="17"/>
          <w:color w:val="auto"/>
        </w:rPr>
      </w:pPr>
    </w:p>
    <w:p>
      <w:pPr>
        <w:ind w:right="80" w:firstLine="436"/>
        <w:spacing w:after="0" w:line="311" w:lineRule="auto"/>
        <w:tabs>
          <w:tab w:leader="none" w:pos="685"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Borrower agrees to pay on the Closing Date to each Lender party to this Agreement on the Closing Date, as fee compensation for the making of such Lender’s Revolving Commitment, an upfront fee (the “</w:t>
      </w:r>
      <w:r>
        <w:rPr>
          <w:rFonts w:ascii="Arial" w:cs="Arial" w:eastAsia="Arial" w:hAnsi="Arial"/>
          <w:sz w:val="16"/>
          <w:szCs w:val="16"/>
          <w:u w:val="single" w:color="auto"/>
          <w:color w:val="auto"/>
        </w:rPr>
        <w:t>Closing Fee</w:t>
      </w:r>
      <w:r>
        <w:rPr>
          <w:rFonts w:ascii="Arial" w:cs="Arial" w:eastAsia="Arial" w:hAnsi="Arial"/>
          <w:sz w:val="16"/>
          <w:szCs w:val="16"/>
          <w:color w:val="auto"/>
        </w:rPr>
        <w:t>”) in amounts referred to in the Fee Letter on the Closing Date. Such Closing Fee will be in all respects fully earned, due and payable on the Closing Date and non-refundable and non-creditable thereafter.</w:t>
      </w:r>
    </w:p>
    <w:p>
      <w:pPr>
        <w:spacing w:after="0" w:line="40" w:lineRule="exact"/>
        <w:rPr>
          <w:rFonts w:ascii="Arial" w:cs="Arial" w:eastAsia="Arial" w:hAnsi="Arial"/>
          <w:sz w:val="16"/>
          <w:szCs w:val="16"/>
          <w:color w:val="auto"/>
        </w:rPr>
      </w:pPr>
    </w:p>
    <w:p>
      <w:pPr>
        <w:ind w:right="200" w:firstLine="436"/>
        <w:spacing w:after="0" w:line="277" w:lineRule="auto"/>
        <w:tabs>
          <w:tab w:leader="none" w:pos="695"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Borrower agrees to pay to the Administrative Agent, for its own account, fees payable in the amounts and at the times separately agreed upon between the Borrower and the Administrative Agent.</w:t>
      </w:r>
    </w:p>
    <w:p>
      <w:pPr>
        <w:spacing w:after="0" w:line="62" w:lineRule="exact"/>
        <w:rPr>
          <w:rFonts w:ascii="Arial" w:cs="Arial" w:eastAsia="Arial" w:hAnsi="Arial"/>
          <w:sz w:val="18"/>
          <w:szCs w:val="18"/>
          <w:color w:val="auto"/>
        </w:rPr>
      </w:pPr>
    </w:p>
    <w:p>
      <w:pPr>
        <w:ind w:right="80" w:firstLine="436"/>
        <w:spacing w:after="0" w:line="259" w:lineRule="auto"/>
        <w:tabs>
          <w:tab w:leader="none" w:pos="685"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 fees payable hereunder shall be paid on the dates due, in immediately available funds in the currency specified herein (or, if no currency is specified, in Dollars), to the Administrative Agent (or to the applicable Issuing Bank, in the case of fees payable to it) for distribution, in the case of commitment fees and participation fees, to the Lenders entitled thereto. Fees paid shall not be refundable under any circumstances, absent manifest error.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4" w:right="459" w:bottom="1440" w:gutter="0" w:footer="0" w:header="0"/>
        </w:sectPr>
      </w:pPr>
    </w:p>
    <w:bookmarkStart w:id="69" w:name="page70"/>
    <w:bookmarkEnd w:id="6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2.11 Interest.</w:t>
      </w:r>
    </w:p>
    <w:p>
      <w:pPr>
        <w:spacing w:after="0" w:line="117" w:lineRule="exact"/>
        <w:rPr>
          <w:sz w:val="20"/>
          <w:szCs w:val="20"/>
          <w:color w:val="auto"/>
        </w:rPr>
      </w:pPr>
    </w:p>
    <w:p>
      <w:pPr>
        <w:ind w:right="40" w:firstLine="436"/>
        <w:spacing w:after="0" w:line="259" w:lineRule="auto"/>
        <w:tabs>
          <w:tab w:leader="none" w:pos="68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Loans comprising each ABR Borrowing shall bear interest at the Base Rate plus the Applicable Rate. In addition, if at any time any Loans are maintained as ABR Loans, the Borrower agrees that within 10 Business Days after receiving any request from any Non-ABR Lender (but not more frequently than quarterly for any Lender), the Borrower will pay such Non-ABR Lender the ABR Gross-Up Amount with respect to the ABR Loans of such Non-ABR Lender.</w:t>
      </w:r>
    </w:p>
    <w:p>
      <w:pPr>
        <w:spacing w:after="0" w:line="78" w:lineRule="exact"/>
        <w:rPr>
          <w:rFonts w:ascii="Arial" w:cs="Arial" w:eastAsia="Arial" w:hAnsi="Arial"/>
          <w:sz w:val="18"/>
          <w:szCs w:val="18"/>
          <w:color w:val="auto"/>
        </w:rPr>
      </w:pPr>
    </w:p>
    <w:p>
      <w:pPr>
        <w:ind w:right="20" w:firstLine="436"/>
        <w:spacing w:after="0" w:line="277" w:lineRule="auto"/>
        <w:tabs>
          <w:tab w:leader="none" w:pos="695"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Loans comprising each Eurocurrency Borrowing shall bear interest at the applicable Eurocurrency Rate for the Interest Period in effect for such Borrowing plus the Applicable Rate.</w:t>
      </w:r>
    </w:p>
    <w:p>
      <w:pPr>
        <w:spacing w:after="0" w:line="62" w:lineRule="exact"/>
        <w:rPr>
          <w:rFonts w:ascii="Arial" w:cs="Arial" w:eastAsia="Arial" w:hAnsi="Arial"/>
          <w:sz w:val="18"/>
          <w:szCs w:val="18"/>
          <w:color w:val="auto"/>
        </w:rPr>
      </w:pPr>
    </w:p>
    <w:p>
      <w:pPr>
        <w:ind w:right="100" w:firstLine="436"/>
        <w:spacing w:after="0" w:line="290" w:lineRule="auto"/>
        <w:tabs>
          <w:tab w:leader="none" w:pos="685"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Notwithstanding the foregoing, (i) if any amount (other than principal of any Loan) payable by the Borrower hereunder (including any LC Disbursement or LC Borrowing) is not paid when due, whether at stated maturity, upon acceleration or otherwise, such amount shall bear interest, after as well as before judgment, at a rate per annum equal to 2.00%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rate applicable to ABR Revolving Loans as provided in paragraph (a) of this Section, (ii) if any principal of any Loan payable by the Borrower hereunder is not paid when due, whether at stated maturity, upon acceleration or otherwise, such overdue amount shall bear interest, after as well as before judgment, at a rate per annum equal to 2.00% plus the rate otherwise applicable to such Loan as provided in the preceding paragraphs of this Section, and (iii) upon the request of the Required Lenders, while any Event of Default exists, the Borrower shall pay interest on the principal amount of all outstanding Obligations hereunder at a rate per annum equal to 2.00% plus the rate otherwise applicable to such Loan as provided in the preceding paragraphs of this Section.</w:t>
      </w:r>
    </w:p>
    <w:p>
      <w:pPr>
        <w:spacing w:after="0" w:line="57" w:lineRule="exact"/>
        <w:rPr>
          <w:rFonts w:ascii="Arial" w:cs="Arial" w:eastAsia="Arial" w:hAnsi="Arial"/>
          <w:sz w:val="16"/>
          <w:szCs w:val="16"/>
          <w:color w:val="auto"/>
        </w:rPr>
      </w:pPr>
    </w:p>
    <w:p>
      <w:pPr>
        <w:ind w:right="60" w:firstLine="436"/>
        <w:spacing w:after="0" w:line="255" w:lineRule="auto"/>
        <w:tabs>
          <w:tab w:leader="none" w:pos="695"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Accrued interest on each Loan shall be payable in arrears on each Interest Payment Date for such Loan and upon termination of the Revolving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interest accrued pursuant to paragraph (c) of this Section shall be payable on demand, (ii) in the event of any repayment or prepayment of any Loan (other than a prepayment of an ABR Revolving Loan prior to the end of the Revolving Availability Period), accrued interest on the principal amount repaid or prepaid shall be payable on the date of such repayment or prepayment and (iii) in the event of any conversion of any Eurocurrency Loan prior to the end of the current Interest Period therefor, accrued interest on such Loan shall be payable on the effective date of such conversion.</w:t>
      </w:r>
    </w:p>
    <w:p>
      <w:pPr>
        <w:spacing w:after="0" w:line="84" w:lineRule="exact"/>
        <w:rPr>
          <w:rFonts w:ascii="Arial" w:cs="Arial" w:eastAsia="Arial" w:hAnsi="Arial"/>
          <w:sz w:val="18"/>
          <w:szCs w:val="18"/>
          <w:color w:val="auto"/>
        </w:rPr>
      </w:pPr>
    </w:p>
    <w:p>
      <w:pPr>
        <w:ind w:firstLine="436"/>
        <w:spacing w:after="0" w:line="271" w:lineRule="auto"/>
        <w:tabs>
          <w:tab w:leader="none" w:pos="685" w:val="left"/>
        </w:tabs>
        <w:numPr>
          <w:ilvl w:val="0"/>
          <w:numId w:val="61"/>
        </w:numPr>
        <w:rPr>
          <w:rFonts w:ascii="Arial" w:cs="Arial" w:eastAsia="Arial" w:hAnsi="Arial"/>
          <w:sz w:val="17"/>
          <w:szCs w:val="17"/>
          <w:color w:val="auto"/>
        </w:rPr>
      </w:pPr>
      <w:r>
        <w:rPr>
          <w:rFonts w:ascii="Arial" w:cs="Arial" w:eastAsia="Arial" w:hAnsi="Arial"/>
          <w:sz w:val="17"/>
          <w:szCs w:val="17"/>
          <w:color w:val="auto"/>
        </w:rPr>
        <w:t xml:space="preserve">All computations of interest for ABR Loans shall be made on the basis of a year of 365 or 366 days, as the case may be, and actual days elapsed (including ABR Loans determined by reference to the Eurocurrency Rate). All other computations of fees and interest shall be made on the basis of a 360-day year and actual days elapsed (which results in more fees or interest, as applicable, being paid than if computed on the basis of a 365-day year), or, in the case of interest in respect of Revolving Loans denominated in Alternative Currencies as to which market practice differs from the foregoing, in accordance with such market practice. Interest shall accrue on each Loan for the day on which the Loan is made, and shall not accrue on a Loan, or any portion thereof, for the day on which the Loan or such portion is paid;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Loan that is repaid on the same day on which it is made shall, bear interest for one day. Each determination by the Administrative Agent of an interest rate or fee hereunder shall be conclusive and binding for all purposes, absent manifest error.</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2.12 Alternate Rate of Interest.</w:t>
      </w:r>
    </w:p>
    <w:p>
      <w:pPr>
        <w:spacing w:after="0" w:line="117" w:lineRule="exact"/>
        <w:rPr>
          <w:sz w:val="20"/>
          <w:szCs w:val="20"/>
          <w:color w:val="auto"/>
        </w:rPr>
      </w:pPr>
    </w:p>
    <w:p>
      <w:pPr>
        <w:ind w:left="680" w:hanging="244"/>
        <w:spacing w:after="0"/>
        <w:tabs>
          <w:tab w:leader="none" w:pos="6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prior to the commencement of any Interest Period for a Eurocurrency Borrowing:</w:t>
      </w:r>
    </w:p>
    <w:p>
      <w:pPr>
        <w:spacing w:after="0" w:line="117" w:lineRule="exact"/>
        <w:rPr>
          <w:rFonts w:ascii="Arial" w:cs="Arial" w:eastAsia="Arial" w:hAnsi="Arial"/>
          <w:sz w:val="18"/>
          <w:szCs w:val="18"/>
          <w:color w:val="auto"/>
        </w:rPr>
      </w:pPr>
    </w:p>
    <w:p>
      <w:pPr>
        <w:ind w:left="440" w:right="20" w:firstLine="419"/>
        <w:spacing w:after="0" w:line="277" w:lineRule="auto"/>
        <w:tabs>
          <w:tab w:leader="none" w:pos="1078"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Administrative Agent determines (which determination shall be conclusive absent manifest error) that adequate and reasonable means do not exist for ascertaining the Eurocurrency Rate for any currency for such Interest Period;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0"/>
          </w:cols>
          <w:pgMar w:left="440" w:top="274" w:right="459" w:bottom="1440" w:gutter="0" w:footer="0" w:header="0"/>
        </w:sectPr>
      </w:pPr>
    </w:p>
    <w:bookmarkStart w:id="70" w:name="page71"/>
    <w:bookmarkEnd w:id="70"/>
    <w:p>
      <w:pPr>
        <w:ind w:left="440" w:right="200" w:firstLine="419"/>
        <w:spacing w:after="0" w:line="263" w:lineRule="auto"/>
        <w:tabs>
          <w:tab w:leader="none" w:pos="1128" w:val="left"/>
        </w:tabs>
        <w:numPr>
          <w:ilvl w:val="0"/>
          <w:numId w:val="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Administrative Agent is advised by the Required Lenders that the Eurocurrency Rate for any currency for such Interest Period will not adequately and fairly reflect the cost to such Lenders of making or maintaining their Loans included in such Borrowing for such Interest Period;</w:t>
      </w:r>
    </w:p>
    <w:p>
      <w:pPr>
        <w:spacing w:after="0" w:line="18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then the Administrative Agent shall give notice thereof to the Borrower and the Lenders by telephone or any approved form of electronic communication as promptly as practicable thereafter and, until the Administrative Agent notifies the Borrower and the Lenders that the circumstances giving rise to such notice no longer exist, (1) any request pursuant to Section 2.03(a) that requests the conversion of any Borrowing to, or continuation of any Borrowing as, a Eurocurrency Borrowing in the affected currency shall be ineffective and (2) if any Borrowing Request requests a Eurocurrency Borrowing, the interest rate applicable to such Borrowing shall be (I) for a Borrowing of ABR Loans in the amount specified therein, in the case of Loans denominated in Dollars, or (II) for a Borrowing of a Loan bearing interest at the Cost of Funds Rate plus the Applicable Rate with respect to Eurocurrency Rate Loans, in the case of any other Loan.</w:t>
      </w:r>
    </w:p>
    <w:p>
      <w:pPr>
        <w:spacing w:after="0" w:line="87" w:lineRule="exact"/>
        <w:rPr>
          <w:sz w:val="20"/>
          <w:szCs w:val="20"/>
          <w:color w:val="auto"/>
        </w:rPr>
      </w:pPr>
    </w:p>
    <w:p>
      <w:pPr>
        <w:ind w:firstLine="436"/>
        <w:spacing w:after="0" w:line="257" w:lineRule="auto"/>
        <w:tabs>
          <w:tab w:leader="none" w:pos="695"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any event described in the first sentence of Section 2.12(a) occurs and results in the application of the Cost of Funds Rate, then at the request of the Administrative Agent or the Borrower, the Administrative Agent and the Borrower shall enter into good faith negotiations for a period of no more than 30 days for the purpose of agreeing to a substitute basis for determining the rate of interest to be applied to the applicable Borrowing (and, to the extent required, any future Borrowings). Any substitute basis agreed upon shall be, with the consent of all Lenders with respect to the applicable Facility, binding on all of the parties to this Agreement.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2.13 Increased Costs.</w:t>
      </w:r>
    </w:p>
    <w:p>
      <w:pPr>
        <w:spacing w:after="0" w:line="117" w:lineRule="exact"/>
        <w:rPr>
          <w:sz w:val="20"/>
          <w:szCs w:val="20"/>
          <w:color w:val="auto"/>
        </w:rPr>
      </w:pPr>
    </w:p>
    <w:p>
      <w:pPr>
        <w:ind w:left="680" w:hanging="244"/>
        <w:spacing w:after="0"/>
        <w:tabs>
          <w:tab w:leader="none" w:pos="6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any Change in Law shall:</w:t>
      </w:r>
    </w:p>
    <w:p>
      <w:pPr>
        <w:spacing w:after="0" w:line="117" w:lineRule="exact"/>
        <w:rPr>
          <w:rFonts w:ascii="Arial" w:cs="Arial" w:eastAsia="Arial" w:hAnsi="Arial"/>
          <w:sz w:val="18"/>
          <w:szCs w:val="18"/>
          <w:color w:val="auto"/>
        </w:rPr>
      </w:pPr>
    </w:p>
    <w:p>
      <w:pPr>
        <w:ind w:left="440" w:right="100" w:firstLine="419"/>
        <w:spacing w:after="0" w:line="263" w:lineRule="auto"/>
        <w:tabs>
          <w:tab w:leader="none" w:pos="1078" w:val="left"/>
        </w:tabs>
        <w:numPr>
          <w:ilvl w:val="1"/>
          <w:numId w:val="65"/>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or liquidity of, deposits with or for the account of, or credit extended by, any Lender or any Issuing Bank (except any such reserve requirement contemplated by Section 2.13(e) other than as set forth below);</w:t>
      </w:r>
    </w:p>
    <w:p>
      <w:pPr>
        <w:spacing w:after="0" w:line="75" w:lineRule="exact"/>
        <w:rPr>
          <w:rFonts w:ascii="Arial" w:cs="Arial" w:eastAsia="Arial" w:hAnsi="Arial"/>
          <w:sz w:val="18"/>
          <w:szCs w:val="18"/>
          <w:color w:val="auto"/>
        </w:rPr>
      </w:pPr>
    </w:p>
    <w:p>
      <w:pPr>
        <w:ind w:left="440" w:right="820" w:firstLine="419"/>
        <w:spacing w:after="0" w:line="277" w:lineRule="auto"/>
        <w:tabs>
          <w:tab w:leader="none" w:pos="1128" w:val="left"/>
        </w:tabs>
        <w:numPr>
          <w:ilvl w:val="1"/>
          <w:numId w:val="65"/>
        </w:numPr>
        <w:rPr>
          <w:rFonts w:ascii="Arial" w:cs="Arial" w:eastAsia="Arial" w:hAnsi="Arial"/>
          <w:sz w:val="18"/>
          <w:szCs w:val="18"/>
          <w:color w:val="auto"/>
        </w:rPr>
      </w:pPr>
      <w:r>
        <w:rPr>
          <w:rFonts w:ascii="Arial" w:cs="Arial" w:eastAsia="Arial" w:hAnsi="Arial"/>
          <w:sz w:val="18"/>
          <w:szCs w:val="18"/>
          <w:color w:val="auto"/>
        </w:rPr>
        <w:t>impose on any Lender or any Issuing Bank or the London interbank market any other condition, cost or expense affecting this Agreement or Eurocurrency Loans made by such Lender or any Letter of Credit or participation therein; or</w:t>
      </w:r>
    </w:p>
    <w:p>
      <w:pPr>
        <w:spacing w:after="0" w:line="62" w:lineRule="exact"/>
        <w:rPr>
          <w:rFonts w:ascii="Arial" w:cs="Arial" w:eastAsia="Arial" w:hAnsi="Arial"/>
          <w:sz w:val="18"/>
          <w:szCs w:val="18"/>
          <w:color w:val="auto"/>
        </w:rPr>
      </w:pPr>
    </w:p>
    <w:p>
      <w:pPr>
        <w:jc w:val="both"/>
        <w:ind w:left="440" w:right="160" w:firstLine="419"/>
        <w:spacing w:after="0" w:line="263" w:lineRule="auto"/>
        <w:tabs>
          <w:tab w:leader="none" w:pos="1178" w:val="left"/>
        </w:tabs>
        <w:numPr>
          <w:ilvl w:val="1"/>
          <w:numId w:val="65"/>
        </w:numPr>
        <w:rPr>
          <w:rFonts w:ascii="Arial" w:cs="Arial" w:eastAsia="Arial" w:hAnsi="Arial"/>
          <w:sz w:val="18"/>
          <w:szCs w:val="18"/>
          <w:color w:val="auto"/>
        </w:rPr>
      </w:pPr>
      <w:r>
        <w:rPr>
          <w:rFonts w:ascii="Arial" w:cs="Arial" w:eastAsia="Arial" w:hAnsi="Arial"/>
          <w:sz w:val="18"/>
          <w:szCs w:val="18"/>
          <w:color w:val="auto"/>
        </w:rPr>
        <w:t>subject any Lender or Issuing Bank to any Tax of any kind whatsoever with respect to any Loan Document, or any Loan made by it or any Letter of Credit or participation therein, except for (X) Indemnified Taxes or Other Taxes indemnified under Section 2.15, (Y) any penalties not indemnified under the first sentence of Section 2.15(c) and (Z) any Excluded Taxes;</w:t>
      </w:r>
    </w:p>
    <w:p>
      <w:pPr>
        <w:spacing w:after="0" w:line="18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and the result of any of the foregoing shall be to increase the cost to such Lender of making or maintaining any Eurocurrency Loan (or, in the case of clause (iii), any Loan), or of maintaining its obligation to make any such Loan, or to increase the cost to such Lender or Issuing Bank of participating in, issuing or maintaining any Letter of Credit or to reduce the amount of any sum received or receivable by such Lender or Issuing Bank hereunder (whether of principal, interest or otherwise), then the Borrower will pay to such Lender or Issuing Bank, as the case may be, such additional amount or amounts as will compensate such Lender or Issuing Bank, as the case may be, for such additional costs incurred or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0"/>
          </w:cols>
          <w:pgMar w:left="440" w:top="274" w:right="459" w:bottom="1440" w:gutter="0" w:footer="0" w:header="0"/>
        </w:sectPr>
      </w:pPr>
    </w:p>
    <w:bookmarkStart w:id="71" w:name="page72"/>
    <w:bookmarkEnd w:id="71"/>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reduction suffered; </w:t>
      </w:r>
      <w:r>
        <w:rPr>
          <w:rFonts w:ascii="Arial" w:cs="Arial" w:eastAsia="Arial" w:hAnsi="Arial"/>
          <w:sz w:val="18"/>
          <w:szCs w:val="18"/>
          <w:i w:val="1"/>
          <w:iCs w:val="1"/>
          <w:color w:val="auto"/>
        </w:rPr>
        <w:t>provided</w:t>
      </w:r>
      <w:r>
        <w:rPr>
          <w:rFonts w:ascii="Arial" w:cs="Arial" w:eastAsia="Arial" w:hAnsi="Arial"/>
          <w:sz w:val="18"/>
          <w:szCs w:val="18"/>
          <w:color w:val="auto"/>
        </w:rPr>
        <w:t>, that no Lender or Issuing Bank shall be entitled to request compensation for any increased cost if it shall not be the general policy and practice of such Lender or Issuing Bank to seek compensation in similar circumstances under similar provisions in comparable credit facilities to the extent it is entitled to do so.</w:t>
      </w:r>
    </w:p>
    <w:p>
      <w:pPr>
        <w:spacing w:after="0" w:line="76" w:lineRule="exact"/>
        <w:rPr>
          <w:sz w:val="20"/>
          <w:szCs w:val="20"/>
          <w:color w:val="auto"/>
        </w:rPr>
      </w:pPr>
    </w:p>
    <w:p>
      <w:pPr>
        <w:ind w:right="20" w:firstLine="436"/>
        <w:spacing w:after="0" w:line="254" w:lineRule="auto"/>
        <w:tabs>
          <w:tab w:leader="none" w:pos="695"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any Lender or Issuing Bank determines that any Change in Law regarding capital or liquidity requirements has or would have the effect of reducing the rate of return on such Lender’s or Issuing Bank’s capital or on the capital of such Lender’s or Issuing Bank’s holding company, if any, as a consequence of this Agreement or the Loans made by, or participations in Letters of Credit held by, such Lender, or the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then from time to time the Borrower will pay to such Lender or Issuing Bank, as the case may be, such additional amount or amounts as will compensate such Lender or Issuing Bank or such Lender’s or Issuing Bank’s holding company for any such reduction suffered.</w:t>
      </w:r>
    </w:p>
    <w:p>
      <w:pPr>
        <w:spacing w:after="0" w:line="83" w:lineRule="exact"/>
        <w:rPr>
          <w:rFonts w:ascii="Arial" w:cs="Arial" w:eastAsia="Arial" w:hAnsi="Arial"/>
          <w:sz w:val="18"/>
          <w:szCs w:val="18"/>
          <w:color w:val="auto"/>
        </w:rPr>
      </w:pPr>
    </w:p>
    <w:p>
      <w:pPr>
        <w:ind w:right="40" w:firstLine="436"/>
        <w:spacing w:after="0" w:line="279" w:lineRule="auto"/>
        <w:tabs>
          <w:tab w:leader="none" w:pos="685" w:val="left"/>
        </w:tabs>
        <w:numPr>
          <w:ilvl w:val="0"/>
          <w:numId w:val="66"/>
        </w:numPr>
        <w:rPr>
          <w:rFonts w:ascii="Arial" w:cs="Arial" w:eastAsia="Arial" w:hAnsi="Arial"/>
          <w:sz w:val="17"/>
          <w:szCs w:val="17"/>
          <w:color w:val="auto"/>
        </w:rPr>
      </w:pPr>
      <w:r>
        <w:rPr>
          <w:rFonts w:ascii="Arial" w:cs="Arial" w:eastAsia="Arial" w:hAnsi="Arial"/>
          <w:sz w:val="17"/>
          <w:szCs w:val="17"/>
          <w:color w:val="auto"/>
        </w:rPr>
        <w:t>A certificate of a Lender or Issuing Bank setting forth in reasonable detail the basis for and the calculation of the amount or amounts necessary to compensate such Lender or Issuing Bank or its holding company, as the case may be, as specified in paragraph (a) or (b) of this Section 2.13 shall be delivered to the Borrower and shall be conclusive absent manifest error. The Borrower shall pay such Lender or Issuing Bank, as the case may be, the amount shown as due on any such certificate within 10 Business Days after receipt thereof.</w:t>
      </w:r>
    </w:p>
    <w:p>
      <w:pPr>
        <w:spacing w:after="0" w:line="63" w:lineRule="exact"/>
        <w:rPr>
          <w:rFonts w:ascii="Arial" w:cs="Arial" w:eastAsia="Arial" w:hAnsi="Arial"/>
          <w:sz w:val="17"/>
          <w:szCs w:val="17"/>
          <w:color w:val="auto"/>
        </w:rPr>
      </w:pPr>
    </w:p>
    <w:p>
      <w:pPr>
        <w:ind w:firstLine="436"/>
        <w:spacing w:after="0" w:line="273" w:lineRule="auto"/>
        <w:tabs>
          <w:tab w:leader="none" w:pos="695" w:val="left"/>
        </w:tabs>
        <w:numPr>
          <w:ilvl w:val="0"/>
          <w:numId w:val="66"/>
        </w:numPr>
        <w:rPr>
          <w:rFonts w:ascii="Arial" w:cs="Arial" w:eastAsia="Arial" w:hAnsi="Arial"/>
          <w:sz w:val="17"/>
          <w:szCs w:val="17"/>
          <w:color w:val="auto"/>
        </w:rPr>
      </w:pPr>
      <w:r>
        <w:rPr>
          <w:rFonts w:ascii="Arial" w:cs="Arial" w:eastAsia="Arial" w:hAnsi="Arial"/>
          <w:sz w:val="17"/>
          <w:szCs w:val="17"/>
          <w:color w:val="auto"/>
        </w:rPr>
        <w:t xml:space="preserve">Failure or delay on the part of any Lender or Issuing Bank to demand compensation pursuant to this Section shall not constitute a waiver of such Lender’s or Issuing Bank’s right to demand such compensation;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not be required to compensate a Lender or Issuing Bank pursuant to this Section for any increased costs or reductions incurred more than 180 days prior to the date that such Lender or Issuing Bank, as the case may be, notifies the Borrower of the Change in Law giving rise to such increased costs or reductions and of such Lender’s or Issuing Bank’s intention to claim compensation therefor;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69" w:lineRule="exact"/>
        <w:rPr>
          <w:rFonts w:ascii="Arial" w:cs="Arial" w:eastAsia="Arial" w:hAnsi="Arial"/>
          <w:sz w:val="17"/>
          <w:szCs w:val="17"/>
          <w:color w:val="auto"/>
        </w:rPr>
      </w:pPr>
    </w:p>
    <w:p>
      <w:pPr>
        <w:ind w:firstLine="436"/>
        <w:spacing w:after="0" w:line="269" w:lineRule="auto"/>
        <w:tabs>
          <w:tab w:leader="none" w:pos="685"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Borrower shall pay to each Lender, (i) as long as such Lender shall be required to maintain reserves with respect to liabilities or assets consisting of or including Eurocurrency funds or deposits (currently known as “</w:t>
      </w:r>
      <w:r>
        <w:rPr>
          <w:rFonts w:ascii="Arial" w:cs="Arial" w:eastAsia="Arial" w:hAnsi="Arial"/>
          <w:sz w:val="17"/>
          <w:szCs w:val="17"/>
          <w:u w:val="single" w:color="auto"/>
          <w:color w:val="auto"/>
        </w:rPr>
        <w:t>Eurocurrency liabilities</w:t>
      </w:r>
      <w:r>
        <w:rPr>
          <w:rFonts w:ascii="Arial" w:cs="Arial" w:eastAsia="Arial" w:hAnsi="Arial"/>
          <w:sz w:val="17"/>
          <w:szCs w:val="17"/>
          <w:color w:val="auto"/>
        </w:rPr>
        <w:t xml:space="preserve">”), additional interest on the unpaid principal amount of each Eurocurrency Rate Loan equal to the actual costs of such reserves allocated to such Loan by such Lender (as determined by such Lender in good faith, which determination shall be conclusive), and (ii) as long as such Lender shall be required to comply with any reserve ratio requirement or analogous requirement of any other central banking or financial regulatory authority imposed in respect of the maintenance of the Commitments or the funding of the Eurocurrency Rate Loans,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which in each case shall be due and payable on each date or which interest is payable on such Loan;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the Borrower shall have received at least 10 Business Days’ prior notice (with a copy to the Administrative Agent) of such additional interest or costs from such Lender. If a Lender fails to give notice 10 Business Days prior to the relevant Interest Payment Date, such additional interest or costs shall be due and payable 10 Business Days from receipt of such notice.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0"/>
          </w:cols>
          <w:pgMar w:left="440" w:top="274" w:right="459" w:bottom="1440" w:gutter="0" w:footer="0" w:header="0"/>
        </w:sectPr>
      </w:pPr>
    </w:p>
    <w:bookmarkStart w:id="72" w:name="page73"/>
    <w:bookmarkEnd w:id="72"/>
    <w:p>
      <w:pPr>
        <w:ind w:left="4" w:right="20"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2.14 Break Funding Payments. In the event of (a) the payment or prepayment of any principal of any Eurocurrency Loan other than on the last day of an Interest Period applicable thereto (including as a result of an Event of Default), (b) the conversion of any Eurocurrency Loan other than on the last day of the Interest Period applicable thereto, (c) the failure to borrow, convert, continue or prepay any Eurocurrency Loan on the date specified in any notice delivered pursuant hereto (regardless of whether such notice may be revoked under Section 2.09(c) and is revoked in accordance therewith) or (d) the assignment of any Eurocurrency Loan other than on the last day of the Interest Period applicable thereto as a result of a request by the Borrower pursuant to Section 2.17 or Section 9.02(b), then, in any such event, the Borrower shall compensate each applicable Lender for the loss, cost and expense attributable to such event (excluding loss of anticipated profits). Such loss, cost or expense to any Lender shall be deemed to include an amount determined by such Lender to be the excess, if any, of (i) the amount of interest that would have accrued on the principal amount of such Loan had such event not occurred, at the Eurocurrency Rate that would have been applicable to such Loan (excluding the Applicable Rate), for the period from the date of such event to the last day of the then current Interest Period therefor (or, in the case of a failure to borrow, convert or continue, for the period that would have been the Interest Period for such Loan), over (ii) the amount of interest that would accrue on such principal amount for such period at the interest rate that such Lender would bid were it to bid, at the commencement of such period, for deposits in the applicable currency of a comparable amount and period from other banks in the Eurocurrency market. A certificate of any Lender setting forth in reasonable detail any amount or amounts that such Lender is entitled to receive pursuant to this Section shall be delivered to the Borrower and shall be conclusive absent manifest error. The Borrower shall pay such Lender the amount shown as due on any such certificate within 10 Business Days after receipt thereof.</w:t>
      </w:r>
    </w:p>
    <w:p>
      <w:pPr>
        <w:spacing w:after="0" w:line="16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SECTION 2.15 Taxes.</w:t>
      </w:r>
    </w:p>
    <w:p>
      <w:pPr>
        <w:spacing w:after="0" w:line="117" w:lineRule="exact"/>
        <w:rPr>
          <w:sz w:val="20"/>
          <w:szCs w:val="20"/>
          <w:color w:val="auto"/>
        </w:rPr>
      </w:pPr>
    </w:p>
    <w:p>
      <w:pPr>
        <w:ind w:left="4" w:right="220" w:firstLine="436"/>
        <w:spacing w:after="0" w:line="285" w:lineRule="auto"/>
        <w:tabs>
          <w:tab w:leader="none" w:pos="689" w:val="left"/>
        </w:tabs>
        <w:numPr>
          <w:ilvl w:val="1"/>
          <w:numId w:val="67"/>
        </w:numPr>
        <w:rPr>
          <w:rFonts w:ascii="Arial" w:cs="Arial" w:eastAsia="Arial" w:hAnsi="Arial"/>
          <w:sz w:val="16"/>
          <w:szCs w:val="16"/>
          <w:color w:val="auto"/>
        </w:rPr>
      </w:pPr>
      <w:r>
        <w:rPr>
          <w:rFonts w:ascii="Arial" w:cs="Arial" w:eastAsia="Arial" w:hAnsi="Arial"/>
          <w:sz w:val="16"/>
          <w:szCs w:val="16"/>
          <w:color w:val="auto"/>
        </w:rPr>
        <w:t xml:space="preserve">Any and all payments by or on account of any obligation of the Borrower under any Loan Document shall be made free and clear of and without deduction for any Indemnified Taxes or Other Taxes;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applicable withholding agent shall be required to deduct any Indemnified Taxes or Other Taxes from such payments, then (i) the sum payable by the Borrower shall be increased as necessary so that after all such required deductions have been made (including such deductions applicable to additional sums payable under this Section 2.15) the Administrative Agent, Lender or Issuing Bank (as the case may be) receives an amount equal to the sum it would have received had no such deductions been made,</w:t>
      </w:r>
    </w:p>
    <w:p>
      <w:pPr>
        <w:spacing w:after="0" w:line="1" w:lineRule="exact"/>
        <w:rPr>
          <w:rFonts w:ascii="Arial" w:cs="Arial" w:eastAsia="Arial" w:hAnsi="Arial"/>
          <w:sz w:val="16"/>
          <w:szCs w:val="16"/>
          <w:color w:val="auto"/>
        </w:rPr>
      </w:pPr>
    </w:p>
    <w:p>
      <w:pPr>
        <w:ind w:left="4" w:right="300" w:hanging="4"/>
        <w:spacing w:after="0" w:line="260" w:lineRule="auto"/>
        <w:tabs>
          <w:tab w:leader="none" w:pos="269"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applicable withholding agent shall make such deductions, and (iii) the applicable withholding agent shall pay the full amount deducted to the relevant Governmental Authority in accordance with applicable law.</w:t>
      </w:r>
    </w:p>
    <w:p>
      <w:pPr>
        <w:spacing w:after="0" w:line="77" w:lineRule="exact"/>
        <w:rPr>
          <w:rFonts w:ascii="Arial" w:cs="Arial" w:eastAsia="Arial" w:hAnsi="Arial"/>
          <w:sz w:val="18"/>
          <w:szCs w:val="18"/>
          <w:color w:val="auto"/>
        </w:rPr>
      </w:pPr>
    </w:p>
    <w:p>
      <w:pPr>
        <w:ind w:left="4" w:right="20" w:firstLine="436"/>
        <w:spacing w:after="0" w:line="277" w:lineRule="auto"/>
        <w:tabs>
          <w:tab w:leader="none" w:pos="699" w:val="left"/>
        </w:tabs>
        <w:numPr>
          <w:ilvl w:val="1"/>
          <w:numId w:val="68"/>
        </w:numPr>
        <w:rPr>
          <w:rFonts w:ascii="Arial" w:cs="Arial" w:eastAsia="Arial" w:hAnsi="Arial"/>
          <w:sz w:val="18"/>
          <w:szCs w:val="18"/>
          <w:color w:val="auto"/>
        </w:rPr>
      </w:pPr>
      <w:r>
        <w:rPr>
          <w:rFonts w:ascii="Arial" w:cs="Arial" w:eastAsia="Arial" w:hAnsi="Arial"/>
          <w:sz w:val="18"/>
          <w:szCs w:val="18"/>
          <w:color w:val="auto"/>
        </w:rPr>
        <w:t>Without limiting the provisions of paragraph (a) above, the Borrower shall timely pay any Other Taxes to the relevant Governmental Authority in accordance with applicable law.</w:t>
      </w:r>
    </w:p>
    <w:p>
      <w:pPr>
        <w:spacing w:after="0" w:line="62" w:lineRule="exact"/>
        <w:rPr>
          <w:rFonts w:ascii="Arial" w:cs="Arial" w:eastAsia="Arial" w:hAnsi="Arial"/>
          <w:sz w:val="18"/>
          <w:szCs w:val="18"/>
          <w:color w:val="auto"/>
        </w:rPr>
      </w:pPr>
    </w:p>
    <w:p>
      <w:pPr>
        <w:ind w:left="4" w:firstLine="436"/>
        <w:spacing w:after="0" w:line="296" w:lineRule="auto"/>
        <w:tabs>
          <w:tab w:leader="none" w:pos="689" w:val="left"/>
        </w:tabs>
        <w:numPr>
          <w:ilvl w:val="1"/>
          <w:numId w:val="68"/>
        </w:numPr>
        <w:rPr>
          <w:rFonts w:ascii="Arial" w:cs="Arial" w:eastAsia="Arial" w:hAnsi="Arial"/>
          <w:sz w:val="16"/>
          <w:szCs w:val="16"/>
          <w:color w:val="auto"/>
        </w:rPr>
      </w:pPr>
      <w:r>
        <w:rPr>
          <w:rFonts w:ascii="Arial" w:cs="Arial" w:eastAsia="Arial" w:hAnsi="Arial"/>
          <w:sz w:val="16"/>
          <w:szCs w:val="16"/>
          <w:color w:val="auto"/>
        </w:rPr>
        <w:t>The Borrower shall indemnify and hold harmless the Administrative Agent, each Lender and each Issuing Bank, within 10 Business Days after written demand therefor, for the full amount of any Indemnified Taxes imposed on or with respect to any payment by or on account of the Borrower under any Loan Document, and any Other Taxes, payable by the Administrative Agent, such Lender or Issuing Bank (including Indemnified Taxes or Other Taxes imposed or asserted on or attributable to amounts payable under this Section 2.15) and any reasonable expenses arising therefrom or with respect thereto, whether or not such Indemnified Taxes or Other Taxes were correctly or legally imposed or asserted by</w:t>
      </w:r>
    </w:p>
    <w:p>
      <w:pPr>
        <w:spacing w:after="0" w:line="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84"/>
          </w:cols>
          <w:pgMar w:left="436" w:top="274" w:right="479" w:bottom="1440" w:gutter="0" w:footer="0" w:header="0"/>
        </w:sectPr>
      </w:pPr>
    </w:p>
    <w:bookmarkStart w:id="73" w:name="page74"/>
    <w:bookmarkEnd w:id="73"/>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relevant Governmental Authority, except for any penalties to the extent determined by a final judgment of a court of competent jurisdiction to have resulted from the gross negligence or willful misconduct of such Administrative Agent, Lender or Issuing Bank. The written demand shall be made in a certificate setting forth the amount of such Indemnified Taxes or Other Taxes and, in reasonable detail, the calculation and basis for such Indemnified Taxes or Other Taxes.</w:t>
      </w:r>
    </w:p>
    <w:p>
      <w:pPr>
        <w:spacing w:after="0" w:line="79" w:lineRule="exact"/>
        <w:rPr>
          <w:sz w:val="20"/>
          <w:szCs w:val="20"/>
          <w:color w:val="auto"/>
        </w:rPr>
      </w:pPr>
    </w:p>
    <w:p>
      <w:pPr>
        <w:jc w:val="both"/>
        <w:ind w:right="280" w:firstLine="436"/>
        <w:spacing w:after="0" w:line="311" w:lineRule="auto"/>
        <w:tabs>
          <w:tab w:leader="none" w:pos="695" w:val="left"/>
        </w:tabs>
        <w:numPr>
          <w:ilvl w:val="0"/>
          <w:numId w:val="69"/>
        </w:numPr>
        <w:rPr>
          <w:rFonts w:ascii="Arial" w:cs="Arial" w:eastAsia="Arial" w:hAnsi="Arial"/>
          <w:sz w:val="16"/>
          <w:szCs w:val="16"/>
          <w:color w:val="auto"/>
        </w:rPr>
      </w:pPr>
      <w:r>
        <w:rPr>
          <w:rFonts w:ascii="Arial" w:cs="Arial" w:eastAsia="Arial" w:hAnsi="Arial"/>
          <w:sz w:val="16"/>
          <w:szCs w:val="16"/>
          <w:color w:val="auto"/>
        </w:rPr>
        <w:t>As soon as practicable after any payment of Indemnified Taxes or Other Taxes by the Borrower to a Governmental Authority, the Borrower shall deliver to the Administrative Agent the original or a certified copy of a receipt, if available, issued by such Governmental Authority evidencing such payment, a copy of the return reporting such payment or other evidence of such payment reasonably satisfactory to the Administrative Agent.</w:t>
      </w:r>
    </w:p>
    <w:p>
      <w:pPr>
        <w:spacing w:after="0" w:line="40" w:lineRule="exact"/>
        <w:rPr>
          <w:rFonts w:ascii="Arial" w:cs="Arial" w:eastAsia="Arial" w:hAnsi="Arial"/>
          <w:sz w:val="16"/>
          <w:szCs w:val="16"/>
          <w:color w:val="auto"/>
        </w:rPr>
      </w:pPr>
    </w:p>
    <w:p>
      <w:pPr>
        <w:ind w:right="300" w:firstLine="436"/>
        <w:spacing w:after="0" w:line="263" w:lineRule="auto"/>
        <w:tabs>
          <w:tab w:leader="none" w:pos="685"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Each Lender that is a United States person as defined in Section 7701(a)(30) of the Code shall deliver to the Borrower and the Administrative Agent on or before the date on which it becomes a party to this Agreement two duly completed and signed original copies of Internal Revenue Service Form W-9 certifying that such Lender is exempt from U.S. federal backup withholding.</w:t>
      </w:r>
    </w:p>
    <w:p>
      <w:pPr>
        <w:spacing w:after="0" w:line="76" w:lineRule="exact"/>
        <w:rPr>
          <w:sz w:val="20"/>
          <w:szCs w:val="20"/>
          <w:color w:val="auto"/>
        </w:rPr>
      </w:pPr>
    </w:p>
    <w:p>
      <w:pPr>
        <w:jc w:val="both"/>
        <w:ind w:right="140" w:firstLine="436"/>
        <w:spacing w:after="0" w:line="263" w:lineRule="auto"/>
        <w:tabs>
          <w:tab w:leader="none" w:pos="705" w:val="left"/>
        </w:tabs>
        <w:numPr>
          <w:ilvl w:val="0"/>
          <w:numId w:val="70"/>
        </w:numPr>
        <w:rPr>
          <w:rFonts w:ascii="Arial" w:cs="Arial" w:eastAsia="Arial" w:hAnsi="Arial"/>
          <w:sz w:val="18"/>
          <w:szCs w:val="18"/>
          <w:color w:val="auto"/>
        </w:rPr>
      </w:pPr>
      <w:r>
        <w:rPr>
          <w:rFonts w:ascii="Arial" w:cs="Arial" w:eastAsia="Arial" w:hAnsi="Arial"/>
          <w:sz w:val="18"/>
          <w:szCs w:val="18"/>
          <w:color w:val="auto"/>
        </w:rPr>
        <w:t>Each Lender that is a Foreign Lender shall deliver to the Borrower and the Administrative Agent on or before the date on which it becomes a party to this Agreement (and from time to time thereafter upon the request of the Borrower or the Administrative Agent) whichever of the following is applicable:</w:t>
      </w:r>
    </w:p>
    <w:p>
      <w:pPr>
        <w:spacing w:after="0" w:line="75" w:lineRule="exact"/>
        <w:rPr>
          <w:rFonts w:ascii="Arial" w:cs="Arial" w:eastAsia="Arial" w:hAnsi="Arial"/>
          <w:sz w:val="18"/>
          <w:szCs w:val="18"/>
          <w:color w:val="auto"/>
        </w:rPr>
      </w:pPr>
    </w:p>
    <w:p>
      <w:pPr>
        <w:ind w:left="440" w:right="460" w:firstLine="419"/>
        <w:spacing w:after="0" w:line="277" w:lineRule="auto"/>
        <w:tabs>
          <w:tab w:leader="none" w:pos="1158" w:val="left"/>
        </w:tabs>
        <w:numPr>
          <w:ilvl w:val="1"/>
          <w:numId w:val="70"/>
        </w:numPr>
        <w:rPr>
          <w:rFonts w:ascii="Arial" w:cs="Arial" w:eastAsia="Arial" w:hAnsi="Arial"/>
          <w:sz w:val="18"/>
          <w:szCs w:val="18"/>
          <w:color w:val="auto"/>
        </w:rPr>
      </w:pPr>
      <w:r>
        <w:rPr>
          <w:rFonts w:ascii="Arial" w:cs="Arial" w:eastAsia="Arial" w:hAnsi="Arial"/>
          <w:sz w:val="18"/>
          <w:szCs w:val="18"/>
          <w:color w:val="auto"/>
        </w:rPr>
        <w:t>two duly completed signed original copies of Internal Revenue Service Form W-8BEN-E claiming eligibility for the benefits of an income tax treaty to which the United States is a party,</w:t>
      </w:r>
    </w:p>
    <w:p>
      <w:pPr>
        <w:spacing w:after="0" w:line="62" w:lineRule="exact"/>
        <w:rPr>
          <w:rFonts w:ascii="Arial" w:cs="Arial" w:eastAsia="Arial" w:hAnsi="Arial"/>
          <w:sz w:val="18"/>
          <w:szCs w:val="18"/>
          <w:color w:val="auto"/>
        </w:rPr>
      </w:pPr>
    </w:p>
    <w:p>
      <w:pPr>
        <w:ind w:left="1140" w:hanging="281"/>
        <w:spacing w:after="0"/>
        <w:tabs>
          <w:tab w:leader="none" w:pos="11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two duly completed signed original copies of Internal Revenue Service Form W-8ECI,</w:t>
      </w:r>
    </w:p>
    <w:p>
      <w:pPr>
        <w:spacing w:after="0" w:line="117" w:lineRule="exact"/>
        <w:rPr>
          <w:rFonts w:ascii="Arial" w:cs="Arial" w:eastAsia="Arial" w:hAnsi="Arial"/>
          <w:sz w:val="18"/>
          <w:szCs w:val="18"/>
          <w:color w:val="auto"/>
        </w:rPr>
      </w:pPr>
    </w:p>
    <w:p>
      <w:pPr>
        <w:ind w:left="440" w:right="200" w:firstLine="419"/>
        <w:spacing w:after="0" w:line="286" w:lineRule="auto"/>
        <w:tabs>
          <w:tab w:leader="none" w:pos="1148" w:val="left"/>
        </w:tabs>
        <w:numPr>
          <w:ilvl w:val="1"/>
          <w:numId w:val="70"/>
        </w:numPr>
        <w:rPr>
          <w:rFonts w:ascii="Arial" w:cs="Arial" w:eastAsia="Arial" w:hAnsi="Arial"/>
          <w:sz w:val="17"/>
          <w:szCs w:val="17"/>
          <w:color w:val="auto"/>
        </w:rPr>
      </w:pPr>
      <w:r>
        <w:rPr>
          <w:rFonts w:ascii="Arial" w:cs="Arial" w:eastAsia="Arial" w:hAnsi="Arial"/>
          <w:sz w:val="17"/>
          <w:szCs w:val="17"/>
          <w:color w:val="auto"/>
        </w:rPr>
        <w:t xml:space="preserve">in the case of a Foreign Lender claiming the benefits of the exemption for portfolio interest under Section 881(c) of the Code, (A) two duly completed signed original certificates substantially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(any such certificate a “</w:t>
      </w:r>
      <w:r>
        <w:rPr>
          <w:rFonts w:ascii="Arial" w:cs="Arial" w:eastAsia="Arial" w:hAnsi="Arial"/>
          <w:sz w:val="17"/>
          <w:szCs w:val="17"/>
          <w:u w:val="single" w:color="auto"/>
          <w:color w:val="auto"/>
        </w:rPr>
        <w:t>United States Tax Compliance</w:t>
      </w:r>
      <w:r>
        <w:rPr>
          <w:rFonts w:ascii="Arial" w:cs="Arial" w:eastAsia="Arial" w:hAnsi="Arial"/>
          <w:sz w:val="17"/>
          <w:szCs w:val="17"/>
          <w:color w:val="auto"/>
        </w:rPr>
        <w:t xml:space="preserve"> </w:t>
      </w:r>
      <w:r>
        <w:rPr>
          <w:rFonts w:ascii="Arial" w:cs="Arial" w:eastAsia="Arial" w:hAnsi="Arial"/>
          <w:sz w:val="17"/>
          <w:szCs w:val="17"/>
          <w:u w:val="single" w:color="auto"/>
          <w:color w:val="auto"/>
        </w:rPr>
        <w:t>Certificate</w:t>
      </w:r>
      <w:r>
        <w:rPr>
          <w:rFonts w:ascii="Arial" w:cs="Arial" w:eastAsia="Arial" w:hAnsi="Arial"/>
          <w:sz w:val="17"/>
          <w:szCs w:val="17"/>
          <w:color w:val="auto"/>
        </w:rPr>
        <w:t>”) and (B) two duly completed signed original copies of Internal Revenue Service Form W-8BEN-E, or</w:t>
      </w:r>
    </w:p>
    <w:p>
      <w:pPr>
        <w:spacing w:after="0" w:line="57" w:lineRule="exact"/>
        <w:rPr>
          <w:rFonts w:ascii="Arial" w:cs="Arial" w:eastAsia="Arial" w:hAnsi="Arial"/>
          <w:sz w:val="17"/>
          <w:szCs w:val="17"/>
          <w:color w:val="auto"/>
        </w:rPr>
      </w:pPr>
    </w:p>
    <w:p>
      <w:pPr>
        <w:ind w:left="440" w:firstLine="419"/>
        <w:spacing w:after="0" w:line="293" w:lineRule="auto"/>
        <w:tabs>
          <w:tab w:leader="none" w:pos="1158" w:val="left"/>
        </w:tabs>
        <w:numPr>
          <w:ilvl w:val="1"/>
          <w:numId w:val="70"/>
        </w:numPr>
        <w:rPr>
          <w:rFonts w:ascii="Arial" w:cs="Arial" w:eastAsia="Arial" w:hAnsi="Arial"/>
          <w:sz w:val="16"/>
          <w:szCs w:val="16"/>
          <w:color w:val="auto"/>
        </w:rPr>
      </w:pPr>
      <w:r>
        <w:rPr>
          <w:rFonts w:ascii="Arial" w:cs="Arial" w:eastAsia="Arial" w:hAnsi="Arial"/>
          <w:sz w:val="16"/>
          <w:szCs w:val="16"/>
          <w:color w:val="auto"/>
        </w:rPr>
        <w:t xml:space="preserve">to the extent a Foreign Lender is not the beneficial owner (for example, where the Foreign Lender is a partnership, or is a Participant holding a participation granted by a participating Lender), two duly completed signed original copies of Internal Revenue Service Form W-8IMY, accompanied by a Form W-8ECI, W-8BEN, W-8BEN-E, United States Tax Compliance Certificate, Form W-9 or any other information from each beneficial owner that would be required under this Section 2.15(e) if such beneficial owner were a Lender,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Foreign Lender is a partnership (and not a participating Lender) and one or more beneficial owners of such Foreign Lender are claiming the portfolio interest exemption, such Foreign Lender may provide a U.S. Tax Compliance Certificate on behalf of each such beneficial owner.</w:t>
      </w:r>
    </w:p>
    <w:p>
      <w:pPr>
        <w:spacing w:after="0" w:line="56" w:lineRule="exact"/>
        <w:rPr>
          <w:rFonts w:ascii="Arial" w:cs="Arial" w:eastAsia="Arial" w:hAnsi="Arial"/>
          <w:sz w:val="16"/>
          <w:szCs w:val="16"/>
          <w:color w:val="auto"/>
        </w:rPr>
      </w:pPr>
    </w:p>
    <w:p>
      <w:pPr>
        <w:ind w:right="40" w:firstLine="436"/>
        <w:spacing w:after="0" w:line="259" w:lineRule="auto"/>
        <w:tabs>
          <w:tab w:leader="none" w:pos="7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Without limitation of its obligations under paragraphs (i) or (ii), each Lender shall, at such time as reasonably requested by the Borrower or the Administrative Agent, provide the Borrower and the Administrative Agent with any other documentation prescribed by applicable law or reasonably requested by the Borrower or the Administrative Agent, properly completed and executed, as will permit payments made to such Lender under the Loan Documents to be made without or at a reduced rate of withholding tax.</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0"/>
          </w:cols>
          <w:pgMar w:left="440" w:top="274" w:right="459" w:bottom="1440" w:gutter="0" w:footer="0" w:header="0"/>
        </w:sectPr>
      </w:pPr>
    </w:p>
    <w:bookmarkStart w:id="74" w:name="page75"/>
    <w:bookmarkEnd w:id="74"/>
    <w:p>
      <w:pPr>
        <w:ind w:left="-20" w:firstLine="436"/>
        <w:spacing w:after="0" w:line="255" w:lineRule="auto"/>
        <w:tabs>
          <w:tab w:leader="none" w:pos="725" w:val="left"/>
        </w:tabs>
        <w:numPr>
          <w:ilvl w:val="0"/>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Lender shall deliver to the Borrower and the Administrative Agent two further signed original copies of any previously delivered form or certification (or any applicable successor form) on or before the date that any such form or certification expires or becomes obsolete or inaccurate and promptly after the occurrence of any event requiring a change in the most recent form previously delivered by it to the Borrower or the Administrative Agent, or promptly notify the Borrower and the Administrative Agent in writing that it is unable to do so. Each Lender shall promptly notify the Borrower and the Administrative Agent in writing at any time it determines that it is no longer in a position to provide any previously delivered form or certification to the Borrower or the Administrative Agent.</w:t>
      </w:r>
    </w:p>
    <w:p>
      <w:pPr>
        <w:spacing w:after="0" w:line="84" w:lineRule="exact"/>
        <w:rPr>
          <w:rFonts w:ascii="Arial" w:cs="Arial" w:eastAsia="Arial" w:hAnsi="Arial"/>
          <w:sz w:val="18"/>
          <w:szCs w:val="18"/>
          <w:color w:val="auto"/>
        </w:rPr>
      </w:pPr>
    </w:p>
    <w:p>
      <w:pPr>
        <w:ind w:left="-20" w:right="240" w:firstLine="436"/>
        <w:spacing w:after="0" w:line="277" w:lineRule="auto"/>
        <w:tabs>
          <w:tab w:leader="none" w:pos="675"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Notwithstanding any other provision of this paragraph (e), a Lender shall not be required to deliver any form that such Lender is not legally eligible to deliver.</w:t>
      </w:r>
    </w:p>
    <w:p>
      <w:pPr>
        <w:spacing w:after="0" w:line="62" w:lineRule="exact"/>
        <w:rPr>
          <w:rFonts w:ascii="Arial" w:cs="Arial" w:eastAsia="Arial" w:hAnsi="Arial"/>
          <w:sz w:val="18"/>
          <w:szCs w:val="18"/>
          <w:color w:val="auto"/>
        </w:rPr>
      </w:pPr>
    </w:p>
    <w:p>
      <w:pPr>
        <w:ind w:left="-20" w:right="120" w:firstLine="436"/>
        <w:spacing w:after="0" w:line="277" w:lineRule="auto"/>
        <w:tabs>
          <w:tab w:leader="none" w:pos="72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Administrative Agent in its capacity as such shall, to the extent it is legally eligible to do so, from time to time deliver to the Borrower a properly executed copy of Internal Revenue Service Form W-8IMY or W-9, as applicable.</w:t>
      </w:r>
    </w:p>
    <w:p>
      <w:pPr>
        <w:spacing w:after="0" w:line="62" w:lineRule="exact"/>
        <w:rPr>
          <w:rFonts w:ascii="Arial" w:cs="Arial" w:eastAsia="Arial" w:hAnsi="Arial"/>
          <w:sz w:val="18"/>
          <w:szCs w:val="18"/>
          <w:color w:val="auto"/>
        </w:rPr>
      </w:pPr>
    </w:p>
    <w:p>
      <w:pPr>
        <w:ind w:left="-20" w:right="40" w:firstLine="436"/>
        <w:spacing w:after="0" w:line="290" w:lineRule="auto"/>
        <w:tabs>
          <w:tab w:leader="none" w:pos="775" w:val="left"/>
        </w:tabs>
        <w:numPr>
          <w:ilvl w:val="0"/>
          <w:numId w:val="71"/>
        </w:numPr>
        <w:rPr>
          <w:rFonts w:ascii="Arial" w:cs="Arial" w:eastAsia="Arial" w:hAnsi="Arial"/>
          <w:sz w:val="16"/>
          <w:szCs w:val="16"/>
          <w:color w:val="auto"/>
        </w:rPr>
      </w:pPr>
      <w:r>
        <w:rPr>
          <w:rFonts w:ascii="Arial" w:cs="Arial" w:eastAsia="Arial" w:hAnsi="Arial"/>
          <w:sz w:val="16"/>
          <w:szCs w:val="16"/>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whether such Lender has complied with such Lender’s obligations under FATCA or to determine the amount, if any, to deduct and withhold from such payment. Solely for purposes of this clause (vii), “FATCA” shall include any amendments made to FATCA after the date of this Agreement.</w:t>
      </w:r>
    </w:p>
    <w:p>
      <w:pPr>
        <w:spacing w:after="0" w:line="57" w:lineRule="exact"/>
        <w:rPr>
          <w:sz w:val="20"/>
          <w:szCs w:val="20"/>
          <w:color w:val="auto"/>
        </w:rPr>
      </w:pPr>
    </w:p>
    <w:p>
      <w:pPr>
        <w:ind w:left="-20" w:right="860" w:firstLine="436"/>
        <w:spacing w:after="0" w:line="277" w:lineRule="auto"/>
        <w:tabs>
          <w:tab w:leader="none" w:pos="645"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Each Lender hereby authorizes the Administrative Agent to deliver to the Borrower and to any successor Administrative Agent any documentation provided by such Lender to the Administrative Agent pursuant to Section 2.15(e).</w:t>
      </w:r>
    </w:p>
    <w:p>
      <w:pPr>
        <w:spacing w:after="0" w:line="62" w:lineRule="exact"/>
        <w:rPr>
          <w:rFonts w:ascii="Arial" w:cs="Arial" w:eastAsia="Arial" w:hAnsi="Arial"/>
          <w:sz w:val="18"/>
          <w:szCs w:val="18"/>
          <w:color w:val="auto"/>
        </w:rPr>
      </w:pPr>
    </w:p>
    <w:p>
      <w:pPr>
        <w:ind w:left="-20" w:right="60" w:firstLine="436"/>
        <w:spacing w:after="0" w:line="269" w:lineRule="auto"/>
        <w:tabs>
          <w:tab w:leader="none" w:pos="675"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If the Administrative Agent, an Issuing Bank or a Lender determines, in its reasonable discretion, that it has received a refund of any Indemnified Taxes or Other Taxes as to which it has been indemnified by the Borrower or with respect to which the Borrower has paid additional amounts pursuant to this Section 2.15, it shall pay over such refund to the Borrower (but only to the extent of indemnity payments made, or additional amounts paid, by the Borrower under this Section with respect to the Indemnified Taxes or Other Taxes giving rise to such refund), net of all reasonable expenses (including any Taxes) of the Administrative Agent, such Issuing Bank or such Lender and without interest (other than any interest paid by the relevant Governmental Authority with respect to such refund);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upon the request of the Administrative Agent, such Issuing Bank or such Lender, agrees to repay the amount paid over to the Borrower (plus any penalties, interest or other charges imposed by the relevant Governmental Authority) to the Administrative Agent, such Issuing Bank or such Lender in the event the Administrative Agent, such Issuing Bank or such Lender is required to repay such refund to such Governmental Authority. This Section shall not be construed to require the Administrative Agent, such Issuing Bank or any Lender to make available its tax returns (or any other information relating to its taxes that it deems confidential) to the Borrower or any other Person.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60"/>
          </w:cols>
          <w:pgMar w:left="460" w:top="274" w:right="479" w:bottom="1440" w:gutter="0" w:footer="0" w:header="0"/>
        </w:sectPr>
      </w:pPr>
    </w:p>
    <w:bookmarkStart w:id="75" w:name="page76"/>
    <w:bookmarkEnd w:id="75"/>
    <w:p>
      <w:pPr>
        <w:ind w:firstLine="436"/>
        <w:spacing w:after="0" w:line="287" w:lineRule="auto"/>
        <w:tabs>
          <w:tab w:leader="none" w:pos="695" w:val="left"/>
        </w:tabs>
        <w:numPr>
          <w:ilvl w:val="0"/>
          <w:numId w:val="7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Administrative Agent and each Lender shall use commercially reasonable efforts to cooperate with the Borrower in attempting to recover any Indemnified Taxes and Other Taxes that the Borrower reasonably asserts were improperly imposed if (i) in the reasonable judgment of the Administrative Agent or such Lender, as applicable, such cooperation would not subject the Administrative Agent or such Lender, as applicable, to any unreimbursed cost or expense or otherwise be materially disadvantageous to the Administrative Agent or such Lender, as applicable, and (ii) based on written advice of the Borrower’s independent accountants or external legal counsel delivered to such Administrative Agent or Lender, there is a reasonable basis for the Borrower to contest with the applicable Governmental Authority the imposition of such Indemnified Taxes or Other Taxes;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attempts shall be at the sole cost of the Borrower and the Borrower shall indemnify the Administrative Agent and each Lender for any costs it incurs in connection with complying with this Section 2.15(h). In such event, the applicable Administrative Agent or Lender shall only be required to pursue the applicable refund in a commercially reasonable manner, and at the Borrower’s sole cost and expense. In no event will this Section 2.15(h) relieve the Borrower of its obligation to pay any additional amounts or indemnification payments to the Administrative Agent or any Lender under this Section 2.15. Any refund obtained shall be repaid to the Borrower to the extent provided in Section 2.15(g).</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2.16 Payments Generally; Pro Rata Treatment; Sharing of Setoffs.</w:t>
      </w:r>
    </w:p>
    <w:p>
      <w:pPr>
        <w:spacing w:after="0" w:line="117" w:lineRule="exact"/>
        <w:rPr>
          <w:sz w:val="20"/>
          <w:szCs w:val="20"/>
          <w:color w:val="auto"/>
        </w:rPr>
      </w:pPr>
    </w:p>
    <w:p>
      <w:pPr>
        <w:ind w:right="60" w:firstLine="436"/>
        <w:spacing w:after="0" w:line="284" w:lineRule="auto"/>
        <w:tabs>
          <w:tab w:leader="none" w:pos="685"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Borrower shall make each payment required to be made by it under any Loan Document (whether of principal, interest, fees or reimbursement of LC Borrowings or LC Disbursements, or of amounts payable under Section 2.13, 2.14 or 2.15, or otherwise) prior to the time expressly required hereunder or under such other Loan Document for such payment (or, if no such time is expressly required, prior to 3:00 p.m., New York City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the Administrative Agent’s Office, except payments to be made directly to the applicable Issuing Bank as expressly provided herein and except that payments pursuant to Sections 2.13, 2.14, 2.15 and 9.03 shall be made directly to the Persons entitled thereto and payments pursuant to other Loan Documents shall be made to the Persons specified therein. The Administrative Agent shall distribute any such payments received by it for the account of any other Person to the appropriate recipient promptly following receipt thereof. If any payment under any Loan Document shall be due on a day that is not a Business Day, the date for payment shall be extended to the next succeeding Business Day and, in the case of any payment accruing interest, interest thereon shall be payable for the period of such extension. Except as otherwise expressly provided herein and except with respect to principal of and interest on Loans denominated in an Alternative Currency, all payments by the Borrower hereunder shall be made to the Administrative Agent, for the account of the respective Lenders to which such payment is owed, at the applicable Administrative Agent’s Office in Dollars and in Same Day Funds. Except as otherwise expressly provided herein, all payments by the Borrower hereunder with respect to principal and interest on Loans denominated in an Alternative Currency shall be made to the Administrative Agent, for the account of the respective Lenders to which such payment is owed, at the applicable Administrative Agent’s Office in such Alternative Currency and in Same Day Funds. If, for any reason, the Borrower is prohibited by any Requirement of Law from making any required payment hereunder in an Alternative Currency, the Borrower shall make such payment in Dollars in the Dollar Equivalent of the Alternative Currency payment amount. The Administrative Agent will promptly distribute to each Lender its pro rata (or other applicable share as provided herein) of such payment in like funds as received by wire transfer to such Lender’s lending office.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0"/>
          </w:cols>
          <w:pgMar w:left="440" w:top="274" w:right="459" w:bottom="1440" w:gutter="0" w:footer="0" w:header="0"/>
        </w:sectPr>
      </w:pPr>
    </w:p>
    <w:bookmarkStart w:id="76" w:name="page77"/>
    <w:bookmarkEnd w:id="76"/>
    <w:p>
      <w:pPr>
        <w:ind w:left="-20" w:right="100" w:firstLine="436"/>
        <w:spacing w:after="0" w:line="255" w:lineRule="auto"/>
        <w:tabs>
          <w:tab w:leader="none" w:pos="675" w:val="left"/>
        </w:tabs>
        <w:numPr>
          <w:ilvl w:val="0"/>
          <w:numId w:val="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Subject to Section 2.16(e), if at any time insufficient funds are received by and available to the Administrative Agent to pay fully all amounts of principal, unreimbursed LC Borrowings and LC Disbursements,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and unreimbursed LC Borrowings and LC Disbursements then due hereunder, ratably among the parties entitled thereto in accordance with the amounts of principal and unreimbursed LC Borrowings and LC Disbursements then due to such parties.</w:t>
      </w:r>
    </w:p>
    <w:p>
      <w:pPr>
        <w:spacing w:after="0" w:line="84" w:lineRule="exact"/>
        <w:rPr>
          <w:rFonts w:ascii="Arial" w:cs="Arial" w:eastAsia="Arial" w:hAnsi="Arial"/>
          <w:sz w:val="18"/>
          <w:szCs w:val="18"/>
          <w:color w:val="auto"/>
        </w:rPr>
      </w:pPr>
    </w:p>
    <w:p>
      <w:pPr>
        <w:ind w:left="-20" w:firstLine="436"/>
        <w:spacing w:after="0" w:line="286" w:lineRule="auto"/>
        <w:tabs>
          <w:tab w:leader="none" w:pos="665"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Subject to Section 2.16(e), if any Lender under either Facility shall, by exercising any right of setoff or counterclaim or otherwise, obtain payment in respect of any principal of or interest on any of its Revolving Loans or LC Advances resulting in such Lender receiving payment of a greater proportion of the aggregate amount of its Revolving Loans and LC Advances and accrued interest thereon than the proportion received by any other Lender under such Facility, then the Lender receiving such greater proportion shall purchase (for cash at face value) participations in the Revolving Loans and participations in LC Disbursements of other Lenders in such Facility to the extent necessary so that the benefit of all such payments shall be shared by the Lenders ratably in accordance with the aggregate amount of principal of and accrued interest on their respective Revolving Loans and participations in LC Disbursements in such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the Borrower or any Subsidiary or other Affiliate thereof (as to which the provisions of this paragraph shall apply). The Borrower consents to the foregoing and agrees, to the extent it may effectively do so under applicable law,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62" w:lineRule="exact"/>
        <w:rPr>
          <w:rFonts w:ascii="Arial" w:cs="Arial" w:eastAsia="Arial" w:hAnsi="Arial"/>
          <w:sz w:val="16"/>
          <w:szCs w:val="16"/>
          <w:color w:val="auto"/>
        </w:rPr>
      </w:pPr>
    </w:p>
    <w:p>
      <w:pPr>
        <w:ind w:left="-20" w:right="40" w:firstLine="436"/>
        <w:spacing w:after="0" w:line="291" w:lineRule="auto"/>
        <w:tabs>
          <w:tab w:leader="none" w:pos="675" w:val="left"/>
        </w:tabs>
        <w:numPr>
          <w:ilvl w:val="0"/>
          <w:numId w:val="75"/>
        </w:numPr>
        <w:rPr>
          <w:rFonts w:ascii="Arial" w:cs="Arial" w:eastAsia="Arial" w:hAnsi="Arial"/>
          <w:sz w:val="16"/>
          <w:szCs w:val="16"/>
          <w:color w:val="auto"/>
        </w:rPr>
      </w:pPr>
      <w:r>
        <w:rPr>
          <w:rFonts w:ascii="Arial" w:cs="Arial" w:eastAsia="Arial" w:hAnsi="Arial"/>
          <w:sz w:val="16"/>
          <w:szCs w:val="16"/>
          <w:color w:val="auto"/>
        </w:rPr>
        <w:t>Unless the Administrative Agent shall have received notice from the Borrower prior to the date on which any payment is due to the Administrative Agent for the account of the Lenders or an Issuing Bank hereunder that the Borrower will not make such payment, the Administrative Agent may assume that the Borrower has made such payment on such date in accordance herewith and may, in reliance upon such assumption and in its sole discretion, distribute to the Lenders or the applicable Issuing Bank, as the case may be, the amount due. In such event, if the Borrower has not in fact made such payment, then each of the Lenders or the applicable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Overnight Rate.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60"/>
          </w:cols>
          <w:pgMar w:left="460" w:top="274" w:right="479" w:bottom="1440" w:gutter="0" w:footer="0" w:header="0"/>
        </w:sectPr>
      </w:pPr>
    </w:p>
    <w:bookmarkStart w:id="77" w:name="page78"/>
    <w:bookmarkEnd w:id="77"/>
    <w:p>
      <w:pPr>
        <w:ind w:right="140" w:firstLine="436"/>
        <w:spacing w:after="0" w:line="259" w:lineRule="auto"/>
        <w:tabs>
          <w:tab w:leader="none" w:pos="685" w:val="left"/>
        </w:tabs>
        <w:numPr>
          <w:ilvl w:val="0"/>
          <w:numId w:val="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any Lender shall fail to make any payment required to be made by it pursuant to Section 2.05(c), 2.03(b) or (g), 2.16(d) or 9.03(c),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2.17 Mitigation Obligations; Replacement of Lenders.</w:t>
      </w:r>
    </w:p>
    <w:p>
      <w:pPr>
        <w:spacing w:after="0" w:line="117" w:lineRule="exact"/>
        <w:rPr>
          <w:sz w:val="20"/>
          <w:szCs w:val="20"/>
          <w:color w:val="auto"/>
        </w:rPr>
      </w:pPr>
    </w:p>
    <w:p>
      <w:pPr>
        <w:ind w:right="20" w:firstLine="436"/>
        <w:spacing w:after="0" w:line="272" w:lineRule="auto"/>
        <w:tabs>
          <w:tab w:leader="none" w:pos="685" w:val="left"/>
        </w:tabs>
        <w:numPr>
          <w:ilvl w:val="0"/>
          <w:numId w:val="77"/>
        </w:numPr>
        <w:rPr>
          <w:rFonts w:ascii="Arial" w:cs="Arial" w:eastAsia="Arial" w:hAnsi="Arial"/>
          <w:sz w:val="17"/>
          <w:szCs w:val="17"/>
          <w:color w:val="auto"/>
        </w:rPr>
      </w:pPr>
      <w:r>
        <w:rPr>
          <w:rFonts w:ascii="Arial" w:cs="Arial" w:eastAsia="Arial" w:hAnsi="Arial"/>
          <w:sz w:val="17"/>
          <w:szCs w:val="17"/>
          <w:color w:val="auto"/>
        </w:rPr>
        <w:t>If any Lender requests compensation under Section 2.13, or if the Borrower is required to pay any additional amount to any Lender or any Governmental Authority for the account of any Lender pursuant to Section 2.15,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2.13 or 2.15, as the case may be, in the future and (ii) would not subject such Lender to any unreimbursed cost or expense and would not be inconsistent with its internal policies or otherwise be disadvantageous to such Lender. The Borrower hereby agrees to pay all reasonable costs and expenses incurred by any Lender in connection with any such designation or assignment.</w:t>
      </w:r>
    </w:p>
    <w:p>
      <w:pPr>
        <w:spacing w:after="0" w:line="69" w:lineRule="exact"/>
        <w:rPr>
          <w:rFonts w:ascii="Arial" w:cs="Arial" w:eastAsia="Arial" w:hAnsi="Arial"/>
          <w:sz w:val="17"/>
          <w:szCs w:val="17"/>
          <w:color w:val="auto"/>
        </w:rPr>
      </w:pPr>
    </w:p>
    <w:p>
      <w:pPr>
        <w:ind w:firstLine="436"/>
        <w:spacing w:after="0" w:line="285" w:lineRule="auto"/>
        <w:tabs>
          <w:tab w:leader="none" w:pos="695"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If any Lender requests compensation under Section 2.13, or if the Borrower is required to pay any additional amount to any Lender or any Governmental Authority for the account of any Lender pursuant to Section 2.15, or if any Lender becomes a Defaulting Lender, then the Borrower may, at its sole expense and effort, upon notice to such Lender and the Administrative Agent, require such Lender to assign and delegate, without recourse (in accordance with and subject to the restrictions contained in Section 9.04), all its interests, rights and obligations under this Agreement to an assignee that shall assume such obligations (which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Borrower shall have received the prior written consent of the Administrative Agent (and, if a Revolving Commitment is being assigned, the Issuing Banks), which consent shall not unreasonably be withheld, (ii) such Lender shall have received payment of an amount equal to the outstanding principal of its Loans and LC Advances, accrued interest thereon, accrued fees and all other amounts payable to it hereunder from the assignee or the Borrower, (iii) the Borrower or such assignee shall have paid to the Administrative Agent the processing and recordation fee specified in Section 9.04(b) and (iv) in the case of any such assignment resulting from a claim for compensation under Section 2.13 or payments required to be made pursuant to Section 2.15, such assignment will result in a material reduction in such compensation or payments. A Lender shall not be required to make any such assignment and delegation if, prior thereto, as a result of a waiver by such Lender or otherwise (including as a result of any action taken by such Lender under paragraph (a) above), the circumstances entitling the Borrower to require such assignment and delegation cease to apply. Additionally, at any time that a Lender is a Defaulting Lender, the Borrower may elect to terminate the Commitment of such Lender so long as any resulting change in the Revolving Exposures as a result of such termination would not cause the Revolving Exposure of any Revolving Lender to exceed the Revolving Commitment of such Revolving Lender except in the case of any Revolving Loans of such Defaulting Lender that are then outstanding (in which case, the Borrower may only terminate the unused portion of such Defaulting Lender’s Revolving Commitment;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any prepayment of Revolving Loans by the Borrower following any such termination, the outstanding Revolving Loans of such Defaulting Lender shall be prepaid as if its Revolving Commitment was as in effect at the time such Defaulting Lender became a Defaulting Lender).</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0"/>
          </w:cols>
          <w:pgMar w:left="440" w:top="274" w:right="459" w:bottom="1440" w:gutter="0" w:footer="0" w:header="0"/>
        </w:sectPr>
      </w:pPr>
    </w:p>
    <w:bookmarkStart w:id="78" w:name="page79"/>
    <w:bookmarkEnd w:id="7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2.18 Incremental Revolving Commitments.</w:t>
      </w:r>
    </w:p>
    <w:p>
      <w:pPr>
        <w:spacing w:after="0" w:line="117" w:lineRule="exact"/>
        <w:rPr>
          <w:sz w:val="20"/>
          <w:szCs w:val="20"/>
          <w:color w:val="auto"/>
        </w:rPr>
      </w:pPr>
    </w:p>
    <w:p>
      <w:pPr>
        <w:ind w:firstLine="436"/>
        <w:spacing w:after="0" w:line="288" w:lineRule="auto"/>
        <w:tabs>
          <w:tab w:leader="none" w:pos="685" w:val="left"/>
        </w:tabs>
        <w:numPr>
          <w:ilvl w:val="0"/>
          <w:numId w:val="78"/>
        </w:numPr>
        <w:rPr>
          <w:rFonts w:ascii="Arial" w:cs="Arial" w:eastAsia="Arial" w:hAnsi="Arial"/>
          <w:sz w:val="16"/>
          <w:szCs w:val="16"/>
          <w:color w:val="auto"/>
        </w:rPr>
      </w:pPr>
      <w:r>
        <w:rPr>
          <w:rFonts w:ascii="Arial" w:cs="Arial" w:eastAsia="Arial" w:hAnsi="Arial"/>
          <w:sz w:val="16"/>
          <w:szCs w:val="16"/>
          <w:color w:val="auto"/>
        </w:rPr>
        <w:t>At any time and from time to time prior to the Maturity Date, subject to the terms and conditions set forth herein, the Borrower may, by notice to the Administrative Agent (whereupon the Administrative Agent shall promptly deliver a copy to each of the Lenders), request to increase the existing Revolving Commitments under either Facility (“</w:t>
      </w:r>
      <w:r>
        <w:rPr>
          <w:rFonts w:ascii="Arial" w:cs="Arial" w:eastAsia="Arial" w:hAnsi="Arial"/>
          <w:sz w:val="16"/>
          <w:szCs w:val="16"/>
          <w:u w:val="single" w:color="auto"/>
          <w:color w:val="auto"/>
        </w:rPr>
        <w:t>Incremental Revolving Commitments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time of each such request and upon the effectiveness of each Incremental Facility Amendment, (A) no Default has occurred and is continuing or shall result therefrom, (B) the Borrower shall be in compliance on a Pro Forma Basis with the covenant contained in Section 6.08 recomputed as of the last day of the most recent fiscal quarter for which financial statements have been or were required to be delivered pursuant to paragraph (a) or (b) of Section 5.01, and (C) the Borrower shall have delivered a certificate of a Financial Officer to the effect set forth in clauses (A) and (B) above, together with all calculations relevant thereto, including reasonably detailed calculations demonstrating compliance with clause (B) above. Notwithstanding anything to the contrary herein, the aggregate principal amount of the Incremental Revolving Commitments shall not exceed $500,000,000. Each exercise of the Borrower’s right to seek Incremental Revolving Commitments shall be in an integral multiple of $1,000,000 and be in an aggregate principal amount that is not less than $25,000,000.</w:t>
      </w:r>
    </w:p>
    <w:p>
      <w:pPr>
        <w:spacing w:after="0" w:line="60" w:lineRule="exact"/>
        <w:rPr>
          <w:rFonts w:ascii="Arial" w:cs="Arial" w:eastAsia="Arial" w:hAnsi="Arial"/>
          <w:sz w:val="16"/>
          <w:szCs w:val="16"/>
          <w:color w:val="auto"/>
        </w:rPr>
      </w:pPr>
    </w:p>
    <w:p>
      <w:pPr>
        <w:ind w:right="20" w:firstLine="436"/>
        <w:spacing w:after="0" w:line="268" w:lineRule="auto"/>
        <w:tabs>
          <w:tab w:leader="none" w:pos="695" w:val="left"/>
        </w:tabs>
        <w:numPr>
          <w:ilvl w:val="0"/>
          <w:numId w:val="78"/>
        </w:numPr>
        <w:rPr>
          <w:rFonts w:ascii="Arial" w:cs="Arial" w:eastAsia="Arial" w:hAnsi="Arial"/>
          <w:sz w:val="17"/>
          <w:szCs w:val="17"/>
          <w:color w:val="auto"/>
        </w:rPr>
      </w:pPr>
      <w:r>
        <w:rPr>
          <w:rFonts w:ascii="Arial" w:cs="Arial" w:eastAsia="Arial" w:hAnsi="Arial"/>
          <w:sz w:val="17"/>
          <w:szCs w:val="17"/>
          <w:color w:val="auto"/>
        </w:rPr>
        <w:t>Each notice from the Borrower pursuant to this Section shall set forth the requested amount and proposed terms of the relevant Incremental Revolving Commitments. Any additional bank, financial institution, existing Lender or other Person that elects to extend Incremental Revolving Commitments (any such bank, financial institution, existing Lender or other Person being called an “</w:t>
      </w:r>
      <w:r>
        <w:rPr>
          <w:rFonts w:ascii="Arial" w:cs="Arial" w:eastAsia="Arial" w:hAnsi="Arial"/>
          <w:sz w:val="17"/>
          <w:szCs w:val="17"/>
          <w:u w:val="single" w:color="auto"/>
          <w:color w:val="auto"/>
        </w:rPr>
        <w:t>Additional Lender</w:t>
      </w:r>
      <w:r>
        <w:rPr>
          <w:rFonts w:ascii="Arial" w:cs="Arial" w:eastAsia="Arial" w:hAnsi="Arial"/>
          <w:sz w:val="17"/>
          <w:szCs w:val="17"/>
          <w:color w:val="auto"/>
        </w:rPr>
        <w:t>”) shall be reasonably satisfactory to the Borrower and the Administrative Agent and, if not already a Lender, shall become a Lender under this Agreement pursuant to an amendment (an “</w:t>
      </w:r>
      <w:r>
        <w:rPr>
          <w:rFonts w:ascii="Arial" w:cs="Arial" w:eastAsia="Arial" w:hAnsi="Arial"/>
          <w:sz w:val="17"/>
          <w:szCs w:val="17"/>
          <w:u w:val="single" w:color="auto"/>
          <w:color w:val="auto"/>
        </w:rPr>
        <w:t>Incremental Facility Amendment</w:t>
      </w:r>
      <w:r>
        <w:rPr>
          <w:rFonts w:ascii="Arial" w:cs="Arial" w:eastAsia="Arial" w:hAnsi="Arial"/>
          <w:sz w:val="17"/>
          <w:szCs w:val="17"/>
          <w:color w:val="auto"/>
        </w:rPr>
        <w:t>”) to this Agreement and, as appropriate, the other Loan Documents, executed by the Borrower, such Additional Lender and the Administrative Agent. No Lender shall be obligated to provide any Incremental Revolving Commitment unless, in its sole discretion, it so agrees. An Incremental Facility Amendment may, without the consent of any other Lenders, effect such amendments to any Loan Documents as may be necessary or appropriate, in the opinion of the Administrative Agent, to effect the provisions of this Section (including to provide for voting provisions applicable to the Additional Lenders comparable to the provisions of clause (B) of the second proviso of Section 9.02(b)). The effectiveness of any Incremental Facility Amendment shall, unless otherwise agreed to by the Administrative Agent and the Additional Lenders, be subject to the satisfaction on the date thereof (each, an “</w:t>
      </w:r>
      <w:r>
        <w:rPr>
          <w:rFonts w:ascii="Arial" w:cs="Arial" w:eastAsia="Arial" w:hAnsi="Arial"/>
          <w:sz w:val="17"/>
          <w:szCs w:val="17"/>
          <w:u w:val="single" w:color="auto"/>
          <w:color w:val="auto"/>
        </w:rPr>
        <w:t>Incremental Facility Closing Date</w:t>
      </w:r>
      <w:r>
        <w:rPr>
          <w:rFonts w:ascii="Arial" w:cs="Arial" w:eastAsia="Arial" w:hAnsi="Arial"/>
          <w:sz w:val="17"/>
          <w:szCs w:val="17"/>
          <w:color w:val="auto"/>
        </w:rPr>
        <w:t>”) of each of the conditions set forth in Section 4.02 (it being understood that all references to “the date of such Borrowing” in Section 4.02 shall be deemed to refer to the Incremental Facility Closing Date). The Administrative Agent shall receive not less than 10 Business Days’ advance notice (or shorter, if agreed by the Administrative Agent) prior to any proposed Incremental Facility Closing Date.</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REPRESENTATIONS AND WARRANTIES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Borrower represents and warrants to the Lenders that:</w:t>
      </w:r>
    </w:p>
    <w:p>
      <w:pPr>
        <w:spacing w:after="0" w:line="11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SECTION 3.01 Organization; Powers. Each of the Borrower and its Material Subsidiaries (a) is duly organized, validly existing and (where such concept exists) in good standing (or its equivalent, if any) under the laws of the jurisdiction of its organization except to the extent failure to do so (other than with respect to the Borrower) would not reasonably be expected to have a Material Adverse Effect, (b) has all requisite corporate power and authority to carry on its business as now conducted except where the failure to have the same would not reasonably be expected to have Material Adverse Effect and (c) is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60"/>
          </w:cols>
          <w:pgMar w:left="440" w:top="274" w:right="499" w:bottom="1440" w:gutter="0" w:footer="0" w:header="0"/>
        </w:sectPr>
      </w:pPr>
    </w:p>
    <w:bookmarkStart w:id="79" w:name="page80"/>
    <w:bookmarkEnd w:id="79"/>
    <w:p>
      <w:pPr>
        <w:ind w:left="4"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qualified to do business in, and (where such concept exists) is in good standing (or its equivalent, if any) in, every jurisdiction where such qualification is required except where the failure to be so qualified or to be (where such concept exists) in good standing (or its equivalent, if any) would not reasonably be expected to have a Material Adverse Effect.</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SECTION 3.02 Authorization; Enforceability.</w:t>
      </w:r>
    </w:p>
    <w:p>
      <w:pPr>
        <w:spacing w:after="0" w:line="117" w:lineRule="exact"/>
        <w:rPr>
          <w:sz w:val="20"/>
          <w:szCs w:val="20"/>
          <w:color w:val="auto"/>
        </w:rPr>
      </w:pPr>
    </w:p>
    <w:p>
      <w:pPr>
        <w:ind w:left="4" w:right="100" w:firstLine="436"/>
        <w:spacing w:after="0" w:line="263" w:lineRule="auto"/>
        <w:tabs>
          <w:tab w:leader="none" w:pos="689"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Transactions to be entered into and the execution and delivery of this Agreement and each other Loan Document to which it is a party by the Borrower are within the Borrower’s corporate powers and have been or will by the time required be duly authorized by all necessary corporate or other action.</w:t>
      </w:r>
    </w:p>
    <w:p>
      <w:pPr>
        <w:spacing w:after="0" w:line="75" w:lineRule="exact"/>
        <w:rPr>
          <w:rFonts w:ascii="Arial" w:cs="Arial" w:eastAsia="Arial" w:hAnsi="Arial"/>
          <w:sz w:val="18"/>
          <w:szCs w:val="18"/>
          <w:color w:val="auto"/>
        </w:rPr>
      </w:pPr>
    </w:p>
    <w:p>
      <w:pPr>
        <w:ind w:left="4" w:firstLine="436"/>
        <w:spacing w:after="0" w:line="279" w:lineRule="auto"/>
        <w:tabs>
          <w:tab w:leader="none" w:pos="699"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This Agreement has been duly executed and delivered by the Borrower and constitutes, and each other Loan Document to which the Borrower is to be a party, when executed and delivered by the Borrower, will constitute, a legal, valid and binding obligation of the Borrower,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7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SECTION 3.03 Governmental Approvals; No Conflicts. The Transactions and the execution and delivery of this Agreement by the Borrower</w:t>
      </w:r>
    </w:p>
    <w:p>
      <w:pPr>
        <w:spacing w:after="0" w:line="35" w:lineRule="exact"/>
        <w:rPr>
          <w:sz w:val="20"/>
          <w:szCs w:val="20"/>
          <w:color w:val="auto"/>
        </w:rPr>
      </w:pPr>
    </w:p>
    <w:p>
      <w:pPr>
        <w:ind w:left="4" w:right="20" w:hanging="4"/>
        <w:spacing w:after="0" w:line="251" w:lineRule="auto"/>
        <w:tabs>
          <w:tab w:leader="none" w:pos="249" w:val="left"/>
        </w:tabs>
        <w:numPr>
          <w:ilvl w:val="0"/>
          <w:numId w:val="80"/>
        </w:numPr>
        <w:rPr>
          <w:rFonts w:ascii="Arial" w:cs="Arial" w:eastAsia="Arial" w:hAnsi="Arial"/>
          <w:sz w:val="18"/>
          <w:szCs w:val="18"/>
          <w:color w:val="auto"/>
        </w:rPr>
      </w:pPr>
      <w:r>
        <w:rPr>
          <w:rFonts w:ascii="Arial" w:cs="Arial" w:eastAsia="Arial" w:hAnsi="Arial"/>
          <w:sz w:val="18"/>
          <w:szCs w:val="18"/>
          <w:color w:val="auto"/>
        </w:rPr>
        <w:t>do not require any consent or approval of, registration or filing with, or any other action by, any Governmental Authority, except such as have been, or will be by the time required, obtained or made and are, or will be by the time required, in full force and effect, (b) will not violate the Organizational Documents of the Borrower, (c) will not violate any Requirement of Law applicable to the Borrower, (d) will not violate or result in a default under any indenture, agreement or other instrument binding upon the Borrower or any Subsidiary or their respective assets, or give rise to a right thereunder to require any payment to be made by the Borrower or any Subsidiary or give rise to a right of, or result in, termination, cancellation or acceleration of any obligation thereunder, and (e) will not result in the creation or imposition of any Lien on any asset of the Borrower or any Subsidiary, except Liens permitted by Section 6.02, except, in the case of clauses (c) and (d), for any such violations, defaults or rights that, would not reasonably be expected to have a Material Adverse Effect.</w:t>
      </w:r>
    </w:p>
    <w:p>
      <w:pPr>
        <w:spacing w:after="0" w:line="19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SECTION 3.04 Financial Condition; No Material Adverse Change.</w:t>
      </w:r>
    </w:p>
    <w:p>
      <w:pPr>
        <w:spacing w:after="0" w:line="117" w:lineRule="exact"/>
        <w:rPr>
          <w:sz w:val="20"/>
          <w:szCs w:val="20"/>
          <w:color w:val="auto"/>
        </w:rPr>
      </w:pPr>
    </w:p>
    <w:p>
      <w:pPr>
        <w:ind w:left="4" w:right="180" w:firstLine="436"/>
        <w:spacing w:after="0" w:line="257" w:lineRule="auto"/>
        <w:tabs>
          <w:tab w:leader="none" w:pos="689"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Borrower has heretofore furnished to the Lenders or publicly filed its consolidated balance sheet as of the end of the fiscal year ended December 31, 2016 and consolidated statements of income, stockholders’ equity and cash flows for the fiscal year ended December 31, 2016, in each case reported on by Ernst &amp; Young LLP, independent public accountants for the Borrower. Such financial statements present fairly, in all material respects, the financial position and results of operations and cash flows of the Borrower and its consolidated subsidiaries as of such dates and for such periods in accordance with GAAP consistently applied.</w:t>
      </w:r>
    </w:p>
    <w:p>
      <w:pPr>
        <w:spacing w:after="0" w:line="79" w:lineRule="exact"/>
        <w:rPr>
          <w:rFonts w:ascii="Arial" w:cs="Arial" w:eastAsia="Arial" w:hAnsi="Arial"/>
          <w:sz w:val="18"/>
          <w:szCs w:val="18"/>
          <w:color w:val="auto"/>
        </w:rPr>
      </w:pPr>
    </w:p>
    <w:p>
      <w:pPr>
        <w:ind w:left="4" w:right="40" w:firstLine="436"/>
        <w:spacing w:after="0" w:line="277" w:lineRule="auto"/>
        <w:tabs>
          <w:tab w:leader="none" w:pos="699" w:val="left"/>
        </w:tabs>
        <w:numPr>
          <w:ilvl w:val="0"/>
          <w:numId w:val="81"/>
        </w:numPr>
        <w:rPr>
          <w:rFonts w:ascii="Arial" w:cs="Arial" w:eastAsia="Arial" w:hAnsi="Arial"/>
          <w:sz w:val="18"/>
          <w:szCs w:val="18"/>
          <w:color w:val="auto"/>
        </w:rPr>
      </w:pPr>
      <w:r>
        <w:rPr>
          <w:rFonts w:ascii="Arial" w:cs="Arial" w:eastAsia="Arial" w:hAnsi="Arial"/>
          <w:sz w:val="18"/>
          <w:szCs w:val="18"/>
          <w:color w:val="auto"/>
        </w:rPr>
        <w:t>As of the Closing Date, no event, change or condition has occurred that has had, or would reasonably be expected to have, a Material Adverse Effect since December 31, 2016.</w:t>
      </w:r>
    </w:p>
    <w:p>
      <w:pPr>
        <w:spacing w:after="0" w:line="1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64"/>
          </w:cols>
          <w:pgMar w:left="436" w:top="274" w:right="499" w:bottom="1440" w:gutter="0" w:footer="0" w:header="0"/>
        </w:sectPr>
      </w:pPr>
    </w:p>
    <w:bookmarkStart w:id="80" w:name="page81"/>
    <w:bookmarkEnd w:id="8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3.05 Properties. Except as would not reasonably be expected to have a Material Adverse Effect:</w:t>
      </w:r>
    </w:p>
    <w:p>
      <w:pPr>
        <w:spacing w:after="0" w:line="117" w:lineRule="exact"/>
        <w:rPr>
          <w:sz w:val="20"/>
          <w:szCs w:val="20"/>
          <w:color w:val="auto"/>
        </w:rPr>
      </w:pPr>
    </w:p>
    <w:p>
      <w:pPr>
        <w:ind w:left="440" w:right="20" w:firstLine="419"/>
        <w:spacing w:after="0" w:line="263" w:lineRule="auto"/>
        <w:tabs>
          <w:tab w:leader="none" w:pos="1108" w:val="left"/>
        </w:tabs>
        <w:numPr>
          <w:ilvl w:val="0"/>
          <w:numId w:val="82"/>
        </w:numPr>
        <w:rPr>
          <w:rFonts w:ascii="Arial" w:cs="Arial" w:eastAsia="Arial" w:hAnsi="Arial"/>
          <w:sz w:val="18"/>
          <w:szCs w:val="18"/>
          <w:color w:val="auto"/>
        </w:rPr>
      </w:pPr>
      <w:r>
        <w:rPr>
          <w:rFonts w:ascii="Arial" w:cs="Arial" w:eastAsia="Arial" w:hAnsi="Arial"/>
          <w:sz w:val="18"/>
          <w:szCs w:val="18"/>
          <w:color w:val="auto"/>
        </w:rPr>
        <w:t>each of the Borrower and the Subsidiaries has good title to, or valid leasehold interests in, all its real and personal property material to its business, except for minor defects in title that do not interfere with its ability to conduct its business as currently conducted or as proposed to be conducted or to utilize such properties for their intended purposes; and</w:t>
      </w:r>
    </w:p>
    <w:p>
      <w:pPr>
        <w:spacing w:after="0" w:line="75" w:lineRule="exact"/>
        <w:rPr>
          <w:rFonts w:ascii="Arial" w:cs="Arial" w:eastAsia="Arial" w:hAnsi="Arial"/>
          <w:sz w:val="18"/>
          <w:szCs w:val="18"/>
          <w:color w:val="auto"/>
        </w:rPr>
      </w:pPr>
    </w:p>
    <w:p>
      <w:pPr>
        <w:ind w:left="440" w:right="120" w:firstLine="419"/>
        <w:spacing w:after="0" w:line="263" w:lineRule="auto"/>
        <w:tabs>
          <w:tab w:leader="none" w:pos="1118"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Borrower and the Subsidiaries own, or are licensed to use, all trademarks, trade names, copyrights, patents and other intellectual property material to the business of the Borrower and the Subsidiaries, taken as a whole, and the use thereof by the Borrower or such Subsidiary, as applicable, does not infringe upon the rights of any other Person.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3.06 Litigation and Environmental Matters.</w:t>
      </w:r>
    </w:p>
    <w:p>
      <w:pPr>
        <w:spacing w:after="0" w:line="117" w:lineRule="exact"/>
        <w:rPr>
          <w:sz w:val="20"/>
          <w:szCs w:val="20"/>
          <w:color w:val="auto"/>
        </w:rPr>
      </w:pPr>
    </w:p>
    <w:p>
      <w:pPr>
        <w:jc w:val="both"/>
        <w:ind w:right="20" w:firstLine="436"/>
        <w:spacing w:after="0" w:line="263" w:lineRule="auto"/>
        <w:tabs>
          <w:tab w:leader="none" w:pos="685" w:val="left"/>
        </w:tabs>
        <w:numPr>
          <w:ilvl w:val="0"/>
          <w:numId w:val="83"/>
        </w:numPr>
        <w:rPr>
          <w:rFonts w:ascii="Arial" w:cs="Arial" w:eastAsia="Arial" w:hAnsi="Arial"/>
          <w:sz w:val="18"/>
          <w:szCs w:val="18"/>
          <w:color w:val="auto"/>
        </w:rPr>
      </w:pPr>
      <w:r>
        <w:rPr>
          <w:rFonts w:ascii="Arial" w:cs="Arial" w:eastAsia="Arial" w:hAnsi="Arial"/>
          <w:sz w:val="18"/>
          <w:szCs w:val="18"/>
          <w:color w:val="auto"/>
        </w:rPr>
        <w:t>As of the Closing Date, there are no actions, suits or proceedings by or before any arbitrator or Governmental Authority pending against or, to the knowledge of the Borrower, threatened against the Borrower or any Subsidiary that would reasonably be expected to have a Material Adverse Effect (other than the Disclosed Matters).</w:t>
      </w:r>
    </w:p>
    <w:p>
      <w:pPr>
        <w:spacing w:after="0" w:line="75" w:lineRule="exact"/>
        <w:rPr>
          <w:rFonts w:ascii="Arial" w:cs="Arial" w:eastAsia="Arial" w:hAnsi="Arial"/>
          <w:sz w:val="18"/>
          <w:szCs w:val="18"/>
          <w:color w:val="auto"/>
        </w:rPr>
      </w:pPr>
    </w:p>
    <w:p>
      <w:pPr>
        <w:ind w:firstLine="436"/>
        <w:spacing w:after="0" w:line="259" w:lineRule="auto"/>
        <w:tabs>
          <w:tab w:leader="none" w:pos="695"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Except for the Disclosed Matters and except with respect to any other matters that would not reasonably be expected to have a Material Adverse Effect, neither the Borrower nor any Subsidiary (i) has failed to comply with any Environmental Law or to obtain, maintain or comply with any permit, license or other approval required under any Environmental Law, (ii) has become subject to any Environmental Liability, or (iii) has received notice of any claim with respect to any Environmental Liability.</w:t>
      </w:r>
    </w:p>
    <w:p>
      <w:pPr>
        <w:spacing w:after="0" w:line="187"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SECTION 3.07 Compliance with Laws. Each of the Borrower and the Subsidiaries is in compliance with all Requirements of Law applicable to it or its property, except where the failure to do so would not reasonably be expected to have a Material Adverse Effect.</w:t>
      </w:r>
    </w:p>
    <w:p>
      <w:pPr>
        <w:spacing w:after="0" w:line="170"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SECTION 3.08 Investment Company Status. None of the Borrower or any Subsidiary is an “investment company” as defined in, or subject to regulation as an “investment company” under, the Investment Company Act of 1940.</w:t>
      </w:r>
    </w:p>
    <w:p>
      <w:pPr>
        <w:spacing w:after="0" w:line="170" w:lineRule="exact"/>
        <w:rPr>
          <w:sz w:val="20"/>
          <w:szCs w:val="20"/>
          <w:color w:val="auto"/>
        </w:rPr>
      </w:pPr>
    </w:p>
    <w:p>
      <w:pPr>
        <w:jc w:val="both"/>
        <w:ind w:right="160" w:firstLine="440"/>
        <w:spacing w:after="0" w:line="257" w:lineRule="auto"/>
        <w:rPr>
          <w:sz w:val="20"/>
          <w:szCs w:val="20"/>
          <w:color w:val="auto"/>
        </w:rPr>
      </w:pPr>
      <w:r>
        <w:rPr>
          <w:rFonts w:ascii="Arial" w:cs="Arial" w:eastAsia="Arial" w:hAnsi="Arial"/>
          <w:sz w:val="18"/>
          <w:szCs w:val="18"/>
          <w:color w:val="auto"/>
        </w:rPr>
        <w:t>SECTION 3.09 Taxes. Except (a) for failures that would not reasonably be expected to have a Material Adverse Effect and (b) with respect to Taxes that are being contested in good faith by appropriate proceedings and adequate reserves for such Taxes have been provided on the books of the Borrower or its Subsidiaries in accordance with GAAP, the Borrower and each of its Subsidiaries has (i) timely filed or caused to be filed (taking into account valid extensions) all Tax returns and reports required to have been filed, and (ii) paid or caused to be paid all Taxes required to have been paid by it (including any such Taxes in the capacity of a withholding agent).</w:t>
      </w:r>
    </w:p>
    <w:p>
      <w:pPr>
        <w:spacing w:after="0" w:line="188"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SECTION 3.10 ERISA. No ERISA Event has occurred or is reasonably expected to occur that, when taken together with all other such ERISA Events for which liability is reasonably expected to occur, would reasonably be expected to have a Material Adverse Effect. The minimum funding standards of ERISA and the Code with respect to each Plan have been satisfied except where a failure to meet such minimum funding standards would not reasonably be expected to have a Material Adverse Effect. There exists no Unfunded Pension Liability with respect to any Plan, except as would not reasonably be expected to have a Material Adverse Effect.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80"/>
          </w:cols>
          <w:pgMar w:left="440" w:top="274" w:right="479" w:bottom="1440" w:gutter="0" w:footer="0" w:header="0"/>
        </w:sectPr>
      </w:pPr>
    </w:p>
    <w:bookmarkStart w:id="81" w:name="page82"/>
    <w:bookmarkEnd w:id="81"/>
    <w:p>
      <w:pPr>
        <w:ind w:right="20" w:firstLine="4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3.11 Disclosure. To the best of the Borrower’s knowledge, none of the reports, financial statements, certificates or any other information (other than information of a general economic or general industry nature) furnished in writing by or on behalf of the Borrower to the Administrative Agent or any Lender in connection with the negotiation of any Loan Document or delivered thereunder (as modified or supplemented by other information so furnished and taken together as a whole) contains any untrue statement of material fact or omits to state any material fact necessary to make the statements therein, in the light of the circumstances under which they were made, not materially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any such information consisting of projections, forecasts and other forward-looking statements with respect to the Borrower or any of its Subsidiaries (collectively, the “</w:t>
      </w:r>
      <w:r>
        <w:rPr>
          <w:rFonts w:ascii="Arial" w:cs="Arial" w:eastAsia="Arial" w:hAnsi="Arial"/>
          <w:sz w:val="16"/>
          <w:szCs w:val="16"/>
          <w:u w:val="single" w:color="auto"/>
          <w:color w:val="auto"/>
        </w:rPr>
        <w:t>Projections</w:t>
      </w:r>
      <w:r>
        <w:rPr>
          <w:rFonts w:ascii="Arial" w:cs="Arial" w:eastAsia="Arial" w:hAnsi="Arial"/>
          <w:sz w:val="16"/>
          <w:szCs w:val="16"/>
          <w:color w:val="auto"/>
        </w:rPr>
        <w:t>”), the Borrower represents only that any such Projections will be prepared based upon good faith assumptions believed by it to be reasonable at the time delivered (it being understood that such Projections are not to be viewed as facts, are subject to significant uncertainties and contingencies, many of which are beyond the control of the Borrower and its Subsidiaries, that no guarantee or other assurance can be given that any Projections will be realized, and that actual results may differ from Projections and such difference may be material).</w:t>
      </w:r>
    </w:p>
    <w:p>
      <w:pPr>
        <w:spacing w:after="0" w:line="168"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 xml:space="preserve">SECTION 3.12 Subsidiaries. </w:t>
      </w:r>
      <w:r>
        <w:rPr>
          <w:rFonts w:ascii="Arial" w:cs="Arial" w:eastAsia="Arial" w:hAnsi="Arial"/>
          <w:sz w:val="18"/>
          <w:szCs w:val="18"/>
          <w:u w:val="single" w:color="auto"/>
          <w:color w:val="auto"/>
        </w:rPr>
        <w:t>Schedule 3.12</w:t>
      </w:r>
      <w:r>
        <w:rPr>
          <w:rFonts w:ascii="Arial" w:cs="Arial" w:eastAsia="Arial" w:hAnsi="Arial"/>
          <w:sz w:val="18"/>
          <w:szCs w:val="18"/>
          <w:color w:val="auto"/>
        </w:rPr>
        <w:t xml:space="preserve"> sets forth the name of, and the ownership interest of the Borrower and each Subsidiary in, each Subsidiary as of the Closing Date.</w:t>
      </w:r>
    </w:p>
    <w:p>
      <w:pPr>
        <w:spacing w:after="0" w:line="170"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SECTION 3.13 Insurance. The Borrower believes that the insurance maintained by or on behalf of the Borrower and its Material Subsidiaries complies with the requirements set forth in Section 5.06.</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3.14 Federal Reserve Regulations.</w:t>
      </w:r>
    </w:p>
    <w:p>
      <w:pPr>
        <w:spacing w:after="0" w:line="117" w:lineRule="exact"/>
        <w:rPr>
          <w:sz w:val="20"/>
          <w:szCs w:val="20"/>
          <w:color w:val="auto"/>
        </w:rPr>
      </w:pPr>
    </w:p>
    <w:p>
      <w:pPr>
        <w:ind w:right="180" w:firstLine="436"/>
        <w:spacing w:after="0" w:line="277" w:lineRule="auto"/>
        <w:tabs>
          <w:tab w:leader="none" w:pos="68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Borrower is not engaged principally, or as one of its important activities, in the business of extending credit for the purpose of buying or carrying Margin Stock.</w:t>
      </w:r>
    </w:p>
    <w:p>
      <w:pPr>
        <w:spacing w:after="0" w:line="62" w:lineRule="exact"/>
        <w:rPr>
          <w:rFonts w:ascii="Arial" w:cs="Arial" w:eastAsia="Arial" w:hAnsi="Arial"/>
          <w:sz w:val="18"/>
          <w:szCs w:val="18"/>
          <w:color w:val="auto"/>
        </w:rPr>
      </w:pPr>
    </w:p>
    <w:p>
      <w:pPr>
        <w:ind w:firstLine="436"/>
        <w:spacing w:after="0" w:line="277" w:lineRule="auto"/>
        <w:tabs>
          <w:tab w:leader="none" w:pos="69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Taking into account all of the Transactions, no part of the proceeds of the Loans will be used for any purpose that violates the provisions of the Regulations of the Board, including Regulation T, U or X.</w:t>
      </w:r>
    </w:p>
    <w:p>
      <w:pPr>
        <w:spacing w:after="0" w:line="170"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SECTION 3.15 OFAC. Neither the Borrower, nor any of its Subsidiaries, nor, to the knowledge of the Borrower and its Subsidiaries, any director, officer, employee, agent, affiliate or representative thereof, is an individual or entity that is, or is owned or controlled by any individual or entity that is (i) currently the subject of any Sanctions or (ii) located, organized or resident in a Designated Jurisdiction.</w:t>
      </w:r>
    </w:p>
    <w:p>
      <w:pPr>
        <w:spacing w:after="0" w:line="184"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SECTION 3.16 Anti-Corruption Laws and Patriot Act. The Borrower and its Subsidiaries have conducted their businesses in compliance in all material respects with applicable Anti-Corruption Laws and the Patriot Act, as amended, and regulations thereunder, and have instituted and maintained policies and procedures reasonably designed to achieve compliance with such laws and regulations.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0980"/>
          </w:cols>
          <w:pgMar w:left="440" w:top="274" w:right="47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CONDITIONS</w:t>
      </w:r>
    </w:p>
    <w:p>
      <w:pPr>
        <w:spacing w:after="0" w:line="225" w:lineRule="exact"/>
        <w:rPr>
          <w:sz w:val="20"/>
          <w:szCs w:val="20"/>
          <w:color w:val="auto"/>
        </w:rPr>
      </w:pPr>
    </w:p>
    <w:p>
      <w:pPr>
        <w:ind w:right="320" w:firstLine="440"/>
        <w:spacing w:after="0" w:line="263" w:lineRule="auto"/>
        <w:rPr>
          <w:sz w:val="20"/>
          <w:szCs w:val="20"/>
          <w:color w:val="auto"/>
        </w:rPr>
      </w:pPr>
      <w:r>
        <w:rPr>
          <w:rFonts w:ascii="Arial" w:cs="Arial" w:eastAsia="Arial" w:hAnsi="Arial"/>
          <w:sz w:val="18"/>
          <w:szCs w:val="18"/>
          <w:color w:val="auto"/>
        </w:rPr>
        <w:t>SECTION 4.01 Conditions to the Closing Date. This Agreement and the obligations of the Lenders to make Loans and of the Issuing Banks to make LC Credit Extensions hereunder shall become effective on the first date when each of the following conditions is satisfied (or waived in accordance with Section 9.02):</w:t>
      </w:r>
    </w:p>
    <w:p>
      <w:pPr>
        <w:spacing w:after="0" w:line="76" w:lineRule="exact"/>
        <w:rPr>
          <w:sz w:val="20"/>
          <w:szCs w:val="20"/>
          <w:color w:val="auto"/>
        </w:rPr>
      </w:pPr>
    </w:p>
    <w:p>
      <w:pPr>
        <w:ind w:left="440" w:right="140" w:firstLine="419"/>
        <w:spacing w:after="0" w:line="259" w:lineRule="auto"/>
        <w:tabs>
          <w:tab w:leader="none" w:pos="1108"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Administrative Agent shall have received the following, each of which shall be originals, telecopies or electronic copies unless otherwise specified, each properly executed by a Responsible Officer of the Borrower (other than with respect to subclauses (iv) and (vi) below), each dated a date on or prior to the Closing Date and each in form and substance reasonably satisfactory to the Administrative Agent and the Arrangers:</w:t>
      </w:r>
    </w:p>
    <w:p>
      <w:pPr>
        <w:spacing w:after="0" w:line="78" w:lineRule="exact"/>
        <w:rPr>
          <w:rFonts w:ascii="Arial" w:cs="Arial" w:eastAsia="Arial" w:hAnsi="Arial"/>
          <w:sz w:val="18"/>
          <w:szCs w:val="18"/>
          <w:color w:val="auto"/>
        </w:rPr>
      </w:pPr>
    </w:p>
    <w:p>
      <w:pPr>
        <w:ind w:left="1600" w:hanging="212"/>
        <w:spacing w:after="0"/>
        <w:tabs>
          <w:tab w:leader="none" w:pos="16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executed counterparts of this Agreement from the Borrower;</w:t>
      </w:r>
    </w:p>
    <w:p>
      <w:pPr>
        <w:spacing w:after="0" w:line="117" w:lineRule="exact"/>
        <w:rPr>
          <w:rFonts w:ascii="Arial" w:cs="Arial" w:eastAsia="Arial" w:hAnsi="Arial"/>
          <w:sz w:val="18"/>
          <w:szCs w:val="18"/>
          <w:color w:val="auto"/>
        </w:rPr>
      </w:pPr>
    </w:p>
    <w:p>
      <w:pPr>
        <w:ind w:left="980" w:right="340" w:firstLine="408"/>
        <w:spacing w:after="0" w:line="277" w:lineRule="auto"/>
        <w:tabs>
          <w:tab w:leader="none" w:pos="1646" w:val="left"/>
        </w:tabs>
        <w:numPr>
          <w:ilvl w:val="1"/>
          <w:numId w:val="85"/>
        </w:numPr>
        <w:rPr>
          <w:rFonts w:ascii="Arial" w:cs="Arial" w:eastAsia="Arial" w:hAnsi="Arial"/>
          <w:sz w:val="18"/>
          <w:szCs w:val="18"/>
          <w:color w:val="auto"/>
        </w:rPr>
      </w:pPr>
      <w:r>
        <w:rPr>
          <w:rFonts w:ascii="Arial" w:cs="Arial" w:eastAsia="Arial" w:hAnsi="Arial"/>
          <w:sz w:val="18"/>
          <w:szCs w:val="18"/>
          <w:color w:val="auto"/>
        </w:rPr>
        <w:t>a promissory note executed by the Borrower in favor of each Lender requesting three Business Days in advance a promissory note evidencing the Loan provided by such Lender;</w:t>
      </w:r>
    </w:p>
    <w:p>
      <w:pPr>
        <w:spacing w:after="0" w:line="62" w:lineRule="exact"/>
        <w:rPr>
          <w:rFonts w:ascii="Arial" w:cs="Arial" w:eastAsia="Arial" w:hAnsi="Arial"/>
          <w:sz w:val="18"/>
          <w:szCs w:val="18"/>
          <w:color w:val="auto"/>
        </w:rPr>
      </w:pPr>
    </w:p>
    <w:p>
      <w:pPr>
        <w:ind w:left="980" w:firstLine="408"/>
        <w:spacing w:after="0" w:line="259" w:lineRule="auto"/>
        <w:tabs>
          <w:tab w:leader="none" w:pos="1696" w:val="left"/>
        </w:tabs>
        <w:numPr>
          <w:ilvl w:val="1"/>
          <w:numId w:val="85"/>
        </w:numPr>
        <w:rPr>
          <w:rFonts w:ascii="Arial" w:cs="Arial" w:eastAsia="Arial" w:hAnsi="Arial"/>
          <w:sz w:val="18"/>
          <w:szCs w:val="18"/>
          <w:color w:val="auto"/>
        </w:rPr>
      </w:pPr>
      <w:r>
        <w:rPr>
          <w:rFonts w:ascii="Arial" w:cs="Arial" w:eastAsia="Arial" w:hAnsi="Arial"/>
          <w:sz w:val="18"/>
          <w:szCs w:val="18"/>
          <w:color w:val="auto"/>
        </w:rPr>
        <w:t>such certificates of resolutions or other action, incumbency certificates and/or other certificates of Responsible Officers of the Borrower as the Administrative Agent may reasonably require evidencing the identity, authority and capacity of each Responsible Officer thereof authorized to act as a Responsible Officer in connection with this Agreement and the other Loan Documents to which the Borrower is a party or is to be a party;</w:t>
      </w:r>
    </w:p>
    <w:p>
      <w:pPr>
        <w:spacing w:after="0" w:line="78" w:lineRule="exact"/>
        <w:rPr>
          <w:rFonts w:ascii="Arial" w:cs="Arial" w:eastAsia="Arial" w:hAnsi="Arial"/>
          <w:sz w:val="18"/>
          <w:szCs w:val="18"/>
          <w:color w:val="auto"/>
        </w:rPr>
      </w:pPr>
    </w:p>
    <w:p>
      <w:pPr>
        <w:ind w:left="1700" w:hanging="312"/>
        <w:spacing w:after="0"/>
        <w:tabs>
          <w:tab w:leader="none" w:pos="170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 certificate of good standing for the Borrower from its jurisdiction of organization;</w:t>
      </w:r>
    </w:p>
    <w:p>
      <w:pPr>
        <w:spacing w:after="0" w:line="117" w:lineRule="exact"/>
        <w:rPr>
          <w:rFonts w:ascii="Arial" w:cs="Arial" w:eastAsia="Arial" w:hAnsi="Arial"/>
          <w:sz w:val="18"/>
          <w:szCs w:val="18"/>
          <w:color w:val="auto"/>
        </w:rPr>
      </w:pPr>
    </w:p>
    <w:p>
      <w:pPr>
        <w:ind w:left="980" w:right="440" w:firstLine="408"/>
        <w:spacing w:after="0" w:line="277" w:lineRule="auto"/>
        <w:tabs>
          <w:tab w:leader="none" w:pos="1636" w:val="left"/>
        </w:tabs>
        <w:numPr>
          <w:ilvl w:val="1"/>
          <w:numId w:val="85"/>
        </w:numPr>
        <w:rPr>
          <w:rFonts w:ascii="Arial" w:cs="Arial" w:eastAsia="Arial" w:hAnsi="Arial"/>
          <w:sz w:val="18"/>
          <w:szCs w:val="18"/>
          <w:color w:val="auto"/>
        </w:rPr>
      </w:pPr>
      <w:r>
        <w:rPr>
          <w:rFonts w:ascii="Arial" w:cs="Arial" w:eastAsia="Arial" w:hAnsi="Arial"/>
          <w:sz w:val="18"/>
          <w:szCs w:val="18"/>
          <w:color w:val="auto"/>
        </w:rPr>
        <w:t>a certificate signed by a Financial Officer of the Borrower certifying (A) as to the Debt Rating then in effect and (B) that the conditions specified in Section 4.02(a) and (b) have been satisfied;</w:t>
      </w:r>
    </w:p>
    <w:p>
      <w:pPr>
        <w:spacing w:after="0" w:line="62" w:lineRule="exact"/>
        <w:rPr>
          <w:rFonts w:ascii="Arial" w:cs="Arial" w:eastAsia="Arial" w:hAnsi="Arial"/>
          <w:sz w:val="18"/>
          <w:szCs w:val="18"/>
          <w:color w:val="auto"/>
        </w:rPr>
      </w:pPr>
    </w:p>
    <w:p>
      <w:pPr>
        <w:ind w:left="980" w:right="120" w:firstLine="408"/>
        <w:spacing w:after="0" w:line="263" w:lineRule="auto"/>
        <w:tabs>
          <w:tab w:leader="none" w:pos="1686" w:val="left"/>
        </w:tabs>
        <w:numPr>
          <w:ilvl w:val="1"/>
          <w:numId w:val="85"/>
        </w:numPr>
        <w:rPr>
          <w:rFonts w:ascii="Arial" w:cs="Arial" w:eastAsia="Arial" w:hAnsi="Arial"/>
          <w:sz w:val="18"/>
          <w:szCs w:val="18"/>
          <w:color w:val="auto"/>
        </w:rPr>
      </w:pPr>
      <w:r>
        <w:rPr>
          <w:rFonts w:ascii="Arial" w:cs="Arial" w:eastAsia="Arial" w:hAnsi="Arial"/>
          <w:sz w:val="18"/>
          <w:szCs w:val="18"/>
          <w:color w:val="auto"/>
        </w:rPr>
        <w:t>a favorable opinion of Skadden, Arps, Slate, Meagher &amp; Flom LLP, counsel to the Borrower, and the general counsel of the Borrower, addressed to the Administrative Agent and each Lender (as of the Closing Date), in form and substance reasonably satisfactory to the Administrative Agent; and</w:t>
      </w:r>
    </w:p>
    <w:p>
      <w:pPr>
        <w:spacing w:after="0" w:line="75" w:lineRule="exact"/>
        <w:rPr>
          <w:rFonts w:ascii="Arial" w:cs="Arial" w:eastAsia="Arial" w:hAnsi="Arial"/>
          <w:sz w:val="18"/>
          <w:szCs w:val="18"/>
          <w:color w:val="auto"/>
        </w:rPr>
      </w:pPr>
    </w:p>
    <w:p>
      <w:pPr>
        <w:ind w:left="980" w:right="100" w:firstLine="408"/>
        <w:spacing w:after="0" w:line="263" w:lineRule="auto"/>
        <w:tabs>
          <w:tab w:leader="none" w:pos="1736" w:val="left"/>
        </w:tabs>
        <w:numPr>
          <w:ilvl w:val="1"/>
          <w:numId w:val="85"/>
        </w:numPr>
        <w:rPr>
          <w:rFonts w:ascii="Arial" w:cs="Arial" w:eastAsia="Arial" w:hAnsi="Arial"/>
          <w:sz w:val="18"/>
          <w:szCs w:val="18"/>
          <w:color w:val="auto"/>
        </w:rPr>
      </w:pPr>
      <w:r>
        <w:rPr>
          <w:rFonts w:ascii="Arial" w:cs="Arial" w:eastAsia="Arial" w:hAnsi="Arial"/>
          <w:sz w:val="18"/>
          <w:szCs w:val="18"/>
          <w:color w:val="auto"/>
        </w:rPr>
        <w:t>evidence that the commitments under the Existing Credit Agreement have been, or concurrently with the Closing Date is being, terminated and the loans outstanding thereunder have been, or concurrently with the Closing Date are being, repaid in full (the “</w:t>
      </w:r>
      <w:r>
        <w:rPr>
          <w:rFonts w:ascii="Arial" w:cs="Arial" w:eastAsia="Arial" w:hAnsi="Arial"/>
          <w:sz w:val="18"/>
          <w:szCs w:val="18"/>
          <w:u w:val="single" w:color="auto"/>
          <w:color w:val="auto"/>
        </w:rPr>
        <w:t>Refinancing</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40" w:right="40" w:firstLine="419"/>
        <w:spacing w:after="0" w:line="296" w:lineRule="auto"/>
        <w:tabs>
          <w:tab w:leader="none" w:pos="1118" w:val="left"/>
        </w:tabs>
        <w:numPr>
          <w:ilvl w:val="0"/>
          <w:numId w:val="85"/>
        </w:numPr>
        <w:rPr>
          <w:rFonts w:ascii="Arial" w:cs="Arial" w:eastAsia="Arial" w:hAnsi="Arial"/>
          <w:sz w:val="16"/>
          <w:szCs w:val="16"/>
          <w:color w:val="auto"/>
        </w:rPr>
      </w:pPr>
      <w:r>
        <w:rPr>
          <w:rFonts w:ascii="Arial" w:cs="Arial" w:eastAsia="Arial" w:hAnsi="Arial"/>
          <w:sz w:val="16"/>
          <w:szCs w:val="16"/>
          <w:color w:val="auto"/>
        </w:rPr>
        <w:t>All reasonable and documented out-of-pocket fees and expenses of the Administrative Agent and the Arrangers (in the case of legal fees, limited to the reasonable and documented fees and expenses of a single counsel for the Administrative Agent and the Arrangers) required to be paid on or before the Closing Date, in the case of expenses, to the extent invoiced at least two Business Days prior to the Closing Date, shall have been paid. The Borrower shall have paid all items then due and payable under the Fee Letter and any other separate letter agreements with respect to fees payable on or prior to the Closing Date in connection with the syndication of the Loans and Commitments.</w:t>
      </w:r>
    </w:p>
    <w:p>
      <w:pPr>
        <w:spacing w:after="0" w:line="53" w:lineRule="exact"/>
        <w:rPr>
          <w:rFonts w:ascii="Arial" w:cs="Arial" w:eastAsia="Arial" w:hAnsi="Arial"/>
          <w:sz w:val="16"/>
          <w:szCs w:val="16"/>
          <w:color w:val="auto"/>
        </w:rPr>
      </w:pPr>
    </w:p>
    <w:p>
      <w:pPr>
        <w:ind w:left="1100" w:hanging="241"/>
        <w:spacing w:after="0"/>
        <w:tabs>
          <w:tab w:leader="none" w:pos="11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Administrative Agent shall have received a Borrowing Request in accordance with the requirements of Section 2.03 hereof.</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20"/>
          </w:cols>
          <w:pgMar w:left="440" w:top="274" w:right="439" w:bottom="1440" w:gutter="0" w:footer="0" w:header="0"/>
        </w:sectPr>
      </w:pPr>
    </w:p>
    <w:bookmarkStart w:id="83" w:name="page84"/>
    <w:bookmarkEnd w:id="83"/>
    <w:p>
      <w:pPr>
        <w:ind w:right="2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4.02 Each Credit Event. The obligation of each Lender to make a Loan on the occasion of any Borrowing </w:t>
      </w:r>
      <w:r>
        <w:rPr>
          <w:rFonts w:ascii="Arial" w:cs="Arial" w:eastAsia="Arial" w:hAnsi="Arial"/>
          <w:sz w:val="18"/>
          <w:szCs w:val="18"/>
          <w:u w:val="single" w:color="auto"/>
          <w:color w:val="0000FF"/>
        </w:rPr>
        <w:t>(other than the Specified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Borrowing)</w:t>
      </w:r>
      <w:r>
        <w:rPr>
          <w:rFonts w:ascii="Arial" w:cs="Arial" w:eastAsia="Arial" w:hAnsi="Arial"/>
          <w:sz w:val="18"/>
          <w:szCs w:val="18"/>
          <w:color w:val="000000"/>
        </w:rPr>
        <w:t>, and of the Issuing Banks to make any LC Credit Extension, is subject to receipt of the request therefor in accordance herewith and to the</w:t>
      </w:r>
      <w:r>
        <w:rPr>
          <w:rFonts w:ascii="Arial" w:cs="Arial" w:eastAsia="Arial" w:hAnsi="Arial"/>
          <w:sz w:val="18"/>
          <w:szCs w:val="18"/>
          <w:color w:val="0000FF"/>
        </w:rPr>
        <w:t xml:space="preserve"> </w:t>
      </w:r>
      <w:r>
        <w:rPr>
          <w:rFonts w:ascii="Arial" w:cs="Arial" w:eastAsia="Arial" w:hAnsi="Arial"/>
          <w:sz w:val="18"/>
          <w:szCs w:val="18"/>
          <w:color w:val="000000"/>
        </w:rPr>
        <w:t>satisfaction of the following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5612130</wp:posOffset>
            </wp:positionH>
            <wp:positionV relativeFrom="paragraph">
              <wp:posOffset>-276860</wp:posOffset>
            </wp:positionV>
            <wp:extent cx="114871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1487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-139700</wp:posOffset>
            </wp:positionV>
            <wp:extent cx="53149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56" w:lineRule="exact"/>
        <w:rPr>
          <w:sz w:val="20"/>
          <w:szCs w:val="20"/>
          <w:color w:val="auto"/>
        </w:rPr>
      </w:pPr>
    </w:p>
    <w:p>
      <w:pPr>
        <w:ind w:left="440" w:right="80" w:firstLine="419"/>
        <w:spacing w:after="0" w:line="296" w:lineRule="auto"/>
        <w:tabs>
          <w:tab w:leader="none" w:pos="1108"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representations and warranties of the Borrower set forth in the Loan Documents shall be true and correct in all material respects (other than, in the case of any Borrowing made following the Closing Date, the representations and warranties made in Sections 3.04(b) and 3.06(a</w:t>
      </w:r>
      <w:r>
        <w:rPr>
          <w:rFonts w:ascii="Arial" w:cs="Arial" w:eastAsia="Arial" w:hAnsi="Arial"/>
          <w:sz w:val="16"/>
          <w:szCs w:val="16"/>
          <w:color w:val="FF4338"/>
          <w:strike w:val="1"/>
        </w:rPr>
        <w:t>) and, to the extent relating to litigation, Section 3.06(c</w:t>
      </w:r>
      <w:r>
        <w:rPr>
          <w:rFonts w:ascii="Arial" w:cs="Arial" w:eastAsia="Arial" w:hAnsi="Arial"/>
          <w:sz w:val="16"/>
          <w:szCs w:val="16"/>
          <w:color w:val="auto"/>
        </w:rPr>
        <w:t>)) on and as of the date of such Borrowing or the date of issuance, amendment, renewal or extension of such Letter of Credit, as the case may be (except to the extent that any representation and warranty expressly relates to an earlier date, in which case such representation and warranty shall have been true and correct in all material respects as of such earlier date).</w:t>
      </w:r>
    </w:p>
    <w:p>
      <w:pPr>
        <w:spacing w:after="0" w:line="53" w:lineRule="exact"/>
        <w:rPr>
          <w:rFonts w:ascii="Arial" w:cs="Arial" w:eastAsia="Arial" w:hAnsi="Arial"/>
          <w:sz w:val="16"/>
          <w:szCs w:val="16"/>
          <w:color w:val="auto"/>
        </w:rPr>
      </w:pPr>
    </w:p>
    <w:p>
      <w:pPr>
        <w:ind w:left="440" w:right="100" w:firstLine="419"/>
        <w:spacing w:after="0" w:line="277" w:lineRule="auto"/>
        <w:tabs>
          <w:tab w:leader="none" w:pos="1118" w:val="left"/>
        </w:tabs>
        <w:numPr>
          <w:ilvl w:val="0"/>
          <w:numId w:val="86"/>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such Borrowing or the issuance, amendment, renewal or extension of such Letter of Credit, as the case may be, no Default shall have occurred and be continuing.</w:t>
      </w:r>
    </w:p>
    <w:p>
      <w:pPr>
        <w:spacing w:after="0" w:line="170"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Each Borrowing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conversion or a continuation of a Borrowing shall not constitute a “Borrowing” for purposes of this Section 4.02) and each LC Credit Extension shall be deemed to constitute a representation and warranty by the Borrower on the date thereof as to the matters specified in paragraphs (a) and (b) of this Section.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u w:val="single" w:color="auto"/>
          <w:color w:val="0000FF"/>
        </w:rPr>
        <w:t>SECTION 4.03 Specified Borrowing on Verafin Acquisition Closing Date. The obligation of each Lender to make any Loan on account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Specified Borrowing is subject solely to the satisfaction (or waiver in accordance with Section 9.02) of the following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-121920</wp:posOffset>
            </wp:positionV>
            <wp:extent cx="649795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14605</wp:posOffset>
            </wp:positionV>
            <wp:extent cx="58807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880735" cy="8255"/>
                    </a:xfrm>
                    <a:prstGeom prst="rect">
                      <a:avLst/>
                    </a:prstGeom>
                    <a:noFill/>
                  </pic:spPr>
                </pic:pic>
              </a:graphicData>
            </a:graphic>
          </wp:anchor>
        </w:drawing>
      </w:r>
    </w:p>
    <w:p>
      <w:pPr>
        <w:spacing w:after="0" w:line="83" w:lineRule="exact"/>
        <w:rPr>
          <w:sz w:val="20"/>
          <w:szCs w:val="20"/>
          <w:color w:val="auto"/>
        </w:rPr>
      </w:pPr>
    </w:p>
    <w:p>
      <w:pPr>
        <w:ind w:left="1100" w:hanging="241"/>
        <w:spacing w:after="0"/>
        <w:tabs>
          <w:tab w:leader="none" w:pos="1100" w:val="left"/>
        </w:tabs>
        <w:numPr>
          <w:ilvl w:val="0"/>
          <w:numId w:val="87"/>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the Administrative Agent shall have received a Borrowing Request in accordance with the terms of Section 2.03(b).</w:t>
      </w:r>
    </w:p>
    <w:p>
      <w:pPr>
        <w:spacing w:after="0" w:line="117" w:lineRule="exact"/>
        <w:rPr>
          <w:rFonts w:ascii="Arial" w:cs="Arial" w:eastAsia="Arial" w:hAnsi="Arial"/>
          <w:sz w:val="18"/>
          <w:szCs w:val="18"/>
          <w:u w:val="single" w:color="auto"/>
          <w:color w:val="0000FF"/>
        </w:rPr>
      </w:pPr>
    </w:p>
    <w:p>
      <w:pPr>
        <w:ind w:left="440" w:firstLine="419"/>
        <w:spacing w:after="0" w:line="254" w:lineRule="auto"/>
        <w:tabs>
          <w:tab w:leader="none" w:pos="1118" w:val="left"/>
        </w:tabs>
        <w:numPr>
          <w:ilvl w:val="0"/>
          <w:numId w:val="87"/>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Substantially concurrently with the Specified Borrowing, the Verafin Acquisition shall have been consummated in all material respects in accordance with the Verafin Acquisition Agreement without giving effect to any amendment, modification or waiver or consent by the Borrower thereunder, in each case, that is materially adverse to the Lenders, in their capacities as such, without the prior written consent of JPMorgan Chase Bank, N.A. and Bank of America, N.A. (such consent not to be unreasonably withheld, delayed or conditioned), it being understood and agreed that (i) any increase or decrease in the acquisition consideration under the Verafin Acquisition Agreement in accordance with the terms of the Verafin Acquisition Agreement as of the date thereof and (ii) any other increase in the cash portion of the acquisition consideration under the Verafin Acquisition Agreement since the date thereof which does not exceed 5% of the purchase price, in each case shall be deemed not to be materially adverse to the Lenders;</w:t>
      </w:r>
    </w:p>
    <w:p>
      <w:pPr>
        <w:spacing w:after="0" w:line="83" w:lineRule="exact"/>
        <w:rPr>
          <w:rFonts w:ascii="Arial" w:cs="Arial" w:eastAsia="Arial" w:hAnsi="Arial"/>
          <w:sz w:val="18"/>
          <w:szCs w:val="18"/>
          <w:u w:val="single" w:color="auto"/>
          <w:color w:val="0000FF"/>
        </w:rPr>
      </w:pPr>
    </w:p>
    <w:p>
      <w:pPr>
        <w:ind w:left="440" w:right="80" w:firstLine="419"/>
        <w:spacing w:after="0" w:line="290" w:lineRule="auto"/>
        <w:tabs>
          <w:tab w:leader="none" w:pos="1108" w:val="left"/>
        </w:tabs>
        <w:numPr>
          <w:ilvl w:val="0"/>
          <w:numId w:val="87"/>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the Lenders shall have received (a) audited financial statements of the Borrower for the three most recent fiscal years ending at least 90 days prior to the Verafin Acquisition Closing Date and (b)(i) unaudited consolidated financial statements of the Borrower for each interim quarterly period (excluding fiscal year end) ended after the latest fiscal year of the Borrower referred to in clause (a) above and at least 45 days prior to the Verafin Acquisition Closing Date, and (ii) unaudited consolidated financial statements for the same period of the prior fiscal year. The Lenders hereby acknowledge receipt of the audited financial statements referred to in clause (a) above for the 2017, 2018 and 2019 fiscal years and of the unaudited consolidated financial statements referred to in clause (b)(i) and (b)(ii) for all fiscal quarters of the Borrower ended on or prior to November 20, 2020. The Borrower’s filing of any required audited financial statements on Form 10-K or required unaudited financial statements on Form 10-Q, in each case, will satisfy the requirements under clauses (a) or (b), as applicable, of this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-2345690</wp:posOffset>
            </wp:positionV>
            <wp:extent cx="54432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44322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-2139950</wp:posOffset>
            </wp:positionV>
            <wp:extent cx="64465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44652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-2002790</wp:posOffset>
            </wp:positionV>
            <wp:extent cx="66090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60908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-1865630</wp:posOffset>
            </wp:positionV>
            <wp:extent cx="667766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-1728470</wp:posOffset>
            </wp:positionV>
            <wp:extent cx="655764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-1591310</wp:posOffset>
            </wp:positionV>
            <wp:extent cx="645477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45477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-1454150</wp:posOffset>
            </wp:positionV>
            <wp:extent cx="642937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42937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-1316990</wp:posOffset>
            </wp:positionV>
            <wp:extent cx="646366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46366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-1179830</wp:posOffset>
            </wp:positionV>
            <wp:extent cx="155130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551305"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-974090</wp:posOffset>
            </wp:positionV>
            <wp:extent cx="63347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33476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-836930</wp:posOffset>
            </wp:positionV>
            <wp:extent cx="63004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30047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-699770</wp:posOffset>
            </wp:positionV>
            <wp:extent cx="653224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53224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-562610</wp:posOffset>
            </wp:positionV>
            <wp:extent cx="666051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-425450</wp:posOffset>
            </wp:positionV>
            <wp:extent cx="653224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53224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-288290</wp:posOffset>
            </wp:positionV>
            <wp:extent cx="648081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480810"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-151130</wp:posOffset>
            </wp:positionV>
            <wp:extent cx="648906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-13970</wp:posOffset>
            </wp:positionV>
            <wp:extent cx="572643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726430" cy="8890"/>
                    </a:xfrm>
                    <a:prstGeom prst="rect">
                      <a:avLst/>
                    </a:prstGeom>
                    <a:noFill/>
                  </pic:spPr>
                </pic:pic>
              </a:graphicData>
            </a:graphic>
          </wp:anchor>
        </w:drawing>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0"/>
          </w:cols>
          <w:pgMar w:left="440" w:top="274" w:right="459" w:bottom="1440" w:gutter="0" w:footer="0" w:header="0"/>
        </w:sectPr>
      </w:pPr>
    </w:p>
    <w:bookmarkStart w:id="84" w:name="page85"/>
    <w:bookmarkEnd w:id="84"/>
    <w:p>
      <w:pPr>
        <w:ind w:left="400" w:firstLine="419"/>
        <w:spacing w:after="0" w:line="289" w:lineRule="auto"/>
        <w:tabs>
          <w:tab w:leader="none" w:pos="1078" w:val="left"/>
        </w:tabs>
        <w:numPr>
          <w:ilvl w:val="0"/>
          <w:numId w:val="88"/>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 except as set forth in writing in Section 3.06 of the Company Disclosure Schedules (as defined in the Verafin Acquisition Agreement as in effect on the Verafin Acquisition Signing Date) or in another section of Article III of the Company Disclosure Schedules (as defined in the Verafin Acquisition Agreement as in effect on the Verafin Acquisition Signing Date) to the extent that the relevance thereof would be reasonably apparent on its face that such disclosure is applicable to such section of the Company Disclosure Schedules (as defined in the Verafin Acquisition Agreement as in effect on the Verafin Acquisition Signing Date), during the period from December 31, 2019 to the date of the Verafin Acquisition Agreement, there has not been any change, effect, event, circumstance, condition, occurrence, state of facts or development that has had, or would reasonably be expected to have, either individually or in the aggregate, a Material Adverse Effect (as defined in the Verafin Acquisition Agreement as in effect on the Verafin Acquisition Signing Date) and (ii) there shall not have been a Material Adverse Effect (as defined in the Verafin Acquisition Agreement as in effect on the Verafin Acquisition Signing Date) since the date of the Verafin Acquisition Agreement;</w:t>
      </w:r>
    </w:p>
    <w:p>
      <w:pPr>
        <w:spacing w:after="0" w:line="58" w:lineRule="exact"/>
        <w:rPr>
          <w:rFonts w:ascii="Arial" w:cs="Arial" w:eastAsia="Arial" w:hAnsi="Arial"/>
          <w:sz w:val="16"/>
          <w:szCs w:val="16"/>
          <w:u w:val="single" w:color="auto"/>
          <w:color w:val="0000FF"/>
        </w:rPr>
      </w:pPr>
    </w:p>
    <w:p>
      <w:pPr>
        <w:ind w:left="400" w:right="420" w:firstLine="419"/>
        <w:spacing w:after="0" w:line="286" w:lineRule="auto"/>
        <w:tabs>
          <w:tab w:leader="none" w:pos="1067" w:val="left"/>
        </w:tabs>
        <w:numPr>
          <w:ilvl w:val="0"/>
          <w:numId w:val="88"/>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the Specified Representations shall be true and correct in all material respects after giving effect to the making of the Specified Borrowing (except to the extent any such representation or warranty expressly relates to an earlier date, in which case such representation or warranty shall be true and correct in all material respects (or in all respects, as applicable) as of such earlier date);</w:t>
      </w:r>
    </w:p>
    <w:p>
      <w:pPr>
        <w:spacing w:after="0" w:line="57" w:lineRule="exact"/>
        <w:rPr>
          <w:rFonts w:ascii="Arial" w:cs="Arial" w:eastAsia="Arial" w:hAnsi="Arial"/>
          <w:sz w:val="17"/>
          <w:szCs w:val="17"/>
          <w:u w:val="single" w:color="auto"/>
          <w:color w:val="0000FF"/>
        </w:rPr>
      </w:pPr>
    </w:p>
    <w:p>
      <w:pPr>
        <w:ind w:left="400" w:right="160" w:firstLine="419"/>
        <w:spacing w:after="0" w:line="277" w:lineRule="auto"/>
        <w:tabs>
          <w:tab w:leader="none" w:pos="1048" w:val="left"/>
        </w:tabs>
        <w:numPr>
          <w:ilvl w:val="0"/>
          <w:numId w:val="88"/>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the Specified Acquisition Agreement Representations shall be true and correct to the extent required by the definition thereof, as of the Verafin Acquisition Closing Date;</w:t>
      </w:r>
    </w:p>
    <w:p>
      <w:pPr>
        <w:spacing w:after="0" w:line="62" w:lineRule="exact"/>
        <w:rPr>
          <w:rFonts w:ascii="Arial" w:cs="Arial" w:eastAsia="Arial" w:hAnsi="Arial"/>
          <w:sz w:val="18"/>
          <w:szCs w:val="18"/>
          <w:u w:val="single" w:color="auto"/>
          <w:color w:val="0000FF"/>
        </w:rPr>
      </w:pPr>
    </w:p>
    <w:p>
      <w:pPr>
        <w:ind w:left="400" w:right="460" w:firstLine="419"/>
        <w:spacing w:after="0" w:line="277" w:lineRule="auto"/>
        <w:tabs>
          <w:tab w:leader="none" w:pos="1078" w:val="left"/>
        </w:tabs>
        <w:numPr>
          <w:ilvl w:val="0"/>
          <w:numId w:val="88"/>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the Administrative Agent shall have received a duly completed and executed Solvency Certificate executed by the Chief Financial Officer (or another authorized financial officer); and</w:t>
      </w:r>
    </w:p>
    <w:p>
      <w:pPr>
        <w:spacing w:after="0" w:line="62" w:lineRule="exact"/>
        <w:rPr>
          <w:rFonts w:ascii="Arial" w:cs="Arial" w:eastAsia="Arial" w:hAnsi="Arial"/>
          <w:sz w:val="18"/>
          <w:szCs w:val="18"/>
          <w:u w:val="single" w:color="auto"/>
          <w:color w:val="0000FF"/>
        </w:rPr>
      </w:pPr>
    </w:p>
    <w:p>
      <w:pPr>
        <w:ind w:left="400" w:firstLine="419"/>
        <w:spacing w:after="0" w:line="259" w:lineRule="auto"/>
        <w:tabs>
          <w:tab w:leader="none" w:pos="1078" w:val="left"/>
        </w:tabs>
        <w:numPr>
          <w:ilvl w:val="0"/>
          <w:numId w:val="88"/>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prior to, or substantially concurrently with, the Specified Borrowing, all principal, interest and fees due under that certain Credit Agreement, dated as of September 13, 2019, among Verafin, the lenders and other parties from time to time party thereto, and Wells Fargo Capital Finance Corporation Canada, as administrative agent, shall have been paid and all commitments thereunder shall have been terminated (the “Verafin Refinancing”).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520700</wp:posOffset>
            </wp:positionH>
            <wp:positionV relativeFrom="paragraph">
              <wp:posOffset>-2880995</wp:posOffset>
            </wp:positionV>
            <wp:extent cx="637794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377940"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-2743835</wp:posOffset>
            </wp:positionV>
            <wp:extent cx="656653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566535" cy="8890"/>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-2606675</wp:posOffset>
            </wp:positionV>
            <wp:extent cx="66179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617970"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-2469515</wp:posOffset>
            </wp:positionV>
            <wp:extent cx="66433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-2332355</wp:posOffset>
            </wp:positionV>
            <wp:extent cx="667766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-2195195</wp:posOffset>
            </wp:positionV>
            <wp:extent cx="667766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-2058035</wp:posOffset>
            </wp:positionV>
            <wp:extent cx="618934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189345" cy="8890"/>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-1920875</wp:posOffset>
            </wp:positionV>
            <wp:extent cx="648906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-1783715</wp:posOffset>
            </wp:positionV>
            <wp:extent cx="629221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520700</wp:posOffset>
            </wp:positionH>
            <wp:positionV relativeFrom="paragraph">
              <wp:posOffset>-1577975</wp:posOffset>
            </wp:positionV>
            <wp:extent cx="594931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949315" cy="8890"/>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-1440815</wp:posOffset>
            </wp:positionV>
            <wp:extent cx="641223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-1303655</wp:posOffset>
            </wp:positionV>
            <wp:extent cx="518604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86045" cy="8255"/>
                    </a:xfrm>
                    <a:prstGeom prst="rect">
                      <a:avLst/>
                    </a:prstGeom>
                    <a:noFill/>
                  </pic:spPr>
                </pic:pic>
              </a:graphicData>
            </a:graphic>
          </wp:anchor>
        </w:drawing>
        <w:drawing>
          <wp:anchor simplePos="0" relativeHeight="251657728" behindDoc="1" locked="0" layoutInCell="0" allowOverlap="1">
            <wp:simplePos x="0" y="0"/>
            <wp:positionH relativeFrom="column">
              <wp:posOffset>520700</wp:posOffset>
            </wp:positionH>
            <wp:positionV relativeFrom="paragraph">
              <wp:posOffset>-1097915</wp:posOffset>
            </wp:positionV>
            <wp:extent cx="630936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-960755</wp:posOffset>
            </wp:positionV>
            <wp:extent cx="155130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551305" cy="8255"/>
                    </a:xfrm>
                    <a:prstGeom prst="rect">
                      <a:avLst/>
                    </a:prstGeom>
                    <a:noFill/>
                  </pic:spPr>
                </pic:pic>
              </a:graphicData>
            </a:graphic>
          </wp:anchor>
        </w:drawing>
        <w:drawing>
          <wp:anchor simplePos="0" relativeHeight="251657728" behindDoc="1" locked="0" layoutInCell="0" allowOverlap="1">
            <wp:simplePos x="0" y="0"/>
            <wp:positionH relativeFrom="column">
              <wp:posOffset>520700</wp:posOffset>
            </wp:positionH>
            <wp:positionV relativeFrom="paragraph">
              <wp:posOffset>-755015</wp:posOffset>
            </wp:positionV>
            <wp:extent cx="611187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111875"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-617855</wp:posOffset>
            </wp:positionV>
            <wp:extent cx="239141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391410" cy="8255"/>
                    </a:xfrm>
                    <a:prstGeom prst="rect">
                      <a:avLst/>
                    </a:prstGeom>
                    <a:noFill/>
                  </pic:spPr>
                </pic:pic>
              </a:graphicData>
            </a:graphic>
          </wp:anchor>
        </w:drawing>
        <w:drawing>
          <wp:anchor simplePos="0" relativeHeight="251657728" behindDoc="1" locked="0" layoutInCell="0" allowOverlap="1">
            <wp:simplePos x="0" y="0"/>
            <wp:positionH relativeFrom="column">
              <wp:posOffset>520700</wp:posOffset>
            </wp:positionH>
            <wp:positionV relativeFrom="paragraph">
              <wp:posOffset>-412115</wp:posOffset>
            </wp:positionV>
            <wp:extent cx="601789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17895" cy="8890"/>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-274955</wp:posOffset>
            </wp:positionV>
            <wp:extent cx="667766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-137795</wp:posOffset>
            </wp:positionV>
            <wp:extent cx="636905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369050" cy="8255"/>
                    </a:xfrm>
                    <a:prstGeom prst="rect">
                      <a:avLst/>
                    </a:prstGeom>
                    <a:noFill/>
                  </pic:spPr>
                </pic:pic>
              </a:graphicData>
            </a:graphic>
          </wp:anchor>
        </w:drawing>
        <w:drawing>
          <wp:anchor simplePos="0" relativeHeight="251657728" behindDoc="1" locked="0" layoutInCell="0" allowOverlap="1">
            <wp:simplePos x="0" y="0"/>
            <wp:positionH relativeFrom="column">
              <wp:posOffset>254635</wp:posOffset>
            </wp:positionH>
            <wp:positionV relativeFrom="paragraph">
              <wp:posOffset>-635</wp:posOffset>
            </wp:positionV>
            <wp:extent cx="10883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088390" cy="8255"/>
                    </a:xfrm>
                    <a:prstGeom prst="rect">
                      <a:avLst/>
                    </a:prstGeom>
                    <a:noFill/>
                  </pic:spPr>
                </pic:pic>
              </a:graphicData>
            </a:graphic>
          </wp:anchor>
        </w:drawing>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0000FF"/>
        </w:rPr>
        <w:t>SECTION 4.04 Actions Between Amendment No. 1 Effective Date and Verafin Acquisition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23495</wp:posOffset>
            </wp:positionV>
            <wp:extent cx="485203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852035" cy="8890"/>
                    </a:xfrm>
                    <a:prstGeom prst="rect">
                      <a:avLst/>
                    </a:prstGeom>
                    <a:noFill/>
                  </pic:spPr>
                </pic:pic>
              </a:graphicData>
            </a:graphic>
          </wp:anchor>
        </w:drawing>
      </w:r>
    </w:p>
    <w:p>
      <w:pPr>
        <w:spacing w:after="0" w:line="97" w:lineRule="exact"/>
        <w:rPr>
          <w:sz w:val="20"/>
          <w:szCs w:val="20"/>
          <w:color w:val="auto"/>
        </w:rPr>
      </w:pPr>
    </w:p>
    <w:p>
      <w:pPr>
        <w:ind w:left="-40" w:firstLine="436"/>
        <w:spacing w:after="0" w:line="255" w:lineRule="auto"/>
        <w:tabs>
          <w:tab w:leader="none" w:pos="645" w:val="left"/>
        </w:tabs>
        <w:numPr>
          <w:ilvl w:val="0"/>
          <w:numId w:val="89"/>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During the period from and including the Amendment No. 1 Effective Date to and including the earliest of (i) the Verafin Acquisition Closing Date (after giving effect to the funding of any Specified Borrowing on such date requested by the Borrower), (ii) 11:59:59 p.m., New York City time, on the fifth (5</w:t>
      </w:r>
      <w:r>
        <w:rPr>
          <w:rFonts w:ascii="Arial" w:cs="Arial" w:eastAsia="Arial" w:hAnsi="Arial"/>
          <w:sz w:val="15"/>
          <w:szCs w:val="15"/>
          <w:u w:val="single" w:color="auto"/>
          <w:color w:val="0000FF"/>
        </w:rPr>
        <w:t>th</w:t>
      </w:r>
      <w:r>
        <w:rPr>
          <w:rFonts w:ascii="Arial" w:cs="Arial" w:eastAsia="Arial" w:hAnsi="Arial"/>
          <w:sz w:val="18"/>
          <w:szCs w:val="18"/>
          <w:u w:val="single" w:color="auto"/>
          <w:color w:val="0000FF"/>
        </w:rPr>
        <w:t>) business day after the Specified Outside Date and (iii) the valid termination of the Verafin Acquisition Agreement in accordance with its terms prior to the Verafin Acquisition Closing Date (the “Certain Funds Period”), and notwithstanding (i) that any representation made in this Agreement or any other Loan Document (including any representation made on the Amendment No. 1 Effective Date (excluding, for the avoidance of doubt, the Specified Representations and/or Specified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-682625</wp:posOffset>
            </wp:positionV>
            <wp:extent cx="663511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-27305</wp:posOffset>
            </wp:positionH>
            <wp:positionV relativeFrom="paragraph">
              <wp:posOffset>-545465</wp:posOffset>
            </wp:positionV>
            <wp:extent cx="696087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60870" cy="8890"/>
                    </a:xfrm>
                    <a:prstGeom prst="rect">
                      <a:avLst/>
                    </a:prstGeom>
                    <a:noFill/>
                  </pic:spPr>
                </pic:pic>
              </a:graphicData>
            </a:graphic>
          </wp:anchor>
        </w:drawing>
        <w:drawing>
          <wp:anchor simplePos="0" relativeHeight="251657728" behindDoc="1" locked="0" layoutInCell="0" allowOverlap="1">
            <wp:simplePos x="0" y="0"/>
            <wp:positionH relativeFrom="column">
              <wp:posOffset>-27305</wp:posOffset>
            </wp:positionH>
            <wp:positionV relativeFrom="paragraph">
              <wp:posOffset>-408305</wp:posOffset>
            </wp:positionV>
            <wp:extent cx="685800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-27305</wp:posOffset>
            </wp:positionH>
            <wp:positionV relativeFrom="paragraph">
              <wp:posOffset>-271145</wp:posOffset>
            </wp:positionV>
            <wp:extent cx="64719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471920" cy="8255"/>
                    </a:xfrm>
                    <a:prstGeom prst="rect">
                      <a:avLst/>
                    </a:prstGeom>
                    <a:noFill/>
                  </pic:spPr>
                </pic:pic>
              </a:graphicData>
            </a:graphic>
          </wp:anchor>
        </w:drawing>
        <w:drawing>
          <wp:anchor simplePos="0" relativeHeight="251657728" behindDoc="1" locked="0" layoutInCell="0" allowOverlap="1">
            <wp:simplePos x="0" y="0"/>
            <wp:positionH relativeFrom="column">
              <wp:posOffset>-27305</wp:posOffset>
            </wp:positionH>
            <wp:positionV relativeFrom="paragraph">
              <wp:posOffset>-133985</wp:posOffset>
            </wp:positionV>
            <wp:extent cx="68662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66255" cy="8255"/>
                    </a:xfrm>
                    <a:prstGeom prst="rect">
                      <a:avLst/>
                    </a:prstGeom>
                    <a:noFill/>
                  </pic:spPr>
                </pic:pic>
              </a:graphicData>
            </a:graphic>
          </wp:anchor>
        </w:drawing>
        <w:drawing>
          <wp:anchor simplePos="0" relativeHeight="251657728" behindDoc="1" locked="0" layoutInCell="0" allowOverlap="1">
            <wp:simplePos x="0" y="0"/>
            <wp:positionH relativeFrom="column">
              <wp:posOffset>-27305</wp:posOffset>
            </wp:positionH>
            <wp:positionV relativeFrom="paragraph">
              <wp:posOffset>2540</wp:posOffset>
            </wp:positionV>
            <wp:extent cx="30175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20"/>
          </w:cols>
          <w:pgMar w:left="480" w:top="274" w:right="499" w:bottom="1440" w:gutter="0" w:footer="0" w:header="0"/>
        </w:sectPr>
      </w:pPr>
    </w:p>
    <w:bookmarkStart w:id="85" w:name="page86"/>
    <w:bookmarkEnd w:id="85"/>
    <w:p>
      <w:pPr>
        <w:ind w:left="4"/>
        <w:spacing w:after="0"/>
        <w:rPr>
          <w:sz w:val="20"/>
          <w:szCs w:val="20"/>
          <w:color w:val="auto"/>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Agreement Representations made on the Verafin Acquisition Closing Date as a condition to the making of the Specified Borrowing)) was incorrect,</w:t>
      </w:r>
    </w:p>
    <w:p>
      <w:pPr>
        <w:spacing w:after="0" w:line="35" w:lineRule="exact"/>
        <w:rPr>
          <w:sz w:val="20"/>
          <w:szCs w:val="20"/>
          <w:color w:val="auto"/>
        </w:rPr>
      </w:pPr>
    </w:p>
    <w:p>
      <w:pPr>
        <w:ind w:left="4" w:hanging="4"/>
        <w:spacing w:after="0" w:line="281" w:lineRule="auto"/>
        <w:tabs>
          <w:tab w:leader="none" w:pos="269" w:val="left"/>
        </w:tabs>
        <w:numPr>
          <w:ilvl w:val="0"/>
          <w:numId w:val="90"/>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any failure by the Borrower or its Subsidiaries to comply with the affirmative covenants, negative covenants, financial covenant in, or other terms of, this Agreement or the other Loan Documents or the existence of a Default or Event of Default, (iii) any provision to the contrary in this Agreement or any other Loan Document or otherwise or (iv) that any condition to the occurrence of the Amendment No. 1 Effective Date may subsequently be determined not to have been satisfied, neither the Administrative Agent nor any Lender shall be entitled to (1) cancel any of its Commitments,</w:t>
      </w:r>
    </w:p>
    <w:p>
      <w:pPr>
        <w:spacing w:after="0" w:line="2" w:lineRule="exact"/>
        <w:rPr>
          <w:rFonts w:ascii="Arial" w:cs="Arial" w:eastAsia="Arial" w:hAnsi="Arial"/>
          <w:sz w:val="16"/>
          <w:szCs w:val="16"/>
          <w:u w:val="single" w:color="auto"/>
          <w:color w:val="0000FF"/>
        </w:rPr>
      </w:pPr>
    </w:p>
    <w:p>
      <w:pPr>
        <w:ind w:left="4" w:right="40"/>
        <w:spacing w:after="0" w:line="281" w:lineRule="auto"/>
        <w:rPr>
          <w:rFonts w:ascii="Arial" w:cs="Arial" w:eastAsia="Arial" w:hAnsi="Arial"/>
          <w:sz w:val="16"/>
          <w:szCs w:val="16"/>
          <w:u w:val="single" w:color="auto"/>
          <w:color w:val="0000FF"/>
        </w:rPr>
      </w:pPr>
      <w:r>
        <w:rPr>
          <w:rFonts w:ascii="Arial" w:cs="Arial" w:eastAsia="Arial" w:hAnsi="Arial"/>
          <w:sz w:val="16"/>
          <w:szCs w:val="16"/>
          <w:u w:val="single" w:color="auto"/>
          <w:color w:val="0000FF"/>
        </w:rPr>
        <w:t xml:space="preserve">(2) rescind, terminate or cancel the Loan Documents or its Commitments or exercise any right or remedy or make or enforce any claim under the Loan Documents it may otherwise have to the extent to do so would prevent, limit or delay the making of its Loan constituting a portion of the Specified Borrowing on the Verafin Acquisition Closing Date, (3) refuse to participate in making its Loan constituting a portion of the Specified Borrowing on the Verafin Acquisition Closing Date, </w:t>
      </w:r>
      <w:r>
        <w:rPr>
          <w:rFonts w:ascii="Arial" w:cs="Arial" w:eastAsia="Arial" w:hAnsi="Arial"/>
          <w:sz w:val="16"/>
          <w:szCs w:val="16"/>
          <w:i w:val="1"/>
          <w:iCs w:val="1"/>
          <w:u w:val="single" w:color="auto"/>
          <w:color w:val="0000FF"/>
        </w:rPr>
        <w:t>provided</w:t>
      </w:r>
      <w:r>
        <w:rPr>
          <w:rFonts w:ascii="Arial" w:cs="Arial" w:eastAsia="Arial" w:hAnsi="Arial"/>
          <w:sz w:val="16"/>
          <w:szCs w:val="16"/>
          <w:u w:val="single" w:color="auto"/>
          <w:color w:val="0000FF"/>
        </w:rPr>
        <w:t xml:space="preserve"> that the applicable conditions set forth in Section 4.03 of this Agreement have been satisfied or waived or</w:t>
      </w:r>
    </w:p>
    <w:p>
      <w:pPr>
        <w:spacing w:after="0" w:line="2" w:lineRule="exact"/>
        <w:rPr>
          <w:rFonts w:ascii="Arial" w:cs="Arial" w:eastAsia="Arial" w:hAnsi="Arial"/>
          <w:sz w:val="16"/>
          <w:szCs w:val="16"/>
          <w:u w:val="single" w:color="auto"/>
          <w:color w:val="0000FF"/>
        </w:rPr>
      </w:pPr>
    </w:p>
    <w:p>
      <w:pPr>
        <w:ind w:left="4" w:right="660"/>
        <w:spacing w:after="0" w:line="260" w:lineRule="auto"/>
        <w:rPr>
          <w:rFonts w:ascii="Arial" w:cs="Arial" w:eastAsia="Arial" w:hAnsi="Arial"/>
          <w:sz w:val="16"/>
          <w:szCs w:val="16"/>
          <w:u w:val="single" w:color="auto"/>
          <w:color w:val="0000FF"/>
        </w:rPr>
      </w:pPr>
      <w:r>
        <w:rPr>
          <w:rFonts w:ascii="Arial" w:cs="Arial" w:eastAsia="Arial" w:hAnsi="Arial"/>
          <w:sz w:val="18"/>
          <w:szCs w:val="18"/>
          <w:u w:val="single" w:color="auto"/>
          <w:color w:val="0000FF"/>
        </w:rPr>
        <w:t>(4) exercise any right of set-off or counterclaim in respect of its Loan to the extent to do so would prevent, limit or delay the making of its Loan constituting a portion of the Specified Borrowing on the Verafin Acquisition Closing Date.</w:t>
      </w:r>
    </w:p>
    <w:p>
      <w:pPr>
        <w:spacing w:after="0" w:line="77" w:lineRule="exact"/>
        <w:rPr>
          <w:rFonts w:ascii="Arial" w:cs="Arial" w:eastAsia="Arial" w:hAnsi="Arial"/>
          <w:sz w:val="16"/>
          <w:szCs w:val="16"/>
          <w:u w:val="single" w:color="auto"/>
          <w:color w:val="0000FF"/>
        </w:rPr>
      </w:pPr>
    </w:p>
    <w:p>
      <w:pPr>
        <w:ind w:left="4" w:right="200" w:firstLine="436"/>
        <w:spacing w:after="0" w:line="287" w:lineRule="auto"/>
        <w:tabs>
          <w:tab w:leader="none" w:pos="699" w:val="left"/>
        </w:tabs>
        <w:numPr>
          <w:ilvl w:val="1"/>
          <w:numId w:val="90"/>
        </w:numPr>
        <w:rPr>
          <w:rFonts w:ascii="Arial" w:cs="Arial" w:eastAsia="Arial" w:hAnsi="Arial"/>
          <w:sz w:val="16"/>
          <w:szCs w:val="16"/>
          <w:u w:val="single" w:color="auto"/>
          <w:color w:val="0000FF"/>
        </w:rPr>
      </w:pPr>
      <w:r>
        <w:rPr>
          <w:rFonts w:ascii="Arial" w:cs="Arial" w:eastAsia="Arial" w:hAnsi="Arial"/>
          <w:sz w:val="16"/>
          <w:szCs w:val="16"/>
          <w:u w:val="single" w:color="auto"/>
          <w:color w:val="0000FF"/>
        </w:rPr>
        <w:t>For the avoidance of doubt, (i) the rights and entitlements of the Lenders and the Administrative Agent to refuse to participate in making a Loan on the Verafin Acquisition Closing Date shall not be limited in the event that any applicable condition set forth in Section 4.03 is not satisfied or waived on the Verafin Acquisition Closing Date (with respect to the making of Loans constituting a portion of the Specified Borrowing) and</w:t>
      </w:r>
    </w:p>
    <w:p>
      <w:pPr>
        <w:spacing w:after="0" w:line="2" w:lineRule="exact"/>
        <w:rPr>
          <w:rFonts w:ascii="Arial" w:cs="Arial" w:eastAsia="Arial" w:hAnsi="Arial"/>
          <w:sz w:val="16"/>
          <w:szCs w:val="16"/>
          <w:u w:val="single" w:color="auto"/>
          <w:color w:val="0000FF"/>
        </w:rPr>
      </w:pPr>
    </w:p>
    <w:p>
      <w:pPr>
        <w:ind w:left="4" w:right="600" w:hanging="4"/>
        <w:spacing w:after="0" w:line="290" w:lineRule="auto"/>
        <w:tabs>
          <w:tab w:leader="none" w:pos="269" w:val="left"/>
        </w:tabs>
        <w:numPr>
          <w:ilvl w:val="0"/>
          <w:numId w:val="91"/>
        </w:numPr>
        <w:rPr>
          <w:rFonts w:ascii="Arial" w:cs="Arial" w:eastAsia="Arial" w:hAnsi="Arial"/>
          <w:sz w:val="17"/>
          <w:szCs w:val="17"/>
          <w:u w:val="single" w:color="auto"/>
          <w:color w:val="0000FF"/>
        </w:rPr>
      </w:pPr>
      <w:r>
        <w:rPr>
          <w:rFonts w:ascii="Arial" w:cs="Arial" w:eastAsia="Arial" w:hAnsi="Arial"/>
          <w:sz w:val="17"/>
          <w:szCs w:val="17"/>
          <w:u w:val="single" w:color="auto"/>
          <w:color w:val="0000FF"/>
        </w:rPr>
        <w:t>immediately after the expiration of the Certain Funds Period, all of the rights, remedies and entitlements of the Administrative Agent and the Lenders shall be available notwithstanding that such rights were not available prior to such time as a result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-2142490</wp:posOffset>
            </wp:positionV>
            <wp:extent cx="674624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74624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-2005330</wp:posOffset>
            </wp:positionV>
            <wp:extent cx="698627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862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-1868170</wp:posOffset>
            </wp:positionV>
            <wp:extent cx="684085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-1731010</wp:posOffset>
            </wp:positionV>
            <wp:extent cx="661797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6179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-1593850</wp:posOffset>
            </wp:positionV>
            <wp:extent cx="650621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5062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-1456690</wp:posOffset>
            </wp:positionV>
            <wp:extent cx="68922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-1319530</wp:posOffset>
            </wp:positionV>
            <wp:extent cx="672084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-1182370</wp:posOffset>
            </wp:positionV>
            <wp:extent cx="69691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691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-1045210</wp:posOffset>
            </wp:positionV>
            <wp:extent cx="683196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3196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-908050</wp:posOffset>
            </wp:positionV>
            <wp:extent cx="65665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-770890</wp:posOffset>
            </wp:positionV>
            <wp:extent cx="41490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1490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-565150</wp:posOffset>
            </wp:positionV>
            <wp:extent cx="648906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-427990</wp:posOffset>
            </wp:positionV>
            <wp:extent cx="685800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-290830</wp:posOffset>
            </wp:positionV>
            <wp:extent cx="642048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42048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-153670</wp:posOffset>
            </wp:positionV>
            <wp:extent cx="66090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6090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-16510</wp:posOffset>
            </wp:positionV>
            <wp:extent cx="566610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666105" cy="8255"/>
                    </a:xfrm>
                    <a:prstGeom prst="rect">
                      <a:avLst/>
                    </a:prstGeom>
                    <a:noFill/>
                  </pic:spPr>
                </pic:pic>
              </a:graphicData>
            </a:graphic>
          </wp:anchor>
        </w:drawing>
      </w:r>
    </w:p>
    <w:p>
      <w:pPr>
        <w:spacing w:after="0" w:line="35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AFFIRMATIVE COVENANTS</w:t>
      </w:r>
    </w:p>
    <w:p>
      <w:pPr>
        <w:spacing w:after="0" w:line="225" w:lineRule="exact"/>
        <w:rPr>
          <w:sz w:val="20"/>
          <w:szCs w:val="20"/>
          <w:color w:val="auto"/>
        </w:rPr>
      </w:pPr>
    </w:p>
    <w:p>
      <w:pPr>
        <w:ind w:left="4" w:right="140" w:firstLine="440"/>
        <w:spacing w:after="0" w:line="257" w:lineRule="auto"/>
        <w:rPr>
          <w:sz w:val="20"/>
          <w:szCs w:val="20"/>
          <w:color w:val="auto"/>
        </w:rPr>
      </w:pPr>
      <w:r>
        <w:rPr>
          <w:rFonts w:ascii="Arial" w:cs="Arial" w:eastAsia="Arial" w:hAnsi="Arial"/>
          <w:sz w:val="18"/>
          <w:szCs w:val="18"/>
          <w:color w:val="auto"/>
        </w:rPr>
        <w:t>Beginning on the Closing Date after giving effect to the Loans made on the Closing Date and continuing thereafter until the Commitments have expired or been terminated and the principal of and interest on each Loan and all fees, expenses and other amounts payable under any Loan Document (other than contingent amounts not yet due) shall have been paid in full and all Letters of Credit shall have expired, been terminated or been Cash Collateralized on terms reasonably acceptable to the Issuing Banks and all LC Disbursements shall have been reimbursed, the Borrower covenants and agrees with the Lenders that:</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7"/>
          <w:szCs w:val="17"/>
          <w:color w:val="auto"/>
        </w:rPr>
        <w:t>SECTION 5.01 Financial Statements and Other Information. The Borrower will furnish to the Administrative Agent on behalf of each Lender:</w:t>
      </w:r>
    </w:p>
    <w:p>
      <w:pPr>
        <w:spacing w:after="0" w:line="129" w:lineRule="exact"/>
        <w:rPr>
          <w:sz w:val="20"/>
          <w:szCs w:val="20"/>
          <w:color w:val="auto"/>
        </w:rPr>
      </w:pPr>
    </w:p>
    <w:p>
      <w:pPr>
        <w:ind w:left="444" w:right="40" w:firstLine="419"/>
        <w:spacing w:after="0" w:line="272" w:lineRule="auto"/>
        <w:tabs>
          <w:tab w:leader="none" w:pos="1112" w:val="left"/>
        </w:tabs>
        <w:numPr>
          <w:ilvl w:val="0"/>
          <w:numId w:val="92"/>
        </w:numPr>
        <w:rPr>
          <w:rFonts w:ascii="Arial" w:cs="Arial" w:eastAsia="Arial" w:hAnsi="Arial"/>
          <w:sz w:val="17"/>
          <w:szCs w:val="17"/>
          <w:color w:val="auto"/>
        </w:rPr>
      </w:pPr>
      <w:r>
        <w:rPr>
          <w:rFonts w:ascii="Arial" w:cs="Arial" w:eastAsia="Arial" w:hAnsi="Arial"/>
          <w:sz w:val="17"/>
          <w:szCs w:val="17"/>
          <w:color w:val="auto"/>
        </w:rPr>
        <w:t>within 90 days (or, if earlier, as soon as filed with the SEC) after the end of each fiscal year of the Borrower, commencing with the fiscal year ending December 31, 2017, its audited consolidated balance sheet and audited consolidated statements of income, changes in equity and cash flows as of the end of and for such year, and related notes thereto, setting forth in each case in comparative form the figures for the previous fiscal year, all reported on by Ernst &amp; Young LLP or other independent public accountants of recognized national standing (without a “going concern” or like qualification or exception or any qualification or exception as to the scope of such audit) to the effect that such consolidated financial statements present fairly in all material respects the financial condition and results of operations of the Borrower and the Subsidiaries on a consolidated basis in accordance with GAAP consistently applied;</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04"/>
          </w:cols>
          <w:pgMar w:left="436" w:top="274" w:right="459" w:bottom="1440" w:gutter="0" w:footer="0" w:header="0"/>
        </w:sectPr>
      </w:pPr>
    </w:p>
    <w:bookmarkStart w:id="86" w:name="page87"/>
    <w:bookmarkEnd w:id="86"/>
    <w:p>
      <w:pPr>
        <w:ind w:left="440" w:right="20" w:firstLine="419"/>
        <w:spacing w:after="0" w:line="291" w:lineRule="auto"/>
        <w:tabs>
          <w:tab w:leader="none" w:pos="1118" w:val="left"/>
        </w:tabs>
        <w:numPr>
          <w:ilvl w:val="0"/>
          <w:numId w:val="9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within 45 days (or, if earlier, as soon as filed with the SEC) after the end of each of the first three fiscal quarters of each fiscal year of the Borrower, commencing with the fiscal quarter ending March 31, 2017, its unaudited consolidated balance sheet as of the end of such fiscal quarter, unaudited consolidated statement of income as of the end of and for such fiscal quarter and the then elapsed portion of the fiscal year and unaudited statement of cash flows as of the end of the then elapsed portion of the fiscal year, setting forth in each case in comparative form the figures for the corresponding period or periods of (or, in the case of the balance sheet, as of the end of) the previous fiscal year, all certified by a Financial Officer as presenting fairly in all material respects the financial condition and results of operations of the Borrower and the Subsidiaries on a consolidated basis in accordance with GAAP consistently applied, subject to normal year-end audit adjustments and the absence of footnotes;</w:t>
      </w:r>
    </w:p>
    <w:p>
      <w:pPr>
        <w:spacing w:after="0" w:line="58" w:lineRule="exact"/>
        <w:rPr>
          <w:rFonts w:ascii="Arial" w:cs="Arial" w:eastAsia="Arial" w:hAnsi="Arial"/>
          <w:sz w:val="16"/>
          <w:szCs w:val="16"/>
          <w:color w:val="auto"/>
        </w:rPr>
      </w:pPr>
    </w:p>
    <w:p>
      <w:pPr>
        <w:ind w:left="440" w:firstLine="419"/>
        <w:spacing w:after="0" w:line="271" w:lineRule="auto"/>
        <w:tabs>
          <w:tab w:leader="none" w:pos="1108" w:val="left"/>
        </w:tabs>
        <w:numPr>
          <w:ilvl w:val="0"/>
          <w:numId w:val="93"/>
        </w:numPr>
        <w:rPr>
          <w:rFonts w:ascii="Arial" w:cs="Arial" w:eastAsia="Arial" w:hAnsi="Arial"/>
          <w:sz w:val="17"/>
          <w:szCs w:val="17"/>
          <w:color w:val="auto"/>
        </w:rPr>
      </w:pPr>
      <w:r>
        <w:rPr>
          <w:rFonts w:ascii="Arial" w:cs="Arial" w:eastAsia="Arial" w:hAnsi="Arial"/>
          <w:sz w:val="17"/>
          <w:szCs w:val="17"/>
          <w:color w:val="auto"/>
        </w:rPr>
        <w:t xml:space="preserve">concurrently with any delivery of financial statements under paragraph (a) or (b) above, a certificate of a Financial Officer (i) stating that, except as set forth in such certificate, such Financial Officer has no knowledge of any Default existing as of such date and, if a Default does exist, specifying the details thereof and any action taken or proposed to be taken with respect thereto, (ii) setting forth reasonably detailed calculations (including the amounts representing each clause set forth in the definition of “Consolidated EBITDA”) demonstrating compliance with the </w:t>
      </w:r>
      <w:r>
        <w:rPr>
          <w:rFonts w:ascii="Arial" w:cs="Arial" w:eastAsia="Arial" w:hAnsi="Arial"/>
          <w:sz w:val="17"/>
          <w:szCs w:val="17"/>
          <w:color w:val="FF4338"/>
          <w:strike w:val="1"/>
        </w:rPr>
        <w:t>covenants</w:t>
      </w:r>
      <w:r>
        <w:rPr>
          <w:rFonts w:ascii="Arial" w:cs="Arial" w:eastAsia="Arial" w:hAnsi="Arial"/>
          <w:sz w:val="17"/>
          <w:szCs w:val="17"/>
          <w:u w:val="single" w:color="auto"/>
          <w:color w:val="0000FF"/>
        </w:rPr>
        <w:t>covenant</w:t>
      </w:r>
      <w:r>
        <w:rPr>
          <w:rFonts w:ascii="Arial" w:cs="Arial" w:eastAsia="Arial" w:hAnsi="Arial"/>
          <w:sz w:val="17"/>
          <w:szCs w:val="17"/>
          <w:color w:val="FF4338"/>
        </w:rPr>
        <w:t xml:space="preserve"> </w:t>
      </w:r>
      <w:r>
        <w:rPr>
          <w:rFonts w:ascii="Arial" w:cs="Arial" w:eastAsia="Arial" w:hAnsi="Arial"/>
          <w:sz w:val="17"/>
          <w:szCs w:val="17"/>
          <w:color w:val="000000"/>
        </w:rPr>
        <w:t>contained in</w:t>
      </w:r>
      <w:r>
        <w:rPr>
          <w:rFonts w:ascii="Arial" w:cs="Arial" w:eastAsia="Arial" w:hAnsi="Arial"/>
          <w:sz w:val="17"/>
          <w:szCs w:val="17"/>
          <w:color w:val="FF4338"/>
        </w:rPr>
        <w:t xml:space="preserve"> </w:t>
      </w:r>
      <w:r>
        <w:rPr>
          <w:rFonts w:ascii="Arial" w:cs="Arial" w:eastAsia="Arial" w:hAnsi="Arial"/>
          <w:sz w:val="17"/>
          <w:szCs w:val="17"/>
          <w:color w:val="FF4338"/>
          <w:strike w:val="1"/>
        </w:rPr>
        <w:t>Sections 6.07 and</w:t>
      </w:r>
      <w:r>
        <w:rPr>
          <w:rFonts w:ascii="Arial" w:cs="Arial" w:eastAsia="Arial" w:hAnsi="Arial"/>
          <w:sz w:val="17"/>
          <w:szCs w:val="17"/>
          <w:u w:val="single" w:color="auto"/>
          <w:color w:val="0000FF"/>
        </w:rPr>
        <w:t>Section</w:t>
      </w:r>
      <w:r>
        <w:rPr>
          <w:rFonts w:ascii="Arial" w:cs="Arial" w:eastAsia="Arial" w:hAnsi="Arial"/>
          <w:sz w:val="17"/>
          <w:szCs w:val="17"/>
          <w:color w:val="FF4338"/>
        </w:rPr>
        <w:t xml:space="preserve"> </w:t>
      </w:r>
      <w:r>
        <w:rPr>
          <w:rFonts w:ascii="Arial" w:cs="Arial" w:eastAsia="Arial" w:hAnsi="Arial"/>
          <w:sz w:val="17"/>
          <w:szCs w:val="17"/>
          <w:color w:val="000000"/>
        </w:rPr>
        <w:t>6.08 and (iii) to the extent that any change in GAAP or application thereof has a</w:t>
      </w:r>
      <w:r>
        <w:rPr>
          <w:rFonts w:ascii="Arial" w:cs="Arial" w:eastAsia="Arial" w:hAnsi="Arial"/>
          <w:sz w:val="17"/>
          <w:szCs w:val="17"/>
          <w:color w:val="FF4338"/>
        </w:rPr>
        <w:t xml:space="preserve"> </w:t>
      </w:r>
      <w:r>
        <w:rPr>
          <w:rFonts w:ascii="Arial" w:cs="Arial" w:eastAsia="Arial" w:hAnsi="Arial"/>
          <w:sz w:val="17"/>
          <w:szCs w:val="17"/>
          <w:color w:val="000000"/>
        </w:rPr>
        <w:t>material impact on such financial statements, stating whether any change in GAAP or in the application thereof has occurred since the date of the Borrower’s audited financial statements referred to in Section 3.04 and, if any such change has occurred, specifying the effect of such change on the financial statements accompanying such certificate;</w:t>
      </w:r>
    </w:p>
    <w:p>
      <w:pPr>
        <w:spacing w:after="0" w:line="70" w:lineRule="exact"/>
        <w:rPr>
          <w:rFonts w:ascii="Arial" w:cs="Arial" w:eastAsia="Arial" w:hAnsi="Arial"/>
          <w:sz w:val="17"/>
          <w:szCs w:val="17"/>
          <w:color w:val="auto"/>
        </w:rPr>
      </w:pPr>
    </w:p>
    <w:p>
      <w:pPr>
        <w:ind w:left="440" w:right="560" w:firstLine="419"/>
        <w:spacing w:after="0" w:line="263" w:lineRule="auto"/>
        <w:tabs>
          <w:tab w:leader="none" w:pos="1118"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promptly after the same become publicly available, copies of all periodic reports, proxy statements and other material filings (as reasonably determined by the Borrower) filed by the Borrower or any Subsidiary with the SEC or with any national securities exchange, or distributed by the Borrower to the holders of its Equity Interests generally; and</w:t>
      </w:r>
    </w:p>
    <w:p>
      <w:pPr>
        <w:spacing w:after="0" w:line="75" w:lineRule="exact"/>
        <w:rPr>
          <w:rFonts w:ascii="Arial" w:cs="Arial" w:eastAsia="Arial" w:hAnsi="Arial"/>
          <w:sz w:val="18"/>
          <w:szCs w:val="18"/>
          <w:color w:val="auto"/>
        </w:rPr>
      </w:pPr>
    </w:p>
    <w:p>
      <w:pPr>
        <w:ind w:left="440" w:right="120" w:firstLine="419"/>
        <w:spacing w:after="0" w:line="263" w:lineRule="auto"/>
        <w:tabs>
          <w:tab w:leader="none" w:pos="1108"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promptly following any request therefor, such other information regarding the operations, business affairs and financial condition of the Borrower or any Subsidiary, or compliance with the terms of any Loan Document, as the Administrative Agent, any Arrangers or any Lenders may reasonably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734695</wp:posOffset>
            </wp:positionH>
            <wp:positionV relativeFrom="paragraph">
              <wp:posOffset>-1374140</wp:posOffset>
            </wp:positionV>
            <wp:extent cx="4114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11480" cy="8255"/>
                    </a:xfrm>
                    <a:prstGeom prst="rect">
                      <a:avLst/>
                    </a:prstGeom>
                    <a:noFill/>
                  </pic:spPr>
                </pic:pic>
              </a:graphicData>
            </a:graphic>
          </wp:anchor>
        </w:drawing>
        <w:drawing>
          <wp:anchor simplePos="0" relativeHeight="251657728" behindDoc="1" locked="0" layoutInCell="0" allowOverlap="1">
            <wp:simplePos x="0" y="0"/>
            <wp:positionH relativeFrom="column">
              <wp:posOffset>2577465</wp:posOffset>
            </wp:positionH>
            <wp:positionV relativeFrom="paragraph">
              <wp:posOffset>-1374140</wp:posOffset>
            </wp:positionV>
            <wp:extent cx="34290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64"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color w:val="auto"/>
        </w:rPr>
        <w:t xml:space="preserve">Information required to be delivered pursuant to clauses (a), (b) and (d) shall be deemed to have been delivered on the date on which the Borrower provides notice to the Administrative Agent and the Lenders that such information has been posted on the Borrower’s website on the Internet at http://ir.nasdaq.com/sec.cfm, at www.sec.gov/edgar/searchedgar/webusers.htm or at another website identified in such notice and accessible by the Lenders without charge;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notice may be included in a certificate delivered pursuant to clause (c).</w:t>
      </w:r>
    </w:p>
    <w:p>
      <w:pPr>
        <w:spacing w:after="0" w:line="171" w:lineRule="exact"/>
        <w:rPr>
          <w:sz w:val="20"/>
          <w:szCs w:val="20"/>
          <w:color w:val="auto"/>
        </w:rPr>
      </w:pPr>
    </w:p>
    <w:p>
      <w:pPr>
        <w:ind w:right="220" w:firstLine="440"/>
        <w:spacing w:after="0" w:line="286" w:lineRule="auto"/>
        <w:rPr>
          <w:sz w:val="20"/>
          <w:szCs w:val="20"/>
          <w:color w:val="auto"/>
        </w:rPr>
      </w:pPr>
      <w:r>
        <w:rPr>
          <w:rFonts w:ascii="Arial" w:cs="Arial" w:eastAsia="Arial" w:hAnsi="Arial"/>
          <w:sz w:val="17"/>
          <w:szCs w:val="17"/>
          <w:color w:val="auto"/>
        </w:rPr>
        <w:t>The Borrower hereby acknowledges that (a) the Administrative Agent and/or the Arrangers will make available to the Lenders and the Issuing Banks materials and/or information provided by or on behalf of the Borrower hereunder (collectively, “</w:t>
      </w:r>
      <w:r>
        <w:rPr>
          <w:rFonts w:ascii="Arial" w:cs="Arial" w:eastAsia="Arial" w:hAnsi="Arial"/>
          <w:sz w:val="17"/>
          <w:szCs w:val="17"/>
          <w:u w:val="single" w:color="auto"/>
          <w:color w:val="auto"/>
        </w:rPr>
        <w:t>Borrower Materials</w:t>
      </w:r>
      <w:r>
        <w:rPr>
          <w:rFonts w:ascii="Arial" w:cs="Arial" w:eastAsia="Arial" w:hAnsi="Arial"/>
          <w:sz w:val="17"/>
          <w:szCs w:val="17"/>
          <w:color w:val="auto"/>
        </w:rPr>
        <w:t>”) by posting the Borrower Materials on IntraLinks or another similar electronic system (the “</w:t>
      </w:r>
      <w:r>
        <w:rPr>
          <w:rFonts w:ascii="Arial" w:cs="Arial" w:eastAsia="Arial" w:hAnsi="Arial"/>
          <w:sz w:val="17"/>
          <w:szCs w:val="17"/>
          <w:u w:val="single" w:color="auto"/>
          <w:color w:val="auto"/>
        </w:rPr>
        <w:t>Platform</w:t>
      </w:r>
      <w:r>
        <w:rPr>
          <w:rFonts w:ascii="Arial" w:cs="Arial" w:eastAsia="Arial" w:hAnsi="Arial"/>
          <w:sz w:val="17"/>
          <w:szCs w:val="17"/>
          <w:color w:val="auto"/>
        </w:rPr>
        <w:t>”) and (b) certain of the Lenders may be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0"/>
          </w:cols>
          <w:pgMar w:left="440" w:top="274" w:right="459" w:bottom="1440" w:gutter="0" w:footer="0" w:header="0"/>
        </w:sectPr>
      </w:pPr>
    </w:p>
    <w:bookmarkStart w:id="87" w:name="page88"/>
    <w:bookmarkEnd w:id="87"/>
    <w:p>
      <w:pPr>
        <w:ind w:left="4" w:right="18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“public-side” Lenders (</w:t>
      </w:r>
      <w:r>
        <w:rPr>
          <w:rFonts w:ascii="Arial" w:cs="Arial" w:eastAsia="Arial" w:hAnsi="Arial"/>
          <w:sz w:val="16"/>
          <w:szCs w:val="16"/>
          <w:u w:val="single" w:color="auto"/>
          <w:color w:val="auto"/>
        </w:rPr>
        <w:t>i.e</w:t>
      </w:r>
      <w:r>
        <w:rPr>
          <w:rFonts w:ascii="Arial" w:cs="Arial" w:eastAsia="Arial" w:hAnsi="Arial"/>
          <w:sz w:val="16"/>
          <w:szCs w:val="16"/>
          <w:color w:val="auto"/>
        </w:rPr>
        <w:t>., Lenders that do not wish to receive material non-public information with respect to the Borrower, its Affiliates or their respective securities) (each, a “</w:t>
      </w:r>
      <w:r>
        <w:rPr>
          <w:rFonts w:ascii="Arial" w:cs="Arial" w:eastAsia="Arial" w:hAnsi="Arial"/>
          <w:sz w:val="16"/>
          <w:szCs w:val="16"/>
          <w:u w:val="single" w:color="auto"/>
          <w:color w:val="auto"/>
        </w:rPr>
        <w:t>Public Lender</w:t>
      </w:r>
      <w:r>
        <w:rPr>
          <w:rFonts w:ascii="Arial" w:cs="Arial" w:eastAsia="Arial" w:hAnsi="Arial"/>
          <w:sz w:val="16"/>
          <w:szCs w:val="16"/>
          <w:color w:val="auto"/>
        </w:rPr>
        <w:t>”). The Borrower hereby agrees that it will use commercially reasonable efforts to identify that portion of the Borrower Materials, if any, that may be distributed to the Public Lenders (it being understood and agreed that, unless otherwise agreed by the Borrower in writing, the Borrower shall be under no obligation to provide Borrower Materials suitable for distribution to any Public Lender) and that</w:t>
      </w:r>
    </w:p>
    <w:p>
      <w:pPr>
        <w:spacing w:after="0" w:line="1" w:lineRule="exact"/>
        <w:rPr>
          <w:sz w:val="20"/>
          <w:szCs w:val="20"/>
          <w:color w:val="auto"/>
        </w:rPr>
      </w:pPr>
    </w:p>
    <w:p>
      <w:pPr>
        <w:ind w:left="4" w:right="40" w:hanging="4"/>
        <w:spacing w:after="0" w:line="281" w:lineRule="auto"/>
        <w:tabs>
          <w:tab w:leader="none" w:pos="299" w:val="left"/>
        </w:tabs>
        <w:numPr>
          <w:ilvl w:val="0"/>
          <w:numId w:val="94"/>
        </w:numPr>
        <w:rPr>
          <w:rFonts w:ascii="Arial" w:cs="Arial" w:eastAsia="Arial" w:hAnsi="Arial"/>
          <w:sz w:val="16"/>
          <w:szCs w:val="16"/>
          <w:color w:val="auto"/>
        </w:rPr>
      </w:pPr>
      <w:r>
        <w:rPr>
          <w:rFonts w:ascii="Arial" w:cs="Arial" w:eastAsia="Arial" w:hAnsi="Arial"/>
          <w:sz w:val="16"/>
          <w:szCs w:val="16"/>
          <w:color w:val="auto"/>
        </w:rPr>
        <w:t>all such Borrower Materials shall be clearly and conspicuously marked “PUBLIC,” which, at a minimum, shall mean that the word “PUBLIC” shall appear prominently on the first page thereof; (x) by marking Borrower Materials “PUBLIC,” the Borrower shall be deemed to have authorized the Administrative Agent, the Arrangers, the Issuing Banks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such Borrower Materials constitute Information, they shall be treated as set forth in Section 9.12);</w:t>
      </w:r>
    </w:p>
    <w:p>
      <w:pPr>
        <w:spacing w:after="0" w:line="2" w:lineRule="exact"/>
        <w:rPr>
          <w:rFonts w:ascii="Arial" w:cs="Arial" w:eastAsia="Arial" w:hAnsi="Arial"/>
          <w:sz w:val="16"/>
          <w:szCs w:val="16"/>
          <w:color w:val="auto"/>
        </w:rPr>
      </w:pPr>
    </w:p>
    <w:p>
      <w:pPr>
        <w:jc w:val="both"/>
        <w:ind w:left="4" w:right="100" w:hanging="4"/>
        <w:spacing w:after="0" w:line="255" w:lineRule="auto"/>
        <w:tabs>
          <w:tab w:leader="none" w:pos="259"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 Borrower Materials marked “PUBLIC” by the Borrower are permitted to be made available through a portion of the Platform designated “Public Investor”; and (z) the Administrative Agent and the Arrangers shall be entitled to treat any Borrower Materials that are not marked “PUBLIC” as being suitable only for posting on a portion of the Platform not designated “Public Investor.”</w:t>
      </w:r>
    </w:p>
    <w:p>
      <w:pPr>
        <w:spacing w:after="0" w:line="190" w:lineRule="exact"/>
        <w:rPr>
          <w:sz w:val="20"/>
          <w:szCs w:val="20"/>
          <w:color w:val="auto"/>
        </w:rPr>
      </w:pPr>
    </w:p>
    <w:p>
      <w:pPr>
        <w:ind w:left="444"/>
        <w:spacing w:after="0"/>
        <w:rPr>
          <w:sz w:val="20"/>
          <w:szCs w:val="20"/>
          <w:color w:val="auto"/>
        </w:rPr>
      </w:pPr>
      <w:r>
        <w:rPr>
          <w:rFonts w:ascii="Arial" w:cs="Arial" w:eastAsia="Arial" w:hAnsi="Arial"/>
          <w:sz w:val="17"/>
          <w:szCs w:val="17"/>
          <w:color w:val="auto"/>
        </w:rPr>
        <w:t>SECTION 5.02 Notices of Material Events. The Borrower will furnish to the Administrative Agent (for distribution to each Lender through the</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Administrative Agent) prompt written notice of the following promptly after any Responsible Officer of the Borrower obtains notice thereof:</w:t>
      </w:r>
    </w:p>
    <w:p>
      <w:pPr>
        <w:spacing w:after="0" w:line="103" w:lineRule="exact"/>
        <w:rPr>
          <w:sz w:val="20"/>
          <w:szCs w:val="20"/>
          <w:color w:val="auto"/>
        </w:rPr>
      </w:pPr>
    </w:p>
    <w:p>
      <w:pPr>
        <w:ind w:left="1104" w:hanging="241"/>
        <w:spacing w:after="0"/>
        <w:tabs>
          <w:tab w:leader="none" w:pos="1104"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occurrence of any Default;</w:t>
      </w:r>
    </w:p>
    <w:p>
      <w:pPr>
        <w:spacing w:after="0" w:line="117" w:lineRule="exact"/>
        <w:rPr>
          <w:rFonts w:ascii="Arial" w:cs="Arial" w:eastAsia="Arial" w:hAnsi="Arial"/>
          <w:sz w:val="18"/>
          <w:szCs w:val="18"/>
          <w:color w:val="auto"/>
        </w:rPr>
      </w:pPr>
    </w:p>
    <w:p>
      <w:pPr>
        <w:ind w:left="444" w:right="100" w:firstLine="419"/>
        <w:spacing w:after="0" w:line="277" w:lineRule="auto"/>
        <w:tabs>
          <w:tab w:leader="none" w:pos="1122"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filing or commencement of any action, suit or proceeding by or before any arbitrator or Governmental Authority against or affecting the Borrower or any of its Subsidiaries that would reasonably be expected to have a Material Adverse Effect;</w:t>
      </w:r>
    </w:p>
    <w:p>
      <w:pPr>
        <w:spacing w:after="0" w:line="62" w:lineRule="exact"/>
        <w:rPr>
          <w:rFonts w:ascii="Arial" w:cs="Arial" w:eastAsia="Arial" w:hAnsi="Arial"/>
          <w:sz w:val="18"/>
          <w:szCs w:val="18"/>
          <w:color w:val="auto"/>
        </w:rPr>
      </w:pPr>
    </w:p>
    <w:p>
      <w:pPr>
        <w:ind w:left="1104" w:hanging="241"/>
        <w:spacing w:after="0"/>
        <w:tabs>
          <w:tab w:leader="none" w:pos="1104" w:val="left"/>
        </w:tabs>
        <w:numPr>
          <w:ilvl w:val="0"/>
          <w:numId w:val="96"/>
        </w:numPr>
        <w:rPr>
          <w:rFonts w:ascii="Arial" w:cs="Arial" w:eastAsia="Arial" w:hAnsi="Arial"/>
          <w:sz w:val="17"/>
          <w:szCs w:val="17"/>
          <w:color w:val="auto"/>
        </w:rPr>
      </w:pPr>
      <w:r>
        <w:rPr>
          <w:rFonts w:ascii="Arial" w:cs="Arial" w:eastAsia="Arial" w:hAnsi="Arial"/>
          <w:sz w:val="17"/>
          <w:szCs w:val="17"/>
          <w:color w:val="auto"/>
        </w:rPr>
        <w:t>within three Business Days after the occurrence of any ERISA Event that would reasonably be expected to have a Material Adverse</w:t>
      </w:r>
    </w:p>
    <w:p>
      <w:pPr>
        <w:spacing w:after="0" w:line="34" w:lineRule="exact"/>
        <w:rPr>
          <w:rFonts w:ascii="Arial" w:cs="Arial" w:eastAsia="Arial" w:hAnsi="Arial"/>
          <w:sz w:val="17"/>
          <w:szCs w:val="17"/>
          <w:color w:val="auto"/>
        </w:rPr>
      </w:pPr>
    </w:p>
    <w:p>
      <w:pPr>
        <w:ind w:left="444"/>
        <w:spacing w:after="0"/>
        <w:rPr>
          <w:rFonts w:ascii="Arial" w:cs="Arial" w:eastAsia="Arial" w:hAnsi="Arial"/>
          <w:sz w:val="17"/>
          <w:szCs w:val="17"/>
          <w:color w:val="auto"/>
        </w:rPr>
      </w:pPr>
      <w:r>
        <w:rPr>
          <w:rFonts w:ascii="Arial" w:cs="Arial" w:eastAsia="Arial" w:hAnsi="Arial"/>
          <w:sz w:val="18"/>
          <w:szCs w:val="18"/>
          <w:color w:val="auto"/>
        </w:rPr>
        <w:t>Effect;</w:t>
      </w:r>
    </w:p>
    <w:p>
      <w:pPr>
        <w:spacing w:after="0" w:line="102" w:lineRule="exact"/>
        <w:rPr>
          <w:rFonts w:ascii="Arial" w:cs="Arial" w:eastAsia="Arial" w:hAnsi="Arial"/>
          <w:sz w:val="17"/>
          <w:szCs w:val="17"/>
          <w:color w:val="auto"/>
        </w:rPr>
      </w:pPr>
    </w:p>
    <w:p>
      <w:pPr>
        <w:ind w:left="1124" w:hanging="261"/>
        <w:spacing w:after="0"/>
        <w:tabs>
          <w:tab w:leader="none" w:pos="1124" w:val="left"/>
        </w:tabs>
        <w:numPr>
          <w:ilvl w:val="0"/>
          <w:numId w:val="96"/>
        </w:numPr>
        <w:rPr>
          <w:rFonts w:ascii="Arial" w:cs="Arial" w:eastAsia="Arial" w:hAnsi="Arial"/>
          <w:sz w:val="18"/>
          <w:szCs w:val="18"/>
          <w:color w:val="auto"/>
        </w:rPr>
      </w:pPr>
      <w:r>
        <w:rPr>
          <w:rFonts w:ascii="Arial" w:cs="Arial" w:eastAsia="Arial" w:hAnsi="Arial"/>
          <w:sz w:val="18"/>
          <w:szCs w:val="18"/>
          <w:color w:val="auto"/>
        </w:rPr>
        <w:t>within five Business Days after any public announcements regarding a change in the Debt Rating; and</w:t>
      </w:r>
    </w:p>
    <w:p>
      <w:pPr>
        <w:spacing w:after="0" w:line="117" w:lineRule="exact"/>
        <w:rPr>
          <w:rFonts w:ascii="Arial" w:cs="Arial" w:eastAsia="Arial" w:hAnsi="Arial"/>
          <w:sz w:val="18"/>
          <w:szCs w:val="18"/>
          <w:color w:val="auto"/>
        </w:rPr>
      </w:pPr>
    </w:p>
    <w:p>
      <w:pPr>
        <w:ind w:left="1104" w:hanging="241"/>
        <w:spacing w:after="0"/>
        <w:tabs>
          <w:tab w:leader="none" w:pos="1104"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other development that results in, or would reasonably be expected to have, a Material Adverse Effect.</w:t>
      </w:r>
    </w:p>
    <w:p>
      <w:pPr>
        <w:spacing w:after="0" w:line="225"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Each notice delivered under this Section shall be accompanied by a written statement of a Responsible Officer of the Borrower setting forth the details of the event or development requiring such notice and any action taken or proposed to be taken with respect thereto.</w:t>
      </w:r>
    </w:p>
    <w:p>
      <w:pPr>
        <w:spacing w:after="0" w:line="170"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 xml:space="preserve">SECTION 5.03 Existence; Conduct of Business. The Borrower will, and will cause each Material Subsidiary to, do or cause to be done all things necessary to obtain, preserve, renew and keep in full force and effect (a) its legal existence and (b) the rights, licenses, permits, privileges, franchises, patents, copyrights, trademarks and trade names material to the conduct of its business, except, in the case of clause (b), to the extent that failure to do so would not reasonably be expected to have a Material Adverse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prohibit any transaction permitted under Section 6.03 or 6.05.</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04"/>
          </w:cols>
          <w:pgMar w:left="436" w:top="274" w:right="459" w:bottom="1440" w:gutter="0" w:footer="0" w:header="0"/>
        </w:sectPr>
      </w:pPr>
    </w:p>
    <w:bookmarkStart w:id="88" w:name="page89"/>
    <w:bookmarkEnd w:id="88"/>
    <w:p>
      <w:pPr>
        <w:ind w:right="6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5.04 Payment of Taxes. The Borrower will, and will cause each Material Subsidiary to, pay its Tax liabilities that, if unpaid, would result in a Lien on any of its assets or properties, before the same shall become delinquent or in default, except (a) where (1) the validity or amount thereof is being contested in good faith by appropriate proceedings and (2) the Borrower or such Material Subsidiary has set aside on its books adequate reserves with respect thereto in accordance with GAAP, or (b) for any failures to pay that would not reasonably be expected to have a Material Adverse Effect.</w:t>
      </w:r>
    </w:p>
    <w:p>
      <w:pPr>
        <w:spacing w:after="0" w:line="188"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SECTION 5.05 Maintenance of Properties. The Borrower will, and will cause each Material Subsidiary to, keep and maintain all tangible property material to the conduct of its business in good working order and condition, ordinary wear and tear excepted, except (a) pursuant to transactions permitted by Section 6.03 or 6.05 or (b) where the failure to do so would not reasonably be expected to have a Material Adverse Effect.</w:t>
      </w:r>
    </w:p>
    <w:p>
      <w:pPr>
        <w:spacing w:after="0" w:line="149"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SECTION 5.06 Insurance. The Borrower will, and will cause each Material Subsidiary to, maintain in all material respects, with insurance companies believed by the Borrower to be financially sound and reputable, (a) insurance in such amounts and against at least such risks as is customarily maintained by companies engaged in the same or similar businesses operating in the same or similar locations and (b) all other insurance as may be required by law. The Borrower will furnish to the Lenders, upon request of the Administrative Agent, information in reasonable detail as to the insurance so maintained.</w:t>
      </w:r>
    </w:p>
    <w:p>
      <w:pPr>
        <w:spacing w:after="0" w:line="188"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SECTION 5.07 Books and Records; Inspection and Audit Rights. The Borrower will, and will cause each Subsidiary to, keep proper books of record and account in a manner sufficient to (a) permit the preparation of financial statements in accordance with GAAP and (b) calculate the financial </w:t>
      </w:r>
      <w:r>
        <w:rPr>
          <w:rFonts w:ascii="Arial" w:cs="Arial" w:eastAsia="Arial" w:hAnsi="Arial"/>
          <w:sz w:val="16"/>
          <w:szCs w:val="16"/>
          <w:color w:val="FF4338"/>
          <w:strike w:val="1"/>
        </w:rPr>
        <w:t>covenants</w:t>
      </w:r>
      <w:r>
        <w:rPr>
          <w:rFonts w:ascii="Arial" w:cs="Arial" w:eastAsia="Arial" w:hAnsi="Arial"/>
          <w:sz w:val="16"/>
          <w:szCs w:val="16"/>
          <w:u w:val="single" w:color="auto"/>
          <w:color w:val="0000FF"/>
        </w:rPr>
        <w:t>covenant</w:t>
      </w:r>
      <w:r>
        <w:rPr>
          <w:rFonts w:ascii="Arial" w:cs="Arial" w:eastAsia="Arial" w:hAnsi="Arial"/>
          <w:sz w:val="16"/>
          <w:szCs w:val="16"/>
          <w:color w:val="FF4338"/>
        </w:rPr>
        <w:t xml:space="preserve"> </w:t>
      </w:r>
      <w:r>
        <w:rPr>
          <w:rFonts w:ascii="Arial" w:cs="Arial" w:eastAsia="Arial" w:hAnsi="Arial"/>
          <w:sz w:val="16"/>
          <w:szCs w:val="16"/>
          <w:color w:val="000000"/>
        </w:rPr>
        <w:t>set forth in</w:t>
      </w:r>
      <w:r>
        <w:rPr>
          <w:rFonts w:ascii="Arial" w:cs="Arial" w:eastAsia="Arial" w:hAnsi="Arial"/>
          <w:sz w:val="16"/>
          <w:szCs w:val="16"/>
          <w:color w:val="FF4338"/>
        </w:rPr>
        <w:t xml:space="preserve"> </w:t>
      </w:r>
      <w:r>
        <w:rPr>
          <w:rFonts w:ascii="Arial" w:cs="Arial" w:eastAsia="Arial" w:hAnsi="Arial"/>
          <w:sz w:val="16"/>
          <w:szCs w:val="16"/>
          <w:color w:val="FF4338"/>
          <w:strike w:val="1"/>
        </w:rPr>
        <w:t>Sections 6.07 and</w:t>
      </w:r>
      <w:r>
        <w:rPr>
          <w:rFonts w:ascii="Arial" w:cs="Arial" w:eastAsia="Arial" w:hAnsi="Arial"/>
          <w:sz w:val="16"/>
          <w:szCs w:val="16"/>
          <w:u w:val="single" w:color="auto"/>
          <w:color w:val="0000FF"/>
        </w:rPr>
        <w:t>Section</w:t>
      </w:r>
      <w:r>
        <w:rPr>
          <w:rFonts w:ascii="Arial" w:cs="Arial" w:eastAsia="Arial" w:hAnsi="Arial"/>
          <w:sz w:val="16"/>
          <w:szCs w:val="16"/>
          <w:color w:val="FF4338"/>
        </w:rPr>
        <w:t xml:space="preserve"> </w:t>
      </w:r>
      <w:r>
        <w:rPr>
          <w:rFonts w:ascii="Arial" w:cs="Arial" w:eastAsia="Arial" w:hAnsi="Arial"/>
          <w:sz w:val="16"/>
          <w:szCs w:val="16"/>
          <w:color w:val="000000"/>
        </w:rPr>
        <w:t>6.08. Subject to Section 9.12, the Borrower will, and will cause each Subsidiary to, permit any</w:t>
      </w:r>
      <w:r>
        <w:rPr>
          <w:rFonts w:ascii="Arial" w:cs="Arial" w:eastAsia="Arial" w:hAnsi="Arial"/>
          <w:sz w:val="16"/>
          <w:szCs w:val="16"/>
          <w:color w:val="FF4338"/>
        </w:rPr>
        <w:t xml:space="preserve"> </w:t>
      </w:r>
      <w:r>
        <w:rPr>
          <w:rFonts w:ascii="Arial" w:cs="Arial" w:eastAsia="Arial" w:hAnsi="Arial"/>
          <w:sz w:val="16"/>
          <w:szCs w:val="16"/>
          <w:color w:val="000000"/>
        </w:rPr>
        <w:t xml:space="preserve">representatives designated by the Administrative Agent (or, during an Event of Default, any Lender (which shall be coordinated through the Administrative Agent)), upon reasonable prior notice, to visit and inspect its properties, to examine and make extracts from its books and records, and to discuss its affairs, finances and condition with its officers and independent accountants (and the Borrower shall be afforded the opportunity to participate in any discussions with such officers and independent accountants), all at such reasonable times and as often as reasonably requested;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excluding any such visits and inspections during the continuation of an Event of Default, the Administrative Agent shall not exercise such rights more often than one time during any calendar year at the Borrower’s expense. Notwithstanding anything to the contrary in this Section 5.07, none of the Borrower or its Subsidiaries will be required to disclose, permit the inspection, examination or making of extracts, or discussion of, any documents, information or other matter that (i) in respect of which disclosure to the Administrative Agent (or, as applicable, any Lender or any of their respective designated representatives) is then prohibited by law, rule or regulation or any agreement binding on the Borrower or any of its Subsidiaries, (ii) consists of non-financial trade secrets or proprietary computer programs, client and vendor proprietary information, source code, proprietary technology and similar proprietary information or (iii) is subject to attorney-client or similar privilege or constitutes attorney work-product.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-1519555</wp:posOffset>
            </wp:positionV>
            <wp:extent cx="4114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11480" cy="8255"/>
                    </a:xfrm>
                    <a:prstGeom prst="rect">
                      <a:avLst/>
                    </a:prstGeom>
                    <a:noFill/>
                  </pic:spPr>
                </pic:pic>
              </a:graphicData>
            </a:graphic>
          </wp:anchor>
        </w:drawing>
        <w:drawing>
          <wp:anchor simplePos="0" relativeHeight="251657728" behindDoc="1" locked="0" layoutInCell="0" allowOverlap="1">
            <wp:simplePos x="0" y="0"/>
            <wp:positionH relativeFrom="column">
              <wp:posOffset>2226310</wp:posOffset>
            </wp:positionH>
            <wp:positionV relativeFrom="paragraph">
              <wp:posOffset>-1519555</wp:posOffset>
            </wp:positionV>
            <wp:extent cx="34290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00"/>
          </w:cols>
          <w:pgMar w:left="440" w:top="274" w:right="459" w:bottom="1440" w:gutter="0" w:footer="0" w:header="0"/>
        </w:sectPr>
      </w:pPr>
    </w:p>
    <w:bookmarkStart w:id="89" w:name="page90"/>
    <w:bookmarkEnd w:id="8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5.08 Compliance with Laws.</w:t>
      </w:r>
    </w:p>
    <w:p>
      <w:pPr>
        <w:spacing w:after="0" w:line="117" w:lineRule="exact"/>
        <w:rPr>
          <w:sz w:val="20"/>
          <w:szCs w:val="20"/>
          <w:color w:val="auto"/>
        </w:rPr>
      </w:pPr>
    </w:p>
    <w:p>
      <w:pPr>
        <w:ind w:right="60" w:firstLine="436"/>
        <w:spacing w:after="0" w:line="277" w:lineRule="auto"/>
        <w:tabs>
          <w:tab w:leader="none" w:pos="685"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Borrower will, and will cause each Subsidiary to, comply with all Requirements of Law with respect to it or its property, except where the failure to do so would not reasonably be expected to have a Material Adverse Effect.</w:t>
      </w:r>
    </w:p>
    <w:p>
      <w:pPr>
        <w:spacing w:after="0" w:line="62" w:lineRule="exact"/>
        <w:rPr>
          <w:rFonts w:ascii="Arial" w:cs="Arial" w:eastAsia="Arial" w:hAnsi="Arial"/>
          <w:sz w:val="18"/>
          <w:szCs w:val="18"/>
          <w:color w:val="auto"/>
        </w:rPr>
      </w:pPr>
    </w:p>
    <w:p>
      <w:pPr>
        <w:ind w:right="200" w:firstLine="436"/>
        <w:spacing w:after="0" w:line="342" w:lineRule="auto"/>
        <w:tabs>
          <w:tab w:leader="none" w:pos="695"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Borrower will maintain in effect and enforce policies and procedures reasonably designed to achieve compliance in all material respects by the Borrower, its Subsidiaries and their respective directors, officers, employees and agents with Anti-Corruption Laws and applicable Sanctions.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NEGATIVE COVENANTS</w:t>
      </w:r>
    </w:p>
    <w:p>
      <w:pPr>
        <w:spacing w:after="0" w:line="225" w:lineRule="exact"/>
        <w:rPr>
          <w:sz w:val="20"/>
          <w:szCs w:val="20"/>
          <w:color w:val="auto"/>
        </w:rPr>
      </w:pPr>
    </w:p>
    <w:p>
      <w:pPr>
        <w:ind w:right="220" w:firstLine="440"/>
        <w:spacing w:after="0" w:line="279" w:lineRule="auto"/>
        <w:rPr>
          <w:sz w:val="20"/>
          <w:szCs w:val="20"/>
          <w:color w:val="auto"/>
        </w:rPr>
      </w:pPr>
      <w:r>
        <w:rPr>
          <w:rFonts w:ascii="Arial" w:cs="Arial" w:eastAsia="Arial" w:hAnsi="Arial"/>
          <w:sz w:val="17"/>
          <w:szCs w:val="17"/>
          <w:color w:val="auto"/>
        </w:rPr>
        <w:t>Beginning on the Closing Date after giving effect to the Loans made on the Closing Date and continuing thereafter until the Commitments have expired or been terminated and the principal of and interest on each Loan and all fees, expenses and other amounts payable (other than contingent amounts not yet due) under any Loan Document have been paid in full and all Letters of Credit have expired, been terminated or been Cash Collateralized on terms reasonably acceptable to the Issuing Banks, the Borrower covenants and agrees with the Lenders that: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6.01 Indebtedness of Subsidiaries.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Borrower will not permit any Subsidiary to create, incur, assume or permit to exist any Funded Indebtedness other than:</w:t>
      </w:r>
    </w:p>
    <w:p>
      <w:pPr>
        <w:spacing w:after="0" w:line="117" w:lineRule="exact"/>
        <w:rPr>
          <w:sz w:val="20"/>
          <w:szCs w:val="20"/>
          <w:color w:val="auto"/>
        </w:rPr>
      </w:pPr>
    </w:p>
    <w:p>
      <w:pPr>
        <w:ind w:left="1600" w:hanging="212"/>
        <w:spacing w:after="0"/>
        <w:tabs>
          <w:tab w:leader="none" w:pos="16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Indebtedness of any Subsidiary to the Borrower or any other Subsidiary;</w:t>
      </w:r>
    </w:p>
    <w:p>
      <w:pPr>
        <w:spacing w:after="0" w:line="117" w:lineRule="exact"/>
        <w:rPr>
          <w:rFonts w:ascii="Arial" w:cs="Arial" w:eastAsia="Arial" w:hAnsi="Arial"/>
          <w:sz w:val="18"/>
          <w:szCs w:val="18"/>
          <w:color w:val="auto"/>
        </w:rPr>
      </w:pPr>
    </w:p>
    <w:p>
      <w:pPr>
        <w:ind w:left="980" w:firstLine="408"/>
        <w:spacing w:after="0" w:line="277" w:lineRule="auto"/>
        <w:tabs>
          <w:tab w:leader="none" w:pos="1646"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Guarantees by any Subsidiary of Indebtedness of any other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Indebtedness so Guaranteed is otherwise permitted by this Section 6.01;</w:t>
      </w:r>
    </w:p>
    <w:p>
      <w:pPr>
        <w:spacing w:after="0" w:line="62" w:lineRule="exact"/>
        <w:rPr>
          <w:rFonts w:ascii="Arial" w:cs="Arial" w:eastAsia="Arial" w:hAnsi="Arial"/>
          <w:sz w:val="18"/>
          <w:szCs w:val="18"/>
          <w:color w:val="auto"/>
        </w:rPr>
      </w:pPr>
    </w:p>
    <w:p>
      <w:pPr>
        <w:ind w:left="980" w:right="20" w:firstLine="408"/>
        <w:spacing w:after="0" w:line="279" w:lineRule="auto"/>
        <w:tabs>
          <w:tab w:leader="none" w:pos="1696" w:val="left"/>
        </w:tabs>
        <w:numPr>
          <w:ilvl w:val="0"/>
          <w:numId w:val="98"/>
        </w:numPr>
        <w:rPr>
          <w:rFonts w:ascii="Arial" w:cs="Arial" w:eastAsia="Arial" w:hAnsi="Arial"/>
          <w:sz w:val="17"/>
          <w:szCs w:val="17"/>
          <w:color w:val="auto"/>
        </w:rPr>
      </w:pPr>
      <w:r>
        <w:rPr>
          <w:rFonts w:ascii="Arial" w:cs="Arial" w:eastAsia="Arial" w:hAnsi="Arial"/>
          <w:sz w:val="17"/>
          <w:szCs w:val="17"/>
          <w:color w:val="auto"/>
        </w:rPr>
        <w:t>other Indebtedness of the Subsidiaries in an aggregate principal amount not exceeding the greater of (x) $350,000,000 at any time outstanding and (y) 30% of Consolidated EBITDA for the four consecutive fiscal quarter period of the Borrower most-recently ended on or prior to the most recent date any Indebtedness is incurred in reliance on this clause (iii) for which financial statements have been or were required to be delivered pursuant to paragraph (a) or (b) of Section 5.01;</w:t>
      </w:r>
    </w:p>
    <w:p>
      <w:pPr>
        <w:spacing w:after="0" w:line="63" w:lineRule="exact"/>
        <w:rPr>
          <w:rFonts w:ascii="Arial" w:cs="Arial" w:eastAsia="Arial" w:hAnsi="Arial"/>
          <w:sz w:val="17"/>
          <w:szCs w:val="17"/>
          <w:color w:val="auto"/>
        </w:rPr>
      </w:pPr>
    </w:p>
    <w:p>
      <w:pPr>
        <w:ind w:left="980" w:firstLine="408"/>
        <w:spacing w:after="0" w:line="286" w:lineRule="auto"/>
        <w:tabs>
          <w:tab w:leader="none" w:pos="1686" w:val="left"/>
        </w:tabs>
        <w:numPr>
          <w:ilvl w:val="0"/>
          <w:numId w:val="98"/>
        </w:numPr>
        <w:rPr>
          <w:rFonts w:ascii="Arial" w:cs="Arial" w:eastAsia="Arial" w:hAnsi="Arial"/>
          <w:sz w:val="17"/>
          <w:szCs w:val="17"/>
          <w:color w:val="auto"/>
        </w:rPr>
      </w:pPr>
      <w:r>
        <w:rPr>
          <w:rFonts w:ascii="Arial" w:cs="Arial" w:eastAsia="Arial" w:hAnsi="Arial"/>
          <w:sz w:val="17"/>
          <w:szCs w:val="17"/>
          <w:color w:val="auto"/>
        </w:rPr>
        <w:t>Indebtedness owed to any Person (including obligations in respect of letters of credit for the benefit of such Person) providing workers’ compensation, health, disability or other employee benefits or property, casualty or liability insurance, pursuant to reimbursement or indemnification obligations to such Person, in each case incurred in the ordinary course of business;</w:t>
      </w:r>
    </w:p>
    <w:p>
      <w:pPr>
        <w:spacing w:after="0" w:line="57" w:lineRule="exact"/>
        <w:rPr>
          <w:rFonts w:ascii="Arial" w:cs="Arial" w:eastAsia="Arial" w:hAnsi="Arial"/>
          <w:sz w:val="17"/>
          <w:szCs w:val="17"/>
          <w:color w:val="auto"/>
        </w:rPr>
      </w:pPr>
    </w:p>
    <w:p>
      <w:pPr>
        <w:ind w:left="980" w:right="120" w:firstLine="408"/>
        <w:spacing w:after="0" w:line="263" w:lineRule="auto"/>
        <w:tabs>
          <w:tab w:leader="none" w:pos="1636"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Indebtedness of any Subsidiary in respect of performance bonds, bid bonds, appeal bonds, surety bonds, performance and completion guarantees and similar obligations (other than in respect of other Indebtedness for borrowed money), in each case provided in the ordinary course of business;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0"/>
          </w:cols>
          <w:pgMar w:left="440" w:top="274" w:right="459" w:bottom="1440" w:gutter="0" w:footer="0" w:header="0"/>
        </w:sectPr>
      </w:pPr>
    </w:p>
    <w:bookmarkStart w:id="90" w:name="page91"/>
    <w:bookmarkEnd w:id="90"/>
    <w:p>
      <w:pPr>
        <w:ind w:left="720" w:hanging="301"/>
        <w:spacing w:after="0"/>
        <w:tabs>
          <w:tab w:leader="none" w:pos="720" w:val="left"/>
        </w:tabs>
        <w:numPr>
          <w:ilvl w:val="0"/>
          <w:numId w:val="9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Indebtedness of a Subsidiary in respect of non-speculative Swap Agreements relating to the business or operations of such Subsidiary;</w:t>
      </w:r>
    </w:p>
    <w:p>
      <w:pPr>
        <w:spacing w:after="0" w:line="140" w:lineRule="exact"/>
        <w:rPr>
          <w:rFonts w:ascii="Arial" w:cs="Arial" w:eastAsia="Arial" w:hAnsi="Arial"/>
          <w:sz w:val="16"/>
          <w:szCs w:val="16"/>
          <w:color w:val="auto"/>
        </w:rPr>
      </w:pPr>
    </w:p>
    <w:p>
      <w:pPr>
        <w:ind w:right="280" w:firstLine="419"/>
        <w:spacing w:after="0" w:line="277" w:lineRule="auto"/>
        <w:tabs>
          <w:tab w:leader="none" w:pos="778"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Indebtedness arising from the honoring by a bank or financial institution of a check or similar instrument drawn against insufficient funds in the ordinary course of business, so long as such Indebtedness is repaid within five Business Days;</w:t>
      </w:r>
    </w:p>
    <w:p>
      <w:pPr>
        <w:spacing w:after="0" w:line="62" w:lineRule="exact"/>
        <w:rPr>
          <w:rFonts w:ascii="Arial" w:cs="Arial" w:eastAsia="Arial" w:hAnsi="Arial"/>
          <w:sz w:val="18"/>
          <w:szCs w:val="18"/>
          <w:color w:val="auto"/>
        </w:rPr>
      </w:pPr>
    </w:p>
    <w:p>
      <w:pPr>
        <w:ind w:right="20" w:firstLine="419"/>
        <w:spacing w:after="0" w:line="279" w:lineRule="auto"/>
        <w:tabs>
          <w:tab w:leader="none" w:pos="828" w:val="left"/>
        </w:tabs>
        <w:numPr>
          <w:ilvl w:val="0"/>
          <w:numId w:val="99"/>
        </w:numPr>
        <w:rPr>
          <w:rFonts w:ascii="Arial" w:cs="Arial" w:eastAsia="Arial" w:hAnsi="Arial"/>
          <w:sz w:val="17"/>
          <w:szCs w:val="17"/>
          <w:color w:val="auto"/>
        </w:rPr>
      </w:pPr>
      <w:r>
        <w:rPr>
          <w:rFonts w:ascii="Arial" w:cs="Arial" w:eastAsia="Arial" w:hAnsi="Arial"/>
          <w:sz w:val="17"/>
          <w:szCs w:val="17"/>
          <w:color w:val="auto"/>
        </w:rPr>
        <w:t xml:space="preserve">Indebtedness in respect of letters of credit, guarantees, counter-indemnities and short term facilities incurred by any Subsidiary engaged in Clearing Operations in connection with the ordinary clearing, depository and settlement procedures (including, without limitation, any letter of credit or guarantees provided to any central securities depositories or external custodians) relating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advances thereunder are repaid within 10 days following the date of such advance or any drawing under any letter of credit or guarantee;</w:t>
      </w:r>
    </w:p>
    <w:p>
      <w:pPr>
        <w:spacing w:after="0" w:line="63" w:lineRule="exact"/>
        <w:rPr>
          <w:rFonts w:ascii="Arial" w:cs="Arial" w:eastAsia="Arial" w:hAnsi="Arial"/>
          <w:sz w:val="17"/>
          <w:szCs w:val="17"/>
          <w:color w:val="auto"/>
        </w:rPr>
      </w:pPr>
    </w:p>
    <w:p>
      <w:pPr>
        <w:ind w:right="140" w:firstLine="419"/>
        <w:spacing w:after="0" w:line="259" w:lineRule="auto"/>
        <w:tabs>
          <w:tab w:leader="none" w:pos="728"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any Indebtedness of any Clearing House incurred in connection with arrangements related to any Clearing Operations where such Indebtedness arises under the rules, normal procedures, agreements or legislation governing the Clearing Operations or such Clearing House;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loans, advances or other outstanding Indebtedness thereunder are repaid within 10 days following the date on which such loan or advance was made or any other such Indebtedness was incurred;</w:t>
      </w:r>
    </w:p>
    <w:p>
      <w:pPr>
        <w:spacing w:after="0" w:line="78" w:lineRule="exact"/>
        <w:rPr>
          <w:rFonts w:ascii="Arial" w:cs="Arial" w:eastAsia="Arial" w:hAnsi="Arial"/>
          <w:sz w:val="18"/>
          <w:szCs w:val="18"/>
          <w:color w:val="auto"/>
        </w:rPr>
      </w:pPr>
    </w:p>
    <w:p>
      <w:pPr>
        <w:ind w:right="40" w:firstLine="419"/>
        <w:spacing w:after="0" w:line="259" w:lineRule="auto"/>
        <w:tabs>
          <w:tab w:leader="none" w:pos="678"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any Indebtedness arising as a result of short-term sale and repurchase transactions entered into by a Subsidiary on market terms and in respect of marketable securities held for investment purposes where the applicable Subsidiary enters into back to back, foreign exchange, swap or derivative transaction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such Indebtedness doesn’t exceed the principal amount of the securities sold;</w:t>
      </w:r>
    </w:p>
    <w:p>
      <w:pPr>
        <w:spacing w:after="0" w:line="78" w:lineRule="exact"/>
        <w:rPr>
          <w:rFonts w:ascii="Arial" w:cs="Arial" w:eastAsia="Arial" w:hAnsi="Arial"/>
          <w:sz w:val="18"/>
          <w:szCs w:val="18"/>
          <w:color w:val="auto"/>
        </w:rPr>
      </w:pPr>
    </w:p>
    <w:p>
      <w:pPr>
        <w:ind w:right="520" w:firstLine="419"/>
        <w:spacing w:after="0" w:line="277" w:lineRule="auto"/>
        <w:tabs>
          <w:tab w:leader="none" w:pos="728"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Indebtedness incurred in connection with the administration of the UK ESOP Program in the ordinary course of business and not outstanding longer than seven days;</w:t>
      </w:r>
    </w:p>
    <w:p>
      <w:pPr>
        <w:spacing w:after="0" w:line="62" w:lineRule="exact"/>
        <w:rPr>
          <w:rFonts w:ascii="Arial" w:cs="Arial" w:eastAsia="Arial" w:hAnsi="Arial"/>
          <w:sz w:val="18"/>
          <w:szCs w:val="18"/>
          <w:color w:val="auto"/>
        </w:rPr>
      </w:pPr>
    </w:p>
    <w:p>
      <w:pPr>
        <w:ind w:firstLine="419"/>
        <w:spacing w:after="0" w:line="259" w:lineRule="auto"/>
        <w:tabs>
          <w:tab w:leader="none" w:pos="778"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Indebtedness of Regulated Subsidiaries or any direct or indirect parent of any such Regulated Subsidiary incurred to satisfy such Regulated Subsidiary’s determination of any requirement imposed at any time or from time to time by any Governmental Authority in an aggregate principal amount not to exceed $250,000,000 at any time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Indebtedness is not outstanding for longer than 30 days;</w:t>
      </w:r>
    </w:p>
    <w:p>
      <w:pPr>
        <w:spacing w:after="0" w:line="78" w:lineRule="exact"/>
        <w:rPr>
          <w:rFonts w:ascii="Arial" w:cs="Arial" w:eastAsia="Arial" w:hAnsi="Arial"/>
          <w:sz w:val="18"/>
          <w:szCs w:val="18"/>
          <w:color w:val="auto"/>
        </w:rPr>
      </w:pPr>
    </w:p>
    <w:p>
      <w:pPr>
        <w:ind w:left="820" w:hanging="401"/>
        <w:spacing w:after="0"/>
        <w:tabs>
          <w:tab w:leader="none" w:pos="8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Indebtedness consisting of the financing of insurance premiums in the ordinary course of business.</w:t>
      </w:r>
    </w:p>
    <w:p>
      <w:pPr>
        <w:spacing w:after="0" w:line="117" w:lineRule="exact"/>
        <w:rPr>
          <w:rFonts w:ascii="Arial" w:cs="Arial" w:eastAsia="Arial" w:hAnsi="Arial"/>
          <w:sz w:val="18"/>
          <w:szCs w:val="18"/>
          <w:color w:val="auto"/>
        </w:rPr>
      </w:pPr>
    </w:p>
    <w:p>
      <w:pPr>
        <w:ind w:right="120" w:firstLine="419"/>
        <w:spacing w:after="0" w:line="277" w:lineRule="auto"/>
        <w:tabs>
          <w:tab w:leader="none" w:pos="818"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Indebtedness of any Subsidiary consisting of purchase money Indebtedness and Capital Lease Obligations not to exceed $50,000,000 outstanding at any time;</w:t>
      </w:r>
    </w:p>
    <w:p>
      <w:pPr>
        <w:spacing w:after="0" w:line="62" w:lineRule="exact"/>
        <w:rPr>
          <w:rFonts w:ascii="Arial" w:cs="Arial" w:eastAsia="Arial" w:hAnsi="Arial"/>
          <w:sz w:val="18"/>
          <w:szCs w:val="18"/>
          <w:color w:val="auto"/>
        </w:rPr>
      </w:pPr>
    </w:p>
    <w:p>
      <w:pPr>
        <w:ind w:firstLine="419"/>
        <w:spacing w:after="0" w:line="263" w:lineRule="auto"/>
        <w:tabs>
          <w:tab w:leader="none" w:pos="768"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Indebtedness arising from agreements of any Subsidiary providing for indemnification, adjustment of purchase or acquisition price or similar obligations, in each case, incurred or assumed in connection with any Acquisition or the disposition of any business, assets or a Subsidiary not prohibited by this Agreement;</w:t>
      </w:r>
    </w:p>
    <w:p>
      <w:pPr>
        <w:spacing w:after="0" w:line="75" w:lineRule="exact"/>
        <w:rPr>
          <w:rFonts w:ascii="Arial" w:cs="Arial" w:eastAsia="Arial" w:hAnsi="Arial"/>
          <w:sz w:val="18"/>
          <w:szCs w:val="18"/>
          <w:color w:val="auto"/>
        </w:rPr>
      </w:pPr>
    </w:p>
    <w:p>
      <w:pPr>
        <w:ind w:left="820" w:hanging="401"/>
        <w:spacing w:after="0"/>
        <w:tabs>
          <w:tab w:leader="none" w:pos="820" w:val="left"/>
        </w:tabs>
        <w:numPr>
          <w:ilvl w:val="0"/>
          <w:numId w:val="99"/>
        </w:numPr>
        <w:rPr>
          <w:rFonts w:ascii="Arial" w:cs="Arial" w:eastAsia="Arial" w:hAnsi="Arial"/>
          <w:sz w:val="17"/>
          <w:szCs w:val="17"/>
          <w:color w:val="auto"/>
        </w:rPr>
      </w:pPr>
      <w:r>
        <w:rPr>
          <w:rFonts w:ascii="Arial" w:cs="Arial" w:eastAsia="Arial" w:hAnsi="Arial"/>
          <w:sz w:val="17"/>
          <w:szCs w:val="17"/>
          <w:color w:val="auto"/>
        </w:rPr>
        <w:t>Indebtedness supported by a Letter of Credit, in a principal amount not in excess of the stated amount of such Letter of Credit;</w:t>
      </w:r>
    </w:p>
    <w:p>
      <w:pPr>
        <w:spacing w:after="0" w:line="169"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520"/>
          </w:cols>
          <w:pgMar w:left="880" w:top="274" w:right="499" w:bottom="1440" w:gutter="0" w:footer="0" w:header="0"/>
        </w:sectPr>
      </w:pPr>
    </w:p>
    <w:bookmarkStart w:id="91" w:name="page92"/>
    <w:bookmarkEnd w:id="91"/>
    <w:p>
      <w:pPr>
        <w:ind w:left="440" w:right="20" w:firstLine="419"/>
        <w:spacing w:after="0" w:line="285" w:lineRule="auto"/>
        <w:tabs>
          <w:tab w:leader="none" w:pos="1308" w:val="left"/>
        </w:tabs>
        <w:numPr>
          <w:ilvl w:val="1"/>
          <w:numId w:val="10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 Indebtedness of any Person that is merged or consolidated with and into any Subsidiary or of any Person that otherwise becomes a Subsidiary after the Closing Date; provided that (x) such Indebtedness exists at the time such Person becomes a Subsidiary and is not created in contemplation of or in connection with such Person becoming a Subsidiary and (y) immediately after giving effect to the consummation of such merger or consolidation or such Person otherwise becoming a Subsidiary, the Borrower would be in compliance on a Pro Forma Basis with the covenant set forth in Section 6.08 as of the most recent test date for which financial statements have been delivered pursuant to paragraph (a) or</w:t>
      </w:r>
    </w:p>
    <w:p>
      <w:pPr>
        <w:spacing w:after="0" w:line="1" w:lineRule="exact"/>
        <w:rPr>
          <w:rFonts w:ascii="Arial" w:cs="Arial" w:eastAsia="Arial" w:hAnsi="Arial"/>
          <w:sz w:val="16"/>
          <w:szCs w:val="16"/>
          <w:color w:val="auto"/>
        </w:rPr>
      </w:pPr>
    </w:p>
    <w:p>
      <w:pPr>
        <w:ind w:left="700" w:hanging="264"/>
        <w:spacing w:after="0"/>
        <w:tabs>
          <w:tab w:leader="none" w:pos="7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of Section 5.01, and (B) extensions, renewals, replacements and refinancings of any Indebtedness outstanding pursuant to this</w:t>
      </w:r>
    </w:p>
    <w:p>
      <w:pPr>
        <w:spacing w:after="0" w:line="9" w:lineRule="exact"/>
        <w:rPr>
          <w:sz w:val="20"/>
          <w:szCs w:val="20"/>
          <w:color w:val="auto"/>
        </w:rPr>
      </w:pPr>
    </w:p>
    <w:p>
      <w:pPr>
        <w:ind w:left="440" w:right="240"/>
        <w:spacing w:after="0" w:line="260" w:lineRule="auto"/>
        <w:rPr>
          <w:sz w:val="20"/>
          <w:szCs w:val="20"/>
          <w:color w:val="auto"/>
        </w:rPr>
      </w:pPr>
      <w:r>
        <w:rPr>
          <w:rFonts w:ascii="Arial" w:cs="Arial" w:eastAsia="Arial" w:hAnsi="Arial"/>
          <w:sz w:val="18"/>
          <w:szCs w:val="18"/>
          <w:color w:val="auto"/>
        </w:rPr>
        <w:t>Section 6.01(xvii); provided that any Indebtedness outstanding pursuant to this subclause (B) shall not exceed an aggregate principal amount of $100,000,000 at any time outstanding; and</w:t>
      </w:r>
    </w:p>
    <w:p>
      <w:pPr>
        <w:spacing w:after="0" w:line="77" w:lineRule="exact"/>
        <w:rPr>
          <w:sz w:val="20"/>
          <w:szCs w:val="20"/>
          <w:color w:val="auto"/>
        </w:rPr>
      </w:pPr>
    </w:p>
    <w:p>
      <w:pPr>
        <w:ind w:left="440" w:right="60" w:firstLine="419"/>
        <w:spacing w:after="0" w:line="255" w:lineRule="auto"/>
        <w:tabs>
          <w:tab w:leader="none" w:pos="135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Indebtedness arising from repurchase agreements, reverse repurchase agreements, sell buy back and buy sell back agreements, securities lending and borrowing agreements and any other similar agreement or transaction (including Swap Agreements) entered into by the Borrower or such Subsidiary in the ordinary course of its clearing, depository and settlement operations, or matters reasonably related or incidental thereto, or in the management of its liabilities;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such Indebtedness outstanding at any time does not exceed the market value of the securities or other assets sold, loaned or borrowed or otherwise subject to such applicable agreement or transaction at such time.</w:t>
      </w:r>
    </w:p>
    <w:p>
      <w:pPr>
        <w:spacing w:after="0" w:line="192"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SECTION 6.02 Liens. The Borrower will not, nor will it permit any Subsidiary to, create, incur, assume or permit to exist any Lien on any property or asset now owned or hereafter acquired by it, or assign or sell any income or revenues (including accounts receivable) or rights in respect of any thereof, except:</w:t>
      </w:r>
    </w:p>
    <w:p>
      <w:pPr>
        <w:spacing w:after="0" w:line="76" w:lineRule="exact"/>
        <w:rPr>
          <w:sz w:val="20"/>
          <w:szCs w:val="20"/>
          <w:color w:val="auto"/>
        </w:rPr>
      </w:pPr>
    </w:p>
    <w:p>
      <w:pPr>
        <w:ind w:left="1100" w:hanging="241"/>
        <w:spacing w:after="0"/>
        <w:tabs>
          <w:tab w:leader="none" w:pos="11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Permitted Encumbrances;</w:t>
      </w:r>
    </w:p>
    <w:p>
      <w:pPr>
        <w:spacing w:after="0" w:line="117" w:lineRule="exact"/>
        <w:rPr>
          <w:rFonts w:ascii="Arial" w:cs="Arial" w:eastAsia="Arial" w:hAnsi="Arial"/>
          <w:sz w:val="18"/>
          <w:szCs w:val="18"/>
          <w:color w:val="auto"/>
        </w:rPr>
      </w:pPr>
    </w:p>
    <w:p>
      <w:pPr>
        <w:ind w:left="440" w:firstLine="419"/>
        <w:spacing w:after="0" w:line="255" w:lineRule="auto"/>
        <w:tabs>
          <w:tab w:leader="none" w:pos="111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any Lien on any property or asset of the Borrower or any Subsidiary existing on the Closing Date and set forth in </w:t>
      </w:r>
      <w:r>
        <w:rPr>
          <w:rFonts w:ascii="Arial" w:cs="Arial" w:eastAsia="Arial" w:hAnsi="Arial"/>
          <w:sz w:val="18"/>
          <w:szCs w:val="18"/>
          <w:u w:val="single" w:color="auto"/>
          <w:color w:val="auto"/>
        </w:rPr>
        <w:t>Schedule 6.02</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such Lien shall not apply to any other property or asset of the Borrower or any Subsidiary and (B) such Lien shall secure only those obligations that it secures on the date hereof and refinancings, extensions, renewals and replacements thereof so long as the principal amount of such refinancings, extensions, renewals and replacements does not exceed the principal amount of the obligations being refinanced, extended, renewed or replaced (plus any accrued but unpaid interest and premium or penalty payable by the terms of such obligations thereon and reasonable fees and expenses associated therewith);</w:t>
      </w:r>
    </w:p>
    <w:p>
      <w:pPr>
        <w:spacing w:after="0" w:line="84" w:lineRule="exact"/>
        <w:rPr>
          <w:rFonts w:ascii="Arial" w:cs="Arial" w:eastAsia="Arial" w:hAnsi="Arial"/>
          <w:sz w:val="18"/>
          <w:szCs w:val="18"/>
          <w:color w:val="auto"/>
        </w:rPr>
      </w:pPr>
    </w:p>
    <w:p>
      <w:pPr>
        <w:ind w:left="440" w:right="60" w:firstLine="419"/>
        <w:spacing w:after="0" w:line="270" w:lineRule="auto"/>
        <w:tabs>
          <w:tab w:leader="none" w:pos="1108" w:val="left"/>
        </w:tabs>
        <w:numPr>
          <w:ilvl w:val="0"/>
          <w:numId w:val="103"/>
        </w:numPr>
        <w:rPr>
          <w:rFonts w:ascii="Arial" w:cs="Arial" w:eastAsia="Arial" w:hAnsi="Arial"/>
          <w:sz w:val="17"/>
          <w:szCs w:val="17"/>
          <w:color w:val="auto"/>
        </w:rPr>
      </w:pPr>
      <w:r>
        <w:rPr>
          <w:rFonts w:ascii="Arial" w:cs="Arial" w:eastAsia="Arial" w:hAnsi="Arial"/>
          <w:sz w:val="17"/>
          <w:szCs w:val="17"/>
          <w:color w:val="auto"/>
        </w:rPr>
        <w:t xml:space="preserve">any Lien existing on any property or asset prior to the acquisition thereof by the Borrower or any Subsidiary or existing on any property or asset of any Person that becomes a Subsidiary after the date hereof prior to the time such Person becomes a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such Lien is not created in contemplation of or in connection with such acquisition or such Person becoming a Subsidiary, as the case may be, (B) such Lien shall not apply to any other property or asset of the Borrower or any Subsidiary other than proceeds of such property or asset and (C) such Lien shall secure only those obligations that it secures on the date of such acquisition or the date such Person becomes a Subsidiary, as the case may be, and refinancings, extensions, renewals and replacements thereof so long as the principal amount of such refinancings, extensions, renewals and replacements does not exceed the principal amount of the obligations being refinanced, extended, renewed or replaced (plus any accrued but unpaid interest and premium or penalty payable by the terms of such obligations thereon and reasonable fees and expenses associated therewith);</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00"/>
          </w:cols>
          <w:pgMar w:left="440" w:top="274" w:right="459" w:bottom="1440" w:gutter="0" w:footer="0" w:header="0"/>
        </w:sectPr>
      </w:pPr>
    </w:p>
    <w:bookmarkStart w:id="92" w:name="page93"/>
    <w:bookmarkEnd w:id="92"/>
    <w:p>
      <w:pPr>
        <w:ind w:firstLine="419"/>
        <w:spacing w:after="0" w:line="259" w:lineRule="auto"/>
        <w:tabs>
          <w:tab w:leader="none" w:pos="678" w:val="left"/>
        </w:tabs>
        <w:numPr>
          <w:ilvl w:val="0"/>
          <w:numId w:val="1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Liens on fixed or capital assets acquired, constructed or improved (including any such assets made the subject of a Capital Lease Obligation incurred) by the Borrower or any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the Indebtedness secured thereby does not exceed the cost of acquiring, constructing or improving such fixed or capital asset and (B) such Liens shall not apply to any other property or assets of the Borrower or any Subsidiary other than proceeds of such property or assets;</w:t>
      </w:r>
    </w:p>
    <w:p>
      <w:pPr>
        <w:spacing w:after="0" w:line="78" w:lineRule="exact"/>
        <w:rPr>
          <w:rFonts w:ascii="Arial" w:cs="Arial" w:eastAsia="Arial" w:hAnsi="Arial"/>
          <w:sz w:val="18"/>
          <w:szCs w:val="18"/>
          <w:color w:val="auto"/>
        </w:rPr>
      </w:pPr>
    </w:p>
    <w:p>
      <w:pPr>
        <w:ind w:right="200" w:firstLine="419"/>
        <w:spacing w:after="0" w:line="277" w:lineRule="auto"/>
        <w:tabs>
          <w:tab w:leader="none" w:pos="66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Liens of a collecting bank arising in the ordinary course of business under Section 4-208 of the Uniform Commercial Code in effect in the relevant jurisdiction covering only the items being collected upon;</w:t>
      </w:r>
    </w:p>
    <w:p>
      <w:pPr>
        <w:spacing w:after="0" w:line="62" w:lineRule="exact"/>
        <w:rPr>
          <w:rFonts w:ascii="Arial" w:cs="Arial" w:eastAsia="Arial" w:hAnsi="Arial"/>
          <w:sz w:val="18"/>
          <w:szCs w:val="18"/>
          <w:color w:val="auto"/>
        </w:rPr>
      </w:pPr>
    </w:p>
    <w:p>
      <w:pPr>
        <w:ind w:right="580" w:firstLine="419"/>
        <w:spacing w:after="0" w:line="277" w:lineRule="auto"/>
        <w:tabs>
          <w:tab w:leader="none" w:pos="64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Liens representing any interest or title of a licensor, lessor or sublicensor or sublessor under any lease or license permitted by this Agreement;</w:t>
      </w:r>
    </w:p>
    <w:p>
      <w:pPr>
        <w:spacing w:after="0" w:line="62" w:lineRule="exact"/>
        <w:rPr>
          <w:rFonts w:ascii="Arial" w:cs="Arial" w:eastAsia="Arial" w:hAnsi="Arial"/>
          <w:sz w:val="18"/>
          <w:szCs w:val="18"/>
          <w:color w:val="auto"/>
        </w:rPr>
      </w:pPr>
    </w:p>
    <w:p>
      <w:pPr>
        <w:ind w:right="180" w:firstLine="419"/>
        <w:spacing w:after="0" w:line="301" w:lineRule="auto"/>
        <w:tabs>
          <w:tab w:leader="none" w:pos="678" w:val="left"/>
        </w:tabs>
        <w:numPr>
          <w:ilvl w:val="0"/>
          <w:numId w:val="104"/>
        </w:numPr>
        <w:rPr>
          <w:rFonts w:ascii="Arial" w:cs="Arial" w:eastAsia="Arial" w:hAnsi="Arial"/>
          <w:sz w:val="16"/>
          <w:szCs w:val="16"/>
          <w:color w:val="auto"/>
        </w:rPr>
      </w:pPr>
      <w:r>
        <w:rPr>
          <w:rFonts w:ascii="Arial" w:cs="Arial" w:eastAsia="Arial" w:hAnsi="Arial"/>
          <w:sz w:val="16"/>
          <w:szCs w:val="16"/>
          <w:color w:val="auto"/>
        </w:rPr>
        <w:t>Liens not otherwise permitted by this Section to the extent that the aggregate outstanding principal amount of the obligations secured thereby does not exceed the greater of (i) $150,000,000 at any time outstanding; and (ii) 12% of Consolidated EBITDA for the four consecutive fiscal quarter period of the Borrower most-recently ended on or prior to the most recent date any Lien is created or incurred in reliance on this clause (g) for which financial statements have been or were required to be delivered pursuant to paragraph (a) or (b) of Section 5.01;</w:t>
      </w:r>
    </w:p>
    <w:p>
      <w:pPr>
        <w:spacing w:after="0" w:line="49" w:lineRule="exact"/>
        <w:rPr>
          <w:rFonts w:ascii="Arial" w:cs="Arial" w:eastAsia="Arial" w:hAnsi="Arial"/>
          <w:sz w:val="16"/>
          <w:szCs w:val="16"/>
          <w:color w:val="auto"/>
        </w:rPr>
      </w:pPr>
    </w:p>
    <w:p>
      <w:pPr>
        <w:ind w:right="280" w:firstLine="419"/>
        <w:spacing w:after="0" w:line="277" w:lineRule="auto"/>
        <w:tabs>
          <w:tab w:leader="none" w:pos="67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Liens granted by a Subsidiary in favor of the Borrower or another Subsidiary in respect of Indebtedness or other obligations owed by such Subsidiary to the Borrower or such other Subsidiary;</w:t>
      </w:r>
    </w:p>
    <w:p>
      <w:pPr>
        <w:spacing w:after="0" w:line="62" w:lineRule="exact"/>
        <w:rPr>
          <w:rFonts w:ascii="Arial" w:cs="Arial" w:eastAsia="Arial" w:hAnsi="Arial"/>
          <w:sz w:val="18"/>
          <w:szCs w:val="18"/>
          <w:color w:val="auto"/>
        </w:rPr>
      </w:pPr>
    </w:p>
    <w:p>
      <w:pPr>
        <w:ind w:right="400" w:firstLine="419"/>
        <w:spacing w:after="0" w:line="277" w:lineRule="auto"/>
        <w:tabs>
          <w:tab w:leader="none" w:pos="63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Liens on insurance policies and the proceeds thereof securing Indebtedness consisting of the financing of insurance premiums in the ordinary course of business;</w:t>
      </w:r>
    </w:p>
    <w:p>
      <w:pPr>
        <w:spacing w:after="0" w:line="62" w:lineRule="exact"/>
        <w:rPr>
          <w:rFonts w:ascii="Arial" w:cs="Arial" w:eastAsia="Arial" w:hAnsi="Arial"/>
          <w:sz w:val="18"/>
          <w:szCs w:val="18"/>
          <w:color w:val="auto"/>
        </w:rPr>
      </w:pPr>
    </w:p>
    <w:p>
      <w:pPr>
        <w:ind w:right="100" w:firstLine="419"/>
        <w:spacing w:after="0" w:line="277" w:lineRule="auto"/>
        <w:tabs>
          <w:tab w:leader="none" w:pos="63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Liens granted by a Subsidiary to secure obligations that do not constitute Indebtedness and are incurred in connection with the exchange and clearing operations of such Subsidiary in the ordinary course of business;</w:t>
      </w:r>
    </w:p>
    <w:p>
      <w:pPr>
        <w:spacing w:after="0" w:line="62" w:lineRule="exact"/>
        <w:rPr>
          <w:rFonts w:ascii="Arial" w:cs="Arial" w:eastAsia="Arial" w:hAnsi="Arial"/>
          <w:sz w:val="18"/>
          <w:szCs w:val="18"/>
          <w:color w:val="auto"/>
        </w:rPr>
      </w:pPr>
    </w:p>
    <w:p>
      <w:pPr>
        <w:ind w:right="440" w:firstLine="419"/>
        <w:spacing w:after="0" w:line="277" w:lineRule="auto"/>
        <w:tabs>
          <w:tab w:leader="none" w:pos="67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Liens solely on earnest money deposits made by the Borrower or any Subsidiary in connection with any letter of intent or purchase agreement in respect of any Acquisition or other Investment;</w:t>
      </w:r>
    </w:p>
    <w:p>
      <w:pPr>
        <w:spacing w:after="0" w:line="62" w:lineRule="exact"/>
        <w:rPr>
          <w:rFonts w:ascii="Arial" w:cs="Arial" w:eastAsia="Arial" w:hAnsi="Arial"/>
          <w:sz w:val="18"/>
          <w:szCs w:val="18"/>
          <w:color w:val="auto"/>
        </w:rPr>
      </w:pPr>
    </w:p>
    <w:p>
      <w:pPr>
        <w:ind w:right="240" w:firstLine="419"/>
        <w:spacing w:after="0" w:line="277" w:lineRule="auto"/>
        <w:tabs>
          <w:tab w:leader="none" w:pos="63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Liens securing obligations in respect of non-speculative Swap Agreements relating to the business or operations of the Borrower or its Subsidiaries;</w:t>
      </w:r>
    </w:p>
    <w:p>
      <w:pPr>
        <w:spacing w:after="0" w:line="62" w:lineRule="exact"/>
        <w:rPr>
          <w:rFonts w:ascii="Arial" w:cs="Arial" w:eastAsia="Arial" w:hAnsi="Arial"/>
          <w:sz w:val="18"/>
          <w:szCs w:val="18"/>
          <w:color w:val="auto"/>
        </w:rPr>
      </w:pPr>
    </w:p>
    <w:p>
      <w:pPr>
        <w:ind w:right="40" w:firstLine="419"/>
        <w:spacing w:after="0" w:line="255" w:lineRule="auto"/>
        <w:tabs>
          <w:tab w:leader="none" w:pos="72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Liens arising in connection with the operations of the Borrower or any Subsidiary relating to clearing, depository, matched principal, regulated exchange or settlement activities or the management of liabilities, in each case, in the ordinary course of business, including, without limitation, (i) Liens on securities sold by the Borrower or any of the Borrower’s Subsidiaries in repurchase agreements, reverse repurchase agreements, sell buy back and buy sell back agreements, securities lending and borrowing agreements and any other similar agreement or transaction and (ii) Liens on cash, Cash Equivalents and Permitted Investments to secure permitted Indebtedness incurred in connection with such activities;</w:t>
      </w:r>
    </w:p>
    <w:p>
      <w:pPr>
        <w:spacing w:after="0" w:line="125"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540"/>
          </w:cols>
          <w:pgMar w:left="880" w:top="274" w:right="479" w:bottom="1440" w:gutter="0" w:footer="0" w:header="0"/>
        </w:sectPr>
      </w:pPr>
    </w:p>
    <w:bookmarkStart w:id="93" w:name="page94"/>
    <w:bookmarkEnd w:id="93"/>
    <w:p>
      <w:pPr>
        <w:ind w:left="1120" w:hanging="261"/>
        <w:spacing w:after="0"/>
        <w:tabs>
          <w:tab w:leader="none" w:pos="11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Liens arising from the sale of accounts receivable for which fair equivalent value is received;</w:t>
      </w:r>
    </w:p>
    <w:p>
      <w:pPr>
        <w:spacing w:after="0" w:line="117" w:lineRule="exact"/>
        <w:rPr>
          <w:rFonts w:ascii="Arial" w:cs="Arial" w:eastAsia="Arial" w:hAnsi="Arial"/>
          <w:sz w:val="18"/>
          <w:szCs w:val="18"/>
          <w:color w:val="auto"/>
        </w:rPr>
      </w:pPr>
    </w:p>
    <w:p>
      <w:pPr>
        <w:ind w:left="440" w:right="540" w:firstLine="419"/>
        <w:spacing w:after="0" w:line="263" w:lineRule="auto"/>
        <w:tabs>
          <w:tab w:leader="none" w:pos="111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Liens securing obligations of the Borrower or any Subsidiary of the Borrower in respect of any swap agreements or other hedging arrangements entered into (i) in the ordinary course of business and for non-speculative purposes or (ii) solely in order to serve clearing, depository, regulated exchange or settlement activities in respect thereof; </w:t>
      </w:r>
      <w:r>
        <w:rPr>
          <w:rFonts w:ascii="Arial" w:cs="Arial" w:eastAsia="Arial" w:hAnsi="Arial"/>
          <w:sz w:val="18"/>
          <w:szCs w:val="18"/>
          <w:color w:val="FF4338"/>
          <w:strike w:val="1"/>
        </w:rPr>
        <w:t>and</w:t>
      </w:r>
    </w:p>
    <w:p>
      <w:pPr>
        <w:spacing w:after="0" w:line="75" w:lineRule="exact"/>
        <w:rPr>
          <w:rFonts w:ascii="Arial" w:cs="Arial" w:eastAsia="Arial" w:hAnsi="Arial"/>
          <w:sz w:val="18"/>
          <w:szCs w:val="18"/>
          <w:color w:val="auto"/>
        </w:rPr>
      </w:pPr>
    </w:p>
    <w:p>
      <w:pPr>
        <w:ind w:left="440" w:right="180" w:firstLine="419"/>
        <w:spacing w:after="0" w:line="277" w:lineRule="auto"/>
        <w:tabs>
          <w:tab w:leader="none" w:pos="111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Liens created in connection with any share repurchase program in favor of any broker, dealer, custodian, trustee or agent administering or effecting transactions pursuant to a share repurchase program</w:t>
      </w:r>
      <w:r>
        <w:rPr>
          <w:rFonts w:ascii="Arial" w:cs="Arial" w:eastAsia="Arial" w:hAnsi="Arial"/>
          <w:sz w:val="18"/>
          <w:szCs w:val="18"/>
          <w:u w:val="single" w:color="auto"/>
          <w:color w:val="0000FF"/>
        </w:rPr>
        <w:t>;</w:t>
      </w:r>
    </w:p>
    <w:p>
      <w:pPr>
        <w:spacing w:after="0" w:line="62" w:lineRule="exact"/>
        <w:rPr>
          <w:rFonts w:ascii="Arial" w:cs="Arial" w:eastAsia="Arial" w:hAnsi="Arial"/>
          <w:sz w:val="18"/>
          <w:szCs w:val="18"/>
          <w:color w:val="auto"/>
        </w:rPr>
      </w:pPr>
    </w:p>
    <w:p>
      <w:pPr>
        <w:ind w:left="440" w:right="240" w:firstLine="419"/>
        <w:spacing w:after="0" w:line="277" w:lineRule="auto"/>
        <w:tabs>
          <w:tab w:leader="none" w:pos="1118" w:val="left"/>
        </w:tabs>
        <w:numPr>
          <w:ilvl w:val="0"/>
          <w:numId w:val="105"/>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from and after the Verafin Acquistion Closing Date, Liens on the assets of Verafin or any of its Subsidiaries in favor of Royal Bank of Canada and certain of its affiliates, securing obligations in an amount not to exceed $2,000,000; and</w:t>
      </w:r>
    </w:p>
    <w:p>
      <w:pPr>
        <w:spacing w:after="0" w:line="62" w:lineRule="exact"/>
        <w:rPr>
          <w:rFonts w:ascii="Arial" w:cs="Arial" w:eastAsia="Arial" w:hAnsi="Arial"/>
          <w:sz w:val="18"/>
          <w:szCs w:val="18"/>
          <w:u w:val="single" w:color="auto"/>
          <w:color w:val="0000FF"/>
        </w:rPr>
      </w:pPr>
    </w:p>
    <w:p>
      <w:pPr>
        <w:ind w:left="440" w:right="140" w:firstLine="419"/>
        <w:spacing w:after="0" w:line="277" w:lineRule="auto"/>
        <w:tabs>
          <w:tab w:leader="none" w:pos="1088" w:val="left"/>
        </w:tabs>
        <w:numPr>
          <w:ilvl w:val="0"/>
          <w:numId w:val="105"/>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from and after the Verafin Acquistion Closing Date, Liens arising from or created in connection with the Escrow Account (as defined in the Verafin Acquisition Agreement) or any arrangement with respect to the Verafin Acquisition consideration</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-696595</wp:posOffset>
            </wp:positionV>
            <wp:extent cx="342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-490855</wp:posOffset>
            </wp:positionV>
            <wp:extent cx="628332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28332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-353695</wp:posOffset>
            </wp:positionV>
            <wp:extent cx="45688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568825"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-147955</wp:posOffset>
            </wp:positionV>
            <wp:extent cx="635190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35190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-10795</wp:posOffset>
            </wp:positionV>
            <wp:extent cx="499745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997450" cy="8255"/>
                    </a:xfrm>
                    <a:prstGeom prst="rect">
                      <a:avLst/>
                    </a:prstGeom>
                    <a:noFill/>
                  </pic:spPr>
                </pic:pic>
              </a:graphicData>
            </a:graphic>
          </wp:anchor>
        </w:drawing>
      </w:r>
    </w:p>
    <w:p>
      <w:pPr>
        <w:spacing w:after="0" w:line="150"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For the purposes of this Section 6.02, the amount of any Lien shall be calculated to be the lower of (i) the amount of Indebtedness (which shall be calculated as the lesser of the stated principal amount thereof and the maximum principal amount thereof stated to be secured by such Lien) or other obligations secured by such Lien and (ii) the fair market value of the assets subject to such Lien at the time such Lien is granted.</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6.03 Fundamental Changes and Lines of Business.</w:t>
      </w:r>
    </w:p>
    <w:p>
      <w:pPr>
        <w:spacing w:after="0" w:line="117" w:lineRule="exact"/>
        <w:rPr>
          <w:sz w:val="20"/>
          <w:szCs w:val="20"/>
          <w:color w:val="auto"/>
        </w:rPr>
      </w:pPr>
    </w:p>
    <w:p>
      <w:pPr>
        <w:ind w:right="420" w:firstLine="436"/>
        <w:spacing w:after="0" w:line="277" w:lineRule="auto"/>
        <w:tabs>
          <w:tab w:leader="none" w:pos="68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Borrower will not, nor will it permit any Material Subsidiary to, merge into or consolidate with any other Person, or permit any other Person to merge into or consolidate with it, or liquidate or dissolve, except that:</w:t>
      </w:r>
    </w:p>
    <w:p>
      <w:pPr>
        <w:spacing w:after="0" w:line="62" w:lineRule="exact"/>
        <w:rPr>
          <w:rFonts w:ascii="Arial" w:cs="Arial" w:eastAsia="Arial" w:hAnsi="Arial"/>
          <w:sz w:val="18"/>
          <w:szCs w:val="18"/>
          <w:color w:val="auto"/>
        </w:rPr>
      </w:pPr>
    </w:p>
    <w:p>
      <w:pPr>
        <w:ind w:left="440" w:right="60" w:firstLine="419"/>
        <w:spacing w:after="0" w:line="286" w:lineRule="auto"/>
        <w:tabs>
          <w:tab w:leader="none" w:pos="1078" w:val="left"/>
        </w:tabs>
        <w:numPr>
          <w:ilvl w:val="1"/>
          <w:numId w:val="106"/>
        </w:numPr>
        <w:rPr>
          <w:rFonts w:ascii="Arial" w:cs="Arial" w:eastAsia="Arial" w:hAnsi="Arial"/>
          <w:sz w:val="16"/>
          <w:szCs w:val="16"/>
          <w:color w:val="auto"/>
        </w:rPr>
      </w:pPr>
      <w:r>
        <w:rPr>
          <w:rFonts w:ascii="Arial" w:cs="Arial" w:eastAsia="Arial" w:hAnsi="Arial"/>
          <w:sz w:val="16"/>
          <w:szCs w:val="16"/>
          <w:color w:val="auto"/>
        </w:rPr>
        <w:t xml:space="preserve">so long as, at the time thereof and immediately after giving effect thereto, no Event of Default shall have occurred and be continuing or would result therefrom (w) any Person may merge into the Borrower in a transaction in which the Borrower is the surviving corporation, (x) any Subsidiary may merge into any Person in order to consummate an Asset Sale permitted by Section 6.05 or any Investment not prohibited by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 merger of an Additional Borrower, the Additional Borrower shall be the continuing or surviving Person,</w:t>
      </w:r>
    </w:p>
    <w:p>
      <w:pPr>
        <w:spacing w:after="0" w:line="1" w:lineRule="exact"/>
        <w:rPr>
          <w:rFonts w:ascii="Arial" w:cs="Arial" w:eastAsia="Arial" w:hAnsi="Arial"/>
          <w:sz w:val="16"/>
          <w:szCs w:val="16"/>
          <w:color w:val="auto"/>
        </w:rPr>
      </w:pPr>
    </w:p>
    <w:p>
      <w:pPr>
        <w:ind w:left="440" w:hanging="4"/>
        <w:spacing w:after="0" w:line="255" w:lineRule="auto"/>
        <w:tabs>
          <w:tab w:leader="none" w:pos="69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Subsidiary may merge into the Borrower and (z) any Subsidiary (other than an Additional Borrower) may liquidate, dissolve or wind up its affairs if the Borrower determines in good faith that such liquidation or dissolution is in the best interests of the Borrower and is not materially disadvantageous to the Lenders;</w:t>
      </w:r>
    </w:p>
    <w:p>
      <w:pPr>
        <w:spacing w:after="0" w:line="82" w:lineRule="exact"/>
        <w:rPr>
          <w:sz w:val="20"/>
          <w:szCs w:val="20"/>
          <w:color w:val="auto"/>
        </w:rPr>
      </w:pPr>
    </w:p>
    <w:p>
      <w:pPr>
        <w:ind w:left="440" w:right="140" w:firstLine="419"/>
        <w:spacing w:after="0" w:line="277" w:lineRule="auto"/>
        <w:tabs>
          <w:tab w:leader="none" w:pos="112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any Subsidiary may be merged or consolidated with or into any other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 merger or consolidation of an Additional Borrower, the Additional Borrower shall be the continuing or surviving Person;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00"/>
          </w:cols>
          <w:pgMar w:left="440" w:top="274" w:right="459" w:bottom="1440" w:gutter="0" w:footer="0" w:header="0"/>
        </w:sectPr>
      </w:pPr>
    </w:p>
    <w:bookmarkStart w:id="94" w:name="page95"/>
    <w:bookmarkEnd w:id="94"/>
    <w:p>
      <w:pPr>
        <w:ind w:left="444" w:right="600" w:firstLine="419"/>
        <w:spacing w:after="0" w:line="277" w:lineRule="auto"/>
        <w:tabs>
          <w:tab w:leader="none" w:pos="1182" w:val="left"/>
        </w:tabs>
        <w:numPr>
          <w:ilvl w:val="1"/>
          <w:numId w:val="1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Subsidiary (other than an Additional Borrower) may liquidate, dissolve or wind up its affairs if its assets are distributed to a Wholly-Owned Subsidiary.</w:t>
      </w:r>
    </w:p>
    <w:p>
      <w:pPr>
        <w:spacing w:after="0" w:line="62" w:lineRule="exact"/>
        <w:rPr>
          <w:rFonts w:ascii="Arial" w:cs="Arial" w:eastAsia="Arial" w:hAnsi="Arial"/>
          <w:sz w:val="18"/>
          <w:szCs w:val="18"/>
          <w:color w:val="auto"/>
        </w:rPr>
      </w:pPr>
    </w:p>
    <w:p>
      <w:pPr>
        <w:jc w:val="both"/>
        <w:ind w:left="4" w:right="20" w:firstLine="436"/>
        <w:spacing w:after="0" w:line="259" w:lineRule="auto"/>
        <w:tabs>
          <w:tab w:leader="none" w:pos="69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Borrower will not, nor will it permit any Subsidiary to, engage in any business other than businesses of the type that do not fundamentally and substantively alter the character of the business of the Borrower and the Subsidiaries, taken as whole, from the business conducted by the Borrower and the Subsidiaries, taken as whole, on the Closing Date and other business activities incidental or related thereto or constituting reasonable extensions thereof.</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0000FF"/>
        </w:rPr>
        <w:t>Notwithstanding the foregoing, nothing in this Section 6.03 shall prohibit or restrict the consummation of the Specified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603504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20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SECTION 6.04 Use of Proceeds and Letters of Credit.</w:t>
      </w:r>
    </w:p>
    <w:p>
      <w:pPr>
        <w:spacing w:after="0" w:line="117" w:lineRule="exact"/>
        <w:rPr>
          <w:sz w:val="20"/>
          <w:szCs w:val="20"/>
          <w:color w:val="auto"/>
        </w:rPr>
      </w:pPr>
    </w:p>
    <w:p>
      <w:pPr>
        <w:jc w:val="both"/>
        <w:ind w:left="4" w:firstLine="436"/>
        <w:spacing w:after="0" w:line="287" w:lineRule="auto"/>
        <w:tabs>
          <w:tab w:leader="none" w:pos="689" w:val="left"/>
        </w:tabs>
        <w:numPr>
          <w:ilvl w:val="1"/>
          <w:numId w:val="111"/>
        </w:numPr>
        <w:rPr>
          <w:rFonts w:ascii="Arial" w:cs="Arial" w:eastAsia="Arial" w:hAnsi="Arial"/>
          <w:sz w:val="16"/>
          <w:szCs w:val="16"/>
          <w:color w:val="auto"/>
        </w:rPr>
      </w:pPr>
      <w:r>
        <w:rPr>
          <w:rFonts w:ascii="Arial" w:cs="Arial" w:eastAsia="Arial" w:hAnsi="Arial"/>
          <w:sz w:val="16"/>
          <w:szCs w:val="16"/>
          <w:color w:val="auto"/>
        </w:rPr>
        <w:t>The proceeds of the Revolving Loans on the Closing Date will be used, directly or indirectly, to consummate the Refinancing and to pay Transaction Costs. The proceeds of the Revolving Loans drawn after the Closing Date will be used only for general corporate purposes (including Acquisitions, share repurchases, and the payment of Transaction Costs). No part of the proceeds of any Loan will be used, whether directly or indirectly,</w:t>
      </w:r>
    </w:p>
    <w:p>
      <w:pPr>
        <w:spacing w:after="0" w:line="2" w:lineRule="exact"/>
        <w:rPr>
          <w:rFonts w:ascii="Arial" w:cs="Arial" w:eastAsia="Arial" w:hAnsi="Arial"/>
          <w:sz w:val="16"/>
          <w:szCs w:val="16"/>
          <w:color w:val="auto"/>
        </w:rPr>
      </w:pPr>
    </w:p>
    <w:p>
      <w:pPr>
        <w:ind w:left="4" w:right="120" w:hanging="4"/>
        <w:spacing w:after="0" w:line="260" w:lineRule="auto"/>
        <w:tabs>
          <w:tab w:leader="none" w:pos="21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for any purpose that entails a violation of any of the Regulations of the Board, including Regulations T, U and X. Letters of Credit will be used only for general corporate purposes.</w:t>
      </w:r>
    </w:p>
    <w:p>
      <w:pPr>
        <w:spacing w:after="0" w:line="77" w:lineRule="exact"/>
        <w:rPr>
          <w:rFonts w:ascii="Arial" w:cs="Arial" w:eastAsia="Arial" w:hAnsi="Arial"/>
          <w:sz w:val="18"/>
          <w:szCs w:val="18"/>
          <w:color w:val="auto"/>
        </w:rPr>
      </w:pPr>
    </w:p>
    <w:p>
      <w:pPr>
        <w:ind w:left="4" w:right="20" w:firstLine="436"/>
        <w:spacing w:after="0" w:line="257" w:lineRule="auto"/>
        <w:tabs>
          <w:tab w:leader="none" w:pos="699"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Borrower shall not directly or, to its knowledge, indirectly use the proceeds of any Borrowing or LC Credit Extension, or lend, contribute or otherwise make available such proceeds to any Subsidiary, joint venture partner or other individual or entity, to fund any activities of or business with 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Lender, Arranger, Administrative Agent, Issuing Bank, or otherwise) of Sanctions.</w:t>
      </w:r>
    </w:p>
    <w:p>
      <w:pPr>
        <w:spacing w:after="0" w:line="79" w:lineRule="exact"/>
        <w:rPr>
          <w:rFonts w:ascii="Arial" w:cs="Arial" w:eastAsia="Arial" w:hAnsi="Arial"/>
          <w:sz w:val="18"/>
          <w:szCs w:val="18"/>
          <w:color w:val="auto"/>
        </w:rPr>
      </w:pPr>
    </w:p>
    <w:p>
      <w:pPr>
        <w:ind w:left="4" w:right="80" w:firstLine="436"/>
        <w:spacing w:after="0" w:line="263" w:lineRule="auto"/>
        <w:tabs>
          <w:tab w:leader="none" w:pos="689"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Borrower shall not directly or, to its knowledge, indirectly use the proceeds of any Borrowing or LC Credit Extension for any purpose which would breach the United States Foreign Corrupt Practices Act of 1977 or the UK Bribery Act 2010, or breach other similar applicable legislation in other jurisdictions.</w:t>
      </w:r>
    </w:p>
    <w:p>
      <w:pPr>
        <w:spacing w:after="0" w:line="184" w:lineRule="exact"/>
        <w:rPr>
          <w:sz w:val="20"/>
          <w:szCs w:val="20"/>
          <w:color w:val="auto"/>
        </w:rPr>
      </w:pPr>
    </w:p>
    <w:p>
      <w:pPr>
        <w:ind w:left="4" w:right="200" w:firstLine="440"/>
        <w:spacing w:after="0" w:line="263" w:lineRule="auto"/>
        <w:rPr>
          <w:sz w:val="20"/>
          <w:szCs w:val="20"/>
          <w:color w:val="auto"/>
        </w:rPr>
      </w:pPr>
      <w:r>
        <w:rPr>
          <w:rFonts w:ascii="Arial" w:cs="Arial" w:eastAsia="Arial" w:hAnsi="Arial"/>
          <w:sz w:val="18"/>
          <w:szCs w:val="18"/>
          <w:color w:val="auto"/>
        </w:rPr>
        <w:t>SECTION 6.05 Asset Sales. The Borrower will not, nor will it permit any Subsidiary to, sell, transfer, license, lease or otherwise dispose of any asset owned by it (including any Equity Interest owned by it, but excluding any Equity Interests of the Borrower) (each of the foregoing an “</w:t>
      </w:r>
      <w:r>
        <w:rPr>
          <w:rFonts w:ascii="Arial" w:cs="Arial" w:eastAsia="Arial" w:hAnsi="Arial"/>
          <w:sz w:val="18"/>
          <w:szCs w:val="18"/>
          <w:u w:val="single" w:color="auto"/>
          <w:color w:val="auto"/>
        </w:rPr>
        <w:t>Asset</w:t>
      </w:r>
      <w:r>
        <w:rPr>
          <w:rFonts w:ascii="Arial" w:cs="Arial" w:eastAsia="Arial" w:hAnsi="Arial"/>
          <w:sz w:val="18"/>
          <w:szCs w:val="18"/>
          <w:color w:val="auto"/>
        </w:rPr>
        <w:t xml:space="preserve"> </w:t>
      </w:r>
      <w:r>
        <w:rPr>
          <w:rFonts w:ascii="Arial" w:cs="Arial" w:eastAsia="Arial" w:hAnsi="Arial"/>
          <w:sz w:val="18"/>
          <w:szCs w:val="18"/>
          <w:u w:val="single" w:color="auto"/>
          <w:color w:val="auto"/>
        </w:rPr>
        <w:t>Sale</w:t>
      </w:r>
      <w:r>
        <w:rPr>
          <w:rFonts w:ascii="Arial" w:cs="Arial" w:eastAsia="Arial" w:hAnsi="Arial"/>
          <w:sz w:val="18"/>
          <w:szCs w:val="18"/>
          <w:color w:val="auto"/>
        </w:rPr>
        <w:t>”), except:</w:t>
      </w:r>
    </w:p>
    <w:p>
      <w:pPr>
        <w:spacing w:after="0" w:line="76" w:lineRule="exact"/>
        <w:rPr>
          <w:sz w:val="20"/>
          <w:szCs w:val="20"/>
          <w:color w:val="auto"/>
        </w:rPr>
      </w:pPr>
    </w:p>
    <w:p>
      <w:pPr>
        <w:ind w:left="444" w:firstLine="419"/>
        <w:spacing w:after="0" w:line="277" w:lineRule="auto"/>
        <w:tabs>
          <w:tab w:leader="none" w:pos="1112"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sales, transfers, leases and other dispositions of (i) inventory, (ii) used or surplus equipment, (iii) Permitted Investments and (iv) cash and Cash Equivalents, in each case in the ordinary course of business;</w:t>
      </w:r>
    </w:p>
    <w:p>
      <w:pPr>
        <w:spacing w:after="0" w:line="62" w:lineRule="exact"/>
        <w:rPr>
          <w:rFonts w:ascii="Arial" w:cs="Arial" w:eastAsia="Arial" w:hAnsi="Arial"/>
          <w:sz w:val="18"/>
          <w:szCs w:val="18"/>
          <w:color w:val="auto"/>
        </w:rPr>
      </w:pPr>
    </w:p>
    <w:p>
      <w:pPr>
        <w:ind w:left="1124" w:hanging="261"/>
        <w:spacing w:after="0"/>
        <w:tabs>
          <w:tab w:leader="none" w:pos="112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Asset Sales made by any Broker-Dealer Subsidiary in the ordinary course of business;</w:t>
      </w:r>
    </w:p>
    <w:p>
      <w:pPr>
        <w:spacing w:after="0" w:line="117" w:lineRule="exact"/>
        <w:rPr>
          <w:rFonts w:ascii="Arial" w:cs="Arial" w:eastAsia="Arial" w:hAnsi="Arial"/>
          <w:sz w:val="18"/>
          <w:szCs w:val="18"/>
          <w:color w:val="auto"/>
        </w:rPr>
      </w:pPr>
    </w:p>
    <w:p>
      <w:pPr>
        <w:ind w:left="1104" w:hanging="241"/>
        <w:spacing w:after="0"/>
        <w:tabs>
          <w:tab w:leader="none" w:pos="110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Asset Sales to or among the Borrower and/or a Subsidiary or Subsidiaries;</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984"/>
          </w:cols>
          <w:pgMar w:left="436" w:top="274" w:right="479" w:bottom="1440" w:gutter="0" w:footer="0" w:header="0"/>
        </w:sectPr>
      </w:pPr>
    </w:p>
    <w:bookmarkStart w:id="95" w:name="page96"/>
    <w:bookmarkEnd w:id="95"/>
    <w:p>
      <w:pPr>
        <w:ind w:left="444" w:right="600" w:firstLine="419"/>
        <w:spacing w:after="0" w:line="277" w:lineRule="auto"/>
        <w:tabs>
          <w:tab w:leader="none" w:pos="1122" w:val="left"/>
        </w:tabs>
        <w:numPr>
          <w:ilvl w:val="1"/>
          <w:numId w:val="1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sales, transfers and other dispositions of accounts receivable in connection with the compromise, settlement or collection thereof consistent with past practice;</w:t>
      </w:r>
    </w:p>
    <w:p>
      <w:pPr>
        <w:spacing w:after="0" w:line="62" w:lineRule="exact"/>
        <w:rPr>
          <w:rFonts w:ascii="Arial" w:cs="Arial" w:eastAsia="Arial" w:hAnsi="Arial"/>
          <w:sz w:val="18"/>
          <w:szCs w:val="18"/>
          <w:color w:val="auto"/>
        </w:rPr>
      </w:pPr>
    </w:p>
    <w:p>
      <w:pPr>
        <w:ind w:left="1104" w:hanging="241"/>
        <w:spacing w:after="0"/>
        <w:tabs>
          <w:tab w:leader="none" w:pos="1104" w:val="left"/>
        </w:tabs>
        <w:numPr>
          <w:ilvl w:val="1"/>
          <w:numId w:val="114"/>
        </w:numPr>
        <w:rPr>
          <w:rFonts w:ascii="Arial" w:cs="Arial" w:eastAsia="Arial" w:hAnsi="Arial"/>
          <w:sz w:val="18"/>
          <w:szCs w:val="18"/>
          <w:color w:val="auto"/>
        </w:rPr>
      </w:pPr>
      <w:r>
        <w:rPr>
          <w:rFonts w:ascii="Arial" w:cs="Arial" w:eastAsia="Arial" w:hAnsi="Arial"/>
          <w:sz w:val="18"/>
          <w:szCs w:val="18"/>
          <w:color w:val="auto"/>
        </w:rPr>
        <w:t>sales, transfers, leases and other dispositions of any Investments;</w:t>
      </w:r>
    </w:p>
    <w:p>
      <w:pPr>
        <w:spacing w:after="0" w:line="117" w:lineRule="exact"/>
        <w:rPr>
          <w:rFonts w:ascii="Arial" w:cs="Arial" w:eastAsia="Arial" w:hAnsi="Arial"/>
          <w:sz w:val="18"/>
          <w:szCs w:val="18"/>
          <w:color w:val="auto"/>
        </w:rPr>
      </w:pPr>
    </w:p>
    <w:p>
      <w:pPr>
        <w:ind w:left="444" w:right="20" w:firstLine="419"/>
        <w:spacing w:after="0" w:line="277" w:lineRule="auto"/>
        <w:tabs>
          <w:tab w:leader="none" w:pos="1092" w:val="left"/>
        </w:tabs>
        <w:numPr>
          <w:ilvl w:val="1"/>
          <w:numId w:val="114"/>
        </w:numPr>
        <w:rPr>
          <w:rFonts w:ascii="Arial" w:cs="Arial" w:eastAsia="Arial" w:hAnsi="Arial"/>
          <w:sz w:val="18"/>
          <w:szCs w:val="18"/>
          <w:color w:val="auto"/>
        </w:rPr>
      </w:pPr>
      <w:r>
        <w:rPr>
          <w:rFonts w:ascii="Arial" w:cs="Arial" w:eastAsia="Arial" w:hAnsi="Arial"/>
          <w:sz w:val="18"/>
          <w:szCs w:val="18"/>
          <w:color w:val="auto"/>
        </w:rPr>
        <w:t>leases entered into in the ordinary course of business, to the extent that they do not materially interfere with the business of the Borrower or any Subsidiary;</w:t>
      </w:r>
    </w:p>
    <w:p>
      <w:pPr>
        <w:spacing w:after="0" w:line="62" w:lineRule="exact"/>
        <w:rPr>
          <w:rFonts w:ascii="Arial" w:cs="Arial" w:eastAsia="Arial" w:hAnsi="Arial"/>
          <w:sz w:val="18"/>
          <w:szCs w:val="18"/>
          <w:color w:val="auto"/>
        </w:rPr>
      </w:pPr>
    </w:p>
    <w:p>
      <w:pPr>
        <w:ind w:left="444" w:right="120" w:firstLine="419"/>
        <w:spacing w:after="0" w:line="277" w:lineRule="auto"/>
        <w:tabs>
          <w:tab w:leader="none" w:pos="1122" w:val="left"/>
        </w:tabs>
        <w:numPr>
          <w:ilvl w:val="1"/>
          <w:numId w:val="114"/>
        </w:numPr>
        <w:rPr>
          <w:rFonts w:ascii="Arial" w:cs="Arial" w:eastAsia="Arial" w:hAnsi="Arial"/>
          <w:sz w:val="18"/>
          <w:szCs w:val="18"/>
          <w:color w:val="auto"/>
        </w:rPr>
      </w:pPr>
      <w:r>
        <w:rPr>
          <w:rFonts w:ascii="Arial" w:cs="Arial" w:eastAsia="Arial" w:hAnsi="Arial"/>
          <w:sz w:val="18"/>
          <w:szCs w:val="18"/>
          <w:color w:val="auto"/>
        </w:rPr>
        <w:t>licenses or sublicenses of intellectual property in the ordinary course of business, to the extent that they do not materially interfere with the business of the Borrower or any Subsidiary;</w:t>
      </w:r>
    </w:p>
    <w:p>
      <w:pPr>
        <w:spacing w:after="0" w:line="62" w:lineRule="exact"/>
        <w:rPr>
          <w:rFonts w:ascii="Arial" w:cs="Arial" w:eastAsia="Arial" w:hAnsi="Arial"/>
          <w:sz w:val="18"/>
          <w:szCs w:val="18"/>
          <w:color w:val="auto"/>
        </w:rPr>
      </w:pPr>
    </w:p>
    <w:p>
      <w:pPr>
        <w:ind w:left="444" w:right="120" w:firstLine="419"/>
        <w:spacing w:after="0" w:line="277" w:lineRule="auto"/>
        <w:tabs>
          <w:tab w:leader="none" w:pos="1122" w:val="left"/>
        </w:tabs>
        <w:numPr>
          <w:ilvl w:val="1"/>
          <w:numId w:val="114"/>
        </w:numPr>
        <w:rPr>
          <w:rFonts w:ascii="Arial" w:cs="Arial" w:eastAsia="Arial" w:hAnsi="Arial"/>
          <w:sz w:val="18"/>
          <w:szCs w:val="18"/>
          <w:color w:val="auto"/>
        </w:rPr>
      </w:pPr>
      <w:r>
        <w:rPr>
          <w:rFonts w:ascii="Arial" w:cs="Arial" w:eastAsia="Arial" w:hAnsi="Arial"/>
          <w:sz w:val="18"/>
          <w:szCs w:val="18"/>
          <w:color w:val="auto"/>
        </w:rPr>
        <w:t>dispositions resulting from any casualty or other insured damage to, or any taking under power of eminent domain or by condemnation or similar proceeding of, any property or asset of the Borrower or any Subsidiary;</w:t>
      </w:r>
    </w:p>
    <w:p>
      <w:pPr>
        <w:spacing w:after="0" w:line="62" w:lineRule="exact"/>
        <w:rPr>
          <w:rFonts w:ascii="Arial" w:cs="Arial" w:eastAsia="Arial" w:hAnsi="Arial"/>
          <w:sz w:val="18"/>
          <w:szCs w:val="18"/>
          <w:color w:val="auto"/>
        </w:rPr>
      </w:pPr>
    </w:p>
    <w:p>
      <w:pPr>
        <w:ind w:left="1084" w:hanging="221"/>
        <w:spacing w:after="0"/>
        <w:tabs>
          <w:tab w:leader="none" w:pos="1084" w:val="left"/>
        </w:tabs>
        <w:numPr>
          <w:ilvl w:val="1"/>
          <w:numId w:val="114"/>
        </w:numPr>
        <w:rPr>
          <w:rFonts w:ascii="Arial" w:cs="Arial" w:eastAsia="Arial" w:hAnsi="Arial"/>
          <w:sz w:val="18"/>
          <w:szCs w:val="18"/>
          <w:color w:val="auto"/>
        </w:rPr>
      </w:pPr>
      <w:r>
        <w:rPr>
          <w:rFonts w:ascii="Arial" w:cs="Arial" w:eastAsia="Arial" w:hAnsi="Arial"/>
          <w:sz w:val="18"/>
          <w:szCs w:val="18"/>
          <w:color w:val="auto"/>
        </w:rPr>
        <w:t>issuances of Equity Interests to foreign nationals to the extent required by applicable law;</w:t>
      </w:r>
    </w:p>
    <w:p>
      <w:pPr>
        <w:spacing w:after="0" w:line="117" w:lineRule="exact"/>
        <w:rPr>
          <w:rFonts w:ascii="Arial" w:cs="Arial" w:eastAsia="Arial" w:hAnsi="Arial"/>
          <w:sz w:val="18"/>
          <w:szCs w:val="18"/>
          <w:color w:val="auto"/>
        </w:rPr>
      </w:pPr>
    </w:p>
    <w:p>
      <w:pPr>
        <w:ind w:left="444" w:right="80" w:firstLine="419"/>
        <w:spacing w:after="0" w:line="286" w:lineRule="auto"/>
        <w:tabs>
          <w:tab w:leader="none" w:pos="1082" w:val="left"/>
        </w:tabs>
        <w:numPr>
          <w:ilvl w:val="1"/>
          <w:numId w:val="114"/>
        </w:numPr>
        <w:rPr>
          <w:rFonts w:ascii="Arial" w:cs="Arial" w:eastAsia="Arial" w:hAnsi="Arial"/>
          <w:sz w:val="16"/>
          <w:szCs w:val="16"/>
          <w:color w:val="auto"/>
        </w:rPr>
      </w:pPr>
      <w:r>
        <w:rPr>
          <w:rFonts w:ascii="Arial" w:cs="Arial" w:eastAsia="Arial" w:hAnsi="Arial"/>
          <w:sz w:val="16"/>
          <w:szCs w:val="16"/>
          <w:color w:val="auto"/>
        </w:rPr>
        <w:t xml:space="preserve">so long as the Borrower would be in compliance on a Pro Forma Basis with the covenant set forth in Section 6.08 as of the most recent test date for which financial statements have been delivered pursuant to paragraph (a) or (b) of Section 5.01, Asset Sales of assets that are not otherwise permitted by any other clause of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 assets sold in any calendar year shall not, in the aggregate, account for more than 20.0% of Consolidated EBITDA or more than 20.0% of the Borrower’s consolidated total revenues for the prior calendar year and</w:t>
      </w:r>
    </w:p>
    <w:p>
      <w:pPr>
        <w:spacing w:after="0" w:line="1" w:lineRule="exact"/>
        <w:rPr>
          <w:rFonts w:ascii="Arial" w:cs="Arial" w:eastAsia="Arial" w:hAnsi="Arial"/>
          <w:sz w:val="16"/>
          <w:szCs w:val="16"/>
          <w:color w:val="auto"/>
        </w:rPr>
      </w:pPr>
    </w:p>
    <w:p>
      <w:pPr>
        <w:ind w:left="444" w:hanging="4"/>
        <w:spacing w:after="0" w:line="277" w:lineRule="auto"/>
        <w:tabs>
          <w:tab w:leader="none" w:pos="709"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as of any time of determination, such assets sold during the term of this Agreement shall not, in the aggregate, account for more than 40.0% of Consolidated EBITDA or more than 40.0% of the Borrower’s consolidated total revenues, in each case on a cumulative basis from March 31, 2017 through the most recently completed fiscal quarter for which financial statements are available;</w:t>
      </w:r>
    </w:p>
    <w:p>
      <w:pPr>
        <w:spacing w:after="0" w:line="64" w:lineRule="exact"/>
        <w:rPr>
          <w:rFonts w:ascii="Arial" w:cs="Arial" w:eastAsia="Arial" w:hAnsi="Arial"/>
          <w:sz w:val="17"/>
          <w:szCs w:val="17"/>
          <w:color w:val="auto"/>
        </w:rPr>
      </w:pPr>
    </w:p>
    <w:p>
      <w:pPr>
        <w:ind w:left="1124" w:hanging="261"/>
        <w:spacing w:after="0"/>
        <w:tabs>
          <w:tab w:leader="none" w:pos="1124" w:val="left"/>
        </w:tabs>
        <w:numPr>
          <w:ilvl w:val="1"/>
          <w:numId w:val="115"/>
        </w:numPr>
        <w:rPr>
          <w:rFonts w:ascii="Arial" w:cs="Arial" w:eastAsia="Arial" w:hAnsi="Arial"/>
          <w:sz w:val="18"/>
          <w:szCs w:val="18"/>
          <w:color w:val="auto"/>
        </w:rPr>
      </w:pPr>
      <w:r>
        <w:rPr>
          <w:rFonts w:ascii="Arial" w:cs="Arial" w:eastAsia="Arial" w:hAnsi="Arial"/>
          <w:sz w:val="18"/>
          <w:szCs w:val="18"/>
          <w:color w:val="auto"/>
        </w:rPr>
        <w:t>sale and leaseback transactions involving assets that do not exceed $100,000,000; and</w:t>
      </w:r>
    </w:p>
    <w:p>
      <w:pPr>
        <w:spacing w:after="0" w:line="117" w:lineRule="exact"/>
        <w:rPr>
          <w:rFonts w:ascii="Arial" w:cs="Arial" w:eastAsia="Arial" w:hAnsi="Arial"/>
          <w:sz w:val="18"/>
          <w:szCs w:val="18"/>
          <w:color w:val="auto"/>
        </w:rPr>
      </w:pPr>
    </w:p>
    <w:p>
      <w:pPr>
        <w:ind w:left="444" w:right="160" w:firstLine="419"/>
        <w:spacing w:after="0" w:line="286" w:lineRule="auto"/>
        <w:tabs>
          <w:tab w:leader="none" w:pos="1082" w:val="left"/>
        </w:tabs>
        <w:numPr>
          <w:ilvl w:val="1"/>
          <w:numId w:val="115"/>
        </w:numPr>
        <w:rPr>
          <w:rFonts w:ascii="Arial" w:cs="Arial" w:eastAsia="Arial" w:hAnsi="Arial"/>
          <w:sz w:val="17"/>
          <w:szCs w:val="17"/>
          <w:color w:val="auto"/>
        </w:rPr>
      </w:pPr>
      <w:r>
        <w:rPr>
          <w:rFonts w:ascii="Arial" w:cs="Arial" w:eastAsia="Arial" w:hAnsi="Arial"/>
          <w:sz w:val="17"/>
          <w:szCs w:val="17"/>
          <w:color w:val="auto"/>
        </w:rPr>
        <w:t>ratable issuances of Equity Interests to existing equityholders for non-Wholly-Owned Subsidiaries (or less than ratable if such issuance would result in the Borrower and/or any other Subsidiary increasing its percentage of any class of Equity Interest owned in such non-Wholly-Owned Subsidiary, as compared to its ownership immediately prior to the consummation of such transaction).</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For the avoidance of doubt, (w) the granting of Liens permitted by Section 6.02, (x) the making of Investments not prohibited by this Agreement,</w:t>
      </w:r>
    </w:p>
    <w:p>
      <w:pPr>
        <w:spacing w:after="0" w:line="46" w:lineRule="exact"/>
        <w:rPr>
          <w:sz w:val="20"/>
          <w:szCs w:val="20"/>
          <w:color w:val="auto"/>
        </w:rPr>
      </w:pPr>
    </w:p>
    <w:p>
      <w:pPr>
        <w:ind w:left="4" w:right="300" w:hanging="4"/>
        <w:spacing w:after="0" w:line="255" w:lineRule="auto"/>
        <w:tabs>
          <w:tab w:leader="none" w:pos="259"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making of any mergers, consolidations, liquidations or dissolutions permitted by Section 6.03(a) (or, with respect to a Subsidiary that is not a Material Subsidiary, to the extent not otherwise prohibited by this Agreement) and (z) the making of any Restricted Payment not prohibited by this Agreement will not be deemed to be Asset Sales for purposes of this Section 6.05.</w:t>
      </w:r>
    </w:p>
    <w:p>
      <w:pPr>
        <w:spacing w:after="0" w:line="190" w:lineRule="exact"/>
        <w:rPr>
          <w:sz w:val="20"/>
          <w:szCs w:val="20"/>
          <w:color w:val="auto"/>
        </w:rPr>
      </w:pPr>
    </w:p>
    <w:p>
      <w:pPr>
        <w:ind w:left="4" w:right="400" w:firstLine="440"/>
        <w:spacing w:after="0" w:line="277" w:lineRule="auto"/>
        <w:rPr>
          <w:sz w:val="20"/>
          <w:szCs w:val="20"/>
          <w:color w:val="auto"/>
        </w:rPr>
      </w:pPr>
      <w:r>
        <w:rPr>
          <w:rFonts w:ascii="Arial" w:cs="Arial" w:eastAsia="Arial" w:hAnsi="Arial"/>
          <w:sz w:val="18"/>
          <w:szCs w:val="18"/>
          <w:color w:val="auto"/>
        </w:rPr>
        <w:t>SECTION 6.06 Restricted Payments. The Borrower will not, nor will it permit any Subsidiary to, make, directly or indirectly, any Restricted Payment, except:</w:t>
      </w:r>
    </w:p>
    <w:p>
      <w:pPr>
        <w:spacing w:after="0" w:line="62" w:lineRule="exact"/>
        <w:rPr>
          <w:sz w:val="20"/>
          <w:szCs w:val="20"/>
          <w:color w:val="auto"/>
        </w:rPr>
      </w:pPr>
    </w:p>
    <w:p>
      <w:pPr>
        <w:ind w:left="444" w:right="380" w:firstLine="419"/>
        <w:spacing w:after="0" w:line="277" w:lineRule="auto"/>
        <w:tabs>
          <w:tab w:leader="none" w:pos="111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Borrower may make Restricted Payments with respect to its Equity Interests or with respect to Equity Equivalents, in each case, payable solely in Equity Interests or Equity Equivalents (other than Disqualified Equity Interests);</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964"/>
          </w:cols>
          <w:pgMar w:left="436" w:top="274" w:right="499" w:bottom="1440" w:gutter="0" w:footer="0" w:header="0"/>
        </w:sectPr>
      </w:pPr>
    </w:p>
    <w:bookmarkStart w:id="96" w:name="page97"/>
    <w:bookmarkEnd w:id="96"/>
    <w:p>
      <w:pPr>
        <w:ind w:left="440" w:right="200" w:firstLine="419"/>
        <w:spacing w:after="0" w:line="259" w:lineRule="auto"/>
        <w:tabs>
          <w:tab w:leader="none" w:pos="1118" w:val="left"/>
        </w:tabs>
        <w:numPr>
          <w:ilvl w:val="0"/>
          <w:numId w:val="1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Borrower and its Subsidiaries may make Restricted Payments not exceeding $10,000,000 during any fiscal year pursuant to and in accordance with stock option or stock ownership plans, employment agreements, incentive plans or other benefit plans approved by the Borrower’s Board of Directors for management, directors, former directors, employees and former employees of the Borrower and the Subsidiaries;</w:t>
      </w:r>
    </w:p>
    <w:p>
      <w:pPr>
        <w:spacing w:after="0" w:line="78" w:lineRule="exact"/>
        <w:rPr>
          <w:rFonts w:ascii="Arial" w:cs="Arial" w:eastAsia="Arial" w:hAnsi="Arial"/>
          <w:sz w:val="18"/>
          <w:szCs w:val="18"/>
          <w:color w:val="auto"/>
        </w:rPr>
      </w:pPr>
    </w:p>
    <w:p>
      <w:pPr>
        <w:ind w:left="440" w:right="40" w:firstLine="419"/>
        <w:spacing w:after="0" w:line="257" w:lineRule="auto"/>
        <w:tabs>
          <w:tab w:leader="none" w:pos="110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the Borrower and its Subsidiaries may make Restricted Payments;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with respect to any Restricted Payment of the type declared by the board of directors (or other governing body) of such Person, no Event of Default exists at the time of declaration thereof or would result immediately after giving effect thereto (as determined at the time of such declaration) and such Restricted Payment is made within 60 days of such declaration and (ii) with respect to any other Restricted Payments, no Event of Default exists at the time such Restricted Payment is made or immediately after giving effect thereto;</w:t>
      </w:r>
    </w:p>
    <w:p>
      <w:pPr>
        <w:spacing w:after="0" w:line="79" w:lineRule="exact"/>
        <w:rPr>
          <w:rFonts w:ascii="Arial" w:cs="Arial" w:eastAsia="Arial" w:hAnsi="Arial"/>
          <w:sz w:val="18"/>
          <w:szCs w:val="18"/>
          <w:color w:val="auto"/>
        </w:rPr>
      </w:pPr>
    </w:p>
    <w:p>
      <w:pPr>
        <w:ind w:left="440" w:firstLine="419"/>
        <w:spacing w:after="0" w:line="277" w:lineRule="auto"/>
        <w:tabs>
          <w:tab w:leader="none" w:pos="111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Borrower and its Subsidiaries may make additional Restricted Payments not otherwise permitted by this Section 6.06 in an aggregate amount not exceeding $150,000,000;</w:t>
      </w:r>
    </w:p>
    <w:p>
      <w:pPr>
        <w:spacing w:after="0" w:line="62" w:lineRule="exact"/>
        <w:rPr>
          <w:rFonts w:ascii="Arial" w:cs="Arial" w:eastAsia="Arial" w:hAnsi="Arial"/>
          <w:sz w:val="18"/>
          <w:szCs w:val="18"/>
          <w:color w:val="auto"/>
        </w:rPr>
      </w:pPr>
    </w:p>
    <w:p>
      <w:pPr>
        <w:jc w:val="both"/>
        <w:ind w:left="440" w:right="60" w:firstLine="419"/>
        <w:spacing w:after="0" w:line="263" w:lineRule="auto"/>
        <w:tabs>
          <w:tab w:leader="none" w:pos="110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Borrower and its Subsidiaries may redeem, repurchase or otherwise acquire Qualified Equity Interests or options in exchange for (or out of the proceeds of a substantially concurrent offering of) Qualified Equity Interests of the Borrower or newly issued options to acquire Equity Interests of the Borrower;</w:t>
      </w:r>
    </w:p>
    <w:p>
      <w:pPr>
        <w:spacing w:after="0" w:line="75" w:lineRule="exact"/>
        <w:rPr>
          <w:rFonts w:ascii="Arial" w:cs="Arial" w:eastAsia="Arial" w:hAnsi="Arial"/>
          <w:sz w:val="18"/>
          <w:szCs w:val="18"/>
          <w:color w:val="auto"/>
        </w:rPr>
      </w:pPr>
    </w:p>
    <w:p>
      <w:pPr>
        <w:ind w:left="1080" w:hanging="221"/>
        <w:spacing w:after="0"/>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40" w:right="40" w:firstLine="419"/>
        <w:spacing w:after="0" w:line="259" w:lineRule="auto"/>
        <w:tabs>
          <w:tab w:leader="none" w:pos="111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Borrower or any Subsidiaries may redeem, repurchase or otherwise acquire Qualified Equity Interests within 180 days of any Acquisition which was funded in whole or in part through the issuance of Qualified Equity Interests to the sellers of the business acquired in such Acquisition so long as the amount expended does not exceed the current market value (as determined in good faith by the Borrower) of the Qualified Equity Interests issued to such sellers in such Acquisition; and</w:t>
      </w:r>
    </w:p>
    <w:p>
      <w:pPr>
        <w:spacing w:after="0" w:line="78" w:lineRule="exact"/>
        <w:rPr>
          <w:rFonts w:ascii="Arial" w:cs="Arial" w:eastAsia="Arial" w:hAnsi="Arial"/>
          <w:sz w:val="18"/>
          <w:szCs w:val="18"/>
          <w:color w:val="auto"/>
        </w:rPr>
      </w:pPr>
    </w:p>
    <w:p>
      <w:pPr>
        <w:ind w:left="1120" w:hanging="261"/>
        <w:spacing w:after="0"/>
        <w:tabs>
          <w:tab w:leader="none" w:pos="11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Borrower may make ordinary cash dividends on any Equity Interests of the Borrower.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FF4338"/>
          <w:strike w:val="1"/>
        </w:rPr>
        <w:t>SECTION 6.07 Interest Expense Coverage Ratio</w:t>
      </w:r>
    </w:p>
    <w:p>
      <w:pPr>
        <w:spacing w:after="0" w:line="225"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u w:val="single" w:color="auto"/>
          <w:color w:val="0000FF"/>
        </w:rPr>
        <w:t xml:space="preserve">SECTION 6.07 </w:t>
      </w:r>
      <w:r>
        <w:rPr>
          <w:rFonts w:ascii="Arial" w:cs="Arial" w:eastAsia="Arial" w:hAnsi="Arial"/>
          <w:sz w:val="18"/>
          <w:szCs w:val="18"/>
          <w:color w:val="FF4338"/>
          <w:strike w:val="1"/>
        </w:rPr>
        <w:t>. The Borrower will not permit the Interest Coverage Ratio as of the last day of any period of four consecutive fiscal quarters of</w:t>
      </w:r>
      <w:r>
        <w:rPr>
          <w:rFonts w:ascii="Arial" w:cs="Arial" w:eastAsia="Arial" w:hAnsi="Arial"/>
          <w:sz w:val="18"/>
          <w:szCs w:val="18"/>
          <w:u w:val="single" w:color="auto"/>
          <w:color w:val="0000FF"/>
        </w:rPr>
        <w:t xml:space="preserve"> </w:t>
      </w:r>
      <w:r>
        <w:rPr>
          <w:rFonts w:ascii="Arial" w:cs="Arial" w:eastAsia="Arial" w:hAnsi="Arial"/>
          <w:sz w:val="18"/>
          <w:szCs w:val="18"/>
          <w:color w:val="FF4338"/>
          <w:strike w:val="1"/>
        </w:rPr>
        <w:t>the Borrower to be less than 4.00 to 1.00.</w:t>
      </w:r>
      <w:r>
        <w:rPr>
          <w:rFonts w:ascii="Arial" w:cs="Arial" w:eastAsia="Arial" w:hAnsi="Arial"/>
          <w:sz w:val="18"/>
          <w:szCs w:val="18"/>
          <w:u w:val="single" w:color="auto"/>
          <w:color w:val="0000FF"/>
          <w:strike w:val="1"/>
        </w:rPr>
        <w:t>[Reserved].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-147955</wp:posOffset>
            </wp:positionV>
            <wp:extent cx="73723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1883410</wp:posOffset>
            </wp:positionH>
            <wp:positionV relativeFrom="paragraph">
              <wp:posOffset>-10795</wp:posOffset>
            </wp:positionV>
            <wp:extent cx="53149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150"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 xml:space="preserve">SECTION 6.08 Leverage Ratio. The Borrower will not permit the Leverage Ratio as of the last day of any period of four consecutive fiscal quarters of the Borrower </w:t>
      </w:r>
      <w:r>
        <w:rPr>
          <w:rFonts w:ascii="Arial" w:cs="Arial" w:eastAsia="Arial" w:hAnsi="Arial"/>
          <w:sz w:val="18"/>
          <w:szCs w:val="18"/>
          <w:u w:val="single" w:color="auto"/>
          <w:color w:val="0000FF"/>
        </w:rPr>
        <w:t>(x) ending prior to the Verafin Acquisition Closing Date</w:t>
      </w:r>
      <w:r>
        <w:rPr>
          <w:rFonts w:ascii="Arial" w:cs="Arial" w:eastAsia="Arial" w:hAnsi="Arial"/>
          <w:sz w:val="18"/>
          <w:szCs w:val="18"/>
          <w:color w:val="auto"/>
        </w:rPr>
        <w:t xml:space="preserve"> to be greater than 3.50 to </w:t>
      </w:r>
      <w:r>
        <w:rPr>
          <w:rFonts w:ascii="Arial" w:cs="Arial" w:eastAsia="Arial" w:hAnsi="Arial"/>
          <w:sz w:val="18"/>
          <w:szCs w:val="18"/>
          <w:u w:val="single" w:color="auto"/>
          <w:color w:val="0000FF"/>
        </w:rPr>
        <w:t>1.00, (y) ending on or after the Verafin</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Acquisition Closing Date and on or prior to the last day of the fourth full fiscal quarter of the Borrower following the Verafin Acquisition Closing Date to be greater than 4.50:1.00 or (z) ending after the last day of the fourth full fiscal quarter of the Borrower following the Verafin Acquisition Closing Date to be greater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1154430</wp:posOffset>
            </wp:positionH>
            <wp:positionV relativeFrom="paragraph">
              <wp:posOffset>-410845</wp:posOffset>
            </wp:positionV>
            <wp:extent cx="552894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5289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-273685</wp:posOffset>
            </wp:positionV>
            <wp:extent cx="690943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094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-136525</wp:posOffset>
            </wp:positionV>
            <wp:extent cx="678942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7894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103695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960"/>
          </w:cols>
          <w:pgMar w:left="440" w:top="274" w:right="499" w:bottom="1440" w:gutter="0" w:footer="0" w:header="0"/>
        </w:sectPr>
      </w:pPr>
    </w:p>
    <w:bookmarkStart w:id="97" w:name="page98"/>
    <w:bookmarkEnd w:id="97"/>
    <w:p>
      <w:pPr>
        <w:ind w:right="80"/>
        <w:spacing w:after="0" w:line="288" w:lineRule="auto"/>
        <w:rPr>
          <w:sz w:val="20"/>
          <w:szCs w:val="20"/>
          <w:color w:val="auto"/>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4.00:</w:t>
      </w:r>
      <w:r>
        <w:rPr>
          <w:rFonts w:ascii="Arial" w:cs="Arial" w:eastAsia="Arial" w:hAnsi="Arial"/>
          <w:sz w:val="16"/>
          <w:szCs w:val="16"/>
          <w:color w:val="000000"/>
        </w:rPr>
        <w:t>1.00;</w:t>
      </w:r>
      <w:r>
        <w:rPr>
          <w:rFonts w:ascii="Arial" w:cs="Arial" w:eastAsia="Arial" w:hAnsi="Arial"/>
          <w:sz w:val="16"/>
          <w:szCs w:val="16"/>
          <w:color w:val="0000FF"/>
        </w:rPr>
        <w:t xml:space="preserve"> </w:t>
      </w:r>
      <w:r>
        <w:rPr>
          <w:rFonts w:ascii="Arial" w:cs="Arial" w:eastAsia="Arial" w:hAnsi="Arial"/>
          <w:sz w:val="16"/>
          <w:szCs w:val="16"/>
          <w:u w:val="single" w:color="auto"/>
          <w:color w:val="000000"/>
        </w:rPr>
        <w:t>provided</w:t>
      </w:r>
      <w:r>
        <w:rPr>
          <w:rFonts w:ascii="Arial" w:cs="Arial" w:eastAsia="Arial" w:hAnsi="Arial"/>
          <w:sz w:val="16"/>
          <w:szCs w:val="16"/>
          <w:color w:val="0000FF"/>
        </w:rPr>
        <w:t xml:space="preserve"> </w:t>
      </w:r>
      <w:r>
        <w:rPr>
          <w:rFonts w:ascii="Arial" w:cs="Arial" w:eastAsia="Arial" w:hAnsi="Arial"/>
          <w:sz w:val="16"/>
          <w:szCs w:val="16"/>
          <w:color w:val="000000"/>
        </w:rPr>
        <w:t>that the Borrower shall be permitted, not more than two times during the term of this Agreement, to allow the Leverage Ratio</w:t>
      </w:r>
      <w:r>
        <w:rPr>
          <w:rFonts w:ascii="Arial" w:cs="Arial" w:eastAsia="Arial" w:hAnsi="Arial"/>
          <w:sz w:val="16"/>
          <w:szCs w:val="16"/>
          <w:color w:val="0000FF"/>
        </w:rPr>
        <w:t xml:space="preserve"> </w:t>
      </w:r>
      <w:r>
        <w:rPr>
          <w:rFonts w:ascii="Arial" w:cs="Arial" w:eastAsia="Arial" w:hAnsi="Arial"/>
          <w:sz w:val="16"/>
          <w:szCs w:val="16"/>
          <w:color w:val="000000"/>
        </w:rPr>
        <w:t xml:space="preserve">required under </w:t>
      </w:r>
      <w:r>
        <w:rPr>
          <w:rFonts w:ascii="Arial" w:cs="Arial" w:eastAsia="Arial" w:hAnsi="Arial"/>
          <w:sz w:val="16"/>
          <w:szCs w:val="16"/>
          <w:color w:val="FF4338"/>
          <w:strike w:val="1"/>
        </w:rPr>
        <w:t>this</w:t>
      </w:r>
      <w:r>
        <w:rPr>
          <w:rFonts w:ascii="Arial" w:cs="Arial" w:eastAsia="Arial" w:hAnsi="Arial"/>
          <w:sz w:val="16"/>
          <w:szCs w:val="16"/>
          <w:color w:val="000000"/>
        </w:rPr>
        <w:t xml:space="preserve"> Section 6.08</w:t>
      </w:r>
      <w:r>
        <w:rPr>
          <w:rFonts w:ascii="Arial" w:cs="Arial" w:eastAsia="Arial" w:hAnsi="Arial"/>
          <w:sz w:val="16"/>
          <w:szCs w:val="16"/>
          <w:u w:val="single" w:color="auto"/>
          <w:color w:val="0000FF"/>
        </w:rPr>
        <w:t>(x)</w:t>
      </w:r>
      <w:r>
        <w:rPr>
          <w:rFonts w:ascii="Arial" w:cs="Arial" w:eastAsia="Arial" w:hAnsi="Arial"/>
          <w:sz w:val="16"/>
          <w:szCs w:val="16"/>
          <w:color w:val="000000"/>
        </w:rPr>
        <w:t xml:space="preserve"> to be increased to 4.00 to 1.00 in connection with an Acquisition for the one-year period beginning on the closing date of such Acquisition (each such increase, an “</w:t>
      </w:r>
      <w:r>
        <w:rPr>
          <w:rFonts w:ascii="Arial" w:cs="Arial" w:eastAsia="Arial" w:hAnsi="Arial"/>
          <w:sz w:val="16"/>
          <w:szCs w:val="16"/>
          <w:u w:val="single" w:color="auto"/>
          <w:color w:val="000000"/>
        </w:rPr>
        <w:t>Acquisition Holiday</w:t>
      </w:r>
      <w:r>
        <w:rPr>
          <w:rFonts w:ascii="Arial" w:cs="Arial" w:eastAsia="Arial" w:hAnsi="Arial"/>
          <w:sz w:val="16"/>
          <w:szCs w:val="16"/>
          <w:color w:val="000000"/>
        </w:rPr>
        <w:t xml:space="preserve">”), so long as the Borrower is in compliance on a Pro Forma Basis with a maximum Leverage Ratio of 4.00 to 1.00 on the closing date of such Acquisition immediately after giving effect to such Acquisition;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further</w:t>
      </w:r>
      <w:r>
        <w:rPr>
          <w:rFonts w:ascii="Arial" w:cs="Arial" w:eastAsia="Arial" w:hAnsi="Arial"/>
          <w:sz w:val="16"/>
          <w:szCs w:val="16"/>
          <w:color w:val="000000"/>
        </w:rPr>
        <w:t xml:space="preserve">, that (i) the Borrower shall provide notice in writing to the Administrative Agent of such </w:t>
      </w:r>
      <w:r>
        <w:rPr>
          <w:rFonts w:ascii="Arial" w:cs="Arial" w:eastAsia="Arial" w:hAnsi="Arial"/>
          <w:sz w:val="16"/>
          <w:szCs w:val="16"/>
          <w:color w:val="FF4338"/>
          <w:strike w:val="1"/>
        </w:rPr>
        <w:t>increase</w:t>
      </w:r>
      <w:r>
        <w:rPr>
          <w:rFonts w:ascii="Arial" w:cs="Arial" w:eastAsia="Arial" w:hAnsi="Arial"/>
          <w:sz w:val="16"/>
          <w:szCs w:val="16"/>
          <w:u w:val="single" w:color="auto"/>
          <w:color w:val="0000FF"/>
        </w:rPr>
        <w:t>Acquisition Holiday</w:t>
      </w:r>
      <w:r>
        <w:rPr>
          <w:rFonts w:ascii="Arial" w:cs="Arial" w:eastAsia="Arial" w:hAnsi="Arial"/>
          <w:sz w:val="16"/>
          <w:szCs w:val="16"/>
          <w:color w:val="000000"/>
        </w:rPr>
        <w:t xml:space="preserve"> and a transaction description of such Acquisition (regarding the name of the Person or assets being acquired, the purchase price, the Leverage Ratio on a Pro Forma Basis and the acquired revenue (for the trailing four quarter period) and Consolidated EBITDA of such acquired Person or assets), (ii) at the end of any such one-year period, the Leverage Ratio permitted under </w:t>
      </w:r>
      <w:r>
        <w:rPr>
          <w:rFonts w:ascii="Arial" w:cs="Arial" w:eastAsia="Arial" w:hAnsi="Arial"/>
          <w:sz w:val="16"/>
          <w:szCs w:val="16"/>
          <w:color w:val="FF4338"/>
          <w:strike w:val="1"/>
        </w:rPr>
        <w:t>this</w:t>
      </w:r>
      <w:r>
        <w:rPr>
          <w:rFonts w:ascii="Arial" w:cs="Arial" w:eastAsia="Arial" w:hAnsi="Arial"/>
          <w:sz w:val="16"/>
          <w:szCs w:val="16"/>
          <w:color w:val="000000"/>
        </w:rPr>
        <w:t xml:space="preserve"> Section 6.08</w:t>
      </w:r>
      <w:r>
        <w:rPr>
          <w:rFonts w:ascii="Arial" w:cs="Arial" w:eastAsia="Arial" w:hAnsi="Arial"/>
          <w:sz w:val="16"/>
          <w:szCs w:val="16"/>
          <w:u w:val="single" w:color="auto"/>
          <w:color w:val="0000FF"/>
        </w:rPr>
        <w:t>(x) (if then applicable)</w:t>
      </w:r>
      <w:r>
        <w:rPr>
          <w:rFonts w:ascii="Arial" w:cs="Arial" w:eastAsia="Arial" w:hAnsi="Arial"/>
          <w:sz w:val="16"/>
          <w:szCs w:val="16"/>
          <w:color w:val="000000"/>
        </w:rPr>
        <w:t xml:space="preserve"> shall revert to 3.50 to </w:t>
      </w:r>
      <w:r>
        <w:rPr>
          <w:rFonts w:ascii="Arial" w:cs="Arial" w:eastAsia="Arial" w:hAnsi="Arial"/>
          <w:sz w:val="16"/>
          <w:szCs w:val="16"/>
          <w:color w:val="FF4338"/>
          <w:strike w:val="1"/>
        </w:rPr>
        <w:t>1.00.,</w:t>
      </w:r>
      <w:r>
        <w:rPr>
          <w:rFonts w:ascii="Arial" w:cs="Arial" w:eastAsia="Arial" w:hAnsi="Arial"/>
          <w:sz w:val="16"/>
          <w:szCs w:val="16"/>
          <w:u w:val="single" w:color="auto"/>
          <w:color w:val="0000FF"/>
        </w:rPr>
        <w:t>1.00,</w:t>
      </w:r>
      <w:r>
        <w:rPr>
          <w:rFonts w:ascii="Arial" w:cs="Arial" w:eastAsia="Arial" w:hAnsi="Arial"/>
          <w:sz w:val="16"/>
          <w:szCs w:val="16"/>
          <w:color w:val="000000"/>
        </w:rPr>
        <w:t xml:space="preserve"> and (iii) the Borrower shall not be permitted to exercise any remaining option for an Acquisition Holiday, unless and until the Leverage Ratio has been less than 3.00 to 1.00 as of the last day of at least two consecutive fiscal quarters since the commencement of the previous Acquisition Holiday.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-1246505</wp:posOffset>
            </wp:positionV>
            <wp:extent cx="23177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-1109345</wp:posOffset>
            </wp:positionV>
            <wp:extent cx="12890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4420870</wp:posOffset>
            </wp:positionH>
            <wp:positionV relativeFrom="paragraph">
              <wp:posOffset>-697865</wp:posOffset>
            </wp:positionV>
            <wp:extent cx="92583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925830" cy="8890"/>
                    </a:xfrm>
                    <a:prstGeom prst="rect">
                      <a:avLst/>
                    </a:prstGeom>
                    <a:noFill/>
                  </pic:spPr>
                </pic:pic>
              </a:graphicData>
            </a:graphic>
          </wp:anchor>
        </w:drawing>
        <w:drawing>
          <wp:anchor simplePos="0" relativeHeight="251657728" behindDoc="1" locked="0" layoutInCell="0" allowOverlap="1">
            <wp:simplePos x="0" y="0"/>
            <wp:positionH relativeFrom="column">
              <wp:posOffset>2766060</wp:posOffset>
            </wp:positionH>
            <wp:positionV relativeFrom="paragraph">
              <wp:posOffset>-286385</wp:posOffset>
            </wp:positionV>
            <wp:extent cx="102870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028700" cy="8255"/>
                    </a:xfrm>
                    <a:prstGeom prst="rect">
                      <a:avLst/>
                    </a:prstGeom>
                    <a:noFill/>
                  </pic:spPr>
                </pic:pic>
              </a:graphicData>
            </a:graphic>
          </wp:anchor>
        </w:drawing>
        <w:drawing>
          <wp:anchor simplePos="0" relativeHeight="251657728" behindDoc="1" locked="0" layoutInCell="0" allowOverlap="1">
            <wp:simplePos x="0" y="0"/>
            <wp:positionH relativeFrom="column">
              <wp:posOffset>5080635</wp:posOffset>
            </wp:positionH>
            <wp:positionV relativeFrom="paragraph">
              <wp:posOffset>-286385</wp:posOffset>
            </wp:positionV>
            <wp:extent cx="23177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31775" cy="8255"/>
                    </a:xfrm>
                    <a:prstGeom prst="rect">
                      <a:avLst/>
                    </a:prstGeom>
                    <a:noFill/>
                  </pic:spPr>
                </pic:pic>
              </a:graphicData>
            </a:graphic>
          </wp:anchor>
        </w:drawing>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EVENTS OF DEFAULT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any of the following events (any such event,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shall occur:</w:t>
      </w:r>
    </w:p>
    <w:p>
      <w:pPr>
        <w:spacing w:after="0" w:line="117" w:lineRule="exact"/>
        <w:rPr>
          <w:sz w:val="20"/>
          <w:szCs w:val="20"/>
          <w:color w:val="auto"/>
        </w:rPr>
      </w:pPr>
    </w:p>
    <w:p>
      <w:pPr>
        <w:ind w:left="440" w:firstLine="419"/>
        <w:spacing w:after="0" w:line="308" w:lineRule="auto"/>
        <w:tabs>
          <w:tab w:leader="none" w:pos="1108" w:val="left"/>
        </w:tabs>
        <w:numPr>
          <w:ilvl w:val="1"/>
          <w:numId w:val="119"/>
        </w:numPr>
        <w:rPr>
          <w:rFonts w:ascii="Arial" w:cs="Arial" w:eastAsia="Arial" w:hAnsi="Arial"/>
          <w:sz w:val="17"/>
          <w:szCs w:val="17"/>
          <w:color w:val="auto"/>
        </w:rPr>
      </w:pPr>
      <w:r>
        <w:rPr>
          <w:rFonts w:ascii="Arial" w:cs="Arial" w:eastAsia="Arial" w:hAnsi="Arial"/>
          <w:sz w:val="17"/>
          <w:szCs w:val="17"/>
          <w:color w:val="auto"/>
        </w:rPr>
        <w:t>the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38" w:lineRule="exact"/>
        <w:rPr>
          <w:rFonts w:ascii="Arial" w:cs="Arial" w:eastAsia="Arial" w:hAnsi="Arial"/>
          <w:sz w:val="17"/>
          <w:szCs w:val="17"/>
          <w:color w:val="auto"/>
        </w:rPr>
      </w:pPr>
    </w:p>
    <w:p>
      <w:pPr>
        <w:ind w:left="1120" w:hanging="261"/>
        <w:spacing w:after="0"/>
        <w:tabs>
          <w:tab w:leader="none" w:pos="112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the Borrower shall fail to pay any interest on any Loan or any fee or any other amount (other than an amount referred to in paragraph</w:t>
      </w:r>
    </w:p>
    <w:p>
      <w:pPr>
        <w:spacing w:after="0" w:line="46" w:lineRule="exact"/>
        <w:rPr>
          <w:rFonts w:ascii="Arial" w:cs="Arial" w:eastAsia="Arial" w:hAnsi="Arial"/>
          <w:sz w:val="16"/>
          <w:szCs w:val="16"/>
          <w:color w:val="auto"/>
        </w:rPr>
      </w:pPr>
    </w:p>
    <w:p>
      <w:pPr>
        <w:ind w:left="440" w:right="260" w:hanging="4"/>
        <w:spacing w:after="0" w:line="260" w:lineRule="auto"/>
        <w:tabs>
          <w:tab w:leader="none" w:pos="68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of this Article VII) payable under any Loan Document, when and as the same shall become due and payable, and such failure shall continue unremedied for a period of five Business Days;</w:t>
      </w:r>
    </w:p>
    <w:p>
      <w:pPr>
        <w:spacing w:after="0" w:line="77" w:lineRule="exact"/>
        <w:rPr>
          <w:rFonts w:ascii="Arial" w:cs="Arial" w:eastAsia="Arial" w:hAnsi="Arial"/>
          <w:sz w:val="18"/>
          <w:szCs w:val="18"/>
          <w:color w:val="auto"/>
        </w:rPr>
      </w:pPr>
    </w:p>
    <w:p>
      <w:pPr>
        <w:ind w:left="440" w:right="60" w:firstLine="419"/>
        <w:spacing w:after="0" w:line="257" w:lineRule="auto"/>
        <w:tabs>
          <w:tab w:leader="none" w:pos="1108"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by or on behalf of the Borrower in or in connection with any Loan Document or any amendment or modification thereof or waiver thereunder, or in any report, certificate, financial statement or other document furnished pursuant to Article II, Article IV, Section 5.01 or Section 5.02 or any amendment or modification thereof or waiver thereunder, shall, if qualified by materiality, prove to have been incorrect or, if not so qualified, prove to have been incorrect in any material respect, in each case when made or deemed made;</w:t>
      </w:r>
    </w:p>
    <w:p>
      <w:pPr>
        <w:spacing w:after="0" w:line="79" w:lineRule="exact"/>
        <w:rPr>
          <w:rFonts w:ascii="Arial" w:cs="Arial" w:eastAsia="Arial" w:hAnsi="Arial"/>
          <w:sz w:val="18"/>
          <w:szCs w:val="18"/>
          <w:color w:val="auto"/>
        </w:rPr>
      </w:pPr>
    </w:p>
    <w:p>
      <w:pPr>
        <w:ind w:left="440" w:right="120" w:firstLine="419"/>
        <w:spacing w:after="0" w:line="277" w:lineRule="auto"/>
        <w:tabs>
          <w:tab w:leader="none" w:pos="1118"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Borrower shall fail to observe or perform any covenant, condition or agreement contained in Section 5.02(a), Section 5.03(a) (solely with respect to the legal existence of the Borrower) or in Article VI;</w:t>
      </w:r>
    </w:p>
    <w:p>
      <w:pPr>
        <w:spacing w:after="0" w:line="62" w:lineRule="exact"/>
        <w:rPr>
          <w:rFonts w:ascii="Arial" w:cs="Arial" w:eastAsia="Arial" w:hAnsi="Arial"/>
          <w:sz w:val="18"/>
          <w:szCs w:val="18"/>
          <w:color w:val="auto"/>
        </w:rPr>
      </w:pPr>
    </w:p>
    <w:p>
      <w:pPr>
        <w:ind w:left="440" w:right="220" w:firstLine="419"/>
        <w:spacing w:after="0" w:line="263" w:lineRule="auto"/>
        <w:tabs>
          <w:tab w:leader="none" w:pos="1108"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Borrower shall fail to observe or perform any covenant, condition or agreement contained in any Loan Document (other than those specified in paragraph (a), (b) or (d) of this Article VII), and such failure shall continue unremedied for a period of 30 days after notice thereof from any Lender or the Administrative Agent to the Borrower;</w:t>
      </w:r>
    </w:p>
    <w:p>
      <w:pPr>
        <w:spacing w:after="0" w:line="75" w:lineRule="exact"/>
        <w:rPr>
          <w:rFonts w:ascii="Arial" w:cs="Arial" w:eastAsia="Arial" w:hAnsi="Arial"/>
          <w:sz w:val="18"/>
          <w:szCs w:val="18"/>
          <w:color w:val="auto"/>
        </w:rPr>
      </w:pPr>
    </w:p>
    <w:p>
      <w:pPr>
        <w:ind w:left="440" w:right="320" w:firstLine="419"/>
        <w:spacing w:after="0" w:line="263" w:lineRule="auto"/>
        <w:tabs>
          <w:tab w:leader="none" w:pos="1088"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Borrower or any Material Subsidiary shall fail to make any payment (whether of principal or interest and regardless of amount) in respect of any Material Indebtedness, when and as the same shall become due and payable (subject to the expiration of any applicable grace period);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20"/>
          </w:cols>
          <w:pgMar w:left="440" w:top="274" w:right="439" w:bottom="1440" w:gutter="0" w:footer="0" w:header="0"/>
        </w:sectPr>
      </w:pPr>
    </w:p>
    <w:bookmarkStart w:id="98" w:name="page99"/>
    <w:bookmarkEnd w:id="98"/>
    <w:p>
      <w:pPr>
        <w:ind w:left="4" w:firstLine="419"/>
        <w:spacing w:after="0" w:line="284" w:lineRule="auto"/>
        <w:tabs>
          <w:tab w:leader="none" w:pos="681" w:val="left"/>
        </w:tabs>
        <w:numPr>
          <w:ilvl w:val="1"/>
          <w:numId w:val="1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any event or condition occurs that results in any Material Indebtedness of the Borrower or any Material Subsidiary becoming due prior to its scheduled maturity or that, after the expiration of any applicable grace period, enables or permits (with or without the giving of notice, the lapse of time or both) the holder or holders of any Material Indebtedness of the Borrower or any Material Subsidiary or any trustee or agent on its or their behalf to cause any Material Indebtedness of the Borrower or any Material Subsidiary to become due, or to require the prepayment, repurchase, redemption or defeasance thereof, prior to its scheduled maturity;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paragraph (g) shall not apply to (i) secured Indebtedness that becomes due as a result of the sale, transfer or other disposition (including as a result of a casualty or condemnation event) of the property or assets securing such Indebtedness (to the extent such sale, transfer or other disposition is not prohibited under this Agreement) or</w:t>
      </w:r>
    </w:p>
    <w:p>
      <w:pPr>
        <w:spacing w:after="0" w:line="2" w:lineRule="exact"/>
        <w:rPr>
          <w:rFonts w:ascii="Arial" w:cs="Arial" w:eastAsia="Arial" w:hAnsi="Arial"/>
          <w:sz w:val="16"/>
          <w:szCs w:val="16"/>
          <w:color w:val="auto"/>
        </w:rPr>
      </w:pPr>
    </w:p>
    <w:p>
      <w:pPr>
        <w:ind w:left="4" w:right="240" w:hanging="4"/>
        <w:spacing w:after="0" w:line="260" w:lineRule="auto"/>
        <w:tabs>
          <w:tab w:leader="none" w:pos="26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Indebtedness that becomes due as a result of a refinancing thereof permitted by Section 6.01 (or, in the case of such Indebtedness of the Borrower, a refinancing thereof not prohibited by this Agreement);</w:t>
      </w:r>
    </w:p>
    <w:p>
      <w:pPr>
        <w:spacing w:after="0" w:line="77" w:lineRule="exact"/>
        <w:rPr>
          <w:rFonts w:ascii="Arial" w:cs="Arial" w:eastAsia="Arial" w:hAnsi="Arial"/>
          <w:sz w:val="18"/>
          <w:szCs w:val="18"/>
          <w:color w:val="auto"/>
        </w:rPr>
      </w:pPr>
    </w:p>
    <w:p>
      <w:pPr>
        <w:ind w:left="4" w:right="80" w:firstLine="419"/>
        <w:spacing w:after="0" w:line="255" w:lineRule="auto"/>
        <w:tabs>
          <w:tab w:leader="none" w:pos="681"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an involuntary proceeding shall be commenced or an involuntary petition shall be filed seeking (i) liquidation, reorganization or other relief in respect of the Borrower or any Material Subsidiary or its debts, or of a substantial part of its assets, under any Federal, state or foreign bankruptcy, insolvency, receivership or similar law now or hereafter in effect or (ii) the appointment of a receiver, trustee, custodian, sequestrator, conservator or similar official for the Borrower or any Material Subsidiary or for a substantial part of its assets, and, in any such case, such proceeding or petition shall continue undismissed or undischarged for 60 days or an order or decree approving or ordering any of the foregoing shall be entered;</w:t>
      </w:r>
    </w:p>
    <w:p>
      <w:pPr>
        <w:spacing w:after="0" w:line="84" w:lineRule="exact"/>
        <w:rPr>
          <w:rFonts w:ascii="Arial" w:cs="Arial" w:eastAsia="Arial" w:hAnsi="Arial"/>
          <w:sz w:val="18"/>
          <w:szCs w:val="18"/>
          <w:color w:val="auto"/>
        </w:rPr>
      </w:pPr>
    </w:p>
    <w:p>
      <w:pPr>
        <w:ind w:left="4" w:right="340" w:firstLine="419"/>
        <w:spacing w:after="0" w:line="291" w:lineRule="auto"/>
        <w:tabs>
          <w:tab w:leader="none" w:pos="641" w:val="left"/>
        </w:tabs>
        <w:numPr>
          <w:ilvl w:val="1"/>
          <w:numId w:val="122"/>
        </w:numPr>
        <w:rPr>
          <w:rFonts w:ascii="Arial" w:cs="Arial" w:eastAsia="Arial" w:hAnsi="Arial"/>
          <w:sz w:val="16"/>
          <w:szCs w:val="16"/>
          <w:color w:val="auto"/>
        </w:rPr>
      </w:pPr>
      <w:r>
        <w:rPr>
          <w:rFonts w:ascii="Arial" w:cs="Arial" w:eastAsia="Arial" w:hAnsi="Arial"/>
          <w:sz w:val="16"/>
          <w:szCs w:val="16"/>
          <w:color w:val="auto"/>
        </w:rPr>
        <w:t>the Borrower or any Material Subsidiary shall (i) voluntarily commence any proceeding or file any petition seeking liquidation, reorganization or other relief under any Federal, state or foreign bankruptcy, insolvency, receivership or similar law now or hereafter in effect,</w:t>
      </w:r>
    </w:p>
    <w:p>
      <w:pPr>
        <w:ind w:left="4" w:right="20" w:hanging="4"/>
        <w:spacing w:after="0" w:line="253" w:lineRule="auto"/>
        <w:tabs>
          <w:tab w:leader="none" w:pos="26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consent to the institution of, or fail to contest in a timely and appropriate manner, any proceeding or petition described in paragraph (h) of this Article VII, (iii) apply for or consent to the appointment of a receiver, trustee, custodian, sequestrator, conservator or similar official for the Borrower or any Material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82" w:lineRule="exact"/>
        <w:rPr>
          <w:rFonts w:ascii="Arial" w:cs="Arial" w:eastAsia="Arial" w:hAnsi="Arial"/>
          <w:sz w:val="18"/>
          <w:szCs w:val="18"/>
          <w:color w:val="auto"/>
        </w:rPr>
      </w:pPr>
    </w:p>
    <w:p>
      <w:pPr>
        <w:ind w:left="4" w:right="500" w:firstLine="419"/>
        <w:spacing w:after="0" w:line="277" w:lineRule="auto"/>
        <w:tabs>
          <w:tab w:leader="none" w:pos="641"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Borrower or any Material Subsidiary shall become unable, admit in writing its inability or fail generally to pay its debts as they become due;</w:t>
      </w:r>
    </w:p>
    <w:p>
      <w:pPr>
        <w:spacing w:after="0" w:line="62" w:lineRule="exact"/>
        <w:rPr>
          <w:rFonts w:ascii="Arial" w:cs="Arial" w:eastAsia="Arial" w:hAnsi="Arial"/>
          <w:sz w:val="18"/>
          <w:szCs w:val="18"/>
          <w:color w:val="auto"/>
        </w:rPr>
      </w:pPr>
    </w:p>
    <w:p>
      <w:pPr>
        <w:ind w:left="4" w:right="120" w:firstLine="419"/>
        <w:spacing w:after="0" w:line="257" w:lineRule="auto"/>
        <w:tabs>
          <w:tab w:leader="none" w:pos="681" w:val="left"/>
        </w:tabs>
        <w:numPr>
          <w:ilvl w:val="1"/>
          <w:numId w:val="123"/>
        </w:numPr>
        <w:rPr>
          <w:rFonts w:ascii="Arial" w:cs="Arial" w:eastAsia="Arial" w:hAnsi="Arial"/>
          <w:sz w:val="18"/>
          <w:szCs w:val="18"/>
          <w:color w:val="auto"/>
        </w:rPr>
      </w:pPr>
      <w:r>
        <w:rPr>
          <w:rFonts w:ascii="Arial" w:cs="Arial" w:eastAsia="Arial" w:hAnsi="Arial"/>
          <w:sz w:val="18"/>
          <w:szCs w:val="18"/>
          <w:color w:val="auto"/>
        </w:rPr>
        <w:t>one or more judgments for the payment of money in an aggregate amount in excess of $50,000,000 (to the extent not paid, fully bonded or covered by insurance) shall be rendered against the Borrower, any Material Subsidiary or any combination thereof and the same shall remain undischarged, undismissed or unvacated for a period of 60 consecutive days during which execution shall not be effectively stayed, or any action shall be legally taken by a judgment creditor to attach or levy upon any assets of the Borrower or any Material Subsidiary to enforce any such judgment and such action shall not have been stayed;</w:t>
      </w:r>
    </w:p>
    <w:p>
      <w:pPr>
        <w:spacing w:after="0" w:line="120"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564"/>
          </w:cols>
          <w:pgMar w:left="876" w:top="274" w:right="459" w:bottom="1440" w:gutter="0" w:footer="0" w:header="0"/>
        </w:sectPr>
      </w:pPr>
    </w:p>
    <w:bookmarkStart w:id="99" w:name="page100"/>
    <w:bookmarkEnd w:id="99"/>
    <w:p>
      <w:pPr>
        <w:ind w:left="1080" w:hanging="221"/>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 ERISA Event shall have occurred that would reasonably be expected to have a Material Adverse Effect;</w:t>
      </w:r>
    </w:p>
    <w:p>
      <w:pPr>
        <w:spacing w:after="0" w:line="117" w:lineRule="exact"/>
        <w:rPr>
          <w:rFonts w:ascii="Arial" w:cs="Arial" w:eastAsia="Arial" w:hAnsi="Arial"/>
          <w:sz w:val="18"/>
          <w:szCs w:val="18"/>
          <w:color w:val="auto"/>
        </w:rPr>
      </w:pPr>
    </w:p>
    <w:p>
      <w:pPr>
        <w:ind w:left="1160" w:hanging="301"/>
        <w:spacing w:after="0"/>
        <w:tabs>
          <w:tab w:leader="none" w:pos="11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Change in Control shall occur; or</w:t>
      </w:r>
    </w:p>
    <w:p>
      <w:pPr>
        <w:spacing w:after="0" w:line="117" w:lineRule="exact"/>
        <w:rPr>
          <w:rFonts w:ascii="Arial" w:cs="Arial" w:eastAsia="Arial" w:hAnsi="Arial"/>
          <w:sz w:val="18"/>
          <w:szCs w:val="18"/>
          <w:color w:val="auto"/>
        </w:rPr>
      </w:pPr>
    </w:p>
    <w:p>
      <w:pPr>
        <w:ind w:left="440" w:right="40" w:firstLine="419"/>
        <w:spacing w:after="0" w:line="257" w:lineRule="auto"/>
        <w:tabs>
          <w:tab w:leader="none" w:pos="111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any Loan Document, at any time after its execution and delivery and for any reason other than as expressly permitted hereunder or thereunder or satisfaction in full of all the Obligations, ceases to be in full force and effect in any material respect; or the Borrower contests in any manner the validity or enforceability of any Loan Document; or the Borrower denies that it has any or further liability or obligation under any Loan Document, or purports to revoke, terminate or rescind any Loan Document (other than pursuant to any termination in accordance with the terms hereof or thereof or satisfaction in full of the Obligations);</w:t>
      </w:r>
    </w:p>
    <w:p>
      <w:pPr>
        <w:spacing w:after="0" w:line="18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then, and in every such event (other than an event with respect to the Borrower described in paragraph (h) or (i) of this Article VII), and at any time thereafter during the continuance of such event, the Administrative Agent may, and at the request of the Required Lenders shall, by notice to the Borrower, take any of the following actions, at the same or different times: (i) terminate the Commitments, and thereupon the Commitments shall terminate immediately,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(iii) require the Borrower to Cash Collateralize the LC Exposure; and in case of any Event of Default with respect to the Borrower described in paragraph (h) or (i) of this Article VII, the Commitments shall automatically terminate and the principal of the Loans then outstanding, together with accrued interest thereon and all fees and other obligations of the Borrower accrued hereunder, shall automatically become due and payable and the Borrower shall be required to Cash Collateralize the LC Exposure, without presentment, demand, protest or other notice of any kind, all of which are hereby waived by the Borrower. </w:t>
      </w:r>
      <w:r>
        <w:rPr>
          <w:rFonts w:ascii="Arial" w:cs="Arial" w:eastAsia="Arial" w:hAnsi="Arial"/>
          <w:sz w:val="17"/>
          <w:szCs w:val="17"/>
          <w:u w:val="single" w:color="auto"/>
          <w:color w:val="0000FF"/>
        </w:rPr>
        <w:t>Notwithstanding</w:t>
      </w:r>
      <w:r>
        <w:rPr>
          <w:rFonts w:ascii="Arial" w:cs="Arial" w:eastAsia="Arial" w:hAnsi="Arial"/>
          <w:sz w:val="17"/>
          <w:szCs w:val="17"/>
          <w:color w:val="auto"/>
        </w:rPr>
        <w:t xml:space="preserve"> </w:t>
      </w:r>
      <w:r>
        <w:rPr>
          <w:rFonts w:ascii="Arial" w:cs="Arial" w:eastAsia="Arial" w:hAnsi="Arial"/>
          <w:sz w:val="17"/>
          <w:szCs w:val="17"/>
          <w:u w:val="single" w:color="auto"/>
          <w:color w:val="0000FF"/>
        </w:rPr>
        <w:t>anything to the contrary herein, during the Certain Funds Period the rights, entitlements and remedies set forth in this Article VII, shall be subject in all respects to Section 4.04.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5895340</wp:posOffset>
            </wp:positionH>
            <wp:positionV relativeFrom="paragraph">
              <wp:posOffset>-274955</wp:posOffset>
            </wp:positionV>
            <wp:extent cx="78867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8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-137795</wp:posOffset>
            </wp:positionV>
            <wp:extent cx="690943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094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-635</wp:posOffset>
            </wp:positionV>
            <wp:extent cx="11144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REGARDING THE ADMINISTRATIVE AGENT</w:t>
      </w:r>
    </w:p>
    <w:p>
      <w:pPr>
        <w:spacing w:after="0" w:line="22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Each of the Lenders and each Issuing Bank hereby irrevocably appoints Bank of America to act on its behalf as Administrative Agent and authorizes the Administrative Agent to take such actions on its behalf and to exercise such powers as are delegated to the Administrative Agent, by the terms of the Loan Documents, together with such actions and powers as are reasonably incidental thereto. The provisions of this Article VIII are solely for the benefit of the Administrative Agent, the Lenders and each Issuing Bank, and the Borrower shall not have rights as a third party beneficiary of any of such provisions.</w:t>
      </w:r>
    </w:p>
    <w:p>
      <w:pPr>
        <w:spacing w:after="0" w:line="188" w:lineRule="exact"/>
        <w:rPr>
          <w:sz w:val="20"/>
          <w:szCs w:val="20"/>
          <w:color w:val="auto"/>
        </w:rPr>
      </w:pPr>
    </w:p>
    <w:p>
      <w:pPr>
        <w:ind w:right="280" w:firstLine="440"/>
        <w:spacing w:after="0" w:line="259" w:lineRule="auto"/>
        <w:rPr>
          <w:sz w:val="20"/>
          <w:szCs w:val="20"/>
          <w:color w:val="auto"/>
        </w:rPr>
      </w:pPr>
      <w:r>
        <w:rPr>
          <w:rFonts w:ascii="Arial" w:cs="Arial" w:eastAsia="Arial" w:hAnsi="Arial"/>
          <w:sz w:val="18"/>
          <w:szCs w:val="18"/>
          <w:color w:val="auto"/>
        </w:rPr>
        <w:t>The bank serving as Administrative Agent hereunder shall have the same rights and powers in its capacity as a Lender as any other Lender and may exercise the same as though it were not the Administrative Agent, and such bank and its Affiliates may accept deposits from, lend money to and generally engage in any kind of business with the Borrower or any Subsidiary or other Affiliate thereof as if it were not the Administrative Agent hereunder.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00"/>
          </w:cols>
          <w:pgMar w:left="440" w:top="274" w:right="459" w:bottom="1440" w:gutter="0" w:footer="0" w:header="0"/>
        </w:sectPr>
      </w:pPr>
    </w:p>
    <w:bookmarkStart w:id="100" w:name="page101"/>
    <w:bookmarkEnd w:id="100"/>
    <w:p>
      <w:pPr>
        <w:ind w:firstLine="4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Administrative Agent shall not have any duties or obligations except those expressly set forth in the Loan Documents.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by the Loan Documents that the Administrative Agent is required to exercise in writing as directed by the Required Lenders (or such other number or percentage of the Lenders as shall be necessary or believed by the such Agent in good faith to be necessary under the circumstances as provided in Section 2.05 or Section 9.02), and (c) except as expressly set forth in the Loan Documents, the Administrative Agent shall not have any duty to disclose, and shall not be liable for the failure to disclose, any information relating to the Borrower or any Subsidiary that is communicated to or obtained by the bank serving as the Administrative Agent or any of its Affiliates in any capacity. The Administrative Agent shall not be liable for any action taken or not taken by it with the consent or at the request of the Required Lenders (or such other number or percentage of the Lenders as shall be necessary under the circumstances as provided in Section 2.05 or Section 9.02) or in the absence of its own gross negligence or willful misconduct. The Administrative Agent shall not be deemed to have knowledge of any Default unless and until written notice thereof is given to the Administrative Agent by the Borrower or a Lender, and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(iv) the validity, enforceability, effectiveness or genuineness of any Loan Document or any other agreement, instrument or document or (v) the satisfaction of any condition set forth in Article IV or elsewhere in any Loan Document, other than to confirm receipt of items expressly required to be delivered to the Administrative Agent.</w:t>
      </w:r>
    </w:p>
    <w:p>
      <w:pPr>
        <w:spacing w:after="0" w:line="174" w:lineRule="exact"/>
        <w:rPr>
          <w:sz w:val="20"/>
          <w:szCs w:val="20"/>
          <w:color w:val="auto"/>
        </w:rPr>
      </w:pPr>
    </w:p>
    <w:p>
      <w:pPr>
        <w:jc w:val="both"/>
        <w:ind w:right="80" w:firstLine="440"/>
        <w:spacing w:after="0" w:line="293" w:lineRule="auto"/>
        <w:rPr>
          <w:sz w:val="20"/>
          <w:szCs w:val="20"/>
          <w:color w:val="auto"/>
        </w:rPr>
      </w:pPr>
      <w:r>
        <w:rPr>
          <w:rFonts w:ascii="Arial" w:cs="Arial" w:eastAsia="Arial" w:hAnsi="Arial"/>
          <w:sz w:val="16"/>
          <w:szCs w:val="16"/>
          <w:color w:val="auto"/>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or sent or otherwise authenticated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64"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The Administrative Agent may perform any and all its duties and exercise its rights and powers by or through any one or more sub-agents appointed by The Administrative Agent. The Administrative Agent and any such sub-agent may perform any and all its duties and exercise its rights and powers by or through their respective Related Parties. The exculpatory provisions of this Article VIII shall apply to any such sub-agent and to the Related Parties of The Administrative Agent and any such sub-agent, and shall apply to their respective activities in connection with the syndication of the credit facilities provided for herein as well as activities as The Administrative Agent.</w:t>
      </w:r>
    </w:p>
    <w:p>
      <w:pPr>
        <w:spacing w:after="0" w:line="188"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The Administrative Agent may resign at any time upon notice to the Lenders, each Issuing Bank and the Borrower. Upon any such resignation, the Required Lenders shall have the right, in consultation with the Borrower and, unless an Event of Default has occurred and is continuing, with the consent of the Borrower (not to be unreasonably withheld or delayed) to appoint a successor that shall be a bank with an office in the United States or an Affiliate of any such bank. If no successor shall have been so appointed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00"/>
          </w:cols>
          <w:pgMar w:left="440" w:top="274" w:right="459" w:bottom="1440" w:gutter="0" w:footer="0" w:header="0"/>
        </w:sectPr>
      </w:pPr>
    </w:p>
    <w:bookmarkStart w:id="101" w:name="page102"/>
    <w:bookmarkEnd w:id="101"/>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by the Required Lenders and shall have accepted such appointment within 30 days after such retiring Administrative Agent gives notice of its resignation, then such retiring Administrative Agent may, on behalf of the Lenders and each Issuing Bank, appoint a successor Administrative Agent that shall be a bank with an office in the United States or an Affiliate of any such bank;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Administrative Agent shall notify the Borrower and the Lenders that no qualifying Person has accepted such appointment, then such resignation shall nonetheless become effective in accordance with such notice and (a) such retiring Administrative Agent shall be discharged from its duties and obligations hereunder and under the other Loan Documents and (b) all payments, communications and determinations provided to be made by, to or through the Administrative Agent shall instead be made by or to each Lender and Issuing Bank directly, until such time as the Required Lenders appoint a successor Administrative Agent as provided for above in this paragraph.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all its duties and obligations under the Loan Documents. The fees payable by the Borrower to a successor Administrative Agent shall be the same as those payable to its predecessor unless otherwise agreed between the Borrower and such successor. After such Administrative Agent’s resignation hereunder, the provisions of this Article VIII and Section 9.03 shall continue in effect for the benefit of such retiring Administrative Agent, its sub-agents and their respective Related Parties in respect of any actions taken or omitted to be taken by any of them while the retiring Administrative Agent was acting as the Administrative Agent.</w:t>
      </w:r>
    </w:p>
    <w:p>
      <w:pPr>
        <w:spacing w:after="0" w:line="184"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Any resignation by Bank of America as Administrative Agent pursuant to this Article VIII shall also constitute its resignation as Issuing Bank. Upon the acceptance of a successor’s appointment as Administrative Agent hereunder, (i) such successor shall succeed to and become vested with all of the rights, powers, privileges and duties of the retiring Issuing Bank, (ii) the retiring Issuing Bank shall be discharged from all of its duties and obligations hereunder or under the other Loan Documents, and (iii)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w:t>
      </w:r>
    </w:p>
    <w:p>
      <w:pPr>
        <w:spacing w:after="0" w:line="178" w:lineRule="exact"/>
        <w:rPr>
          <w:sz w:val="20"/>
          <w:szCs w:val="20"/>
          <w:color w:val="auto"/>
        </w:rPr>
      </w:pPr>
    </w:p>
    <w:p>
      <w:pPr>
        <w:ind w:right="200" w:firstLine="440"/>
        <w:spacing w:after="0" w:line="255" w:lineRule="auto"/>
        <w:rPr>
          <w:sz w:val="20"/>
          <w:szCs w:val="20"/>
          <w:color w:val="auto"/>
        </w:rPr>
      </w:pPr>
      <w:r>
        <w:rPr>
          <w:rFonts w:ascii="Arial" w:cs="Arial" w:eastAsia="Arial" w:hAnsi="Arial"/>
          <w:sz w:val="18"/>
          <w:szCs w:val="18"/>
          <w:color w:val="auto"/>
        </w:rPr>
        <w:t>Each Lender and each Issuing Bank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each Issuing Bank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any Loan Document or any related agreement or any document furnished thereunder.</w:t>
      </w:r>
    </w:p>
    <w:p>
      <w:pPr>
        <w:spacing w:after="0" w:line="192"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In case of the pendency of any proceeding under any Federal, state or foreign bankruptcy, insolvency, receivership or similar law or any other judicial proceeding relative to the Borrower, the Administrative Agent (irrespective of whether the principal of any Loan or LC Exposure shall then be due and payable as herein expressed or by declaration or otherwise and irrespective of whether the Administrative Agent shall have made any demand on the Borrower) shall be entitled and empowered, by intervention in such proceeding or otherwise, to (a) file and prove a claim for the whole amount of the principal and interest owing and unpaid in respect of the Loans, LC Exposures and all other Obligations that are owing and unpaid and to file such other documents as may be necessary or advisable in order to have the claims of the Lenders and each Issuing Bank (including any claim for the reasonable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00"/>
          </w:cols>
          <w:pgMar w:left="440" w:top="274" w:right="459" w:bottom="1440" w:gutter="0" w:footer="0" w:header="0"/>
        </w:sectPr>
      </w:pPr>
    </w:p>
    <w:bookmarkStart w:id="102" w:name="page103"/>
    <w:bookmarkEnd w:id="102"/>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compensation, expenses, disbursements and advances of the Lenders and each Issuing Bank and their respective agents and counsel and all other amounts due the Lenders and each Issuing Bank under Sections 2.05(e) and 2.13) allowed in such judicial proceeding, and (b)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and each Issuing Bank to make such payments to the Administrative Agent and, if the Administrative Agent shall consent to the making of such payments directly to the Lenders and the applicable Issuing Bank, to pay to the Administrative Agent any amount due for the reasonable compensation, expenses, disbursements and advances of the Administrative Agent and its agents and counsel, and any other amounts due the Administrative Agent under Section 2.10.</w:t>
      </w:r>
    </w:p>
    <w:p>
      <w:pPr>
        <w:spacing w:after="0" w:line="166" w:lineRule="exact"/>
        <w:rPr>
          <w:sz w:val="20"/>
          <w:szCs w:val="20"/>
          <w:color w:val="auto"/>
        </w:rPr>
      </w:pPr>
    </w:p>
    <w:p>
      <w:pPr>
        <w:jc w:val="both"/>
        <w:ind w:right="320" w:firstLine="440"/>
        <w:spacing w:after="0" w:line="311" w:lineRule="auto"/>
        <w:rPr>
          <w:sz w:val="20"/>
          <w:szCs w:val="20"/>
          <w:color w:val="auto"/>
        </w:rPr>
      </w:pPr>
      <w:r>
        <w:rPr>
          <w:rFonts w:ascii="Arial" w:cs="Arial" w:eastAsia="Arial" w:hAnsi="Arial"/>
          <w:sz w:val="16"/>
          <w:szCs w:val="16"/>
          <w:color w:val="auto"/>
        </w:rPr>
        <w:t>Nothing contained herein shall be deemed to authorize the Administrative Agent to authorize or consent to or accept or adopt on behalf of any Lender or Issuing Bank any plan of reorganization, arrangement, adjustment or composition affecting the Obligations or the rights of any Lender or Issuing Bank to authorize the Administrative Agent to vote in respect of the claim of any Lender or Issuing Bank or in any such proceeding.</w:t>
      </w:r>
    </w:p>
    <w:p>
      <w:pPr>
        <w:spacing w:after="0" w:line="149"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To the extent required by any applicable law, the Administrative Agent may withhold from any payment to any Lender or Issuing Bank an amount equivalent to any applicable withholding tax. If the Internal Revenue Service or any other authority of the United States or other jurisdiction asserts a claim that the Administrative Agent did not properly withhold tax from amounts paid to or for the account of any Lender or Issuing Bank for any reason (including, without limitation, because the appropriate form was not delivered or not properly executed, or because such Lender or Issuing Bank failed to notify the Administrative Agent of a change in circumstance that rendered the exemption from, or reduction of withholding tax ineffective), such Lender or Issuing Bank shall indemnify and hold harmless the Administrative Agent (to the extent that the Administrative Agent has not already been reimbursed by the Borrower pursuant to Section 2.13 or Section 2.15 and without limiting the obligation of the Borrower to do so) for all amounts paid, directly or indirectly, by the Administrative Agent as Taxes or otherwise, together with all expenses incurred, including legal expenses and any other reasonable expenses, whether or not such tax was correctly or legally imposed or asserted by the relevant Governmental Authority. A certificate as to the amount of such payment or liability delivered to any Lender or Issuing Bank by the Administrative Agent shall be conclusive absent manifest error. Each Lender and Issuing Bank hereby authorizes the Administrative Agent to set off and apply any and all amounts at any time owing to such Lender or Issuing Bank under this Agreement or any other Loan Document against any amount due the Administrative Agent under this paragraph. The agreements in this paragraph shall survive the resignation and/or replacement of the Administrative Agent, any assignment of rights by, or the replacement of, a Lender or Issuing Bank and the repayment, satisfaction or discharge of any Loans and all other amounts payable hereunder.</w:t>
      </w:r>
    </w:p>
    <w:p>
      <w:pPr>
        <w:spacing w:after="0" w:line="17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Notwithstanding anything herein to the contrary, none of the institutions identified as an Arranger, Joint Bookrunning Manager, Syndication Agent or Documentation Agent on the cover page hereof shall have any powers, duties or responsibilities under any Loan Document, except in its capacity, as applicable, as the Administrative Agent, a Lender or an Issuing Bank hereunder.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00"/>
          </w:cols>
          <w:pgMar w:left="440" w:top="274" w:right="45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SECTION 9.01 Notices. Except in the case of notices and other communications expressly permitted to be given by telephone, all notices and other communications provided for herein shall be in writing and shall be delivered by hand or overnight courier service, mailed by certified or registered mail or, solely with respect to any communications solely between or among the Administrative Agent and any Lender, sent by telecopy, as follows:</w:t>
      </w:r>
    </w:p>
    <w:p>
      <w:pPr>
        <w:spacing w:after="0" w:line="79" w:lineRule="exact"/>
        <w:rPr>
          <w:sz w:val="20"/>
          <w:szCs w:val="20"/>
          <w:color w:val="auto"/>
        </w:rPr>
      </w:pPr>
    </w:p>
    <w:p>
      <w:pPr>
        <w:ind w:left="1100" w:hanging="241"/>
        <w:spacing w:after="0"/>
        <w:tabs>
          <w:tab w:leader="none" w:pos="11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if to the Borrower, to it at 805 King Farm Blvd., Rockville, Maryland 20850, Attention of General Counsel;</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if to the Administrative Agent, to the Administrative Agent’s Office;</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if to an Issuing Bank other than the Administrative Agent, to it at the address or telecopy number set forth separately in writing; and</w:t>
      </w:r>
    </w:p>
    <w:p>
      <w:pPr>
        <w:spacing w:after="0" w:line="128" w:lineRule="exact"/>
        <w:rPr>
          <w:rFonts w:ascii="Arial" w:cs="Arial" w:eastAsia="Arial" w:hAnsi="Arial"/>
          <w:sz w:val="17"/>
          <w:szCs w:val="17"/>
          <w:color w:val="auto"/>
        </w:rPr>
      </w:pPr>
    </w:p>
    <w:p>
      <w:pPr>
        <w:ind w:left="1120" w:hanging="261"/>
        <w:spacing w:after="0"/>
        <w:tabs>
          <w:tab w:leader="none" w:pos="11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if to any other Lender, to it at its address (or telecopy number) set forth in its Administrative Questionnaire.</w:t>
      </w:r>
    </w:p>
    <w:p>
      <w:pPr>
        <w:spacing w:after="0" w:line="225"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Any party hereto may change its address or, solely for purposes of any communications solely between or among the Administrative Agent and any Lender, telecopy number for notices and other communications hereunder by notice to the other parties hereto. Notices and other communications to the Lenders and Issuing Banks hereunder may also be delivered or furnished by electronic communication (including e-mail and Internet or intranet websites) pursuant to procedures approved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apply to notices to any Lender or Issuing Bank pursuant to Article II if such Lender or Issuing Bank, as applicable, has notified the Administrative Agent that it is incapable of receiving notices under such Article II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approval of such procedures may be limited to particular notices or communications. All notices and other communications given to any party hereto in accordance with the provisions of this Agreement shall be deemed to have been given on the date of receipt.</w:t>
      </w:r>
    </w:p>
    <w:p>
      <w:pPr>
        <w:spacing w:after="0" w:line="181" w:lineRule="exact"/>
        <w:rPr>
          <w:sz w:val="20"/>
          <w:szCs w:val="20"/>
          <w:color w:val="auto"/>
        </w:rPr>
      </w:pPr>
    </w:p>
    <w:p>
      <w:pPr>
        <w:ind w:right="80" w:firstLine="440"/>
        <w:spacing w:after="0" w:line="268" w:lineRule="auto"/>
        <w:rPr>
          <w:sz w:val="20"/>
          <w:szCs w:val="20"/>
          <w:color w:val="auto"/>
        </w:rPr>
      </w:pPr>
      <w:r>
        <w:rPr>
          <w:rFonts w:ascii="Arial" w:cs="Arial" w:eastAsia="Arial" w:hAnsi="Arial"/>
          <w:sz w:val="17"/>
          <w:szCs w:val="17"/>
          <w:color w:val="auto"/>
        </w:rPr>
        <w:t>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7"/>
          <w:szCs w:val="17"/>
          <w:u w:val="single" w:color="auto"/>
          <w:color w:val="auto"/>
        </w:rPr>
        <w:t>Agent Parties</w:t>
      </w:r>
      <w:r>
        <w:rPr>
          <w:rFonts w:ascii="Arial" w:cs="Arial" w:eastAsia="Arial" w:hAnsi="Arial"/>
          <w:sz w:val="17"/>
          <w:szCs w:val="17"/>
          <w:color w:val="auto"/>
        </w:rPr>
        <w:t xml:space="preserve">”) have any liability to the Borrower, any Lender, any Issuing Bank or any other Person for losses, claims, damages, liabilities or expenses of any kind (whether in tort, contract or otherwise) arising out of the Borrower’s or the Administrative Agent’s transmission of Borrower Materials or notices through the Platform, any other electronic platform or electronic messaging service, or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any Agent Party have any liability to the Borrower, any Lender, any Issuing Bank or any other Person for indirect, special, incidental, consequential or punitive damages (as opposed to direct or actual damages).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00"/>
          </w:cols>
          <w:pgMar w:left="440" w:top="274" w:right="459" w:bottom="1440" w:gutter="0" w:footer="0" w:header="0"/>
        </w:sectPr>
      </w:pPr>
    </w:p>
    <w:bookmarkStart w:id="104" w:name="page105"/>
    <w:bookmarkEnd w:id="104"/>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9.02 Waivers; Amendments.</w:t>
      </w:r>
    </w:p>
    <w:p>
      <w:pPr>
        <w:spacing w:after="0" w:line="117" w:lineRule="exact"/>
        <w:rPr>
          <w:sz w:val="20"/>
          <w:szCs w:val="20"/>
          <w:color w:val="auto"/>
        </w:rPr>
      </w:pPr>
    </w:p>
    <w:p>
      <w:pPr>
        <w:ind w:left="4" w:right="80" w:firstLine="436"/>
        <w:spacing w:after="0" w:line="288" w:lineRule="auto"/>
        <w:tabs>
          <w:tab w:leader="none" w:pos="689" w:val="left"/>
        </w:tabs>
        <w:numPr>
          <w:ilvl w:val="1"/>
          <w:numId w:val="126"/>
        </w:numPr>
        <w:rPr>
          <w:rFonts w:ascii="Arial" w:cs="Arial" w:eastAsia="Arial" w:hAnsi="Arial"/>
          <w:sz w:val="16"/>
          <w:szCs w:val="16"/>
          <w:color w:val="auto"/>
        </w:rPr>
      </w:pPr>
      <w:r>
        <w:rPr>
          <w:rFonts w:ascii="Arial" w:cs="Arial" w:eastAsia="Arial" w:hAnsi="Arial"/>
          <w:sz w:val="16"/>
          <w:szCs w:val="16"/>
          <w:color w:val="auto"/>
        </w:rPr>
        <w:t>No failure or delay by the Administrative Agent, any Issuing Bank or any Lender in exercising any right or power under any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each Issuing Bank and the Lenders hereunder and under the other Loan Documents are cumulative and are not exclusive of any rights or remedies that they would otherwise have. No waiver of any provision of any Loan Document or consent to any departure by the Borrower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the issuance, amendment, renewal or extension of a Letter of Credit shall not be construed as a waiver of any Default, regardless of whether the Administrative Agent or any Lender or Issuing Bank may have had notice or knowledge of such Default at the time. No notice or demand on the Borrower in any case shall entitle the Borrower to any other or further notice or demand in similar or other circumstances.</w:t>
      </w:r>
    </w:p>
    <w:p>
      <w:pPr>
        <w:spacing w:after="0" w:line="60" w:lineRule="exact"/>
        <w:rPr>
          <w:rFonts w:ascii="Arial" w:cs="Arial" w:eastAsia="Arial" w:hAnsi="Arial"/>
          <w:sz w:val="16"/>
          <w:szCs w:val="16"/>
          <w:color w:val="auto"/>
        </w:rPr>
      </w:pPr>
    </w:p>
    <w:p>
      <w:pPr>
        <w:ind w:left="4" w:firstLine="436"/>
        <w:spacing w:after="0" w:line="283" w:lineRule="auto"/>
        <w:tabs>
          <w:tab w:leader="none" w:pos="699" w:val="left"/>
        </w:tabs>
        <w:numPr>
          <w:ilvl w:val="1"/>
          <w:numId w:val="126"/>
        </w:numPr>
        <w:rPr>
          <w:rFonts w:ascii="Arial" w:cs="Arial" w:eastAsia="Arial" w:hAnsi="Arial"/>
          <w:sz w:val="16"/>
          <w:szCs w:val="16"/>
          <w:color w:val="auto"/>
        </w:rPr>
      </w:pPr>
      <w:r>
        <w:rPr>
          <w:rFonts w:ascii="Arial" w:cs="Arial" w:eastAsia="Arial" w:hAnsi="Arial"/>
          <w:sz w:val="16"/>
          <w:szCs w:val="16"/>
          <w:color w:val="auto"/>
        </w:rPr>
        <w:t xml:space="preserve">Except as provided in Section 2.18 with respect to any Incremental Facility Amendment, neither any Loan Document nor any provision thereof may be waived, amended or modified except, in the case of this Agreement, pursuant to an agreement or agreements in writing entered into by the Borrower and the Required Lenders or, in the case of any other Loan Document, pursuant to an agreement or agreements in writing entered into by the Administrative Agent and the Borrower, in each case with the consent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any provision of this Agreement may be amended by an agreement in writing entered into by the Borrower and the Administrative Agent to cure any ambiguity, omission, defect, mistake or inconsistency so long as, in each case, (A) such amendment does not adversely affect the rights of any Lender or (B) the Lenders shall have received at least five Business Days’ prior written notice thereof and the Administrative Agent shall not have received, within five Business Days of the date of such notice to the Lenders, a written notice from the Required Lenders stating that the Required Lenders object to such amendment and (ii) no such agreement shall (A) increase the Commitment of any Lender without the written consent of such Lender, (B) reduce the principal amount of any Loan, LC Disbursement or LC Advance or reduce the rate of interest thereon, or reduce any fees payable hereunder, without the written consent of each Lender affected thereby, (C) postpone the maturity of any Loan, or the required date of reimbursement of any LC Disbursement, or any date for the payment of any interest or fees payable hereunder, or reduce the amount of, waive or excuse any such payment, or postpone the scheduled date of expiration of any Commitment, without the written consent of each Lender affected thereby, (D) alter the manner in which payments or prepayments of principal, interest or other amounts hereunder shall be applied as among the Lenders or Types of Loans or change Section 2.16(b) or (c) in a manner that would alter the pro rata sharing of payments required thereby, in each case without the written consent of each Lender adversely affected thereby,</w:t>
      </w:r>
    </w:p>
    <w:p>
      <w:pPr>
        <w:ind w:left="4" w:right="40" w:hanging="4"/>
        <w:spacing w:after="0" w:line="302" w:lineRule="auto"/>
        <w:tabs>
          <w:tab w:leader="none" w:pos="279" w:val="left"/>
        </w:tabs>
        <w:numPr>
          <w:ilvl w:val="0"/>
          <w:numId w:val="127"/>
        </w:numPr>
        <w:rPr>
          <w:rFonts w:ascii="Arial" w:cs="Arial" w:eastAsia="Arial" w:hAnsi="Arial"/>
          <w:sz w:val="16"/>
          <w:szCs w:val="16"/>
          <w:color w:val="auto"/>
        </w:rPr>
      </w:pPr>
      <w:r>
        <w:rPr>
          <w:rFonts w:ascii="Arial" w:cs="Arial" w:eastAsia="Arial" w:hAnsi="Arial"/>
          <w:sz w:val="16"/>
          <w:szCs w:val="16"/>
          <w:color w:val="auto"/>
        </w:rPr>
        <w:t>change any of the provisions of this Section or the percentage set forth in the definition of “Required Lenders” or any other provision of any Loan Document specifying the number or percentage of Lenders (or Lenders of any Class) required to waive, amend or modify any rights thereunder or make any determination or grant any consent thereunder, without the written consent of each Lender (or each Lender of such Class, as the case</w:t>
      </w:r>
    </w:p>
    <w:p>
      <w:pPr>
        <w:spacing w:after="0" w:line="8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984"/>
          </w:cols>
          <w:pgMar w:left="436" w:top="274" w:right="479" w:bottom="1440" w:gutter="0" w:footer="0" w:header="0"/>
        </w:sectPr>
      </w:pPr>
    </w:p>
    <w:bookmarkStart w:id="105" w:name="page106"/>
    <w:bookmarkEnd w:id="105"/>
    <w:p>
      <w:pPr>
        <w:ind w:left="4"/>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may be) (it being understood that, other than pursuant to any Incremental Facility Amendment (the consent requirements for which are set forth in Section 2.18), with the consent of the Required Lenders, additional extensions of credit pursuant to this Agreement may be included in the determination of the Required Lenders on substantially the same basis as the Revolving Commitments on the date hereof), (F) change any provisions of any Loan Document in a manner that by its terms adversely affects the rights in respect of payments due to Lenders holding Loans of any Class differently than those holding Loans of any other Class, without the written consent of Lenders holding a majority in interest of the outstanding Loans and unused Commitments of each affected Class, (G) modify the protections afforded to an SPV pursuant to the provisions of Section 9.04(e) without the written consent of such SPV or (H) make any changes that impose any restriction on the ability of any Lender to assign any of its rights or obligations, without the written consent of each Lender affected thereby;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(1) no such agreement shall amend, modify or otherwise affect the rights or duties of the Administrative Agent, any Issuing Bank, any Arranger, any Joint Bookrunning Manager, any Syndication Agent or any Documentation Agent without the prior written consent of the Administrative Agent, such Issuing Bank, such Arranger, such Joint Bookrunning Manager, such Syndication Agent or such Documentation Agent, as the case may be, (2) without limiting clause (3) below, any waiver, amendment or modification of this Agreement that by its terms affects the rights or duties under this Agreement of Lenders holding Loans or Commitments of a particular Class (but not the Lenders holding Loans or Commitments of any other Class) may be effected by an agreement or agreements in writing entered into by the Borrower and the requisite percentage in interest of the affected Class of Lenders that would be required to consent thereto under this Section 9.02 if such Class of Lenders were the only Class of Lenders hereunder at the time, and (3) after the Closing Date, no amendment, waiver or consent shall amend, modify supplement or waive the conditions precedent set forth in Section 4.02 or any representation or warranty set forth in Article III without the written consent of the Required Lenders (it being understood that no other amendment, waiver, consent or other modification of any term or provision of this Agreement, including any waiver of a covenant or a Default, shall be deemed to be an amendment, waiver, consent or other modification of Section 4.02 or any such representations or warranties for purposes of this clause (3)). Notwithstanding the foregoing, upon the election of the Borrower to switch from GAAP to IFRS this Agreement may be amended (or amended and restated) with only the written consent of the Administrative Agent and the Borrower (and not any other Lender or the Required Lenders) to eliminate any changes to the meaning of this Agreement as a result of such election.</w:t>
      </w:r>
    </w:p>
    <w:p>
      <w:pPr>
        <w:spacing w:after="0" w:line="76" w:lineRule="exact"/>
        <w:rPr>
          <w:sz w:val="20"/>
          <w:szCs w:val="20"/>
          <w:color w:val="auto"/>
        </w:rPr>
      </w:pPr>
    </w:p>
    <w:p>
      <w:pPr>
        <w:ind w:left="4" w:right="100" w:firstLine="436"/>
        <w:spacing w:after="0" w:line="284" w:lineRule="auto"/>
        <w:tabs>
          <w:tab w:leader="none" w:pos="689" w:val="left"/>
        </w:tabs>
        <w:numPr>
          <w:ilvl w:val="1"/>
          <w:numId w:val="128"/>
        </w:numPr>
        <w:rPr>
          <w:rFonts w:ascii="Arial" w:cs="Arial" w:eastAsia="Arial" w:hAnsi="Arial"/>
          <w:sz w:val="16"/>
          <w:szCs w:val="16"/>
          <w:color w:val="auto"/>
        </w:rPr>
      </w:pPr>
      <w:r>
        <w:rPr>
          <w:rFonts w:ascii="Arial" w:cs="Arial" w:eastAsia="Arial" w:hAnsi="Arial"/>
          <w:sz w:val="16"/>
          <w:szCs w:val="16"/>
          <w:color w:val="auto"/>
        </w:rPr>
        <w:t>In connection with any proposed amendment, modification, waiver or termination (a “</w:t>
      </w:r>
      <w:r>
        <w:rPr>
          <w:rFonts w:ascii="Arial" w:cs="Arial" w:eastAsia="Arial" w:hAnsi="Arial"/>
          <w:sz w:val="16"/>
          <w:szCs w:val="16"/>
          <w:u w:val="single" w:color="auto"/>
          <w:color w:val="auto"/>
        </w:rPr>
        <w:t>Proposed Change</w:t>
      </w:r>
      <w:r>
        <w:rPr>
          <w:rFonts w:ascii="Arial" w:cs="Arial" w:eastAsia="Arial" w:hAnsi="Arial"/>
          <w:sz w:val="16"/>
          <w:szCs w:val="16"/>
          <w:color w:val="auto"/>
        </w:rPr>
        <w:t>”) requiring the consent of all Lenders or all affected Lenders, if the consent of the Required Lenders to such Proposed Change is obtained, but the consent to such Proposed Change of other Lenders whose consent is required is not obtained (any such Lender whose consent is not obtained as described in paragraph (b) of this Section being referred to as a “</w:t>
      </w:r>
      <w:r>
        <w:rPr>
          <w:rFonts w:ascii="Arial" w:cs="Arial" w:eastAsia="Arial" w:hAnsi="Arial"/>
          <w:sz w:val="16"/>
          <w:szCs w:val="16"/>
          <w:u w:val="single" w:color="auto"/>
          <w:color w:val="auto"/>
        </w:rPr>
        <w:t>Non-Consenting Lender</w:t>
      </w:r>
      <w:r>
        <w:rPr>
          <w:rFonts w:ascii="Arial" w:cs="Arial" w:eastAsia="Arial" w:hAnsi="Arial"/>
          <w:sz w:val="16"/>
          <w:szCs w:val="16"/>
          <w:color w:val="auto"/>
        </w:rPr>
        <w:t xml:space="preserve">”), then, the Borrower may, at its sole expense and effort, upon notice to such Non-Consenting Lender and the Administrative Agent, require such Non-Consenting Lender to assign and delegate, without recourse (in accordance with and subject to the restrictions contained in Section 9.04), all its interests, rights and obligations under this Agreement to an assignee that shall assume such obligations (which assignee may be another Lender, if a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the Borrower shall have received the prior written consent of the Administrative Agent (and, if a Revolving Commitment is being assigned, the Issuing Banks), which consent shall not unreasonably be withheld,</w:t>
      </w:r>
    </w:p>
    <w:p>
      <w:pPr>
        <w:jc w:val="both"/>
        <w:ind w:left="4" w:right="220" w:hanging="4"/>
        <w:spacing w:after="0" w:line="253" w:lineRule="auto"/>
        <w:tabs>
          <w:tab w:leader="none" w:pos="25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such Non-Consenting Lender shall have received payment of an amount equal to the outstanding principal of its Loans and LC Advances, accrued interest thereon, accrued fees and all other amounts payable to it hereunder from the assignee (to the extent of such outstanding principal and accrued interest and fees) or the Borrower (in the case of all other amounts) and (c) the Borrower or such assignee shall have paid to the Administrative Agent the processing and recordation fee specified in Section 9.04(b).</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04"/>
          </w:cols>
          <w:pgMar w:left="436" w:top="274" w:right="459" w:bottom="1440" w:gutter="0" w:footer="0" w:header="0"/>
        </w:sectPr>
      </w:pPr>
    </w:p>
    <w:bookmarkStart w:id="106" w:name="page107"/>
    <w:bookmarkEnd w:id="10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9.03 Expenses; Indemnity; Damage Waiver.</w:t>
      </w:r>
    </w:p>
    <w:p>
      <w:pPr>
        <w:spacing w:after="0" w:line="117" w:lineRule="exact"/>
        <w:rPr>
          <w:sz w:val="20"/>
          <w:szCs w:val="20"/>
          <w:color w:val="auto"/>
        </w:rPr>
      </w:pPr>
    </w:p>
    <w:p>
      <w:pPr>
        <w:ind w:firstLine="436"/>
        <w:spacing w:after="0" w:line="285" w:lineRule="auto"/>
        <w:tabs>
          <w:tab w:leader="none" w:pos="685"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Borrower shall pay (i) all reasonable and documented out-of-pocket costs and expenses incurred by the Administrative Agent, the Arrangers and their respective Affiliates (in the case of legal fees, limited to the reasonable fees, charges and disbursements of a single counsel for the Administrative Agent, the Arrangers and their respective Affiliates), in connection with the syndication of the credit facilities provided for herein (whether or not the transactions contemplated hereby or thereby shall be consummated), (ii) all reasonable and documented out-of-pocket costs and expenses incurred by the Administrative Agent and its Affiliates (in the case of legal fees, limited to the reasonable fees, charges and disbursements of a single counsel for the Administrative Agent and its Affiliates and, if reasonably necessary, of a single local counsel to the Administrative Agent and its Affiliates in each relevant material jurisdiction, which may be a single local counsel acting in multiple material jurisdictions), in connection with the preparation and administration of the Loan Documents or any amendments, modifications or waivers of the provisions thereof, (iii) all reasonable and documented out-of-pocket costs and expenses incurred by an Issuing Bank in connection with the issuance, amendment, renewal or extension of any Letter of Credit or any demand for payment thereunder and (iv) all reasonable and documented out-of-pocket costs and expenses incurred by the Administrative Agent, the Issuing Banks or any Lender (in the case of legal fees, limited to the reasonable and documented fees, charges and disbursements of a single primary counsel for the Administrative Agent and the Issuing Banks and a single primary counsel for the Lenders, along with such specialist counsel as may reasonably be required by the Administrative Agent, the Issuing Banks or the Required Lenders, and of a single firm of local counsel in each material jurisdiction (and, in the event of a conflict of interest (as reasonably determined by the applicable Administrative Agent, Issuing Bank or Lender), one additional firm of counsel to each group of similarly affected parties)), in connection with the enforcement or protection of their respective rights in connection with the Loan Documents, including their respective rights under this Section, or in connection with the Loans made or Letters of Credit issued hereunder, including all such out-of-pocket expenses incurred during any workout, restructuring or negotiations in respect of such Loans or Letters of Credit. For the avoidance of doubt, this Section 9.03(a) shall not apply to any Indemnified Taxes or Other Taxes indemnified under Section 2.15 or any Excluded Taxes.</w:t>
      </w:r>
    </w:p>
    <w:p>
      <w:pPr>
        <w:spacing w:after="0" w:line="279" w:lineRule="exact"/>
        <w:rPr>
          <w:rFonts w:ascii="Arial" w:cs="Arial" w:eastAsia="Arial" w:hAnsi="Arial"/>
          <w:sz w:val="16"/>
          <w:szCs w:val="16"/>
          <w:color w:val="auto"/>
        </w:rPr>
      </w:pPr>
    </w:p>
    <w:p>
      <w:pPr>
        <w:ind w:right="80" w:firstLine="436"/>
        <w:spacing w:after="0" w:line="268" w:lineRule="auto"/>
        <w:tabs>
          <w:tab w:leader="none" w:pos="695"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Borrower shall indemnify and hold harmless the Administrative Agent, the Issuing Banks and each Lender, each Arranger, each Joint Bookrunning Manager, each Syndication Agent, each Documentation Agent and each Related Party of any of the foregoing Persons (each such Person being called an “</w:t>
      </w:r>
      <w:r>
        <w:rPr>
          <w:rFonts w:ascii="Arial" w:cs="Arial" w:eastAsia="Arial" w:hAnsi="Arial"/>
          <w:sz w:val="17"/>
          <w:szCs w:val="17"/>
          <w:u w:val="single" w:color="auto"/>
          <w:color w:val="auto"/>
        </w:rPr>
        <w:t>Indemnitee</w:t>
      </w:r>
      <w:r>
        <w:rPr>
          <w:rFonts w:ascii="Arial" w:cs="Arial" w:eastAsia="Arial" w:hAnsi="Arial"/>
          <w:sz w:val="17"/>
          <w:szCs w:val="17"/>
          <w:color w:val="auto"/>
        </w:rPr>
        <w:t>”) against, and hold each Indemnitee harmless from, any and all losses, claims, damages, liabilities and reasonable and documented out-of-pocket expenses, including the reasonable fees, charges and disbursements of a single firm as primary counsel for the Indemnitees, along with such specialist counsel as may reasonably be required by the Indemnitees, and of a single firm of local counsel in each material jurisdiction (and, in the event of a conflict of interest (as reasonably determined by the applicable Indemnitee), one additional firm of counsel to each group of similarly affected Indemnitee), incurred by or asserted against any Indemnitee by any third party or by the Borrower or any Subsidiary arising out of, in connection with, or as a result of (i) the execution or delivery of any Loan Document or any other agreement or instrument contemplated thereby, the performance by the parties to the Loan Documents of their respective obligations thereunder or the consummation of the Transactions or any other transactions contemplated thereby, (ii) any Loan or Letter of Credit or the use of the proceeds therefrom (including any refusal by the Issuing Banks to honor a demand for payment under a Letter of Credit if the documents presented in connection with such demand do not strictly comply with the terms of such Letter of Credit), (iii) any actual or alleged presence or Release of Hazardous Materials on, at, to or from any property currently or formerly owned or operated by the Borrower or any Subsidiary, or any other Environmental Liability related in any material respect to the Borrower or any Subsidiary, or (iv)</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00"/>
          </w:cols>
          <w:pgMar w:left="440" w:top="274" w:right="459" w:bottom="1440" w:gutter="0" w:footer="0" w:header="0"/>
        </w:sectPr>
      </w:pPr>
    </w:p>
    <w:bookmarkStart w:id="107" w:name="page108"/>
    <w:bookmarkEnd w:id="107"/>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any actual or prospective claim, litigation, investigation or proceeding relating to any of the foregoing, whether based on contract, tort or any other theory, whether brought by a third party or by the Borrower or any Subsidiary and regardless of whether any Indemnitee is a party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as to any Indemnitee, be available to the extent that such losses, claims, damages, liabilities or expenses (x) are determined by a court of competent jurisdiction by final judgment to have resulted from the gross negligence or willful misconduct of such Indemnitee or any of its Related Indemnified Persons (as defined below) or (y) arise from any dispute solely among Indemnitees other than any claims against any Arranger or the Administrative Agent in fulfilling its role as an agent or arranger or any similar role under the Facilities and other than any claims arising out of any act or omission on the part of the Borrower or any of its Related Parties. For the avoidance of doubt, this Section 9.03(b) shall not apply to Taxes, other than any Taxes that represent losses, claims, damages or liabilities arising from any non-Tax claim. “</w:t>
      </w:r>
      <w:r>
        <w:rPr>
          <w:rFonts w:ascii="Arial" w:cs="Arial" w:eastAsia="Arial" w:hAnsi="Arial"/>
          <w:sz w:val="16"/>
          <w:szCs w:val="16"/>
          <w:u w:val="single" w:color="auto"/>
          <w:color w:val="auto"/>
        </w:rPr>
        <w:t>Related Indemnified Person</w:t>
      </w:r>
      <w:r>
        <w:rPr>
          <w:rFonts w:ascii="Arial" w:cs="Arial" w:eastAsia="Arial" w:hAnsi="Arial"/>
          <w:sz w:val="16"/>
          <w:szCs w:val="16"/>
          <w:color w:val="auto"/>
        </w:rPr>
        <w:t>” of an Indemnitee means (1) any controlling person or controlled affiliate of such Indemnitee, (2) the respective directors, officers or employees of such Indemnitee or any of its controlling persons or controlled affiliates and (3) the respective agents of such Indemnitee or any of its controlling persons or controlled affiliates, in the case of this clause (3), acting on behalf of, or at the express instructions of, such Indemnitee, controlling person or such controlled affiliate.</w:t>
      </w:r>
    </w:p>
    <w:p>
      <w:pPr>
        <w:spacing w:after="0" w:line="64" w:lineRule="exact"/>
        <w:rPr>
          <w:sz w:val="20"/>
          <w:szCs w:val="20"/>
          <w:color w:val="auto"/>
        </w:rPr>
      </w:pPr>
    </w:p>
    <w:p>
      <w:pPr>
        <w:ind w:right="80" w:firstLine="436"/>
        <w:spacing w:after="0" w:line="253" w:lineRule="auto"/>
        <w:tabs>
          <w:tab w:leader="none" w:pos="68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To the extent that the Borrower fails to pay any amount required to be paid by it to the Administrative Agent or an Issuing Bank under paragraph (a) or (b) of this Section but without affecting the Borrower’s obligations thereunder, each Lender severally agrees to pay to the Administrative Agent or the applicable Issuing Bank, as the case may be, such Lender’s pro rata share (determined as of the time that the applicable unreimbursed expense or indemnity payment is sought) of such unpaid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unreimbursed expense or indemnified loss, claim, damage, liability or related expense, as the case may be, was incurred by or asserted against the Administrative Agent or such Issuing Bank, as the case may be, in its capacity as such. For purposes hereof, a Lender’s “pro rata share” shall be determined based upon its share of the aggregate Revolving Exposures and unused Commitments at the time such indemnity or reimbursement is sought;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indemnifying an Issuing Bank hereunder a Lender’s “pro rata share” will be based on the proportionate amount of the aggregate Revolving Exposure. The obligations of the Lenders under this paragraph (c) are subject to the second sentence of Section 2.02 (which shall apply </w:t>
      </w:r>
      <w:r>
        <w:rPr>
          <w:rFonts w:ascii="Arial" w:cs="Arial" w:eastAsia="Arial" w:hAnsi="Arial"/>
          <w:sz w:val="18"/>
          <w:szCs w:val="18"/>
          <w:u w:val="single" w:color="auto"/>
          <w:color w:val="auto"/>
        </w:rPr>
        <w:t>mutatis mutandis</w:t>
      </w:r>
      <w:r>
        <w:rPr>
          <w:rFonts w:ascii="Arial" w:cs="Arial" w:eastAsia="Arial" w:hAnsi="Arial"/>
          <w:sz w:val="18"/>
          <w:szCs w:val="18"/>
          <w:color w:val="auto"/>
        </w:rPr>
        <w:t xml:space="preserve"> to the Lenders’ obligations under this paragraph (c)).</w:t>
      </w:r>
    </w:p>
    <w:p>
      <w:pPr>
        <w:spacing w:after="0" w:line="86" w:lineRule="exact"/>
        <w:rPr>
          <w:rFonts w:ascii="Arial" w:cs="Arial" w:eastAsia="Arial" w:hAnsi="Arial"/>
          <w:sz w:val="18"/>
          <w:szCs w:val="18"/>
          <w:color w:val="auto"/>
        </w:rPr>
      </w:pPr>
    </w:p>
    <w:p>
      <w:pPr>
        <w:ind w:right="20" w:firstLine="436"/>
        <w:spacing w:after="0" w:line="275" w:lineRule="auto"/>
        <w:tabs>
          <w:tab w:leader="none" w:pos="695"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To the fullest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any Loan Document or any agreement or instrument contemplated thereby, the Transactions, any Loan or Letter of Credit or the use of the proceeds thereof. The Borrower shall not, except as a result of its indemnification obligations set forth above, and nor shall any of its Related Parties have any responsibility or liability for special, indirect, consequential or punitive damages.</w:t>
      </w:r>
    </w:p>
    <w:p>
      <w:pPr>
        <w:spacing w:after="0" w:line="68" w:lineRule="exact"/>
        <w:rPr>
          <w:rFonts w:ascii="Arial" w:cs="Arial" w:eastAsia="Arial" w:hAnsi="Arial"/>
          <w:sz w:val="17"/>
          <w:szCs w:val="17"/>
          <w:color w:val="auto"/>
        </w:rPr>
      </w:pPr>
    </w:p>
    <w:p>
      <w:pPr>
        <w:ind w:right="540" w:firstLine="436"/>
        <w:spacing w:after="0" w:line="277" w:lineRule="auto"/>
        <w:tabs>
          <w:tab w:leader="none" w:pos="68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All amounts due under this Section shall be payable not later than 30 days (or, if an Event of Default has occurred and is continuing, 10 Business Days) after written demand therefor or, if later, by the due date specified in any invoice relating thereto.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980"/>
          </w:cols>
          <w:pgMar w:left="440" w:top="274" w:right="479" w:bottom="1440" w:gutter="0" w:footer="0" w:header="0"/>
        </w:sectPr>
      </w:pPr>
    </w:p>
    <w:bookmarkStart w:id="108" w:name="page109"/>
    <w:bookmarkEnd w:id="108"/>
    <w:p>
      <w:pPr>
        <w:ind w:left="4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9.04 Successors and Assigns.</w:t>
      </w:r>
    </w:p>
    <w:p>
      <w:pPr>
        <w:spacing w:after="0" w:line="117" w:lineRule="exact"/>
        <w:rPr>
          <w:sz w:val="20"/>
          <w:szCs w:val="20"/>
          <w:color w:val="auto"/>
        </w:rPr>
      </w:pPr>
    </w:p>
    <w:p>
      <w:pPr>
        <w:ind w:left="-40" w:right="80" w:firstLine="436"/>
        <w:spacing w:after="0" w:line="254" w:lineRule="auto"/>
        <w:tabs>
          <w:tab w:leader="none" w:pos="64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provisions of this Agreement shall be binding upon and inure to the benefit of the parties hereto and their respective successors and assigns permitted hereby (including any Affiliate of an Issuing Bank that issues any Letter of Credit), except that the Borrower may not assign or otherwise transfer any of its rights or obligations hereunder without the prior written consent of each Lender (and any attempted assignment or transfer by the Borrower without such consent shall be null and void).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paragraph (c) of this Section) and, to the extent expressly contemplated hereby, the Related Parties of each of the Administrative Agent, the Issuing Banks and the Lenders) any legal or equitable right, remedy or claim under or by reason of this Agreement.</w:t>
      </w:r>
    </w:p>
    <w:p>
      <w:pPr>
        <w:spacing w:after="0" w:line="83" w:lineRule="exact"/>
        <w:rPr>
          <w:rFonts w:ascii="Arial" w:cs="Arial" w:eastAsia="Arial" w:hAnsi="Arial"/>
          <w:sz w:val="18"/>
          <w:szCs w:val="18"/>
          <w:color w:val="auto"/>
        </w:rPr>
      </w:pPr>
    </w:p>
    <w:p>
      <w:pPr>
        <w:ind w:left="-40" w:firstLine="436"/>
        <w:spacing w:after="0" w:line="254" w:lineRule="auto"/>
        <w:tabs>
          <w:tab w:leader="none" w:pos="65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 xml:space="preserve">(i) Subject to the conditions set forth in paragraph (b)(ii) below, any Lender may assign to one or more assignees all or a portion of its rights and obligations under this Agreement (including all or a portion of its Revolving Commitment and the Revolving Loans at the time owing to it) with the prior written consent (such consent not to be unreasonably withheld or delayed) of (A)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consent of the Borrower shall be required for an assignment to a Lender, an Affiliate of a Lender, an Approved Fund (as defined below) or, if an Event of Default has occurred and is continuing, any other assignee;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Borrower shall be deemed to have consented to an assignment if the Borrower does not object within 10 Business Days of receipt of a request therefor, (B) the Administrative Agent, not to be unreasonably withheld, and (C) each Issuing Bank, not to be unreasonably withheld.</w:t>
      </w:r>
    </w:p>
    <w:p>
      <w:pPr>
        <w:spacing w:after="0" w:line="87" w:lineRule="exact"/>
        <w:rPr>
          <w:sz w:val="20"/>
          <w:szCs w:val="20"/>
          <w:color w:val="auto"/>
        </w:rPr>
      </w:pPr>
    </w:p>
    <w:p>
      <w:pPr>
        <w:ind w:left="-40" w:firstLine="436"/>
        <w:spacing w:after="0" w:line="286" w:lineRule="auto"/>
        <w:tabs>
          <w:tab w:leader="none" w:pos="665" w:val="left"/>
        </w:tabs>
        <w:numPr>
          <w:ilvl w:val="0"/>
          <w:numId w:val="133"/>
        </w:numPr>
        <w:rPr>
          <w:rFonts w:ascii="Arial" w:cs="Arial" w:eastAsia="Arial" w:hAnsi="Arial"/>
          <w:sz w:val="16"/>
          <w:szCs w:val="16"/>
          <w:color w:val="auto"/>
        </w:rPr>
      </w:pPr>
      <w:r>
        <w:rPr>
          <w:rFonts w:ascii="Arial" w:cs="Arial" w:eastAsia="Arial" w:hAnsi="Arial"/>
          <w:sz w:val="16"/>
          <w:szCs w:val="16"/>
          <w:color w:val="auto"/>
        </w:rPr>
        <w:t xml:space="preserve">Assignments shall be subject to the following additional conditions: (A) except in the case of an assignment to a Lender, an Affiliate of a Lender or an Approved Fund or an assignment of the entire remaining amount of the assigning Lender’s Revolving Commitment or Revolving Loans, the amount of the Revolving Commitment or Revolving Loans of the assigning Lender subject to each such assignment (determined as of the trade date specified in the Assignment and Assumption with respect to such assignment or, if no trade date is so specified, as of the date the Assignment and Assumption with respect to such assignment is delivered to the Administrative Agent) shall not be less than $2,500,000 unless the Borrower and the Administrative Agent otherwise consent (such consent not to be unreasonably withheld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consent of the Borrower shall be required if an Event of Default has occurred and is continuing, (B) each partial assignment shall be made as an assignment of a proportionate part of all the assigning Lender’s rights and obligations under this Agreement in its capacity as a Revolving Lender, (C) the parties to each assignment shall execute and deliver to the Administrative Agent an Assignment and Assumption, together with a processing and recordation fee in an amount of $3,500 (it being understood that the Administrative Agent may elect, in its sole discretion, to waive such processing and recordation fee for any assignment and only one such Fee shall be payable in connection with simultaneous assignments to or by two or more Approved Funds);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assignments made pursuant to Section 2.17(b) or Section 9.02(b) shall not require the signature of the assigning Lender to become effective, and (D) the assignee, if it shall not be a Lender, shall deliver to the Administrative Agent an Administrative Questionnaire and any tax forms required by Section 2.15(e).</w:t>
      </w:r>
    </w:p>
    <w:p>
      <w:pPr>
        <w:spacing w:after="0" w:line="17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For purposes of paragraph (b) of this Section, the terms “Approved Fund” and “CLO” have the following meanings:</w:t>
      </w:r>
    </w:p>
    <w:p>
      <w:pPr>
        <w:spacing w:after="0" w:line="117" w:lineRule="exact"/>
        <w:rPr>
          <w:sz w:val="20"/>
          <w:szCs w:val="20"/>
          <w:color w:val="auto"/>
        </w:rPr>
      </w:pPr>
    </w:p>
    <w:p>
      <w:pPr>
        <w:ind w:left="400" w:right="20" w:firstLine="42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means (a) a CLO and (b) with respect to any Lender that is a fund that invests in bank loans and similar extensions of credit, any other fund that invests in bank loans and similar extensions of credit and is managed by the same investment advisor as such Lender or by an Affiliate of such investment advisor.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920"/>
          </w:cols>
          <w:pgMar w:left="480" w:top="274" w:right="499" w:bottom="1440" w:gutter="0" w:footer="0" w:header="0"/>
        </w:sectPr>
      </w:pPr>
    </w:p>
    <w:bookmarkStart w:id="109" w:name="page110"/>
    <w:bookmarkEnd w:id="109"/>
    <w:p>
      <w:pPr>
        <w:ind w:left="420" w:right="80" w:firstLine="423"/>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u w:val="single" w:color="auto"/>
          <w:color w:val="auto"/>
        </w:rPr>
        <w:t>CLO</w:t>
      </w:r>
      <w:r>
        <w:rPr>
          <w:rFonts w:ascii="Arial" w:cs="Arial" w:eastAsia="Arial" w:hAnsi="Arial"/>
          <w:sz w:val="18"/>
          <w:szCs w:val="18"/>
          <w:color w:val="auto"/>
        </w:rPr>
        <w:t>” means an entity (whether a corporation, partnership, trust or otherwise) that is engaged in making, purchasing, holding or otherwise investing in bank loans and similar extensions of credit in the ordinary course of its activities and is administered or managed by a Lender or an Affiliate of such Lender.</w:t>
      </w:r>
    </w:p>
    <w:p>
      <w:pPr>
        <w:spacing w:after="0" w:line="76" w:lineRule="exact"/>
        <w:rPr>
          <w:sz w:val="20"/>
          <w:szCs w:val="20"/>
          <w:color w:val="auto"/>
        </w:rPr>
      </w:pPr>
    </w:p>
    <w:p>
      <w:pPr>
        <w:ind w:left="-20" w:right="80" w:firstLine="436"/>
        <w:spacing w:after="0" w:line="270" w:lineRule="auto"/>
        <w:tabs>
          <w:tab w:leader="none" w:pos="735" w:val="left"/>
        </w:tabs>
        <w:numPr>
          <w:ilvl w:val="0"/>
          <w:numId w:val="134"/>
        </w:numPr>
        <w:rPr>
          <w:rFonts w:ascii="Arial" w:cs="Arial" w:eastAsia="Arial" w:hAnsi="Arial"/>
          <w:sz w:val="17"/>
          <w:szCs w:val="17"/>
          <w:color w:val="auto"/>
        </w:rPr>
      </w:pPr>
      <w:r>
        <w:rPr>
          <w:rFonts w:ascii="Arial" w:cs="Arial" w:eastAsia="Arial" w:hAnsi="Arial"/>
          <w:sz w:val="17"/>
          <w:szCs w:val="17"/>
          <w:color w:val="auto"/>
        </w:rPr>
        <w:t>Subject to acceptance and recording thereof pursuant to paragraph (b)(v)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2.13, 2.14, 2.15 and 9.03 and to any fees payable hereunder that have accrued for such Lender’s account but have not yet been paid). Any assignment or transfer by a Lender of rights or obligations under this Agreement that does not comply with this Section shall be treated for purposes of this Agreement as a sale by such Lender of a participation in such rights and obligations in accordance with paragraph (c)(i) of this Section.</w:t>
      </w:r>
    </w:p>
    <w:p>
      <w:pPr>
        <w:spacing w:after="0" w:line="72" w:lineRule="exact"/>
        <w:rPr>
          <w:rFonts w:ascii="Arial" w:cs="Arial" w:eastAsia="Arial" w:hAnsi="Arial"/>
          <w:sz w:val="17"/>
          <w:szCs w:val="17"/>
          <w:color w:val="auto"/>
        </w:rPr>
      </w:pPr>
    </w:p>
    <w:p>
      <w:pPr>
        <w:ind w:left="-20" w:right="20" w:firstLine="436"/>
        <w:spacing w:after="0" w:line="254" w:lineRule="auto"/>
        <w:tabs>
          <w:tab w:leader="none" w:pos="72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Administrative Agent, acting for this purpose as an agent of the Borrower, shall maintain at one of its offices a copy of each Assignment and Assumption delivered to it and a register for the recordation of the names and addresses of the Lenders, and the Commitment of, and principal amount of the Loans and LC Disbursements and interest thereon owing to, each Lender pursuant to the terms hereof from time to time (the “</w:t>
      </w:r>
      <w:r>
        <w:rPr>
          <w:rFonts w:ascii="Arial" w:cs="Arial" w:eastAsia="Arial" w:hAnsi="Arial"/>
          <w:sz w:val="18"/>
          <w:szCs w:val="18"/>
          <w:u w:val="single" w:color="auto"/>
          <w:color w:val="auto"/>
        </w:rPr>
        <w:t>Register</w:t>
      </w:r>
      <w:r>
        <w:rPr>
          <w:rFonts w:ascii="Arial" w:cs="Arial" w:eastAsia="Arial" w:hAnsi="Arial"/>
          <w:sz w:val="18"/>
          <w:szCs w:val="18"/>
          <w:color w:val="auto"/>
        </w:rPr>
        <w:t>”). The entries in the Register shall be conclusive, and the Borrower,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Borrower, any Issuing Bank and any Lender, at any reasonable time and from time to time upon reasonable prior notice.</w:t>
      </w:r>
    </w:p>
    <w:p>
      <w:pPr>
        <w:spacing w:after="0" w:line="86" w:lineRule="exact"/>
        <w:rPr>
          <w:rFonts w:ascii="Arial" w:cs="Arial" w:eastAsia="Arial" w:hAnsi="Arial"/>
          <w:sz w:val="18"/>
          <w:szCs w:val="18"/>
          <w:color w:val="auto"/>
        </w:rPr>
      </w:pPr>
    </w:p>
    <w:p>
      <w:pPr>
        <w:ind w:left="-20" w:right="140" w:firstLine="436"/>
        <w:spacing w:after="0" w:line="296" w:lineRule="auto"/>
        <w:tabs>
          <w:tab w:leader="none" w:pos="675" w:val="left"/>
        </w:tabs>
        <w:numPr>
          <w:ilvl w:val="0"/>
          <w:numId w:val="134"/>
        </w:numPr>
        <w:rPr>
          <w:rFonts w:ascii="Arial" w:cs="Arial" w:eastAsia="Arial" w:hAnsi="Arial"/>
          <w:sz w:val="16"/>
          <w:szCs w:val="16"/>
          <w:color w:val="auto"/>
        </w:rPr>
      </w:pPr>
      <w:r>
        <w:rPr>
          <w:rFonts w:ascii="Arial" w:cs="Arial" w:eastAsia="Arial" w:hAnsi="Arial"/>
          <w:sz w:val="16"/>
          <w:szCs w:val="16"/>
          <w:color w:val="auto"/>
        </w:rPr>
        <w:t>Promptly upon its receipt of a duly completed Assignment and Assumption executed by an assigning Lender and an assignee, the assignee’s completed Administrative Questionnaire and any tax forms required by Section 2.15(e)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w:t>
      </w:r>
    </w:p>
    <w:p>
      <w:pPr>
        <w:spacing w:after="0" w:line="53" w:lineRule="exact"/>
        <w:rPr>
          <w:rFonts w:ascii="Arial" w:cs="Arial" w:eastAsia="Arial" w:hAnsi="Arial"/>
          <w:sz w:val="16"/>
          <w:szCs w:val="16"/>
          <w:color w:val="auto"/>
        </w:rPr>
      </w:pPr>
    </w:p>
    <w:p>
      <w:pPr>
        <w:ind w:left="-20" w:firstLine="436"/>
        <w:spacing w:after="0" w:line="257" w:lineRule="auto"/>
        <w:tabs>
          <w:tab w:leader="none" w:pos="72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960"/>
          </w:cols>
          <w:pgMar w:left="460" w:top="274" w:right="479" w:bottom="1440" w:gutter="0" w:footer="0" w:header="0"/>
        </w:sectPr>
      </w:pPr>
    </w:p>
    <w:bookmarkStart w:id="110" w:name="page111"/>
    <w:bookmarkEnd w:id="110"/>
    <w:p>
      <w:pPr>
        <w:ind w:firstLine="436"/>
        <w:spacing w:after="0" w:line="284" w:lineRule="auto"/>
        <w:tabs>
          <w:tab w:leader="none" w:pos="685" w:val="left"/>
        </w:tabs>
        <w:numPr>
          <w:ilvl w:val="0"/>
          <w:numId w:val="1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 Any Lender may, without the consent of the Borrower, the Administrative Agent or any Issuing Bank, sell participations to one or more banks or other entities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 obligations under this Agreement in its capacity as a Revolving Lender (including all or a portion of its Revolving Commitment and the Revolving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Lender’s obligations under this Agreement shall remain unchanged, (B) such Lender shall remain solely responsible to the other parties hereto for the performance of such obligations and (C) the Borrower,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the Loan Documents and to approve any amendment, modification or waiver of any provision of the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described in the first proviso to Section 9.02(b) that affects such Participant. Subject to paragraph (c)(ii) of this Section, the Borrower agrees that each Participant shall be entitled to the benefits of Sections 2.13, 2.14 and 2.15, subject to the requirements and limitations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shall be subject to Section 2.16(c) as though it were a Lender and shall provide documentation required under Section 2.15(e) solely to the participating Lender), to the same extent as if it were a Lender and had acquired its interest by assignment pursuant to paragraph (b) of this Section. To the extent permitted by law, each Participant also shall be entitled to the benefits of Section 9.08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shall be subject to Section 2.16(c) as though it were a Lender. Each Lender that sells a participation shall, acting solely for this purpose as an agent of the Borrower, maintain a register on which it enters the name and address of each Participant and the principal amounts (and stated interest) of each Participant’s interest in the Loans or other obligations under this Agreement (the “</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the Participant Register to any Person (including the identity of any participant or any information relating to a participant’s interest in any Commitments, Loans or its other obligations under this Agreement) except to the extent that the relevant parties, acting reasonably and in good faith, determine that such disclosure is necessary to establish that such Commitment, Loan or other obligation is in registered form under Section 5f.103-1(c) of the United States Treasury Regulations. The entries in the Participant Register shall be conclusive and such Lender shall treat each person whose name is recorded in the Participant Register as the owner of such participation for all purposes of this Agreement notwithstanding any notice to the contrary.</w:t>
      </w:r>
    </w:p>
    <w:p>
      <w:pPr>
        <w:spacing w:after="0" w:line="70" w:lineRule="exact"/>
        <w:rPr>
          <w:sz w:val="20"/>
          <w:szCs w:val="20"/>
          <w:color w:val="auto"/>
        </w:rPr>
      </w:pPr>
    </w:p>
    <w:p>
      <w:pPr>
        <w:ind w:right="120" w:firstLine="436"/>
        <w:spacing w:after="0" w:line="263" w:lineRule="auto"/>
        <w:tabs>
          <w:tab w:leader="none" w:pos="70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 Participant shall not be entitled to receive any greater payment under Section 2.13 or Section 2.15 than the applicable Lender would have been entitled to receive with respect to the participation sold to such Participant, except to the extent such entitlement to a greater payment results from any change in any Requirement of Law after such Participant acquired the applicable participation.</w:t>
      </w:r>
    </w:p>
    <w:p>
      <w:pPr>
        <w:spacing w:after="0" w:line="76" w:lineRule="exact"/>
        <w:rPr>
          <w:sz w:val="20"/>
          <w:szCs w:val="20"/>
          <w:color w:val="auto"/>
        </w:rPr>
      </w:pPr>
    </w:p>
    <w:p>
      <w:pPr>
        <w:jc w:val="both"/>
        <w:ind w:right="40" w:firstLine="436"/>
        <w:spacing w:after="0" w:line="259" w:lineRule="auto"/>
        <w:tabs>
          <w:tab w:leader="none" w:pos="69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78" w:lineRule="exact"/>
        <w:rPr>
          <w:rFonts w:ascii="Arial" w:cs="Arial" w:eastAsia="Arial" w:hAnsi="Arial"/>
          <w:sz w:val="18"/>
          <w:szCs w:val="18"/>
          <w:color w:val="auto"/>
        </w:rPr>
      </w:pPr>
    </w:p>
    <w:p>
      <w:pPr>
        <w:ind w:right="100" w:firstLine="436"/>
        <w:spacing w:after="0" w:line="275" w:lineRule="auto"/>
        <w:tabs>
          <w:tab w:leader="none" w:pos="685" w:val="left"/>
        </w:tabs>
        <w:numPr>
          <w:ilvl w:val="0"/>
          <w:numId w:val="137"/>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herein, any Lender (a “</w:t>
      </w:r>
      <w:r>
        <w:rPr>
          <w:rFonts w:ascii="Arial" w:cs="Arial" w:eastAsia="Arial" w:hAnsi="Arial"/>
          <w:sz w:val="17"/>
          <w:szCs w:val="17"/>
          <w:u w:val="single" w:color="auto"/>
          <w:color w:val="auto"/>
        </w:rPr>
        <w:t>Granting Lender</w:t>
      </w:r>
      <w:r>
        <w:rPr>
          <w:rFonts w:ascii="Arial" w:cs="Arial" w:eastAsia="Arial" w:hAnsi="Arial"/>
          <w:sz w:val="17"/>
          <w:szCs w:val="17"/>
          <w:color w:val="auto"/>
        </w:rPr>
        <w:t>”) may grant to a special purpose funding vehicle (an “</w:t>
      </w:r>
      <w:r>
        <w:rPr>
          <w:rFonts w:ascii="Arial" w:cs="Arial" w:eastAsia="Arial" w:hAnsi="Arial"/>
          <w:sz w:val="17"/>
          <w:szCs w:val="17"/>
          <w:u w:val="single" w:color="auto"/>
          <w:color w:val="auto"/>
        </w:rPr>
        <w:t>SPV</w:t>
      </w:r>
      <w:r>
        <w:rPr>
          <w:rFonts w:ascii="Arial" w:cs="Arial" w:eastAsia="Arial" w:hAnsi="Arial"/>
          <w:sz w:val="17"/>
          <w:szCs w:val="17"/>
          <w:color w:val="auto"/>
        </w:rPr>
        <w:t xml:space="preserve">”), identified as such in writing from time to time by the Granting Lender to the Administrative Agent and the Borrower, the option to provide to the Borrower all or any part of any Loan that such Granting Lender would otherwise be obligated to make to the Borrower pursuant to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nothing herein shall constitute a commitment by any SPV to make any Loan and (ii) if an SPV elects not to exercise such option or otherwise fails to provide all or any part of such Loan, the Granting Lender shall be obligated to make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00"/>
          </w:cols>
          <w:pgMar w:left="440" w:top="274" w:right="459" w:bottom="1440" w:gutter="0" w:footer="0" w:header="0"/>
        </w:sectPr>
      </w:pPr>
    </w:p>
    <w:bookmarkStart w:id="111" w:name="page112"/>
    <w:bookmarkEnd w:id="111"/>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Loan pursuant to the terms hereof. The making of a Loan by an SPV hereunder shall utilize the Commitment of the Granting Lender to the same extent, and as if, such Loan were made by such Granting Lender. Each party hereto hereby agrees that no SPV shall be liable for any indemnity or similar payment obligation under this Agreement (all liability for which shall remain with the Granting Lender).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SPV, such party will not institute against, or join any other person in instituting against, such SPV any bankruptcy, reorganization, arrangement, insolvency or liquidation proceedings under the laws of the United States or any State thereof. In addition, notwithstanding anything to the contrary contained in this Section 9.04, any SPV may (i) with notice to, but without the prior written consent of, the Borrower and the Administrative Agent and without paying any processing fee therefor, assign all or a portion of its interests in any Loans to the Granting Lender or to any financial institutions (consented to by the Borrower and Administrative Agent) providing liquidity or credit support to or for the account of such SPV to support the funding or maintenance of Loans and (ii) disclose on a confidential basis any non-public information relating to its Loans to any rating agency, commercial paper dealer or provider of any surety, guarantee or credit or liquidity enhancement to such SPV. Each party hereto hereby agrees that an SPV shall be entitled to the benefits of Sections 2.13, 2.14 and 2.15 (subject to the requirements and limitations therein), but neither the grant to any SPV nor the exercise by any SPV of such option shall increase the costs or expenses or otherwise increase the obligations of the Borrower under such Sections except to the extent such increase results from any change in any Requirement of Law after the grant to such SPV is made.</w:t>
      </w:r>
    </w:p>
    <w:p>
      <w:pPr>
        <w:spacing w:after="0" w:line="279" w:lineRule="exact"/>
        <w:rPr>
          <w:sz w:val="20"/>
          <w:szCs w:val="20"/>
          <w:color w:val="auto"/>
        </w:rPr>
      </w:pPr>
    </w:p>
    <w:p>
      <w:pPr>
        <w:ind w:right="40" w:firstLine="436"/>
        <w:spacing w:after="0" w:line="269" w:lineRule="auto"/>
        <w:tabs>
          <w:tab w:leader="none" w:pos="665" w:val="left"/>
        </w:tabs>
        <w:numPr>
          <w:ilvl w:val="0"/>
          <w:numId w:val="138"/>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herein, if at any time any Issuing Bank assigns all of its Revolving Commitments and Revolving Loans pursuant to Section 9.04(b), such Issuing Bank may, upon 30 days’ written notice to the Borrower and the Lenders, resign as Issuing Bank. In the event of any such resignation as Issuing Bank, the Borrower shall be entitled to appoint from among the Lenders a successor Issuing Bank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failure by the Borrower to appoint any such successor shall affect the resignation of the resigning Person as Issuing Bank. If any Issuing Bank resigns as Issuing Bank, it shall retain all the rights, powers, privileges and duties of an Issuing Bank hereunder with respect to all Letters of Credit outstanding as of the effective date of its resignation as Issuing Bank and all LC Exposures with respect thereto. Upon the appointment of a successor Issuing Bank, (a) such successor shall succeed to and become vested with all of the rights, powers, privileges and duties of the retiring Issuing Bank and (b) the successor Issuing Bank shall issue letters of credit in substitution for the Letters of Credit, if any, outstanding at the time of such succession or make other arrangements reasonably satisfactory to the retrieving Person to effectively assume the obligations of the resigning Person with respect to such Letters of Credit.</w:t>
      </w:r>
    </w:p>
    <w:p>
      <w:pPr>
        <w:spacing w:after="0" w:line="185" w:lineRule="exact"/>
        <w:rPr>
          <w:sz w:val="20"/>
          <w:szCs w:val="20"/>
          <w:color w:val="auto"/>
        </w:rPr>
      </w:pPr>
    </w:p>
    <w:p>
      <w:pPr>
        <w:ind w:right="180" w:firstLine="440"/>
        <w:spacing w:after="0" w:line="270" w:lineRule="auto"/>
        <w:rPr>
          <w:sz w:val="20"/>
          <w:szCs w:val="20"/>
          <w:color w:val="auto"/>
        </w:rPr>
      </w:pPr>
      <w:r>
        <w:rPr>
          <w:rFonts w:ascii="Arial" w:cs="Arial" w:eastAsia="Arial" w:hAnsi="Arial"/>
          <w:sz w:val="17"/>
          <w:szCs w:val="17"/>
          <w:color w:val="auto"/>
        </w:rPr>
        <w:t>SECTION 9.05 Survival. All covenants, agreements, representations and warranties made by the Borrower in the Loan Documents and in the certificates or other instruments delivered in connection with or pursuant to any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the Issuing Banks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(other than contingent amounts not yet due) or any Letter of Credit is outstanding or has not been cash collateralized on terms reasonably acceptable to the Administrative Agent and the applicable Issuing Bank and so long as the Commitments have not expired or terminated. The provisions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00"/>
          </w:cols>
          <w:pgMar w:left="440" w:top="274" w:right="459" w:bottom="1440" w:gutter="0" w:footer="0" w:header="0"/>
        </w:sectPr>
      </w:pPr>
    </w:p>
    <w:bookmarkStart w:id="112" w:name="page113"/>
    <w:bookmarkEnd w:id="112"/>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Sections 2.13, 2.14, 2.15 and 9.03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w:t>
      </w:r>
    </w:p>
    <w:p>
      <w:pPr>
        <w:spacing w:after="0" w:line="184" w:lineRule="exact"/>
        <w:rPr>
          <w:sz w:val="20"/>
          <w:szCs w:val="20"/>
          <w:color w:val="auto"/>
        </w:rPr>
      </w:pPr>
    </w:p>
    <w:p>
      <w:pPr>
        <w:ind w:right="20" w:firstLine="440"/>
        <w:spacing w:after="0" w:line="289" w:lineRule="auto"/>
        <w:rPr>
          <w:sz w:val="20"/>
          <w:szCs w:val="20"/>
          <w:color w:val="auto"/>
        </w:rPr>
      </w:pPr>
      <w:r>
        <w:rPr>
          <w:rFonts w:ascii="Arial" w:cs="Arial" w:eastAsia="Arial" w:hAnsi="Arial"/>
          <w:sz w:val="16"/>
          <w:szCs w:val="16"/>
          <w:color w:val="auto"/>
        </w:rPr>
        <w:t>SECTION 9.06 Counterparts; Integration; Effectiveness.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or the syndication of the Loans and Commitments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that,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telecopy or other electronic imaging means (e.g. “pdf” or “tif”) shall be effective as delivery of a manually executed counterpart of this Agreement.</w:t>
      </w:r>
    </w:p>
    <w:p>
      <w:pPr>
        <w:spacing w:after="0" w:line="166"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SECTION 9.07 Severability.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7"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 xml:space="preserve">SECTION 9.08 Right of Setoff. If an Event of Default shall have occurred and be continuing, each Lender, Issuing Bank and each of their respective Affiliates is hereby authorized at any time and from time to time, to the fullest extent permitted by law, to set off and apply any and all deposits (general or special, time or demand, provisional or final, in whatever currency) at any time held and other obligations (in whatever currency) at any time owing by such Lender, Issuing Bank or any such Affiliate to or for the credit or the account of the Borrower against any of and all the obligations of the Borrower now or hereafter existing under this Agreement held by such Lender or Issuing Bank, irrespective of whether or not such Lender or Issuing Bank shall have made any demand under this Agreement and although such obligations may be unmatured or are owed to a branch or office of such Lender or Issuing Bank different from the branch or office holding such deposit or obligated on such Indebtedness. The applicable Lender or Issuing Bank shall notify the Borrower and the Administrative Agent of such setoff and application;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failure to give or any delay in giving such notice shall not affect the validity of any such setoff and application under this Section 9.08. The rights of each Lender, Issuing Bank and their respective Affiliates under this Section 9.08 are in addition to other rights and remedies (including other rights of setoff) that such Lender, Issuing Bank and their respective Affiliates may have.</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9.09 Governing Law; Jurisdiction; Consent to Service of Process.</w:t>
      </w:r>
    </w:p>
    <w:p>
      <w:pPr>
        <w:spacing w:after="0" w:line="117" w:lineRule="exact"/>
        <w:rPr>
          <w:sz w:val="20"/>
          <w:szCs w:val="20"/>
          <w:color w:val="auto"/>
        </w:rPr>
      </w:pPr>
    </w:p>
    <w:p>
      <w:pPr>
        <w:ind w:right="60" w:firstLine="436"/>
        <w:spacing w:after="0" w:line="257" w:lineRule="auto"/>
        <w:tabs>
          <w:tab w:leader="none" w:pos="68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This Agreement shall be </w:t>
      </w:r>
      <w:r>
        <w:rPr>
          <w:rFonts w:ascii="Arial" w:cs="Arial" w:eastAsia="Arial" w:hAnsi="Arial"/>
          <w:sz w:val="18"/>
          <w:szCs w:val="18"/>
          <w:color w:val="FF4338"/>
          <w:strike w:val="1"/>
        </w:rPr>
        <w:t>construed in accordance with and governed by the law</w:t>
      </w:r>
      <w:r>
        <w:rPr>
          <w:rFonts w:ascii="Arial" w:cs="Arial" w:eastAsia="Arial" w:hAnsi="Arial"/>
          <w:sz w:val="18"/>
          <w:szCs w:val="18"/>
          <w:u w:val="single" w:color="auto"/>
          <w:color w:val="0000FF"/>
        </w:rPr>
        <w:t>governed by, and construed in accordance with, the laws</w:t>
      </w:r>
      <w:r>
        <w:rPr>
          <w:rFonts w:ascii="Arial" w:cs="Arial" w:eastAsia="Arial" w:hAnsi="Arial"/>
          <w:sz w:val="18"/>
          <w:szCs w:val="18"/>
          <w:color w:val="auto"/>
        </w:rPr>
        <w:t xml:space="preserve"> of the State of New York</w:t>
      </w:r>
      <w:r>
        <w:rPr>
          <w:rFonts w:ascii="Arial" w:cs="Arial" w:eastAsia="Arial" w:hAnsi="Arial"/>
          <w:sz w:val="18"/>
          <w:szCs w:val="18"/>
          <w:color w:val="FF4338"/>
          <w:strike w:val="1"/>
        </w:rPr>
        <w:t>.</w:t>
      </w:r>
      <w:r>
        <w:rPr>
          <w:rFonts w:ascii="Arial" w:cs="Arial" w:eastAsia="Arial" w:hAnsi="Arial"/>
          <w:sz w:val="18"/>
          <w:szCs w:val="18"/>
          <w:u w:val="single" w:color="auto"/>
          <w:color w:val="0000FF"/>
        </w:rPr>
        <w:t>; provided, that notwithstanding the foregoing, it is understood and agreed that (a) the determination of the accuracy of any Specified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Acquisition Agreement Representation and whether the Borrower has the right (taking into account any applicable cure provisions) to terminate its obligations under the Verafin Acquisition Agreement or decline to consummate the Verafin Acquisition as a result of a breach of such representations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4069080</wp:posOffset>
            </wp:positionH>
            <wp:positionV relativeFrom="paragraph">
              <wp:posOffset>-548005</wp:posOffset>
            </wp:positionV>
            <wp:extent cx="258000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580005" cy="8255"/>
                    </a:xfrm>
                    <a:prstGeom prst="rect">
                      <a:avLst/>
                    </a:prstGeom>
                    <a:noFill/>
                  </pic:spPr>
                </pic:pic>
              </a:graphicData>
            </a:graphic>
          </wp:anchor>
        </w:drawing>
        <w:drawing>
          <wp:anchor simplePos="0" relativeHeight="251657728" behindDoc="1" locked="0" layoutInCell="0" allowOverlap="1">
            <wp:simplePos x="0" y="0"/>
            <wp:positionH relativeFrom="column">
              <wp:posOffset>871855</wp:posOffset>
            </wp:positionH>
            <wp:positionV relativeFrom="paragraph">
              <wp:posOffset>-410845</wp:posOffset>
            </wp:positionV>
            <wp:extent cx="607758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07758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-273685</wp:posOffset>
            </wp:positionV>
            <wp:extent cx="672084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7208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-136525</wp:posOffset>
            </wp:positionV>
            <wp:extent cx="69519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5198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13716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00"/>
          </w:cols>
          <w:pgMar w:left="440" w:top="274" w:right="459" w:bottom="1440" w:gutter="0" w:footer="0" w:header="0"/>
        </w:sectPr>
      </w:pPr>
    </w:p>
    <w:bookmarkStart w:id="113" w:name="page114"/>
    <w:bookmarkEnd w:id="113"/>
    <w:p>
      <w:pPr>
        <w:ind w:left="4"/>
        <w:spacing w:after="0" w:line="272" w:lineRule="auto"/>
        <w:rPr>
          <w:sz w:val="20"/>
          <w:szCs w:val="20"/>
          <w:color w:val="auto"/>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Verafin Acquisition Agreement, (b) the determination of whether the Verafin Acquisition has been consummated in accordance with the terms of the Verafin Acquisition Agreement, and (c) the interpretation of the definition of Material Adverse Effect (as defined in the Verfin Acquisition Agreement as in effect on the date hereof) and whether a Material Adverse Effect (as defined in the Acquisition Agreement as in effect on the date hereof) has occurred, in each case shall be governed by, and construed in accordance with, the Laws (as defined in the Verafin Acquisition Agreement) of the State of Delaware, without giving effect to any choice of Law (as defined in the Verafin Acquisition Agreement) or conflict of Law (as defined in the Verafin Acquisition Agreement) rules or provisions (whether of the State of Delaware or any other jurisdiction) that would cause the application of the Laws (as defined in the Verafin Acquisition Agreement) of any jurisdiction other than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-829310</wp:posOffset>
            </wp:positionV>
            <wp:extent cx="67894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7894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-692150</wp:posOffset>
            </wp:positionV>
            <wp:extent cx="687514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7514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-554990</wp:posOffset>
            </wp:positionV>
            <wp:extent cx="670369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70369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-417830</wp:posOffset>
            </wp:positionV>
            <wp:extent cx="69094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094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-280670</wp:posOffset>
            </wp:positionV>
            <wp:extent cx="6926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-143510</wp:posOffset>
            </wp:positionV>
            <wp:extent cx="696087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-6350</wp:posOffset>
            </wp:positionV>
            <wp:extent cx="45262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526280" cy="8890"/>
                    </a:xfrm>
                    <a:prstGeom prst="rect">
                      <a:avLst/>
                    </a:prstGeom>
                    <a:noFill/>
                  </pic:spPr>
                </pic:pic>
              </a:graphicData>
            </a:graphic>
          </wp:anchor>
        </w:drawing>
      </w:r>
    </w:p>
    <w:p>
      <w:pPr>
        <w:spacing w:after="0" w:line="49" w:lineRule="exact"/>
        <w:rPr>
          <w:sz w:val="20"/>
          <w:szCs w:val="20"/>
          <w:color w:val="auto"/>
        </w:rPr>
      </w:pPr>
    </w:p>
    <w:p>
      <w:pPr>
        <w:ind w:left="4" w:right="100" w:firstLine="436"/>
        <w:spacing w:after="0" w:line="290" w:lineRule="auto"/>
        <w:tabs>
          <w:tab w:leader="none" w:pos="699" w:val="left"/>
        </w:tabs>
        <w:numPr>
          <w:ilvl w:val="0"/>
          <w:numId w:val="140"/>
        </w:numPr>
        <w:rPr>
          <w:rFonts w:ascii="Arial" w:cs="Arial" w:eastAsia="Arial" w:hAnsi="Arial"/>
          <w:sz w:val="16"/>
          <w:szCs w:val="16"/>
          <w:color w:val="auto"/>
        </w:rPr>
      </w:pPr>
      <w:r>
        <w:rPr>
          <w:rFonts w:ascii="Arial" w:cs="Arial" w:eastAsia="Arial" w:hAnsi="Arial"/>
          <w:sz w:val="16"/>
          <w:szCs w:val="16"/>
          <w:color w:val="auto"/>
        </w:rPr>
        <w:t>Each of the parties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any Loan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any Loan Document shall affect any right that the Administrative Agent, any Issuing Bank or any Lender may otherwise have to bring any action or proceeding relating to any Loan Document against the Borrower or its property in the courts of any jurisdiction.</w:t>
      </w:r>
    </w:p>
    <w:p>
      <w:pPr>
        <w:spacing w:after="0" w:line="57" w:lineRule="exact"/>
        <w:rPr>
          <w:rFonts w:ascii="Arial" w:cs="Arial" w:eastAsia="Arial" w:hAnsi="Arial"/>
          <w:sz w:val="16"/>
          <w:szCs w:val="16"/>
          <w:color w:val="auto"/>
        </w:rPr>
      </w:pPr>
    </w:p>
    <w:p>
      <w:pPr>
        <w:ind w:left="4" w:right="40" w:firstLine="436"/>
        <w:spacing w:after="0" w:line="259" w:lineRule="auto"/>
        <w:tabs>
          <w:tab w:leader="none" w:pos="689"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Borrower hereby irrevocably and unconditionally waives, to the fullest extent it may legally and effectively do so, any objection that it may now or hereafter have to the laying of venue of any suit, action or proceeding arising out of or relating to any Loan Document in any court referred to in Section 9.09(b). Each of the parties hereto hereby irrevocably waives, to the fullest extent permitted by law, the defense of an inconvenient forum to the maintenance of such action or proceeding in any such court.</w:t>
      </w:r>
    </w:p>
    <w:p>
      <w:pPr>
        <w:spacing w:after="0" w:line="78" w:lineRule="exact"/>
        <w:rPr>
          <w:rFonts w:ascii="Arial" w:cs="Arial" w:eastAsia="Arial" w:hAnsi="Arial"/>
          <w:sz w:val="18"/>
          <w:szCs w:val="18"/>
          <w:color w:val="auto"/>
        </w:rPr>
      </w:pPr>
    </w:p>
    <w:p>
      <w:pPr>
        <w:ind w:left="4" w:right="280" w:firstLine="436"/>
        <w:spacing w:after="0" w:line="308" w:lineRule="auto"/>
        <w:tabs>
          <w:tab w:leader="none" w:pos="699" w:val="left"/>
        </w:tabs>
        <w:numPr>
          <w:ilvl w:val="0"/>
          <w:numId w:val="140"/>
        </w:numPr>
        <w:rPr>
          <w:rFonts w:ascii="Arial" w:cs="Arial" w:eastAsia="Arial" w:hAnsi="Arial"/>
          <w:sz w:val="17"/>
          <w:szCs w:val="17"/>
          <w:color w:val="auto"/>
        </w:rPr>
      </w:pPr>
      <w:r>
        <w:rPr>
          <w:rFonts w:ascii="Arial" w:cs="Arial" w:eastAsia="Arial" w:hAnsi="Arial"/>
          <w:sz w:val="17"/>
          <w:szCs w:val="17"/>
          <w:color w:val="auto"/>
        </w:rPr>
        <w:t>Each party to this Agreement irrevocably consents to service of process in the manner provided for notices in Section 9.01. Nothing in any Loan Document will affect the right of any party to this Agreement to serve process in any other manner permitted by law.</w:t>
      </w:r>
    </w:p>
    <w:p>
      <w:pPr>
        <w:spacing w:after="0" w:line="142" w:lineRule="exact"/>
        <w:rPr>
          <w:sz w:val="20"/>
          <w:szCs w:val="20"/>
          <w:color w:val="auto"/>
        </w:rPr>
      </w:pPr>
    </w:p>
    <w:p>
      <w:pPr>
        <w:ind w:left="4" w:firstLine="440"/>
        <w:spacing w:after="0" w:line="253" w:lineRule="auto"/>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b w:val="1"/>
          <w:bCs w:val="1"/>
          <w:color w:val="auto"/>
        </w:rPr>
        <w:t>WAIVER OF JURY TRIAL</w:t>
      </w:r>
      <w:r>
        <w:rPr>
          <w:rFonts w:ascii="Arial" w:cs="Arial" w:eastAsia="Arial" w:hAnsi="Arial"/>
          <w:sz w:val="18"/>
          <w:szCs w:val="18"/>
          <w:color w:val="auto"/>
        </w:rPr>
        <w:t xml:space="preserve">. </w:t>
      </w:r>
      <w:r>
        <w:rPr>
          <w:rFonts w:ascii="Arial" w:cs="Arial" w:eastAsia="Arial" w:hAnsi="Arial"/>
          <w:sz w:val="18"/>
          <w:szCs w:val="18"/>
          <w:b w:val="1"/>
          <w:bCs w:val="1"/>
          <w:color w:val="auto"/>
        </w:rPr>
        <w:t>EACH PARTY HERETO HEREBY WAIVES, TO THE FULLEST EXTENT PERMITTED</w:t>
      </w:r>
      <w:r>
        <w:rPr>
          <w:rFonts w:ascii="Arial" w:cs="Arial" w:eastAsia="Arial" w:hAnsi="Arial"/>
          <w:sz w:val="18"/>
          <w:szCs w:val="18"/>
          <w:color w:val="auto"/>
        </w:rPr>
        <w:t xml:space="preserve"> </w:t>
      </w:r>
      <w:r>
        <w:rPr>
          <w:rFonts w:ascii="Arial" w:cs="Arial" w:eastAsia="Arial" w:hAnsi="Arial"/>
          <w:sz w:val="18"/>
          <w:szCs w:val="18"/>
          <w:b w:val="1"/>
          <w:bCs w:val="1"/>
          <w:color w:val="auto"/>
        </w:rPr>
        <w:t>BY APPLICABLE LAW, ANY RIGHT IT MAY HAVE TO A TRIAL BY JURY IN ANY LEGAL PROCEEDING DIRECTLY OR INDIRECTLY ARISING OUT OF OR RELATING TO ANY LOAN DOCUMENT OR THE TRANSACTIONS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5" w:lineRule="exact"/>
        <w:rPr>
          <w:sz w:val="20"/>
          <w:szCs w:val="20"/>
          <w:color w:val="auto"/>
        </w:rPr>
      </w:pPr>
    </w:p>
    <w:p>
      <w:pPr>
        <w:ind w:left="4" w:right="40" w:hanging="4"/>
        <w:spacing w:after="0" w:line="260" w:lineRule="auto"/>
        <w:tabs>
          <w:tab w:leader="none" w:pos="279"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ACKNOWLEDGES THAT IT AND THE OTHER PARTIES HERETO HAVE BEEN INDUCED TO ENTER INTO THIS AGREEMENT BY, AMONG OTHER THINGS, THE MUTUAL WAIVERS AND CERTIFICATIONS IN THIS SECTION</w:t>
      </w:r>
      <w:r>
        <w:rPr>
          <w:rFonts w:ascii="Arial" w:cs="Arial" w:eastAsia="Arial" w:hAnsi="Arial"/>
          <w:sz w:val="18"/>
          <w:szCs w:val="18"/>
          <w:color w:val="auto"/>
        </w:rPr>
        <w:t>.</w:t>
      </w:r>
    </w:p>
    <w:p>
      <w:pPr>
        <w:spacing w:after="0" w:line="11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964"/>
          </w:cols>
          <w:pgMar w:left="436" w:top="274" w:right="499" w:bottom="1440" w:gutter="0" w:footer="0" w:header="0"/>
        </w:sectPr>
      </w:pPr>
    </w:p>
    <w:bookmarkStart w:id="114" w:name="page115"/>
    <w:bookmarkEnd w:id="114"/>
    <w:p>
      <w:pPr>
        <w:ind w:left="4" w:right="140"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9.11 Headings. Article and Section headings and the Table of Contents used herein are for convenience of reference only, are not part of this Agreement and shall not affect the construction of, or be taken into consideration in interpreting, this Agreement.</w:t>
      </w:r>
    </w:p>
    <w:p>
      <w:pPr>
        <w:spacing w:after="0" w:line="146" w:lineRule="exact"/>
        <w:rPr>
          <w:sz w:val="20"/>
          <w:szCs w:val="20"/>
          <w:color w:val="auto"/>
        </w:rPr>
      </w:pPr>
    </w:p>
    <w:p>
      <w:pPr>
        <w:ind w:left="4" w:firstLine="440"/>
        <w:spacing w:after="0" w:line="283" w:lineRule="auto"/>
        <w:rPr>
          <w:sz w:val="20"/>
          <w:szCs w:val="20"/>
          <w:color w:val="auto"/>
        </w:rPr>
      </w:pPr>
      <w:r>
        <w:rPr>
          <w:rFonts w:ascii="Arial" w:cs="Arial" w:eastAsia="Arial" w:hAnsi="Arial"/>
          <w:sz w:val="16"/>
          <w:szCs w:val="16"/>
          <w:color w:val="auto"/>
        </w:rPr>
        <w:t>SECTION 9.12 Confidentiality. Each of the Administrative Agent, the Lenders, the Issuing Banks, the Arrangers, the Joint Bookrunning Managers, the Syndication Agents and the Documentation Agents agrees to maintain the confidentiality of the Information (as defined below) and neither use nor disclose such Information, except that Information may be used by such Person in evaluating the credit worthiness of the Borrower or in providing financial services to Borrower or any of its Subsidiaries and may be disclosed, subject to the last paragraph of this Section and limitations set forth in this Agreement relating to Public Lenders, (a) to its Affiliates and to its and its Affiliates’ respective partners, directors, officers, employees, agents, advisors and representatives on a need-to-know basis (it being understood that the Persons to whom such disclosure is made will be informed of the confidential nature of such Information and instructed to keep such Information confidential), (b) to the extent requested or demanded by any regulatory authority purporting to have jurisdiction over it (including any self-regulatory authority, such as the National Association of Insurance Commissioners), (c) to the extent required by applicable laws or regulations or by any subpoena or similar legal process (in which case the Borrower will be promptly notified (to the extent reasonably practicable and permitted by applicable law)),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consistent with or more restrictive than those of this Section, to (i) any assignee of or Participant in, or any prospective assignee of or Participant in, any of its rights or obligations under this Agreement, (ii) any pledgee referred to in Section 9.04(d) or (iii) any actual or prospective counterparty (or its advisors) to any swap or derivative transaction relating to the Borrower and its Obligations, (g) with the consent of the Borrower or (h) to the extent such Information</w:t>
      </w:r>
    </w:p>
    <w:p>
      <w:pPr>
        <w:jc w:val="both"/>
        <w:ind w:left="4" w:right="180" w:hanging="4"/>
        <w:spacing w:after="0" w:line="253" w:lineRule="auto"/>
        <w:tabs>
          <w:tab w:leader="none" w:pos="219" w:val="left"/>
        </w:tabs>
        <w:numPr>
          <w:ilvl w:val="0"/>
          <w:numId w:val="142"/>
        </w:numPr>
        <w:rPr>
          <w:rFonts w:ascii="Arial" w:cs="Arial" w:eastAsia="Arial" w:hAnsi="Arial"/>
          <w:sz w:val="18"/>
          <w:szCs w:val="18"/>
          <w:color w:val="auto"/>
        </w:rPr>
      </w:pPr>
      <w:r>
        <w:rPr>
          <w:rFonts w:ascii="Arial" w:cs="Arial" w:eastAsia="Arial" w:hAnsi="Arial"/>
          <w:sz w:val="18"/>
          <w:szCs w:val="18"/>
          <w:color w:val="auto"/>
        </w:rPr>
        <w:t>becomes publicly available other than as a result of a breach of this Section or (ii) becomes available to the Administrative Agent, any Lender, any Issuing Bank or any of their respective Affiliates on a nonconfidential basis from a source other than the Borrower or any of its Related Parties, which source is not known to such Administrative Agent, Lender, Issuing Bank or Affiliate thereof to be prohibited from disclosing such information by a legal, contractual or fiduciary obligation to the Borrower or any of its Subsidiaries.</w:t>
      </w:r>
    </w:p>
    <w:p>
      <w:pPr>
        <w:spacing w:after="0" w:line="193" w:lineRule="exact"/>
        <w:rPr>
          <w:sz w:val="20"/>
          <w:szCs w:val="20"/>
          <w:color w:val="auto"/>
        </w:rPr>
      </w:pPr>
    </w:p>
    <w:p>
      <w:pPr>
        <w:ind w:left="4" w:right="40" w:firstLine="440"/>
        <w:spacing w:after="0" w:line="254" w:lineRule="auto"/>
        <w:rPr>
          <w:sz w:val="20"/>
          <w:szCs w:val="20"/>
          <w:color w:val="auto"/>
        </w:rPr>
      </w:pPr>
      <w:r>
        <w:rPr>
          <w:rFonts w:ascii="Arial" w:cs="Arial" w:eastAsia="Arial" w:hAnsi="Arial"/>
          <w:sz w:val="18"/>
          <w:szCs w:val="18"/>
          <w:color w:val="auto"/>
        </w:rPr>
        <w:t>For purposes of this Section 9.12, “</w:t>
      </w:r>
      <w:r>
        <w:rPr>
          <w:rFonts w:ascii="Arial" w:cs="Arial" w:eastAsia="Arial" w:hAnsi="Arial"/>
          <w:sz w:val="18"/>
          <w:szCs w:val="18"/>
          <w:u w:val="single" w:color="auto"/>
          <w:color w:val="auto"/>
        </w:rPr>
        <w:t>Information</w:t>
      </w:r>
      <w:r>
        <w:rPr>
          <w:rFonts w:ascii="Arial" w:cs="Arial" w:eastAsia="Arial" w:hAnsi="Arial"/>
          <w:sz w:val="18"/>
          <w:szCs w:val="18"/>
          <w:color w:val="auto"/>
        </w:rPr>
        <w:t>” means all information received from or on behalf of the Borrower or any Subsidiary thereof relating to the Borrower or any Affiliate thereof or their respective businesses, other than any such information that is (i) available to the Administrative Agent, any Lender or Issuing Bank on a non-confidential basis prior to disclosure by or on behalf of the Borrower or any Subsidiary thereof, which source is not known to such Administrative Agent, Lender, Issuing Bank or Affiliate thereof to be prohibited from disclosing such information by a legal, contractual or fiduciary obligation to the Borrower or any of its Subsidiaries or (ii) clearly marked “non-confidential.” Any Person required to maintain the confidentiality of Information as provided in this Section 9.12 shall be considered to have complied with its obligation to do so if such Person has exercised the same degree of care to maintain the confidentiality of such Information as such Person would accord to its own confidential information.</w:t>
      </w:r>
    </w:p>
    <w:p>
      <w:pPr>
        <w:spacing w:after="0" w:line="192" w:lineRule="exact"/>
        <w:rPr>
          <w:sz w:val="20"/>
          <w:szCs w:val="20"/>
          <w:color w:val="auto"/>
        </w:rPr>
      </w:pPr>
    </w:p>
    <w:p>
      <w:pPr>
        <w:jc w:val="both"/>
        <w:ind w:left="4" w:right="180" w:firstLine="440"/>
        <w:spacing w:after="0" w:line="301" w:lineRule="auto"/>
        <w:rPr>
          <w:sz w:val="20"/>
          <w:szCs w:val="20"/>
          <w:color w:val="auto"/>
        </w:rPr>
      </w:pPr>
      <w:r>
        <w:rPr>
          <w:rFonts w:ascii="Arial" w:cs="Arial" w:eastAsia="Arial" w:hAnsi="Arial"/>
          <w:sz w:val="16"/>
          <w:szCs w:val="16"/>
          <w:color w:val="auto"/>
        </w:rPr>
        <w:t>Each of the Administrative Agent, the Lenders, Issuing Banks, the Arrangers, the Joint Bookrunning Managers, the Syndication Agents and the Documentation Agents acknowledges that (a) the Information may include material non-public information concerning the Borrower, its Affiliates or any of their respective securities, as the case may be, (b) it has developed compliance procedures regarding the use of material non-public information and (c) it will handle such material non-public information in accordance with applicable law, including Federal and state securities laws.</w:t>
      </w:r>
    </w:p>
    <w:p>
      <w:pPr>
        <w:spacing w:after="0" w:line="9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984"/>
          </w:cols>
          <w:pgMar w:left="436" w:top="274" w:right="479" w:bottom="1440" w:gutter="0" w:footer="0" w:header="0"/>
        </w:sectPr>
      </w:pPr>
    </w:p>
    <w:bookmarkStart w:id="115" w:name="page116"/>
    <w:bookmarkEnd w:id="115"/>
    <w:p>
      <w:pPr>
        <w:ind w:right="20"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9.13 Interest Rate Limitation. Notwithstanding anything herein to the contrary, if at any time the interest rate applicable to any Loan or participation in any LC Disbursement, together with all fees, charges and other amounts that are treated as interest on such Loan or LC Disbursement or participation therein under applicable law (collectively the “</w:t>
      </w:r>
      <w:r>
        <w:rPr>
          <w:rFonts w:ascii="Arial" w:cs="Arial" w:eastAsia="Arial" w:hAnsi="Arial"/>
          <w:sz w:val="17"/>
          <w:szCs w:val="17"/>
          <w:u w:val="single" w:color="auto"/>
          <w:color w:val="auto"/>
        </w:rPr>
        <w:t>Charges</w:t>
      </w:r>
      <w:r>
        <w:rPr>
          <w:rFonts w:ascii="Arial" w:cs="Arial" w:eastAsia="Arial" w:hAnsi="Arial"/>
          <w:sz w:val="17"/>
          <w:szCs w:val="17"/>
          <w:color w:val="auto"/>
        </w:rPr>
        <w:t>”), shall exceed the maximum lawful rate (the “</w:t>
      </w:r>
      <w:r>
        <w:rPr>
          <w:rFonts w:ascii="Arial" w:cs="Arial" w:eastAsia="Arial" w:hAnsi="Arial"/>
          <w:sz w:val="17"/>
          <w:szCs w:val="17"/>
          <w:u w:val="single" w:color="auto"/>
          <w:color w:val="auto"/>
        </w:rPr>
        <w:t>Maximum Rate</w:t>
      </w:r>
      <w:r>
        <w:rPr>
          <w:rFonts w:ascii="Arial" w:cs="Arial" w:eastAsia="Arial" w:hAnsi="Arial"/>
          <w:sz w:val="17"/>
          <w:szCs w:val="17"/>
          <w:color w:val="auto"/>
        </w:rPr>
        <w:t>”) that may be contracted for, charged, taken, received or reserved by the Lender holding such Loan or LC Disbursement or participation therein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or LC Disbursement or participation therein but were not payable as a result of the operation of this Section shall be cumulated and the interest and Charges payable to such Lender in respect of other Loans or LC Disbursement or participation therein or periods shall be increased (but not above the Maximum Rate therefor) until such cumulated amount, together with interest thereon at the Federal Funds Effective Rate to the date of repayment, shall have been received by such Lender.</w:t>
      </w:r>
    </w:p>
    <w:p>
      <w:pPr>
        <w:spacing w:after="0" w:line="185"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SECTION 9.14 USA Patriot Act. Each Lender hereby notifies the Borrower that pursuant to the requirements of the USA Patriot Act (Title III of Pub. L. 107-56 (signed into law October 26, 2001)), as amended (the “</w:t>
      </w:r>
      <w:r>
        <w:rPr>
          <w:rFonts w:ascii="Arial" w:cs="Arial" w:eastAsia="Arial" w:hAnsi="Arial"/>
          <w:sz w:val="17"/>
          <w:szCs w:val="17"/>
          <w:u w:val="single" w:color="auto"/>
          <w:color w:val="auto"/>
        </w:rPr>
        <w:t>Patriot Act</w:t>
      </w:r>
      <w:r>
        <w:rPr>
          <w:rFonts w:ascii="Arial" w:cs="Arial" w:eastAsia="Arial" w:hAnsi="Arial"/>
          <w:sz w:val="17"/>
          <w:szCs w:val="17"/>
          <w:color w:val="auto"/>
        </w:rPr>
        <w:t>”), it is required to obtain, verify and record information that identifies the Borrower, which information includes the name,address and tax identification number of the Borrower and other information that will allow such Lender to identify the Borrower in accordance with the Patriot Act. The Borrower shall, promptly following a written request by the Administrative Agent or any Lender through the Administrative Agent, provide all documentation and other information that the Administrative Agent or such Lender requires pursuant to applicable Law or reasonably requests, in any such case, in order to comply with its ongoing obligations under applicable “know your customer” and anti-money laundering rules and regulations, including the Patriot Act.</w:t>
      </w:r>
    </w:p>
    <w:p>
      <w:pPr>
        <w:spacing w:after="0" w:line="177"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SECTION 9.15 No Advisory or Fiduciary Responsibility. In connection with all aspects of each transaction contemplated hereby, the Borrower acknowledges and agrees that: (i) the credit facilities provided for hereunder and any related arranging or other services in connection therewith (including in connection with any amendment, waiver or other modification hereof or of any other Loan Document) are an arm’s-length commercial transaction between the Borrower and its Affiliates, on the one hand, and the Administrative Agent, the Arrangers, the Syndication Agents, the Documentation Agents and the Lenders, on the other hand, and the Borrower is capable of evaluating and understanding and understands and accepts the terms, risks and conditions of the transactions contemplated hereby and by the other Loan Documents (including any amendment, waiver or other modification hereof or thereof); (ii) in connection with the process leading to such transaction, the Administrative Agent, the Arrangers, the Syndication Agents, the Documentation Agents and the Lenders each is and has been acting solely as a principal and is not the financial advisor, agent or fiduciary, for the Borrower or any of its Affiliates; (iii) none of the Administrative Agent, the Arrangers, the Syndication Agents, the Documentation Agents or the Lenders have assumed or will assume an advisory, agency or fiduciary responsibility in favor of the Borrower with respect to any of the transactions contemplated hereby or the process leading thereto, including with respect to any amendment, waiver or other modification hereof or of any other Loan Document (irrespective of whether the Administrative Agent, the Arrangers, the Syndication Agents, the Documentation Agents or the Lenders have advised or are currently advising the Borrower or any of its Affiliates on other matters) and none of the Administrative Agent, the Arrangers, the Syndication Agents, the Documentation Agents or the Lenders has any obligation to the Borrower or any of its Affiliates with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980"/>
          </w:cols>
          <w:pgMar w:left="440" w:top="274" w:right="479" w:bottom="1440" w:gutter="0" w:footer="0" w:header="0"/>
        </w:sectPr>
      </w:pPr>
    </w:p>
    <w:bookmarkStart w:id="116" w:name="page117"/>
    <w:bookmarkEnd w:id="116"/>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respect to the transactions contemplated hereby except those obligations expressly set forth herein and in the other Loan Documents; (iv) the Administrative Agent, each Arranger, each Syndication Agent, each Documentation Agent, each Lender and their respective Affiliates may be engaged in a broad range of transactions that involve interests that differ from those of the Borrower and its Affiliates, and none of the Administrative Agent, the Arrangers, the Syndication Agents, the Documentation Agents or the Lenders has any obligation to disclose any of such interests by virtue of any advisory, agency or fiduciary relationship; and (v) the Administrative Agent, the Arrangers, the Syndication Agents, the Documentation Agents and the Lenders have not provided and will not provide any legal, accounting, regulatory or tax advice with respect to any of the transactions contemplated hereby (including any amendment, waiver or other modification hereof or of any other Loan Document) and the Borrower has consulted its own legal, accounting, regulatory and tax advisors to the extent it has deemed appropriate. The Borrower hereby waives and releases, to the fullest extent permitted by law, any claims that it may have against the Administrative Agent, each Arranger, each Syndication Agent, each Documentation Agent and each Lender with respect to any breach or alleged breach of agency or fiduciary duty in connection with any aspect of any transaction contemplated hereby.</w:t>
      </w:r>
    </w:p>
    <w:p>
      <w:pPr>
        <w:spacing w:after="0" w:line="168"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SECTION 9.16 Judgment Currency.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in respect of any such sum due from it to the Administrative Agent or any Lender hereunder or under the other Loan Documents shall, notwithstanding any judgment in a currency (the “</w:t>
      </w:r>
      <w:r>
        <w:rPr>
          <w:rFonts w:ascii="Arial" w:cs="Arial" w:eastAsia="Arial" w:hAnsi="Arial"/>
          <w:sz w:val="16"/>
          <w:szCs w:val="16"/>
          <w:u w:val="single" w:color="auto"/>
          <w:color w:val="auto"/>
        </w:rPr>
        <w:t>Judgment Currency</w:t>
      </w:r>
      <w:r>
        <w:rPr>
          <w:rFonts w:ascii="Arial" w:cs="Arial" w:eastAsia="Arial" w:hAnsi="Arial"/>
          <w:sz w:val="16"/>
          <w:szCs w:val="16"/>
          <w:color w:val="auto"/>
        </w:rPr>
        <w:t>”) other than that in which such sum is denominated in accordance with the applicable provisions of this Agreement (the “</w:t>
      </w:r>
      <w:r>
        <w:rPr>
          <w:rFonts w:ascii="Arial" w:cs="Arial" w:eastAsia="Arial" w:hAnsi="Arial"/>
          <w:sz w:val="16"/>
          <w:szCs w:val="16"/>
          <w:u w:val="single" w:color="auto"/>
          <w:color w:val="auto"/>
        </w:rPr>
        <w:t>Agreement Currency</w:t>
      </w:r>
      <w:r>
        <w:rPr>
          <w:rFonts w:ascii="Arial" w:cs="Arial" w:eastAsia="Arial" w:hAnsi="Arial"/>
          <w:sz w:val="16"/>
          <w:szCs w:val="16"/>
          <w:color w:val="auto"/>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the Borrower in the Agreement Currency, the Borrower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the Borrower (or to any other Person who may be entitled thereto under applicable law).</w:t>
      </w:r>
    </w:p>
    <w:p>
      <w:pPr>
        <w:spacing w:after="0" w:line="174" w:lineRule="exact"/>
        <w:rPr>
          <w:sz w:val="20"/>
          <w:szCs w:val="20"/>
          <w:color w:val="auto"/>
        </w:rPr>
      </w:pPr>
    </w:p>
    <w:p>
      <w:pPr>
        <w:ind w:right="100" w:firstLine="440"/>
        <w:spacing w:after="0" w:line="269" w:lineRule="auto"/>
        <w:rPr>
          <w:sz w:val="20"/>
          <w:szCs w:val="20"/>
          <w:color w:val="auto"/>
        </w:rPr>
      </w:pPr>
      <w:r>
        <w:rPr>
          <w:rFonts w:ascii="Arial" w:cs="Arial" w:eastAsia="Arial" w:hAnsi="Arial"/>
          <w:sz w:val="17"/>
          <w:szCs w:val="17"/>
          <w:color w:val="auto"/>
        </w:rPr>
        <w:t xml:space="preserve">SECTION 9.17 Electronic Execution of Assignments and Certain Other Documents. The words “execution,” “execute,” “signed,” “signature,” and words of like import in or related to any document to be signed in connection with this Agreement and the transactions contemplated hereby (including without limitation Assignment and Assumptions, amendments, modifications or other Borrowing Requests, waivers and consents)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980"/>
          </w:cols>
          <w:pgMar w:left="440" w:top="274" w:right="479" w:bottom="1440" w:gutter="0" w:footer="0" w:header="0"/>
        </w:sectPr>
      </w:pPr>
    </w:p>
    <w:bookmarkStart w:id="117" w:name="page118"/>
    <w:bookmarkEnd w:id="117"/>
    <w:p>
      <w:pPr>
        <w:ind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9.18 Acknowledgement and Consent to Bail-In of EEA Financial Institutions. Notwithstanding anything to the contrary in any Loan Document or in any other agreement, arrangement or understanding among any such parties, each party hereto acknowledges that any liability of any Lender that is an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49" w:lineRule="exact"/>
        <w:rPr>
          <w:sz w:val="20"/>
          <w:szCs w:val="20"/>
          <w:color w:val="auto"/>
        </w:rPr>
      </w:pPr>
    </w:p>
    <w:p>
      <w:pPr>
        <w:ind w:right="40" w:firstLine="436"/>
        <w:spacing w:after="0" w:line="277" w:lineRule="auto"/>
        <w:tabs>
          <w:tab w:leader="none" w:pos="68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Lender that is an EEA Financial Institution; and</w:t>
      </w:r>
    </w:p>
    <w:p>
      <w:pPr>
        <w:spacing w:after="0" w:line="62" w:lineRule="exact"/>
        <w:rPr>
          <w:rFonts w:ascii="Arial" w:cs="Arial" w:eastAsia="Arial" w:hAnsi="Arial"/>
          <w:sz w:val="18"/>
          <w:szCs w:val="18"/>
          <w:color w:val="auto"/>
        </w:rPr>
      </w:pPr>
    </w:p>
    <w:p>
      <w:pPr>
        <w:ind w:left="700" w:hanging="264"/>
        <w:spacing w:after="0"/>
        <w:tabs>
          <w:tab w:leader="none" w:pos="7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7" w:lineRule="exact"/>
        <w:rPr>
          <w:rFonts w:ascii="Arial" w:cs="Arial" w:eastAsia="Arial" w:hAnsi="Arial"/>
          <w:sz w:val="18"/>
          <w:szCs w:val="18"/>
          <w:color w:val="auto"/>
        </w:rPr>
      </w:pPr>
    </w:p>
    <w:p>
      <w:pPr>
        <w:ind w:left="1080" w:hanging="221"/>
        <w:spacing w:after="0"/>
        <w:tabs>
          <w:tab w:leader="none" w:pos="108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7" w:lineRule="exact"/>
        <w:rPr>
          <w:rFonts w:ascii="Arial" w:cs="Arial" w:eastAsia="Arial" w:hAnsi="Arial"/>
          <w:sz w:val="18"/>
          <w:szCs w:val="18"/>
          <w:color w:val="auto"/>
        </w:rPr>
      </w:pPr>
    </w:p>
    <w:p>
      <w:pPr>
        <w:ind w:left="440" w:right="140" w:firstLine="419"/>
        <w:spacing w:after="0" w:line="311" w:lineRule="auto"/>
        <w:tabs>
          <w:tab w:leader="none" w:pos="1128" w:val="left"/>
        </w:tabs>
        <w:numPr>
          <w:ilvl w:val="1"/>
          <w:numId w:val="143"/>
        </w:numPr>
        <w:rPr>
          <w:rFonts w:ascii="Arial" w:cs="Arial" w:eastAsia="Arial" w:hAnsi="Arial"/>
          <w:sz w:val="16"/>
          <w:szCs w:val="16"/>
          <w:color w:val="auto"/>
        </w:rPr>
      </w:pPr>
      <w:r>
        <w:rPr>
          <w:rFonts w:ascii="Arial" w:cs="Arial" w:eastAsia="Arial" w:hAnsi="Arial"/>
          <w:sz w:val="16"/>
          <w:szCs w:val="16"/>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40" w:lineRule="exact"/>
        <w:rPr>
          <w:rFonts w:ascii="Arial" w:cs="Arial" w:eastAsia="Arial" w:hAnsi="Arial"/>
          <w:sz w:val="16"/>
          <w:szCs w:val="16"/>
          <w:color w:val="auto"/>
        </w:rPr>
      </w:pPr>
    </w:p>
    <w:p>
      <w:pPr>
        <w:ind w:left="440" w:right="260" w:firstLine="419"/>
        <w:spacing w:after="0" w:line="277" w:lineRule="auto"/>
        <w:tabs>
          <w:tab w:leader="none" w:pos="1178" w:val="left"/>
        </w:tabs>
        <w:numPr>
          <w:ilvl w:val="1"/>
          <w:numId w:val="143"/>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760"/>
          </w:cols>
          <w:pgMar w:left="440" w:top="274" w:right="699" w:bottom="1440" w:gutter="0" w:footer="0" w:header="0"/>
        </w:sectPr>
      </w:pPr>
    </w:p>
    <w:bookmarkStart w:id="118" w:name="page119"/>
    <w:bookmarkEnd w:id="118"/>
    <w:p>
      <w:pPr>
        <w:ind w:right="200"/>
        <w:spacing w:after="0" w:line="277" w:lineRule="auto"/>
        <w:rPr>
          <w:sz w:val="20"/>
          <w:szCs w:val="20"/>
          <w:color w:val="auto"/>
        </w:rPr>
      </w:pPr>
      <w:r>
        <w:rPr>
          <w:rFonts w:ascii="Arial" w:cs="Arial" w:eastAsia="Arial" w:hAnsi="Arial"/>
          <w:sz w:val="18"/>
          <w:szCs w:val="18"/>
          <w:color w:val="FF4338"/>
          <w:strike w:val="1"/>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FF4338"/>
          <w:strike w:val="1"/>
        </w:rPr>
        <w:t>NASDAQ,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FF4338"/>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FF4338"/>
          <w:strike w:val="1"/>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FF4338"/>
          <w:strike w:val="1"/>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FF4338"/>
          <w:strike w:val="1"/>
        </w:rPr>
        <w:t>BANK OF AMERICA, N.A., as Administrative Agent, a</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FF4338"/>
          <w:strike w:val="1"/>
        </w:rPr>
        <w:t>Revolving Lender and Issuing Bank</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FF4338"/>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FF4338"/>
          <w:strike w:val="1"/>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FF4338"/>
          <w:strike w:val="1"/>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7"/>
          <w:szCs w:val="17"/>
          <w:color w:val="FF4338"/>
          <w:strike w:val="1"/>
        </w:rPr>
        <w:t>JPMORGAN CHASE BANK, N.A., as a Revolving Lender</w:t>
      </w:r>
    </w:p>
    <w:p>
      <w:pPr>
        <w:spacing w:after="0" w:line="237" w:lineRule="exact"/>
        <w:rPr>
          <w:sz w:val="20"/>
          <w:szCs w:val="20"/>
          <w:color w:val="auto"/>
        </w:rPr>
      </w:pPr>
    </w:p>
    <w:p>
      <w:pPr>
        <w:ind w:left="6620"/>
        <w:spacing w:after="0"/>
        <w:rPr>
          <w:sz w:val="20"/>
          <w:szCs w:val="20"/>
          <w:color w:val="auto"/>
        </w:rPr>
      </w:pPr>
      <w:r>
        <w:rPr>
          <w:rFonts w:ascii="Arial" w:cs="Arial" w:eastAsia="Arial" w:hAnsi="Arial"/>
          <w:sz w:val="18"/>
          <w:szCs w:val="18"/>
          <w:color w:val="FF4338"/>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FF4338"/>
          <w:strike w:val="1"/>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FF4338"/>
          <w:strike w:val="1"/>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7"/>
          <w:szCs w:val="17"/>
          <w:color w:val="FF4338"/>
          <w:strike w:val="1"/>
        </w:rPr>
        <w:t>WELLS FARGO BANK, NATIONAL ASSOCIATION, as a</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FF4338"/>
          <w:strike w:val="1"/>
        </w:rPr>
        <w:t>Revolving Lender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FF4338"/>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FF4338"/>
          <w:strike w:val="1"/>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FF4338"/>
          <w:strike w:val="1"/>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FF4338"/>
          <w:strike w:val="1"/>
        </w:rPr>
        <w:t>MIZUHO BANK, LTD., as a Lender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FF4338"/>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FF4338"/>
          <w:strike w:val="1"/>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FF4338"/>
          <w:strike w:val="1"/>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7"/>
          <w:szCs w:val="17"/>
          <w:color w:val="FF4338"/>
          <w:strike w:val="1"/>
        </w:rPr>
        <w:t>NORDEA BANK AB (PUBL), NEW YORK BRANCH, as</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FF4338"/>
          <w:strike w:val="1"/>
        </w:rPr>
        <w:t>a Lender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FF4338"/>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FF4338"/>
          <w:strike w:val="1"/>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FF4338"/>
          <w:strike w:val="1"/>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7"/>
          <w:szCs w:val="17"/>
          <w:color w:val="FF4338"/>
          <w:strike w:val="1"/>
        </w:rPr>
        <w:t>SKANDINAVISKA ENSKILDA BANKEN AB (PUBL), as</w:t>
      </w:r>
    </w:p>
    <w:p>
      <w:pPr>
        <w:spacing w:after="0" w:line="35" w:lineRule="exact"/>
        <w:rPr>
          <w:sz w:val="20"/>
          <w:szCs w:val="20"/>
          <w:color w:val="auto"/>
        </w:rPr>
      </w:pPr>
    </w:p>
    <w:p>
      <w:pPr>
        <w:ind w:left="6620"/>
        <w:spacing w:after="0"/>
        <w:rPr>
          <w:sz w:val="20"/>
          <w:szCs w:val="20"/>
          <w:color w:val="auto"/>
        </w:rPr>
      </w:pPr>
      <w:r>
        <w:rPr>
          <w:rFonts w:ascii="Arial" w:cs="Arial" w:eastAsia="Arial" w:hAnsi="Arial"/>
          <w:sz w:val="18"/>
          <w:szCs w:val="18"/>
          <w:color w:val="FF4338"/>
          <w:strike w:val="1"/>
        </w:rPr>
        <w:t>a Lender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FF4338"/>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FF4338"/>
          <w:strike w:val="1"/>
        </w:rPr>
        <w:t>Name:</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FF4338"/>
          <w:strike w:val="1"/>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7"/>
          <w:szCs w:val="17"/>
          <w:color w:val="FF4338"/>
          <w:strike w:val="1"/>
        </w:rPr>
        <w:t>SVENSKA HANDELSBANKEN AB (PUBL), as a Lender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FF4338"/>
          <w:strike w:val="1"/>
        </w:rPr>
        <w:t>[Signature Page to Credit Agreement]</w:t>
      </w:r>
    </w:p>
    <w:p>
      <w:pPr>
        <w:sectPr>
          <w:pgSz w:w="11900" w:h="16838" w:orient="portrait"/>
          <w:cols w:equalWidth="0" w:num="1">
            <w:col w:w="11000"/>
          </w:cols>
          <w:pgMar w:left="440" w:top="274" w:right="45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SOLVENCY CERTIFICATE</w:t>
      </w:r>
    </w:p>
    <w:p>
      <w:pPr>
        <w:spacing w:after="0" w:line="211" w:lineRule="exact"/>
        <w:rPr>
          <w:sz w:val="20"/>
          <w:szCs w:val="20"/>
          <w:color w:val="auto"/>
        </w:rPr>
      </w:pPr>
    </w:p>
    <w:p>
      <w:pPr>
        <w:ind w:left="5540" w:hanging="591"/>
        <w:spacing w:after="0"/>
        <w:tabs>
          <w:tab w:leader="none" w:pos="5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2020</w:t>
      </w:r>
    </w:p>
    <w:p>
      <w:pPr>
        <w:spacing w:after="0" w:line="225"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This Solvency Certificate is delivered pursuant to Section 4.03(g) of the Credit Agreement dated as of April 25, 2017, as amended by Amendment No. 1 dated as of [ ], 2020 (the “</w:t>
      </w:r>
      <w:r>
        <w:rPr>
          <w:rFonts w:ascii="Arial" w:cs="Arial" w:eastAsia="Arial" w:hAnsi="Arial"/>
          <w:sz w:val="18"/>
          <w:szCs w:val="18"/>
          <w:b w:val="1"/>
          <w:bCs w:val="1"/>
          <w:i w:val="1"/>
          <w:iCs w:val="1"/>
          <w:color w:val="auto"/>
        </w:rPr>
        <w:t>Credit Agreement</w:t>
      </w:r>
      <w:r>
        <w:rPr>
          <w:rFonts w:ascii="Arial" w:cs="Arial" w:eastAsia="Arial" w:hAnsi="Arial"/>
          <w:sz w:val="18"/>
          <w:szCs w:val="18"/>
          <w:color w:val="auto"/>
        </w:rPr>
        <w:t>”) among Nasdaq, Inc. (the “</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 the Lenders from time to time party thereto and Bank of America, N.A. as Administrative Agent. Capitalized terms used herein and not otherwise defined herein shall have the meanings assigned to such terms in the Credit Agreement.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undersigned hereby certifies, solely in his capacity as an officer of the Borrower and not in his individual capacity, as follows:</w:t>
      </w:r>
    </w:p>
    <w:p>
      <w:pPr>
        <w:spacing w:after="0" w:line="117" w:lineRule="exact"/>
        <w:rPr>
          <w:sz w:val="20"/>
          <w:szCs w:val="20"/>
          <w:color w:val="auto"/>
        </w:rPr>
      </w:pPr>
    </w:p>
    <w:p>
      <w:pPr>
        <w:ind w:left="980" w:right="420" w:firstLine="910"/>
        <w:spacing w:after="0" w:line="263" w:lineRule="auto"/>
        <w:tabs>
          <w:tab w:leader="none" w:pos="206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 am the Chief Financial Officer of the Borrower. I am familiar with the Specified Transactions, and have reviewed the Credit Agreement, financial statements referred to in Section 4.03(c) of the Credit Agreement and such documents and made such investigation as I have deemed relevant for the purposes of this Solvency Certificate.</w:t>
      </w:r>
    </w:p>
    <w:p>
      <w:pPr>
        <w:spacing w:after="0" w:line="75" w:lineRule="exact"/>
        <w:rPr>
          <w:rFonts w:ascii="Arial" w:cs="Arial" w:eastAsia="Arial" w:hAnsi="Arial"/>
          <w:sz w:val="18"/>
          <w:szCs w:val="18"/>
          <w:color w:val="auto"/>
        </w:rPr>
      </w:pPr>
    </w:p>
    <w:p>
      <w:pPr>
        <w:ind w:left="980" w:right="20" w:firstLine="910"/>
        <w:spacing w:after="0" w:line="269" w:lineRule="auto"/>
        <w:tabs>
          <w:tab w:leader="none" w:pos="2062" w:val="left"/>
        </w:tabs>
        <w:numPr>
          <w:ilvl w:val="0"/>
          <w:numId w:val="145"/>
        </w:numPr>
        <w:rPr>
          <w:rFonts w:ascii="Arial" w:cs="Arial" w:eastAsia="Arial" w:hAnsi="Arial"/>
          <w:sz w:val="17"/>
          <w:szCs w:val="17"/>
          <w:color w:val="auto"/>
        </w:rPr>
      </w:pPr>
      <w:r>
        <w:rPr>
          <w:rFonts w:ascii="Arial" w:cs="Arial" w:eastAsia="Arial" w:hAnsi="Arial"/>
          <w:sz w:val="17"/>
          <w:szCs w:val="17"/>
          <w:color w:val="auto"/>
        </w:rPr>
        <w:t>As of the date hereof, immediately after giving effect to the consummation of the Specified Transactions, on and as of such date (i) the fair value of the assets of the Borrower and its subsidiaries on a consolidated basis, at a fair valuation, will exceed the debts and liabilities, direct, subordinated, contingent or otherwise, of the Borrower and its subsidiaries on a consolidated basis; (ii) the present fair saleable value of the property of the Borrower and its subsidiaries on a consolidated basis will be greater than the amount that will be required to pay the probable liability of the Borrower and its subsidiaries on a consolidated basis on their debts and other liabilities, direct, subordinated, contingent or otherwise, as such debts and other liabilities become absolute and matured; (iii) the Borrower and its subsidiaries on a consolidated basis will be able to pay their debts and liabilities, direct, subordinated, contingent or otherwise, as such debts and liabilities become absolute and matured; and (iv) the Borrower and its subsidiaries on a consolidated basis will not have unreasonably small capital with which to conduct the businesses in which they are engaged as such businesses are now conducted and are proposed to be conducted following the Verafin Acquisition Closing Date.</w:t>
      </w:r>
    </w:p>
    <w:p>
      <w:pPr>
        <w:spacing w:after="0" w:line="77" w:lineRule="exact"/>
        <w:rPr>
          <w:rFonts w:ascii="Arial" w:cs="Arial" w:eastAsia="Arial" w:hAnsi="Arial"/>
          <w:sz w:val="17"/>
          <w:szCs w:val="17"/>
          <w:color w:val="auto"/>
        </w:rPr>
      </w:pPr>
    </w:p>
    <w:p>
      <w:pPr>
        <w:ind w:left="980" w:right="80" w:firstLine="910"/>
        <w:spacing w:after="0" w:line="259" w:lineRule="auto"/>
        <w:tabs>
          <w:tab w:leader="none" w:pos="206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As of the date hereof, immediately after giving effect to the consummation of the Specified Transactions, the Borrower does not intend to, and the Borrower does not believe that it or any of its subsidiaries will, incur debts beyond its ability to pay such debts as they mature, taking into account the timing and amounts of cash to be received by it or any such subsidiary and the timing and amounts of cash to be payable on or in respect of its debts or the debts of any such subsidiary.</w:t>
      </w:r>
    </w:p>
    <w:p>
      <w:pPr>
        <w:sectPr>
          <w:pgSz w:w="11900" w:h="16838" w:orient="portrait"/>
          <w:cols w:equalWidth="0" w:num="1">
            <w:col w:w="11020"/>
          </w:cols>
          <w:pgMar w:left="440" w:top="270" w:right="439" w:bottom="1440" w:gutter="0" w:footer="0" w:header="0"/>
        </w:sectPr>
      </w:pPr>
    </w:p>
    <w:bookmarkStart w:id="120" w:name="page121"/>
    <w:bookmarkEnd w:id="120"/>
    <w:p>
      <w:pPr>
        <w:ind w:firstLine="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Solvency Certificate is being delivered by the undersigned officer only in his capacity as Chief Financial Officer of the Borrower and not individually and the undersigned shall have no personal liability to the Administrative Agent or the Lenders with respect thereto.</w:t>
      </w:r>
    </w:p>
    <w:p>
      <w:pPr>
        <w:sectPr>
          <w:pgSz w:w="11900" w:h="16838" w:orient="portrait"/>
          <w:cols w:equalWidth="0" w:num="1">
            <w:col w:w="10680"/>
          </w:cols>
          <w:pgMar w:left="440" w:top="274" w:right="779" w:bottom="1440" w:gutter="0" w:footer="0" w:header="0"/>
        </w:sectPr>
      </w:pPr>
    </w:p>
    <w:bookmarkStart w:id="121" w:name="page122"/>
    <w:bookmarkEnd w:id="12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undersigned has executed this Solvency Certificate on the date first written above.</w:t>
      </w:r>
    </w:p>
    <w:p>
      <w:pPr>
        <w:spacing w:after="0" w:line="26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NASDAQ, INC.</w:t>
      </w:r>
    </w:p>
    <w:p>
      <w:pPr>
        <w:spacing w:after="0" w:line="225"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14605</wp:posOffset>
            </wp:positionV>
            <wp:extent cx="245173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right"/>
        <w:ind w:right="679"/>
        <w:spacing w:after="0"/>
        <w:rPr>
          <w:sz w:val="20"/>
          <w:szCs w:val="20"/>
          <w:color w:val="auto"/>
        </w:rPr>
      </w:pPr>
      <w:r>
        <w:rPr>
          <w:rFonts w:ascii="Arial" w:cs="Arial" w:eastAsia="Arial" w:hAnsi="Arial"/>
          <w:sz w:val="18"/>
          <w:szCs w:val="18"/>
          <w:color w:val="auto"/>
        </w:rPr>
        <w:t>Title:  Chief Financial Officer</w:t>
      </w:r>
    </w:p>
    <w:sectPr>
      <w:pgSz w:w="11900" w:h="16838" w:orient="portrait"/>
      <w:cols w:equalWidth="0" w:num="1">
        <w:col w:w="9579"/>
      </w:cols>
      <w:pgMar w:left="88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BA5D23"/>
    <w:multiLevelType w:val="hybridMultilevel"/>
    <w:lvl w:ilvl="0">
      <w:lvlJc w:val="left"/>
      <w:lvlText w:val="☐"/>
      <w:numFmt w:val="bullet"/>
      <w:start w:val="1"/>
    </w:lvl>
  </w:abstractNum>
  <w:abstractNum w:abstractNumId="1">
    <w:nsid w:val="661E3F1E"/>
    <w:multiLevelType w:val="hybridMultilevel"/>
    <w:lvl w:ilvl="0">
      <w:lvlJc w:val="left"/>
      <w:lvlText w:val="(%1)"/>
      <w:numFmt w:val="lowerLetter"/>
      <w:start w:val="1"/>
    </w:lvl>
  </w:abstractNum>
  <w:abstractNum w:abstractNumId="2">
    <w:nsid w:val="5DC79EA8"/>
    <w:multiLevelType w:val="hybridMultilevel"/>
    <w:lvl w:ilvl="0">
      <w:lvlJc w:val="left"/>
      <w:lvlText w:val="(%1)"/>
      <w:numFmt w:val="lowerLetter"/>
      <w:start w:val="1"/>
    </w:lvl>
  </w:abstractNum>
  <w:abstractNum w:abstractNumId="3">
    <w:nsid w:val="540A471C"/>
    <w:multiLevelType w:val="hybridMultilevel"/>
    <w:lvl w:ilvl="0">
      <w:lvlJc w:val="left"/>
      <w:lvlText w:val="(%1)"/>
      <w:numFmt w:val="lowerLetter"/>
      <w:start w:val="1"/>
    </w:lvl>
  </w:abstractNum>
  <w:abstractNum w:abstractNumId="4">
    <w:nsid w:val="7BD3EE7B"/>
    <w:multiLevelType w:val="hybridMultilevel"/>
    <w:lvl w:ilvl="0">
      <w:lvlJc w:val="left"/>
      <w:lvlText w:val="%1"/>
      <w:numFmt w:val="lowerLetter"/>
      <w:start w:val="1"/>
    </w:lvl>
    <w:lvl w:ilvl="1">
      <w:lvlJc w:val="left"/>
      <w:lvlText w:val="(%2)"/>
      <w:numFmt w:val="lowerLetter"/>
      <w:start w:val="1"/>
    </w:lvl>
  </w:abstractNum>
  <w:abstractNum w:abstractNumId="5">
    <w:nsid w:val="51D9C564"/>
    <w:multiLevelType w:val="hybridMultilevel"/>
    <w:lvl w:ilvl="0">
      <w:lvlJc w:val="left"/>
      <w:lvlText w:val="(%1)"/>
      <w:numFmt w:val="lowerLetter"/>
      <w:start w:val="35"/>
    </w:lvl>
    <w:lvl w:ilvl="1">
      <w:lvlJc w:val="left"/>
      <w:lvlText w:val="(%2)"/>
      <w:numFmt w:val="lowerLetter"/>
      <w:start w:val="2"/>
    </w:lvl>
  </w:abstractNum>
  <w:abstractNum w:abstractNumId="6">
    <w:nsid w:val="613EFDC5"/>
    <w:multiLevelType w:val="hybridMultilevel"/>
    <w:lvl w:ilvl="0">
      <w:lvlJc w:val="left"/>
      <w:lvlText w:val="\ldblquote"/>
      <w:numFmt w:val="bullet"/>
      <w:start w:val="1"/>
    </w:lvl>
  </w:abstractNum>
  <w:abstractNum w:abstractNumId="7">
    <w:nsid w:val="BF72B14"/>
    <w:multiLevelType w:val="hybridMultilevel"/>
    <w:lvl w:ilvl="0">
      <w:lvlJc w:val="left"/>
      <w:lvlText w:val="(%1)"/>
      <w:numFmt w:val="lowerLetter"/>
      <w:start w:val="1"/>
    </w:lvl>
  </w:abstractNum>
  <w:abstractNum w:abstractNumId="8">
    <w:nsid w:val="11447B73"/>
    <w:multiLevelType w:val="hybridMultilevel"/>
    <w:lvl w:ilvl="0">
      <w:lvlJc w:val="left"/>
      <w:lvlText w:val="%1"/>
      <w:numFmt w:val="lowerLetter"/>
      <w:start w:val="1"/>
    </w:lvl>
    <w:lvl w:ilvl="1">
      <w:lvlJc w:val="left"/>
      <w:lvlText w:val="(%2)"/>
      <w:numFmt w:val="lowerLetter"/>
      <w:start w:val="1"/>
    </w:lvl>
  </w:abstractNum>
  <w:abstractNum w:abstractNumId="9">
    <w:nsid w:val="42963E5A"/>
    <w:multiLevelType w:val="hybridMultilevel"/>
    <w:lvl w:ilvl="0">
      <w:lvlJc w:val="left"/>
      <w:lvlText w:val="(%1)"/>
      <w:numFmt w:val="lowerLetter"/>
      <w:start w:val="61"/>
    </w:lvl>
    <w:lvl w:ilvl="1">
      <w:lvlJc w:val="left"/>
      <w:lvlText w:val="(%2)"/>
      <w:numFmt w:val="lowerLetter"/>
      <w:start w:val="3"/>
    </w:lvl>
  </w:abstractNum>
  <w:abstractNum w:abstractNumId="10">
    <w:nsid w:val="A0382C5"/>
    <w:multiLevelType w:val="hybridMultilevel"/>
    <w:lvl w:ilvl="0">
      <w:lvlJc w:val="left"/>
      <w:lvlText w:val="(%1)"/>
      <w:numFmt w:val="lowerLetter"/>
      <w:start w:val="1"/>
    </w:lvl>
  </w:abstractNum>
  <w:abstractNum w:abstractNumId="11">
    <w:nsid w:val="8F2B15E"/>
    <w:multiLevelType w:val="hybridMultilevel"/>
    <w:lvl w:ilvl="0">
      <w:lvlJc w:val="left"/>
      <w:lvlText w:val="(%1)"/>
      <w:numFmt w:val="lowerLetter"/>
      <w:start w:val="3"/>
    </w:lvl>
  </w:abstractNum>
  <w:abstractNum w:abstractNumId="12">
    <w:nsid w:val="1A32234B"/>
    <w:multiLevelType w:val="hybridMultilevel"/>
    <w:lvl w:ilvl="0">
      <w:lvlJc w:val="left"/>
      <w:lvlText w:val="(%1)"/>
      <w:numFmt w:val="lowerLetter"/>
      <w:start w:val="1"/>
    </w:lvl>
  </w:abstractNum>
  <w:abstractNum w:abstractNumId="13">
    <w:nsid w:val="3B0FD379"/>
    <w:multiLevelType w:val="hybridMultilevel"/>
    <w:lvl w:ilvl="0">
      <w:lvlJc w:val="left"/>
      <w:lvlText w:val="(%1)"/>
      <w:numFmt w:val="lowerLetter"/>
      <w:start w:val="1"/>
    </w:lvl>
  </w:abstractNum>
  <w:abstractNum w:abstractNumId="14">
    <w:nsid w:val="68EB2F63"/>
    <w:multiLevelType w:val="hybridMultilevel"/>
    <w:lvl w:ilvl="0">
      <w:lvlJc w:val="left"/>
      <w:lvlText w:val="(%1)"/>
      <w:numFmt w:val="lowerLetter"/>
      <w:start w:val="5"/>
    </w:lvl>
  </w:abstractNum>
  <w:abstractNum w:abstractNumId="15">
    <w:nsid w:val="4962813B"/>
    <w:multiLevelType w:val="hybridMultilevel"/>
    <w:lvl w:ilvl="0">
      <w:lvlJc w:val="left"/>
      <w:lvlText w:val="(%1)"/>
      <w:numFmt w:val="lowerLetter"/>
      <w:start w:val="10"/>
    </w:lvl>
  </w:abstractNum>
  <w:abstractNum w:abstractNumId="16">
    <w:nsid w:val="60B6DF70"/>
    <w:multiLevelType w:val="hybridMultilevel"/>
    <w:lvl w:ilvl="0">
      <w:lvlJc w:val="left"/>
      <w:lvlText w:val="(%1)"/>
      <w:numFmt w:val="lowerRoman"/>
      <w:start w:val="10"/>
    </w:lvl>
  </w:abstractNum>
  <w:abstractNum w:abstractNumId="17">
    <w:nsid w:val="6A5EE64"/>
    <w:multiLevelType w:val="hybridMultilevel"/>
    <w:lvl w:ilvl="0">
      <w:lvlJc w:val="left"/>
      <w:lvlText w:val="(%1)"/>
      <w:numFmt w:val="lowerRoman"/>
      <w:start w:val="2"/>
    </w:lvl>
  </w:abstractNum>
  <w:abstractNum w:abstractNumId="18">
    <w:nsid w:val="14330624"/>
    <w:multiLevelType w:val="hybridMultilevel"/>
    <w:lvl w:ilvl="0">
      <w:lvlJc w:val="left"/>
      <w:lvlText w:val="(%1)"/>
      <w:numFmt w:val="lowerRoman"/>
      <w:start w:val="2"/>
    </w:lvl>
  </w:abstractNum>
  <w:abstractNum w:abstractNumId="19">
    <w:nsid w:val="7FFFCA11"/>
    <w:multiLevelType w:val="hybridMultilevel"/>
    <w:lvl w:ilvl="0">
      <w:lvlJc w:val="left"/>
      <w:lvlText w:val="(%1)"/>
      <w:numFmt w:val="lowerLetter"/>
      <w:start w:val="1"/>
    </w:lvl>
  </w:abstractNum>
  <w:abstractNum w:abstractNumId="20">
    <w:nsid w:val="1A27709E"/>
    <w:multiLevelType w:val="hybridMultilevel"/>
    <w:lvl w:ilvl="0">
      <w:lvlJc w:val="left"/>
      <w:lvlText w:val="(%1)"/>
      <w:numFmt w:val="lowerLetter"/>
      <w:start w:val="5"/>
    </w:lvl>
  </w:abstractNum>
  <w:abstractNum w:abstractNumId="21">
    <w:nsid w:val="71EA1109"/>
    <w:multiLevelType w:val="hybridMultilevel"/>
    <w:lvl w:ilvl="0">
      <w:lvlJc w:val="left"/>
      <w:lvlText w:val="(%1)"/>
      <w:numFmt w:val="lowerLetter"/>
      <w:start w:val="1"/>
    </w:lvl>
  </w:abstractNum>
  <w:abstractNum w:abstractNumId="22">
    <w:nsid w:val="100F59DC"/>
    <w:multiLevelType w:val="hybridMultilevel"/>
    <w:lvl w:ilvl="0">
      <w:lvlJc w:val="left"/>
      <w:lvlText w:val="(%1)"/>
      <w:numFmt w:val="lowerRoman"/>
      <w:start w:val="3"/>
    </w:lvl>
  </w:abstractNum>
  <w:abstractNum w:abstractNumId="23">
    <w:nsid w:val="7FB7E0AA"/>
    <w:multiLevelType w:val="hybridMultilevel"/>
    <w:lvl w:ilvl="0">
      <w:lvlJc w:val="left"/>
      <w:lvlText w:val="(%1)"/>
      <w:numFmt w:val="lowerRoman"/>
      <w:start w:val="3"/>
    </w:lvl>
  </w:abstractNum>
  <w:abstractNum w:abstractNumId="24">
    <w:nsid w:val="6EB5BD4"/>
    <w:multiLevelType w:val="hybridMultilevel"/>
    <w:lvl w:ilvl="0">
      <w:lvlJc w:val="left"/>
      <w:lvlText w:val="\ldblquote"/>
      <w:numFmt w:val="bullet"/>
      <w:start w:val="1"/>
    </w:lvl>
  </w:abstractNum>
  <w:abstractNum w:abstractNumId="25">
    <w:nsid w:val="6F6DD9AC"/>
    <w:multiLevelType w:val="hybridMultilevel"/>
    <w:lvl w:ilvl="0">
      <w:lvlJc w:val="left"/>
      <w:lvlText w:val="(%1)"/>
      <w:numFmt w:val="lowerLetter"/>
      <w:start w:val="1"/>
    </w:lvl>
  </w:abstractNum>
  <w:abstractNum w:abstractNumId="26">
    <w:nsid w:val="94211F2"/>
    <w:multiLevelType w:val="hybridMultilevel"/>
    <w:lvl w:ilvl="0">
      <w:lvlJc w:val="left"/>
      <w:lvlText w:val="\ldblquote"/>
      <w:numFmt w:val="bullet"/>
      <w:start w:val="1"/>
    </w:lvl>
  </w:abstractNum>
  <w:abstractNum w:abstractNumId="27">
    <w:nsid w:val="885E1B"/>
    <w:multiLevelType w:val="hybridMultilevel"/>
    <w:lvl w:ilvl="0">
      <w:lvlJc w:val="left"/>
      <w:lvlText w:val="(%1)"/>
      <w:numFmt w:val="lowerLetter"/>
      <w:start w:val="1"/>
    </w:lvl>
  </w:abstractNum>
  <w:abstractNum w:abstractNumId="28">
    <w:nsid w:val="76272110"/>
    <w:multiLevelType w:val="hybridMultilevel"/>
    <w:lvl w:ilvl="0">
      <w:lvlJc w:val="left"/>
      <w:lvlText w:val="(%1)"/>
      <w:numFmt w:val="lowerLetter"/>
      <w:start w:val="2"/>
    </w:lvl>
  </w:abstractNum>
  <w:abstractNum w:abstractNumId="29">
    <w:nsid w:val="4C04A8AF"/>
    <w:multiLevelType w:val="hybridMultilevel"/>
    <w:lvl w:ilvl="0">
      <w:lvlJc w:val="left"/>
      <w:lvlText w:val="(%1)"/>
      <w:numFmt w:val="lowerLetter"/>
      <w:start w:val="1"/>
    </w:lvl>
  </w:abstractNum>
  <w:abstractNum w:abstractNumId="30">
    <w:nsid w:val="1716703B"/>
    <w:multiLevelType w:val="hybridMultilevel"/>
    <w:lvl w:ilvl="0">
      <w:lvlJc w:val="left"/>
      <w:lvlText w:val="(%1)"/>
      <w:numFmt w:val="lowerLetter"/>
      <w:start w:val="3"/>
    </w:lvl>
  </w:abstractNum>
  <w:abstractNum w:abstractNumId="31">
    <w:nsid w:val="14E17E33"/>
    <w:multiLevelType w:val="hybridMultilevel"/>
    <w:lvl w:ilvl="0">
      <w:lvlJc w:val="left"/>
      <w:lvlText w:val="(%1)"/>
      <w:numFmt w:val="lowerLetter"/>
      <w:start w:val="1"/>
    </w:lvl>
  </w:abstractNum>
  <w:abstractNum w:abstractNumId="32">
    <w:nsid w:val="3222E7CD"/>
    <w:multiLevelType w:val="hybridMultilevel"/>
    <w:lvl w:ilvl="0">
      <w:lvlJc w:val="left"/>
      <w:lvlText w:val="(%1)"/>
      <w:numFmt w:val="lowerRoman"/>
      <w:start w:val="2"/>
    </w:lvl>
  </w:abstractNum>
  <w:abstractNum w:abstractNumId="33">
    <w:nsid w:val="74DE0EE3"/>
    <w:multiLevelType w:val="hybridMultilevel"/>
    <w:lvl w:ilvl="0">
      <w:lvlJc w:val="left"/>
      <w:lvlText w:val="(%1)"/>
      <w:numFmt w:val="lowerLetter"/>
      <w:start w:val="1"/>
    </w:lvl>
  </w:abstractNum>
  <w:abstractNum w:abstractNumId="34">
    <w:nsid w:val="68EBC550"/>
    <w:multiLevelType w:val="hybridMultilevel"/>
    <w:lvl w:ilvl="0">
      <w:lvlJc w:val="left"/>
      <w:lvlText w:val="(%1)"/>
      <w:numFmt w:val="lowerLetter"/>
      <w:start w:val="2"/>
    </w:lvl>
  </w:abstractNum>
  <w:abstractNum w:abstractNumId="35">
    <w:nsid w:val="2DF6D648"/>
    <w:multiLevelType w:val="hybridMultilevel"/>
    <w:lvl w:ilvl="0">
      <w:lvlJc w:val="left"/>
      <w:lvlText w:val="(%1)"/>
      <w:numFmt w:val="lowerLetter"/>
      <w:start w:val="5"/>
    </w:lvl>
  </w:abstractNum>
  <w:abstractNum w:abstractNumId="36">
    <w:nsid w:val="46B7D447"/>
    <w:multiLevelType w:val="hybridMultilevel"/>
    <w:lvl w:ilvl="0">
      <w:lvlJc w:val="left"/>
      <w:lvlText w:val="(%1)"/>
      <w:numFmt w:val="lowerLetter"/>
      <w:start w:val="1"/>
    </w:lvl>
  </w:abstractNum>
  <w:abstractNum w:abstractNumId="37">
    <w:nsid w:val="4A2AC315"/>
    <w:multiLevelType w:val="hybridMultilevel"/>
    <w:lvl w:ilvl="0">
      <w:lvlJc w:val="left"/>
      <w:lvlText w:val="(%1)"/>
      <w:numFmt w:val="lowerLetter"/>
      <w:start w:val="2"/>
    </w:lvl>
  </w:abstractNum>
  <w:abstractNum w:abstractNumId="38">
    <w:nsid w:val="39EE015C"/>
    <w:multiLevelType w:val="hybridMultilevel"/>
    <w:lvl w:ilvl="0">
      <w:lvlJc w:val="left"/>
      <w:lvlText w:val="(%1)"/>
      <w:numFmt w:val="lowerLetter"/>
      <w:start w:val="1"/>
    </w:lvl>
  </w:abstractNum>
  <w:abstractNum w:abstractNumId="39">
    <w:nsid w:val="57FC4FBB"/>
    <w:multiLevelType w:val="hybridMultilevel"/>
    <w:lvl w:ilvl="0">
      <w:lvlJc w:val="left"/>
      <w:lvlText w:val="(%1)"/>
      <w:numFmt w:val="lowerRoman"/>
      <w:start w:val="1"/>
    </w:lvl>
  </w:abstractNum>
  <w:abstractNum w:abstractNumId="40">
    <w:nsid w:val="CC1016F"/>
    <w:multiLevelType w:val="hybridMultilevel"/>
    <w:lvl w:ilvl="0">
      <w:lvlJc w:val="left"/>
      <w:lvlText w:val="(%1)"/>
      <w:numFmt w:val="lowerRoman"/>
      <w:start w:val="2"/>
    </w:lvl>
    <w:lvl w:ilvl="1">
      <w:lvlJc w:val="left"/>
      <w:lvlText w:val="(%2)"/>
      <w:numFmt w:val="lowerRoman"/>
      <w:start w:val="2"/>
    </w:lvl>
    <w:lvl w:ilvl="2">
      <w:lvlJc w:val="left"/>
      <w:lvlText w:val="(%3)"/>
      <w:numFmt w:val="decimal"/>
      <w:start w:val="1"/>
    </w:lvl>
  </w:abstractNum>
  <w:abstractNum w:abstractNumId="41">
    <w:nsid w:val="43F18422"/>
    <w:multiLevelType w:val="hybridMultilevel"/>
    <w:lvl w:ilvl="0">
      <w:lvlJc w:val="left"/>
      <w:lvlText w:val="%1"/>
      <w:numFmt w:val="upperLetter"/>
      <w:start w:val="1"/>
    </w:lvl>
    <w:lvl w:ilvl="1">
      <w:lvlJc w:val="left"/>
      <w:lvlText w:val="(%2)"/>
      <w:numFmt w:val="lowerRoman"/>
      <w:start w:val="7"/>
    </w:lvl>
  </w:abstractNum>
  <w:abstractNum w:abstractNumId="42">
    <w:nsid w:val="60EF0119"/>
    <w:multiLevelType w:val="hybridMultilevel"/>
    <w:lvl w:ilvl="0">
      <w:lvlJc w:val="left"/>
      <w:lvlText w:val="(%1)"/>
      <w:numFmt w:val="upperLetter"/>
      <w:start w:val="1"/>
    </w:lvl>
    <w:lvl w:ilvl="1">
      <w:lvlJc w:val="left"/>
      <w:lvlText w:val="(%2)"/>
      <w:numFmt w:val="lowerRoman"/>
      <w:start w:val="9"/>
    </w:lvl>
  </w:abstractNum>
  <w:abstractNum w:abstractNumId="43">
    <w:nsid w:val="26F324BA"/>
    <w:multiLevelType w:val="hybridMultilevel"/>
    <w:lvl w:ilvl="0">
      <w:lvlJc w:val="left"/>
      <w:lvlText w:val="(%1)"/>
      <w:numFmt w:val="lowerRoman"/>
      <w:start w:val="11"/>
    </w:lvl>
  </w:abstractNum>
  <w:abstractNum w:abstractNumId="44">
    <w:nsid w:val="7F01579B"/>
    <w:multiLevelType w:val="hybridMultilevel"/>
    <w:lvl w:ilvl="0">
      <w:lvlJc w:val="left"/>
      <w:lvlText w:val="(%1)"/>
      <w:numFmt w:val="lowerRoman"/>
      <w:start w:val="15"/>
    </w:lvl>
  </w:abstractNum>
  <w:abstractNum w:abstractNumId="45">
    <w:nsid w:val="49DA307D"/>
    <w:multiLevelType w:val="hybridMultilevel"/>
    <w:lvl w:ilvl="0">
      <w:lvlJc w:val="left"/>
      <w:lvlText w:val="(%1)"/>
      <w:numFmt w:val="lowerLetter"/>
      <w:start w:val="2"/>
    </w:lvl>
  </w:abstractNum>
  <w:abstractNum w:abstractNumId="46">
    <w:nsid w:val="7055A5F5"/>
    <w:multiLevelType w:val="hybridMultilevel"/>
    <w:lvl w:ilvl="0">
      <w:lvlJc w:val="left"/>
      <w:lvlText w:val="(%1)"/>
      <w:numFmt w:val="lowerRoman"/>
      <w:start w:val="1"/>
    </w:lvl>
  </w:abstractNum>
  <w:abstractNum w:abstractNumId="47">
    <w:nsid w:val="5FB8370B"/>
    <w:multiLevelType w:val="hybridMultilevel"/>
    <w:lvl w:ilvl="0">
      <w:lvlJc w:val="left"/>
      <w:lvlText w:val="(%1)"/>
      <w:numFmt w:val="lowerLetter"/>
      <w:start w:val="3"/>
    </w:lvl>
    <w:lvl w:ilvl="1">
      <w:lvlJc w:val="left"/>
      <w:lvlText w:val="(%2)"/>
      <w:numFmt w:val="upperLetter"/>
      <w:start w:val="1"/>
    </w:lvl>
  </w:abstractNum>
  <w:abstractNum w:abstractNumId="48">
    <w:nsid w:val="50801EE1"/>
    <w:multiLevelType w:val="hybridMultilevel"/>
    <w:lvl w:ilvl="0">
      <w:lvlJc w:val="left"/>
      <w:lvlText w:val="(%1)"/>
      <w:numFmt w:val="lowerLetter"/>
      <w:start w:val="4"/>
    </w:lvl>
  </w:abstractNum>
  <w:abstractNum w:abstractNumId="49">
    <w:nsid w:val="488AC1A"/>
    <w:multiLevelType w:val="hybridMultilevel"/>
    <w:lvl w:ilvl="0">
      <w:lvlJc w:val="left"/>
      <w:lvlText w:val="%1"/>
      <w:numFmt w:val="lowerLetter"/>
      <w:start w:val="1"/>
    </w:lvl>
    <w:lvl w:ilvl="1">
      <w:lvlJc w:val="left"/>
      <w:lvlText w:val="(%2)"/>
      <w:numFmt w:val="lowerLetter"/>
      <w:start w:val="5"/>
    </w:lvl>
  </w:abstractNum>
  <w:abstractNum w:abstractNumId="50">
    <w:nsid w:val="5FB8011C"/>
    <w:multiLevelType w:val="hybridMultilevel"/>
    <w:lvl w:ilvl="0">
      <w:lvlJc w:val="left"/>
      <w:lvlText w:val="(%1)"/>
      <w:numFmt w:val="lowerLetter"/>
      <w:start w:val="35"/>
    </w:lvl>
    <w:lvl w:ilvl="1">
      <w:lvlJc w:val="left"/>
      <w:lvlText w:val="(%2)"/>
      <w:numFmt w:val="lowerLetter"/>
      <w:start w:val="6"/>
    </w:lvl>
  </w:abstractNum>
  <w:abstractNum w:abstractNumId="51">
    <w:nsid w:val="6AA78F7F"/>
    <w:multiLevelType w:val="hybridMultilevel"/>
    <w:lvl w:ilvl="0">
      <w:lvlJc w:val="left"/>
      <w:lvlText w:val="(%1)"/>
      <w:numFmt w:val="lowerLetter"/>
      <w:start w:val="7"/>
    </w:lvl>
  </w:abstractNum>
  <w:abstractNum w:abstractNumId="52">
    <w:nsid w:val="7672BD23"/>
    <w:multiLevelType w:val="hybridMultilevel"/>
    <w:lvl w:ilvl="0">
      <w:lvlJc w:val="left"/>
      <w:lvlText w:val="(%1)"/>
      <w:numFmt w:val="lowerLetter"/>
      <w:start w:val="1"/>
    </w:lvl>
  </w:abstractNum>
  <w:abstractNum w:abstractNumId="53">
    <w:nsid w:val="6FC75AF8"/>
    <w:multiLevelType w:val="hybridMultilevel"/>
    <w:lvl w:ilvl="0">
      <w:lvlJc w:val="left"/>
      <w:lvlText w:val="%1"/>
      <w:numFmt w:val="lowerLetter"/>
      <w:start w:val="1"/>
    </w:lvl>
    <w:lvl w:ilvl="1">
      <w:lvlJc w:val="left"/>
      <w:lvlText w:val="(%2)"/>
      <w:numFmt w:val="lowerLetter"/>
      <w:start w:val="1"/>
    </w:lvl>
  </w:abstractNum>
  <w:abstractNum w:abstractNumId="54">
    <w:nsid w:val="6A5F7029"/>
    <w:multiLevelType w:val="hybridMultilevel"/>
    <w:lvl w:ilvl="0">
      <w:lvlJc w:val="left"/>
      <w:lvlText w:val="(%1)"/>
      <w:numFmt w:val="lowerLetter"/>
      <w:start w:val="9"/>
    </w:lvl>
    <w:lvl w:ilvl="1">
      <w:lvlJc w:val="left"/>
      <w:lvlText w:val="(%2)"/>
      <w:numFmt w:val="lowerLetter"/>
      <w:start w:val="4"/>
    </w:lvl>
  </w:abstractNum>
  <w:abstractNum w:abstractNumId="55">
    <w:nsid w:val="7D5E18F8"/>
    <w:multiLevelType w:val="hybridMultilevel"/>
    <w:lvl w:ilvl="0">
      <w:lvlJc w:val="left"/>
      <w:lvlText w:val="(%1)"/>
      <w:numFmt w:val="lowerLetter"/>
      <w:start w:val="1"/>
    </w:lvl>
  </w:abstractNum>
  <w:abstractNum w:abstractNumId="56">
    <w:nsid w:val="5F3534A4"/>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57">
    <w:nsid w:val="73A1821B"/>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58">
    <w:nsid w:val="7DE67713"/>
    <w:multiLevelType w:val="hybridMultilevel"/>
    <w:lvl w:ilvl="0">
      <w:lvlJc w:val="left"/>
      <w:lvlText w:val="(%1)"/>
      <w:numFmt w:val="lowerLetter"/>
      <w:start w:val="1"/>
    </w:lvl>
  </w:abstractNum>
  <w:abstractNum w:abstractNumId="59">
    <w:nsid w:val="555C55B5"/>
    <w:multiLevelType w:val="hybridMultilevel"/>
    <w:lvl w:ilvl="0">
      <w:lvlJc w:val="left"/>
      <w:lvlText w:val="(%1)"/>
      <w:numFmt w:val="lowerLetter"/>
      <w:start w:val="2"/>
    </w:lvl>
  </w:abstractNum>
  <w:abstractNum w:abstractNumId="60">
    <w:nsid w:val="3FA62ACA"/>
    <w:multiLevelType w:val="hybridMultilevel"/>
    <w:lvl w:ilvl="0">
      <w:lvlJc w:val="left"/>
      <w:lvlText w:val="(%1)"/>
      <w:numFmt w:val="lowerLetter"/>
      <w:start w:val="1"/>
    </w:lvl>
  </w:abstractNum>
  <w:abstractNum w:abstractNumId="61">
    <w:nsid w:val="14FCE74E"/>
    <w:multiLevelType w:val="hybridMultilevel"/>
    <w:lvl w:ilvl="0">
      <w:lvlJc w:val="left"/>
      <w:lvlText w:val="(%1)"/>
      <w:numFmt w:val="lowerLetter"/>
      <w:start w:val="1"/>
    </w:lvl>
    <w:lvl w:ilvl="1">
      <w:lvlJc w:val="left"/>
      <w:lvlText w:val="(%2)"/>
      <w:numFmt w:val="lowerLetter"/>
      <w:start w:val="9"/>
    </w:lvl>
  </w:abstractNum>
  <w:abstractNum w:abstractNumId="62">
    <w:nsid w:val="6A3DD3E8"/>
    <w:multiLevelType w:val="hybridMultilevel"/>
    <w:lvl w:ilvl="0">
      <w:lvlJc w:val="left"/>
      <w:lvlText w:val="(%1)"/>
      <w:numFmt w:val="lowerRoman"/>
      <w:start w:val="2"/>
    </w:lvl>
  </w:abstractNum>
  <w:abstractNum w:abstractNumId="63">
    <w:nsid w:val="71C91298"/>
    <w:multiLevelType w:val="hybridMultilevel"/>
    <w:lvl w:ilvl="0">
      <w:lvlJc w:val="left"/>
      <w:lvlText w:val="(%1)"/>
      <w:numFmt w:val="lowerLetter"/>
      <w:start w:val="2"/>
    </w:lvl>
  </w:abstractNum>
  <w:abstractNum w:abstractNumId="64">
    <w:nsid w:val="9DAF632"/>
    <w:multiLevelType w:val="hybridMultilevel"/>
    <w:lvl w:ilvl="0">
      <w:lvlJc w:val="left"/>
      <w:lvlText w:val="(%1)"/>
      <w:numFmt w:val="lowerLetter"/>
      <w:start w:val="1"/>
    </w:lvl>
    <w:lvl w:ilvl="1">
      <w:lvlJc w:val="left"/>
      <w:lvlText w:val="(%2)"/>
      <w:numFmt w:val="lowerRoman"/>
      <w:start w:val="1"/>
    </w:lvl>
  </w:abstractNum>
  <w:abstractNum w:abstractNumId="65">
    <w:nsid w:val="53299938"/>
    <w:multiLevelType w:val="hybridMultilevel"/>
    <w:lvl w:ilvl="0">
      <w:lvlJc w:val="left"/>
      <w:lvlText w:val="(%1)"/>
      <w:numFmt w:val="lowerLetter"/>
      <w:start w:val="2"/>
    </w:lvl>
  </w:abstractNum>
  <w:abstractNum w:abstractNumId="66">
    <w:nsid w:val="1FBFE8E0"/>
    <w:multiLevelType w:val="hybridMultilevel"/>
    <w:lvl w:ilvl="0">
      <w:lvlJc w:val="left"/>
      <w:lvlText w:val="%1"/>
      <w:numFmt w:val="lowerLetter"/>
      <w:start w:val="1"/>
    </w:lvl>
    <w:lvl w:ilvl="1">
      <w:lvlJc w:val="left"/>
      <w:lvlText w:val="(%2)"/>
      <w:numFmt w:val="lowerLetter"/>
      <w:start w:val="1"/>
    </w:lvl>
  </w:abstractNum>
  <w:abstractNum w:abstractNumId="67">
    <w:nsid w:val="5092CA79"/>
    <w:multiLevelType w:val="hybridMultilevel"/>
    <w:lvl w:ilvl="0">
      <w:lvlJc w:val="left"/>
      <w:lvlText w:val="(%1)"/>
      <w:numFmt w:val="lowerLetter"/>
      <w:start w:val="35"/>
    </w:lvl>
    <w:lvl w:ilvl="1">
      <w:lvlJc w:val="left"/>
      <w:lvlText w:val="(%2)"/>
      <w:numFmt w:val="lowerLetter"/>
      <w:start w:val="2"/>
    </w:lvl>
  </w:abstractNum>
  <w:abstractNum w:abstractNumId="68">
    <w:nsid w:val="1D545C4D"/>
    <w:multiLevelType w:val="hybridMultilevel"/>
    <w:lvl w:ilvl="0">
      <w:lvlJc w:val="left"/>
      <w:lvlText w:val="(%1)"/>
      <w:numFmt w:val="lowerLetter"/>
      <w:start w:val="4"/>
    </w:lvl>
  </w:abstractNum>
  <w:abstractNum w:abstractNumId="69">
    <w:nsid w:val="59ADEA3D"/>
    <w:multiLevelType w:val="hybridMultilevel"/>
    <w:lvl w:ilvl="0">
      <w:lvlJc w:val="left"/>
      <w:lvlText w:val="(%1)"/>
      <w:numFmt w:val="lowerRoman"/>
      <w:start w:val="2"/>
    </w:lvl>
    <w:lvl w:ilvl="1">
      <w:lvlJc w:val="left"/>
      <w:lvlText w:val="(%2)"/>
      <w:numFmt w:val="upperLetter"/>
      <w:start w:val="1"/>
    </w:lvl>
  </w:abstractNum>
  <w:abstractNum w:abstractNumId="70">
    <w:nsid w:val="288F1A34"/>
    <w:multiLevelType w:val="hybridMultilevel"/>
    <w:lvl w:ilvl="0">
      <w:lvlJc w:val="left"/>
      <w:lvlText w:val="(%1)"/>
      <w:numFmt w:val="lowerRoman"/>
      <w:start w:val="4"/>
    </w:lvl>
  </w:abstractNum>
  <w:abstractNum w:abstractNumId="71">
    <w:nsid w:val="2A155DBC"/>
    <w:multiLevelType w:val="hybridMultilevel"/>
    <w:lvl w:ilvl="0">
      <w:lvlJc w:val="left"/>
      <w:lvlText w:val="(%1)"/>
      <w:numFmt w:val="lowerLetter"/>
      <w:start w:val="6"/>
    </w:lvl>
  </w:abstractNum>
  <w:abstractNum w:abstractNumId="72">
    <w:nsid w:val="1D9F6E5F"/>
    <w:multiLevelType w:val="hybridMultilevel"/>
    <w:lvl w:ilvl="0">
      <w:lvlJc w:val="left"/>
      <w:lvlText w:val="(%1)"/>
      <w:numFmt w:val="lowerLetter"/>
      <w:start w:val="8"/>
    </w:lvl>
  </w:abstractNum>
  <w:abstractNum w:abstractNumId="73">
    <w:nsid w:val="97E1B4E"/>
    <w:multiLevelType w:val="hybridMultilevel"/>
    <w:lvl w:ilvl="0">
      <w:lvlJc w:val="left"/>
      <w:lvlText w:val="(%1)"/>
      <w:numFmt w:val="lowerLetter"/>
      <w:start w:val="1"/>
    </w:lvl>
  </w:abstractNum>
  <w:abstractNum w:abstractNumId="74">
    <w:nsid w:val="51088277"/>
    <w:multiLevelType w:val="hybridMultilevel"/>
    <w:lvl w:ilvl="0">
      <w:lvlJc w:val="left"/>
      <w:lvlText w:val="(%1)"/>
      <w:numFmt w:val="lowerLetter"/>
      <w:start w:val="2"/>
    </w:lvl>
  </w:abstractNum>
  <w:abstractNum w:abstractNumId="75">
    <w:nsid w:val="1CA0C5FA"/>
    <w:multiLevelType w:val="hybridMultilevel"/>
    <w:lvl w:ilvl="0">
      <w:lvlJc w:val="left"/>
      <w:lvlText w:val="(%1)"/>
      <w:numFmt w:val="lowerLetter"/>
      <w:start w:val="5"/>
    </w:lvl>
  </w:abstractNum>
  <w:abstractNum w:abstractNumId="76">
    <w:nsid w:val="53584BCB"/>
    <w:multiLevelType w:val="hybridMultilevel"/>
    <w:lvl w:ilvl="0">
      <w:lvlJc w:val="left"/>
      <w:lvlText w:val="(%1)"/>
      <w:numFmt w:val="lowerLetter"/>
      <w:start w:val="1"/>
    </w:lvl>
  </w:abstractNum>
  <w:abstractNum w:abstractNumId="77">
    <w:nsid w:val="415E286C"/>
    <w:multiLevelType w:val="hybridMultilevel"/>
    <w:lvl w:ilvl="0">
      <w:lvlJc w:val="left"/>
      <w:lvlText w:val="(%1)"/>
      <w:numFmt w:val="lowerLetter"/>
      <w:start w:val="1"/>
    </w:lvl>
  </w:abstractNum>
  <w:abstractNum w:abstractNumId="78">
    <w:nsid w:val="7C58FD05"/>
    <w:multiLevelType w:val="hybridMultilevel"/>
    <w:lvl w:ilvl="0">
      <w:lvlJc w:val="left"/>
      <w:lvlText w:val="(%1)"/>
      <w:numFmt w:val="lowerLetter"/>
      <w:start w:val="1"/>
    </w:lvl>
  </w:abstractNum>
  <w:abstractNum w:abstractNumId="79">
    <w:nsid w:val="23D86AAC"/>
    <w:multiLevelType w:val="hybridMultilevel"/>
    <w:lvl w:ilvl="0">
      <w:lvlJc w:val="left"/>
      <w:lvlText w:val="(%1)"/>
      <w:numFmt w:val="lowerLetter"/>
      <w:start w:val="1"/>
    </w:lvl>
  </w:abstractNum>
  <w:abstractNum w:abstractNumId="80">
    <w:nsid w:val="45E6D486"/>
    <w:multiLevelType w:val="hybridMultilevel"/>
    <w:lvl w:ilvl="0">
      <w:lvlJc w:val="left"/>
      <w:lvlText w:val="(%1)"/>
      <w:numFmt w:val="lowerLetter"/>
      <w:start w:val="1"/>
    </w:lvl>
  </w:abstractNum>
  <w:abstractNum w:abstractNumId="81">
    <w:nsid w:val="5C10FE21"/>
    <w:multiLevelType w:val="hybridMultilevel"/>
    <w:lvl w:ilvl="0">
      <w:lvlJc w:val="left"/>
      <w:lvlText w:val="(%1)"/>
      <w:numFmt w:val="lowerLetter"/>
      <w:start w:val="1"/>
    </w:lvl>
  </w:abstractNum>
  <w:abstractNum w:abstractNumId="82">
    <w:nsid w:val="E7FFA2B"/>
    <w:multiLevelType w:val="hybridMultilevel"/>
    <w:lvl w:ilvl="0">
      <w:lvlJc w:val="left"/>
      <w:lvlText w:val="(%1)"/>
      <w:numFmt w:val="lowerLetter"/>
      <w:start w:val="1"/>
    </w:lvl>
  </w:abstractNum>
  <w:abstractNum w:abstractNumId="83">
    <w:nsid w:val="3C5991AA"/>
    <w:multiLevelType w:val="hybridMultilevel"/>
    <w:lvl w:ilvl="0">
      <w:lvlJc w:val="left"/>
      <w:lvlText w:val="(%1)"/>
      <w:numFmt w:val="lowerLetter"/>
      <w:start w:val="1"/>
    </w:lvl>
  </w:abstractNum>
  <w:abstractNum w:abstractNumId="84">
    <w:nsid w:val="4BD8591A"/>
    <w:multiLevelType w:val="hybridMultilevel"/>
    <w:lvl w:ilvl="0">
      <w:lvlJc w:val="left"/>
      <w:lvlText w:val="(%1)"/>
      <w:numFmt w:val="lowerLetter"/>
      <w:start w:val="1"/>
    </w:lvl>
    <w:lvl w:ilvl="1">
      <w:lvlJc w:val="left"/>
      <w:lvlText w:val="(%2)"/>
      <w:numFmt w:val="lowerRoman"/>
      <w:start w:val="1"/>
    </w:lvl>
  </w:abstractNum>
  <w:abstractNum w:abstractNumId="85">
    <w:nsid w:val="78DF6A55"/>
    <w:multiLevelType w:val="hybridMultilevel"/>
    <w:lvl w:ilvl="0">
      <w:lvlJc w:val="left"/>
      <w:lvlText w:val="(%1)"/>
      <w:numFmt w:val="lowerLetter"/>
      <w:start w:val="1"/>
    </w:lvl>
  </w:abstractNum>
  <w:abstractNum w:abstractNumId="86">
    <w:nsid w:val="39B7AAA2"/>
    <w:multiLevelType w:val="hybridMultilevel"/>
    <w:lvl w:ilvl="0">
      <w:lvlJc w:val="left"/>
      <w:lvlText w:val="(%1)"/>
      <w:numFmt w:val="lowerLetter"/>
      <w:start w:val="1"/>
    </w:lvl>
  </w:abstractNum>
  <w:abstractNum w:abstractNumId="87">
    <w:nsid w:val="2B0D8DBE"/>
    <w:multiLevelType w:val="hybridMultilevel"/>
    <w:lvl w:ilvl="0">
      <w:lvlJc w:val="left"/>
      <w:lvlText w:val="(%1)"/>
      <w:numFmt w:val="lowerLetter"/>
      <w:start w:val="4"/>
    </w:lvl>
  </w:abstractNum>
  <w:abstractNum w:abstractNumId="88">
    <w:nsid w:val="6C80EC70"/>
    <w:multiLevelType w:val="hybridMultilevel"/>
    <w:lvl w:ilvl="0">
      <w:lvlJc w:val="left"/>
      <w:lvlText w:val="(%1)"/>
      <w:numFmt w:val="lowerLetter"/>
      <w:start w:val="1"/>
    </w:lvl>
  </w:abstractNum>
  <w:abstractNum w:abstractNumId="89">
    <w:nsid w:val="379E21B5"/>
    <w:multiLevelType w:val="hybridMultilevel"/>
    <w:lvl w:ilvl="0">
      <w:lvlJc w:val="left"/>
      <w:lvlText w:val="(%1)"/>
      <w:numFmt w:val="lowerLetter"/>
      <w:start w:val="35"/>
    </w:lvl>
    <w:lvl w:ilvl="1">
      <w:lvlJc w:val="left"/>
      <w:lvlText w:val="(%2)"/>
      <w:numFmt w:val="lowerLetter"/>
      <w:start w:val="2"/>
    </w:lvl>
  </w:abstractNum>
  <w:abstractNum w:abstractNumId="90">
    <w:nsid w:val="69E373"/>
    <w:multiLevelType w:val="hybridMultilevel"/>
    <w:lvl w:ilvl="0">
      <w:lvlJc w:val="left"/>
      <w:lvlText w:val="(%1)"/>
      <w:numFmt w:val="lowerLetter"/>
      <w:start w:val="35"/>
    </w:lvl>
    <w:lvl w:ilvl="1">
      <w:lvlJc w:val="left"/>
      <w:lvlText w:val="%2"/>
      <w:numFmt w:val="lowerLetter"/>
      <w:start w:val="1"/>
    </w:lvl>
  </w:abstractNum>
  <w:abstractNum w:abstractNumId="91">
    <w:nsid w:val="2C27173B"/>
    <w:multiLevelType w:val="hybridMultilevel"/>
    <w:lvl w:ilvl="0">
      <w:lvlJc w:val="left"/>
      <w:lvlText w:val="(%1)"/>
      <w:numFmt w:val="lowerLetter"/>
      <w:start w:val="1"/>
    </w:lvl>
  </w:abstractNum>
  <w:abstractNum w:abstractNumId="92">
    <w:nsid w:val="4C9B0904"/>
    <w:multiLevelType w:val="hybridMultilevel"/>
    <w:lvl w:ilvl="0">
      <w:lvlJc w:val="left"/>
      <w:lvlText w:val="(%1)"/>
      <w:numFmt w:val="lowerLetter"/>
      <w:start w:val="2"/>
    </w:lvl>
  </w:abstractNum>
  <w:abstractNum w:abstractNumId="93">
    <w:nsid w:val="6AA7B75C"/>
    <w:multiLevelType w:val="hybridMultilevel"/>
    <w:lvl w:ilvl="0">
      <w:lvlJc w:val="left"/>
      <w:lvlText w:val="(%1)"/>
      <w:numFmt w:val="lowerLetter"/>
      <w:start w:val="23"/>
    </w:lvl>
  </w:abstractNum>
  <w:abstractNum w:abstractNumId="94">
    <w:nsid w:val="1DF029D3"/>
    <w:multiLevelType w:val="hybridMultilevel"/>
    <w:lvl w:ilvl="0">
      <w:lvlJc w:val="left"/>
      <w:lvlText w:val="(%1)"/>
      <w:numFmt w:val="lowerLetter"/>
      <w:start w:val="25"/>
    </w:lvl>
  </w:abstractNum>
  <w:abstractNum w:abstractNumId="95">
    <w:nsid w:val="5675FF36"/>
    <w:multiLevelType w:val="hybridMultilevel"/>
    <w:lvl w:ilvl="0">
      <w:lvlJc w:val="left"/>
      <w:lvlText w:val="(%1)"/>
      <w:numFmt w:val="lowerLetter"/>
      <w:start w:val="1"/>
    </w:lvl>
  </w:abstractNum>
  <w:abstractNum w:abstractNumId="96">
    <w:nsid w:val="3DD15094"/>
    <w:multiLevelType w:val="hybridMultilevel"/>
    <w:lvl w:ilvl="0">
      <w:lvlJc w:val="left"/>
      <w:lvlText w:val="(%1)"/>
      <w:numFmt w:val="lowerLetter"/>
      <w:start w:val="1"/>
    </w:lvl>
  </w:abstractNum>
  <w:abstractNum w:abstractNumId="97">
    <w:nsid w:val="3DB012B3"/>
    <w:multiLevelType w:val="hybridMultilevel"/>
    <w:lvl w:ilvl="0">
      <w:lvlJc w:val="left"/>
      <w:lvlText w:val="(%1)"/>
      <w:numFmt w:val="lowerRoman"/>
      <w:start w:val="1"/>
    </w:lvl>
  </w:abstractNum>
  <w:abstractNum w:abstractNumId="98">
    <w:nsid w:val="2708C9AF"/>
    <w:multiLevelType w:val="hybridMultilevel"/>
    <w:lvl w:ilvl="0">
      <w:lvlJc w:val="left"/>
      <w:lvlText w:val="(%1)"/>
      <w:numFmt w:val="lowerRoman"/>
      <w:start w:val="6"/>
    </w:lvl>
  </w:abstractNum>
  <w:abstractNum w:abstractNumId="99">
    <w:nsid w:val="5B25ACE2"/>
    <w:multiLevelType w:val="hybridMultilevel"/>
    <w:lvl w:ilvl="0">
      <w:lvlJc w:val="left"/>
      <w:lvlText w:val="%1"/>
      <w:numFmt w:val="lowerLetter"/>
      <w:start w:val="1"/>
    </w:lvl>
    <w:lvl w:ilvl="1">
      <w:lvlJc w:val="left"/>
      <w:lvlText w:val="(%2)"/>
      <w:numFmt w:val="lowerRoman"/>
      <w:start w:val="17"/>
    </w:lvl>
  </w:abstractNum>
  <w:abstractNum w:abstractNumId="100">
    <w:nsid w:val="175DFCF0"/>
    <w:multiLevelType w:val="hybridMultilevel"/>
    <w:lvl w:ilvl="0">
      <w:lvlJc w:val="left"/>
      <w:lvlText w:val="(%1)"/>
      <w:numFmt w:val="lowerLetter"/>
      <w:start w:val="2"/>
    </w:lvl>
    <w:lvl w:ilvl="1">
      <w:lvlJc w:val="left"/>
      <w:lvlText w:val="%2"/>
      <w:numFmt w:val="lowerRoman"/>
      <w:start w:val="1"/>
    </w:lvl>
  </w:abstractNum>
  <w:abstractNum w:abstractNumId="101">
    <w:nsid w:val="4F97E3E4"/>
    <w:multiLevelType w:val="hybridMultilevel"/>
    <w:lvl w:ilvl="0">
      <w:lvlJc w:val="left"/>
      <w:lvlText w:val="(%1)"/>
      <w:numFmt w:val="lowerRoman"/>
      <w:start w:val="18"/>
    </w:lvl>
  </w:abstractNum>
  <w:abstractNum w:abstractNumId="102">
    <w:nsid w:val="53B0A9E"/>
    <w:multiLevelType w:val="hybridMultilevel"/>
    <w:lvl w:ilvl="0">
      <w:lvlJc w:val="left"/>
      <w:lvlText w:val="(%1)"/>
      <w:numFmt w:val="lowerLetter"/>
      <w:start w:val="1"/>
    </w:lvl>
  </w:abstractNum>
  <w:abstractNum w:abstractNumId="103">
    <w:nsid w:val="34FD6B4F"/>
    <w:multiLevelType w:val="hybridMultilevel"/>
    <w:lvl w:ilvl="0">
      <w:lvlJc w:val="left"/>
      <w:lvlText w:val="(%1)"/>
      <w:numFmt w:val="lowerLetter"/>
      <w:start w:val="4"/>
    </w:lvl>
  </w:abstractNum>
  <w:abstractNum w:abstractNumId="104">
    <w:nsid w:val="5915FF32"/>
    <w:multiLevelType w:val="hybridMultilevel"/>
    <w:lvl w:ilvl="0">
      <w:lvlJc w:val="left"/>
      <w:lvlText w:val="(%1)"/>
      <w:numFmt w:val="lowerLetter"/>
      <w:start w:val="14"/>
    </w:lvl>
  </w:abstractNum>
  <w:abstractNum w:abstractNumId="105">
    <w:nsid w:val="56438D15"/>
    <w:multiLevelType w:val="hybridMultilevel"/>
    <w:lvl w:ilvl="0">
      <w:lvlJc w:val="left"/>
      <w:lvlText w:val="(%1)"/>
      <w:numFmt w:val="lowerLetter"/>
      <w:start w:val="1"/>
    </w:lvl>
    <w:lvl w:ilvl="1">
      <w:lvlJc w:val="left"/>
      <w:lvlText w:val="(%2)"/>
      <w:numFmt w:val="lowerLetter"/>
      <w:start w:val="9"/>
    </w:lvl>
  </w:abstractNum>
  <w:abstractNum w:abstractNumId="106">
    <w:nsid w:val="519E3149"/>
    <w:multiLevelType w:val="hybridMultilevel"/>
    <w:lvl w:ilvl="0">
      <w:lvlJc w:val="left"/>
      <w:lvlText w:val="(%1)"/>
      <w:numFmt w:val="lowerLetter"/>
      <w:start w:val="25"/>
    </w:lvl>
    <w:lvl w:ilvl="1">
      <w:lvlJc w:val="left"/>
      <w:lvlText w:val="%2"/>
      <w:numFmt w:val="lowerLetter"/>
      <w:start w:val="1"/>
    </w:lvl>
  </w:abstractNum>
  <w:abstractNum w:abstractNumId="107">
    <w:nsid w:val="2C6E4AFD"/>
    <w:multiLevelType w:val="hybridMultilevel"/>
    <w:lvl w:ilvl="0">
      <w:lvlJc w:val="left"/>
      <w:lvlText w:val="(%1)"/>
      <w:numFmt w:val="lowerRoman"/>
      <w:start w:val="2"/>
    </w:lvl>
  </w:abstractNum>
  <w:abstractNum w:abstractNumId="108">
    <w:nsid w:val="17A1B582"/>
    <w:multiLevelType w:val="hybridMultilevel"/>
    <w:lvl w:ilvl="0">
      <w:lvlJc w:val="left"/>
      <w:lvlText w:val="%1"/>
      <w:numFmt w:val="lowerLetter"/>
      <w:start w:val="1"/>
    </w:lvl>
    <w:lvl w:ilvl="1">
      <w:lvlJc w:val="left"/>
      <w:lvlText w:val="(%2)"/>
      <w:numFmt w:val="lowerLetter"/>
      <w:start w:val="61"/>
    </w:lvl>
  </w:abstractNum>
  <w:abstractNum w:abstractNumId="109">
    <w:nsid w:val="4DF72E4E"/>
    <w:multiLevelType w:val="hybridMultilevel"/>
    <w:lvl w:ilvl="0">
      <w:lvlJc w:val="left"/>
      <w:lvlText w:val="(%1)"/>
      <w:numFmt w:val="lowerLetter"/>
      <w:start w:val="2"/>
    </w:lvl>
    <w:lvl w:ilvl="1">
      <w:lvlJc w:val="left"/>
      <w:lvlText w:val="%2"/>
      <w:numFmt w:val="lowerLetter"/>
      <w:start w:val="1"/>
    </w:lvl>
  </w:abstractNum>
  <w:abstractNum w:abstractNumId="110">
    <w:nsid w:val="5046B5A9"/>
    <w:multiLevelType w:val="hybridMultilevel"/>
    <w:lvl w:ilvl="0">
      <w:lvlJc w:val="left"/>
      <w:lvlText w:val="%1"/>
      <w:numFmt w:val="lowerLetter"/>
      <w:start w:val="1"/>
    </w:lvl>
    <w:lvl w:ilvl="1">
      <w:lvlJc w:val="left"/>
      <w:lvlText w:val="(%2)"/>
      <w:numFmt w:val="lowerLetter"/>
      <w:start w:val="1"/>
    </w:lvl>
  </w:abstractNum>
  <w:abstractNum w:abstractNumId="111">
    <w:nsid w:val="5D888A08"/>
    <w:multiLevelType w:val="hybridMultilevel"/>
    <w:lvl w:ilvl="0">
      <w:lvlJc w:val="left"/>
      <w:lvlText w:val="(%1)"/>
      <w:numFmt w:val="lowerLetter"/>
      <w:start w:val="9"/>
    </w:lvl>
    <w:lvl w:ilvl="1">
      <w:lvlJc w:val="left"/>
      <w:lvlText w:val="(%2)"/>
      <w:numFmt w:val="lowerLetter"/>
      <w:start w:val="2"/>
    </w:lvl>
  </w:abstractNum>
  <w:abstractNum w:abstractNumId="112">
    <w:nsid w:val="2A082C70"/>
    <w:multiLevelType w:val="hybridMultilevel"/>
    <w:lvl w:ilvl="0">
      <w:lvlJc w:val="left"/>
      <w:lvlText w:val="(%1)"/>
      <w:numFmt w:val="lowerLetter"/>
      <w:start w:val="1"/>
    </w:lvl>
  </w:abstractNum>
  <w:abstractNum w:abstractNumId="113">
    <w:nsid w:val="5EC6AFD4"/>
    <w:multiLevelType w:val="hybridMultilevel"/>
    <w:lvl w:ilvl="0">
      <w:lvlJc w:val="left"/>
      <w:lvlText w:val="%1"/>
      <w:numFmt w:val="lowerLetter"/>
      <w:start w:val="1"/>
    </w:lvl>
    <w:lvl w:ilvl="1">
      <w:lvlJc w:val="left"/>
      <w:lvlText w:val="(%2)"/>
      <w:numFmt w:val="lowerLetter"/>
      <w:start w:val="4"/>
    </w:lvl>
  </w:abstractNum>
  <w:abstractNum w:abstractNumId="114">
    <w:nsid w:val="19E21BB2"/>
    <w:multiLevelType w:val="hybridMultilevel"/>
    <w:lvl w:ilvl="0">
      <w:lvlJc w:val="left"/>
      <w:lvlText w:val="(%1)"/>
      <w:numFmt w:val="lowerLetter"/>
      <w:start w:val="35"/>
    </w:lvl>
    <w:lvl w:ilvl="1">
      <w:lvlJc w:val="left"/>
      <w:lvlText w:val="(%2)"/>
      <w:numFmt w:val="lowerLetter"/>
      <w:start w:val="11"/>
    </w:lvl>
  </w:abstractNum>
  <w:abstractNum w:abstractNumId="115">
    <w:nsid w:val="75E0858A"/>
    <w:multiLevelType w:val="hybridMultilevel"/>
    <w:lvl w:ilvl="0">
      <w:lvlJc w:val="left"/>
      <w:lvlText w:val="(%1)"/>
      <w:numFmt w:val="lowerLetter"/>
      <w:start w:val="25"/>
    </w:lvl>
  </w:abstractNum>
  <w:abstractNum w:abstractNumId="116">
    <w:nsid w:val="57A61A29"/>
    <w:multiLevelType w:val="hybridMultilevel"/>
    <w:lvl w:ilvl="0">
      <w:lvlJc w:val="left"/>
      <w:lvlText w:val="(%1)"/>
      <w:numFmt w:val="lowerLetter"/>
      <w:start w:val="1"/>
    </w:lvl>
  </w:abstractNum>
  <w:abstractNum w:abstractNumId="117">
    <w:nsid w:val="5399C654"/>
    <w:multiLevelType w:val="hybridMultilevel"/>
    <w:lvl w:ilvl="0">
      <w:lvlJc w:val="left"/>
      <w:lvlText w:val="(%1)"/>
      <w:numFmt w:val="lowerLetter"/>
      <w:start w:val="2"/>
    </w:lvl>
  </w:abstractNum>
  <w:abstractNum w:abstractNumId="118">
    <w:nsid w:val="20EE1348"/>
    <w:multiLevelType w:val="hybridMultilevel"/>
    <w:lvl w:ilvl="0">
      <w:lvlJc w:val="left"/>
      <w:lvlText w:val="%1"/>
      <w:numFmt w:val="lowerLetter"/>
      <w:start w:val="1"/>
    </w:lvl>
    <w:lvl w:ilvl="1">
      <w:lvlJc w:val="left"/>
      <w:lvlText w:val="(%2)"/>
      <w:numFmt w:val="lowerLetter"/>
      <w:start w:val="1"/>
    </w:lvl>
  </w:abstractNum>
  <w:abstractNum w:abstractNumId="119">
    <w:nsid w:val="4427069A"/>
    <w:multiLevelType w:val="hybridMultilevel"/>
    <w:lvl w:ilvl="0">
      <w:lvlJc w:val="left"/>
      <w:lvlText w:val="(%1)"/>
      <w:numFmt w:val="lowerLetter"/>
      <w:start w:val="1"/>
    </w:lvl>
    <w:lvl w:ilvl="1">
      <w:lvlJc w:val="left"/>
      <w:lvlText w:val="(%2)"/>
      <w:numFmt w:val="lowerLetter"/>
      <w:start w:val="3"/>
    </w:lvl>
  </w:abstractNum>
  <w:abstractNum w:abstractNumId="120">
    <w:nsid w:val="B37E80A"/>
    <w:multiLevelType w:val="hybridMultilevel"/>
    <w:lvl w:ilvl="0">
      <w:lvlJc w:val="left"/>
      <w:lvlText w:val="%1"/>
      <w:numFmt w:val="lowerLetter"/>
      <w:start w:val="1"/>
    </w:lvl>
    <w:lvl w:ilvl="1">
      <w:lvlJc w:val="left"/>
      <w:lvlText w:val="(%2)"/>
      <w:numFmt w:val="lowerLetter"/>
      <w:start w:val="7"/>
    </w:lvl>
  </w:abstractNum>
  <w:abstractNum w:abstractNumId="121">
    <w:nsid w:val="2157F6BC"/>
    <w:multiLevelType w:val="hybridMultilevel"/>
    <w:lvl w:ilvl="0">
      <w:lvlJc w:val="left"/>
      <w:lvlText w:val="(%1)"/>
      <w:numFmt w:val="lowerLetter"/>
      <w:start w:val="35"/>
    </w:lvl>
    <w:lvl w:ilvl="1">
      <w:lvlJc w:val="left"/>
      <w:lvlText w:val="(%2)"/>
      <w:numFmt w:val="lowerLetter"/>
      <w:start w:val="8"/>
    </w:lvl>
  </w:abstractNum>
  <w:abstractNum w:abstractNumId="122">
    <w:nsid w:val="704E1DD5"/>
    <w:multiLevelType w:val="hybridMultilevel"/>
    <w:lvl w:ilvl="0">
      <w:lvlJc w:val="left"/>
      <w:lvlText w:val="(%1)"/>
      <w:numFmt w:val="lowerLetter"/>
      <w:start w:val="35"/>
    </w:lvl>
    <w:lvl w:ilvl="1">
      <w:lvlJc w:val="left"/>
      <w:lvlText w:val="(%2)"/>
      <w:numFmt w:val="lowerLetter"/>
      <w:start w:val="10"/>
    </w:lvl>
  </w:abstractNum>
  <w:abstractNum w:abstractNumId="123">
    <w:nsid w:val="57D2F10E"/>
    <w:multiLevelType w:val="hybridMultilevel"/>
    <w:lvl w:ilvl="0">
      <w:lvlJc w:val="left"/>
      <w:lvlText w:val="(%1)"/>
      <w:numFmt w:val="lowerLetter"/>
      <w:start w:val="12"/>
    </w:lvl>
  </w:abstractNum>
  <w:abstractNum w:abstractNumId="124">
    <w:nsid w:val="BFFAE18"/>
    <w:multiLevelType w:val="hybridMultilevel"/>
    <w:lvl w:ilvl="0">
      <w:lvlJc w:val="left"/>
      <w:lvlText w:val="(%1)"/>
      <w:numFmt w:val="lowerLetter"/>
      <w:start w:val="1"/>
    </w:lvl>
  </w:abstractNum>
  <w:abstractNum w:abstractNumId="125">
    <w:nsid w:val="E3E47A8"/>
    <w:multiLevelType w:val="hybridMultilevel"/>
    <w:lvl w:ilvl="0">
      <w:lvlJc w:val="left"/>
      <w:lvlText w:val="%1"/>
      <w:numFmt w:val="upperLetter"/>
      <w:start w:val="1"/>
    </w:lvl>
    <w:lvl w:ilvl="1">
      <w:lvlJc w:val="left"/>
      <w:lvlText w:val="(%2)"/>
      <w:numFmt w:val="lowerLetter"/>
      <w:start w:val="1"/>
    </w:lvl>
  </w:abstractNum>
  <w:abstractNum w:abstractNumId="126">
    <w:nsid w:val="2E48F044"/>
    <w:multiLevelType w:val="hybridMultilevel"/>
    <w:lvl w:ilvl="0">
      <w:lvlJc w:val="left"/>
      <w:lvlText w:val="(%1)"/>
      <w:numFmt w:val="upperLetter"/>
      <w:start w:val="5"/>
    </w:lvl>
    <w:lvl w:ilvl="1">
      <w:lvlJc w:val="left"/>
      <w:lvlText w:val="%2"/>
      <w:numFmt w:val="lowerLetter"/>
      <w:start w:val="1"/>
    </w:lvl>
  </w:abstractNum>
  <w:abstractNum w:abstractNumId="127">
    <w:nsid w:val="49D0FEAC"/>
    <w:multiLevelType w:val="hybridMultilevel"/>
    <w:lvl w:ilvl="0">
      <w:lvlJc w:val="left"/>
      <w:lvlText w:val="%1"/>
      <w:numFmt w:val="lowerLetter"/>
      <w:start w:val="1"/>
    </w:lvl>
    <w:lvl w:ilvl="1">
      <w:lvlJc w:val="left"/>
      <w:lvlText w:val="(%2)"/>
      <w:numFmt w:val="lowerLetter"/>
      <w:start w:val="3"/>
    </w:lvl>
  </w:abstractNum>
  <w:abstractNum w:abstractNumId="128">
    <w:nsid w:val="4BEE5A5B"/>
    <w:multiLevelType w:val="hybridMultilevel"/>
    <w:lvl w:ilvl="0">
      <w:lvlJc w:val="left"/>
      <w:lvlText w:val="(%1)"/>
      <w:numFmt w:val="lowerLetter"/>
      <w:start w:val="2"/>
    </w:lvl>
    <w:lvl w:ilvl="1">
      <w:lvlJc w:val="left"/>
      <w:lvlText w:val="%2"/>
      <w:numFmt w:val="lowerLetter"/>
      <w:start w:val="1"/>
    </w:lvl>
  </w:abstractNum>
  <w:abstractNum w:abstractNumId="129">
    <w:nsid w:val="5551B9F3"/>
    <w:multiLevelType w:val="hybridMultilevel"/>
    <w:lvl w:ilvl="0">
      <w:lvlJc w:val="left"/>
      <w:lvlText w:val="(%1)"/>
      <w:numFmt w:val="lowerLetter"/>
      <w:start w:val="1"/>
    </w:lvl>
  </w:abstractNum>
  <w:abstractNum w:abstractNumId="130">
    <w:nsid w:val="24F6AB8E"/>
    <w:multiLevelType w:val="hybridMultilevel"/>
    <w:lvl w:ilvl="0">
      <w:lvlJc w:val="left"/>
      <w:lvlText w:val="(%1)"/>
      <w:numFmt w:val="lowerLetter"/>
      <w:start w:val="3"/>
    </w:lvl>
  </w:abstractNum>
  <w:abstractNum w:abstractNumId="131">
    <w:nsid w:val="634C574C"/>
    <w:multiLevelType w:val="hybridMultilevel"/>
    <w:lvl w:ilvl="0">
      <w:lvlJc w:val="left"/>
      <w:lvlText w:val="(%1)"/>
      <w:numFmt w:val="lowerLetter"/>
      <w:start w:val="1"/>
    </w:lvl>
  </w:abstractNum>
  <w:abstractNum w:abstractNumId="132">
    <w:nsid w:val="24E99DD7"/>
    <w:multiLevelType w:val="hybridMultilevel"/>
    <w:lvl w:ilvl="0">
      <w:lvlJc w:val="left"/>
      <w:lvlText w:val="(%1)"/>
      <w:numFmt w:val="lowerRoman"/>
      <w:start w:val="2"/>
    </w:lvl>
  </w:abstractNum>
  <w:abstractNum w:abstractNumId="133">
    <w:nsid w:val="2A31B62D"/>
    <w:multiLevelType w:val="hybridMultilevel"/>
    <w:lvl w:ilvl="0">
      <w:lvlJc w:val="left"/>
      <w:lvlText w:val="(%1)"/>
      <w:numFmt w:val="lowerRoman"/>
      <w:start w:val="3"/>
    </w:lvl>
  </w:abstractNum>
  <w:abstractNum w:abstractNumId="134">
    <w:nsid w:val="1849C29B"/>
    <w:multiLevelType w:val="hybridMultilevel"/>
    <w:lvl w:ilvl="0">
      <w:lvlJc w:val="left"/>
      <w:lvlText w:val="(%1)"/>
      <w:numFmt w:val="lowerLetter"/>
      <w:start w:val="3"/>
    </w:lvl>
  </w:abstractNum>
  <w:abstractNum w:abstractNumId="135">
    <w:nsid w:val="7DFF9D09"/>
    <w:multiLevelType w:val="hybridMultilevel"/>
    <w:lvl w:ilvl="0">
      <w:lvlJc w:val="left"/>
      <w:lvlText w:val="(%1)"/>
      <w:numFmt w:val="lowerRoman"/>
      <w:start w:val="2"/>
    </w:lvl>
  </w:abstractNum>
  <w:abstractNum w:abstractNumId="136">
    <w:nsid w:val="754342"/>
    <w:multiLevelType w:val="hybridMultilevel"/>
    <w:lvl w:ilvl="0">
      <w:lvlJc w:val="left"/>
      <w:lvlText w:val="(%1)"/>
      <w:numFmt w:val="lowerLetter"/>
      <w:start w:val="4"/>
    </w:lvl>
  </w:abstractNum>
  <w:abstractNum w:abstractNumId="137">
    <w:nsid w:val="69E7F3E5"/>
    <w:multiLevelType w:val="hybridMultilevel"/>
    <w:lvl w:ilvl="0">
      <w:lvlJc w:val="left"/>
      <w:lvlText w:val="(%1)"/>
      <w:numFmt w:val="lowerLetter"/>
      <w:start w:val="6"/>
    </w:lvl>
  </w:abstractNum>
  <w:abstractNum w:abstractNumId="138">
    <w:nsid w:val="2A6DE806"/>
    <w:multiLevelType w:val="hybridMultilevel"/>
    <w:lvl w:ilvl="0">
      <w:lvlJc w:val="left"/>
      <w:lvlText w:val="(%1)"/>
      <w:numFmt w:val="lowerLetter"/>
      <w:start w:val="1"/>
    </w:lvl>
  </w:abstractNum>
  <w:abstractNum w:abstractNumId="139">
    <w:nsid w:val="1816F8C4"/>
    <w:multiLevelType w:val="hybridMultilevel"/>
    <w:lvl w:ilvl="0">
      <w:lvlJc w:val="left"/>
      <w:lvlText w:val="(%1)"/>
      <w:numFmt w:val="lowerLetter"/>
      <w:start w:val="2"/>
    </w:lvl>
  </w:abstractNum>
  <w:abstractNum w:abstractNumId="140">
    <w:nsid w:val="37DF2233"/>
    <w:multiLevelType w:val="hybridMultilevel"/>
    <w:lvl w:ilvl="0">
      <w:lvlJc w:val="left"/>
      <w:lvlText w:val="(%1)"/>
      <w:numFmt w:val="upperLetter"/>
      <w:start w:val="2"/>
    </w:lvl>
  </w:abstractNum>
  <w:abstractNum w:abstractNumId="141">
    <w:nsid w:val="7AB49DAF"/>
    <w:multiLevelType w:val="hybridMultilevel"/>
    <w:lvl w:ilvl="0">
      <w:lvlJc w:val="left"/>
      <w:lvlText w:val="(%1)"/>
      <w:numFmt w:val="lowerRoman"/>
      <w:start w:val="1"/>
    </w:lvl>
  </w:abstractNum>
  <w:abstractNum w:abstractNumId="142">
    <w:nsid w:val="759F82CD"/>
    <w:multiLevelType w:val="hybridMultilevel"/>
    <w:lvl w:ilvl="0">
      <w:lvlJc w:val="left"/>
      <w:lvlText w:val="(%1)"/>
      <w:numFmt w:val="lowerLetter"/>
      <w:start w:val="1"/>
    </w:lvl>
    <w:lvl w:ilvl="1">
      <w:lvlJc w:val="left"/>
      <w:lvlText w:val="(%2)"/>
      <w:numFmt w:val="lowerRoman"/>
      <w:start w:val="1"/>
    </w:lvl>
  </w:abstractNum>
  <w:abstractNum w:abstractNumId="143">
    <w:nsid w:val="61E74EA3"/>
    <w:multiLevelType w:val="hybridMultilevel"/>
    <w:lvl w:ilvl="0">
      <w:lvlJc w:val="left"/>
      <w:lvlText w:val="["/>
      <w:numFmt w:val="bullet"/>
      <w:start w:val="1"/>
    </w:lvl>
  </w:abstractNum>
  <w:abstractNum w:abstractNumId="144">
    <w:nsid w:val="597B4D8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2020-12-03T15:33:57Z</dcterms:created>
  <dcterms:modified xsi:type="dcterms:W3CDTF">2020-12-03T15:33:57Z</dcterms:modified>
</cp:coreProperties>
</file>